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header1.xml" ContentType="application/vnd.openxmlformats-officedocument.wordprocessingml.header+xml"/>
  <Default Extension="jpeg" ContentType="image/jpeg"/>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29.xml" ContentType="application/vnd.openxmlformats-officedocument.wordprocessingml.footer+xml"/>
  <Override PartName="/word/header33.xml" ContentType="application/vnd.openxmlformats-officedocument.wordprocessingml.header+xml"/>
  <Override PartName="/word/footer30.xml" ContentType="application/vnd.openxmlformats-officedocument.wordprocessingml.footer+xml"/>
  <Override PartName="/word/header34.xml" ContentType="application/vnd.openxmlformats-officedocument.wordprocessingml.header+xml"/>
  <Override PartName="/word/footer31.xml" ContentType="application/vnd.openxmlformats-officedocument.wordprocessingml.footer+xml"/>
  <Override PartName="/word/header35.xml" ContentType="application/vnd.openxmlformats-officedocument.wordprocessingml.header+xml"/>
  <Override PartName="/word/footer32.xml" ContentType="application/vnd.openxmlformats-officedocument.wordprocessingml.footer+xml"/>
  <Override PartName="/word/header36.xml" ContentType="application/vnd.openxmlformats-officedocument.wordprocessingml.header+xml"/>
  <Override PartName="/word/footer33.xml" ContentType="application/vnd.openxmlformats-officedocument.wordprocessingml.footer+xml"/>
  <Override PartName="/word/header37.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38.xml" ContentType="application/vnd.openxmlformats-officedocument.wordprocessingml.footer+xml"/>
  <Override PartName="/word/header42.xml" ContentType="application/vnd.openxmlformats-officedocument.wordprocessingml.header+xml"/>
  <Override PartName="/word/footer39.xml" ContentType="application/vnd.openxmlformats-officedocument.wordprocessingml.footer+xml"/>
  <Override PartName="/word/header43.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4.xml" ContentType="application/vnd.openxmlformats-officedocument.wordprocessingml.footer+xml"/>
  <Override PartName="/word/header48.xml" ContentType="application/vnd.openxmlformats-officedocument.wordprocessingml.header+xml"/>
  <Override PartName="/word/footer45.xml" ContentType="application/vnd.openxmlformats-officedocument.wordprocessingml.footer+xml"/>
  <Override PartName="/word/header49.xml" ContentType="application/vnd.openxmlformats-officedocument.wordprocessingml.header+xml"/>
  <Override PartName="/word/footer46.xml" ContentType="application/vnd.openxmlformats-officedocument.wordprocessingml.footer+xml"/>
  <Override PartName="/word/header50.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footer51.xml" ContentType="application/vnd.openxmlformats-officedocument.wordprocessingml.footer+xml"/>
  <Override PartName="/word/footer52.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3.xml" ContentType="application/vnd.openxmlformats-officedocument.wordprocessingml.footer+xml"/>
  <Override PartName="/word/header57.xml" ContentType="application/vnd.openxmlformats-officedocument.wordprocessingml.header+xml"/>
  <Override PartName="/word/footer54.xml" ContentType="application/vnd.openxmlformats-officedocument.wordprocessingml.footer+xml"/>
  <Override PartName="/word/footer55.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6.xml" ContentType="application/vnd.openxmlformats-officedocument.wordprocessingml.footer+xml"/>
  <Override PartName="/word/footer57.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2.xml" ContentType="application/vnd.openxmlformats-officedocument.wordprocessingml.header+xml"/>
  <Override PartName="/word/header63.xml" ContentType="application/vnd.openxmlformats-officedocument.wordprocessingml.header+xml"/>
  <Override PartName="/word/footer60.xml" ContentType="application/vnd.openxmlformats-officedocument.wordprocessingml.footer+xml"/>
  <Override PartName="/word/footer61.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2.xml" ContentType="application/vnd.openxmlformats-officedocument.wordprocessingml.footer+xml"/>
  <Override PartName="/word/footer63.xml" ContentType="application/vnd.openxmlformats-officedocument.wordprocessingml.footer+xml"/>
  <Override PartName="/word/header66.xml" ContentType="application/vnd.openxmlformats-officedocument.wordprocessingml.header+xml"/>
  <Override PartName="/word/header67.xml" ContentType="application/vnd.openxmlformats-officedocument.wordprocessingml.header+xml"/>
  <Override PartName="/word/footer64.xml" ContentType="application/vnd.openxmlformats-officedocument.wordprocessingml.footer+xml"/>
  <Override PartName="/word/header68.xml" ContentType="application/vnd.openxmlformats-officedocument.wordprocessingml.header+xml"/>
  <Override PartName="/word/footer65.xml" ContentType="application/vnd.openxmlformats-officedocument.wordprocessingml.footer+xml"/>
  <Override PartName="/word/header69.xml" ContentType="application/vnd.openxmlformats-officedocument.wordprocessingml.header+xml"/>
  <Override PartName="/word/footer66.xml" ContentType="application/vnd.openxmlformats-officedocument.wordprocessingml.footer+xml"/>
  <Override PartName="/word/footer67.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68.xml" ContentType="application/vnd.openxmlformats-officedocument.wordprocessingml.footer+xml"/>
  <Override PartName="/word/footer69.xml" ContentType="application/vnd.openxmlformats-officedocument.wordprocessingml.footer+xml"/>
  <Override PartName="/word/header72.xml" ContentType="application/vnd.openxmlformats-officedocument.wordprocessingml.header+xml"/>
  <Override PartName="/word/header73.xml" ContentType="application/vnd.openxmlformats-officedocument.wordprocessingml.header+xml"/>
  <Override PartName="/word/footer70.xml" ContentType="application/vnd.openxmlformats-officedocument.wordprocessingml.footer+xml"/>
  <Override PartName="/word/header74.xml" ContentType="application/vnd.openxmlformats-officedocument.wordprocessingml.header+xml"/>
  <Override PartName="/word/footer71.xml" ContentType="application/vnd.openxmlformats-officedocument.wordprocessingml.footer+xml"/>
  <Override PartName="/word/header75.xml" ContentType="application/vnd.openxmlformats-officedocument.wordprocessingml.header+xml"/>
  <Override PartName="/word/footer72.xml" ContentType="application/vnd.openxmlformats-officedocument.wordprocessingml.footer+xml"/>
  <Override PartName="/word/header76.xml" ContentType="application/vnd.openxmlformats-officedocument.wordprocessingml.header+xml"/>
  <Override PartName="/word/footer73.xml" ContentType="application/vnd.openxmlformats-officedocument.wordprocessingml.footer+xml"/>
  <Override PartName="/word/header77.xml" ContentType="application/vnd.openxmlformats-officedocument.wordprocessingml.header+xml"/>
  <Override PartName="/word/footer74.xml" ContentType="application/vnd.openxmlformats-officedocument.wordprocessingml.footer+xml"/>
  <Override PartName="/word/header78.xml" ContentType="application/vnd.openxmlformats-officedocument.wordprocessingml.header+xml"/>
  <Override PartName="/word/footer75.xml" ContentType="application/vnd.openxmlformats-officedocument.wordprocessingml.footer+xml"/>
  <Override PartName="/word/header79.xml" ContentType="application/vnd.openxmlformats-officedocument.wordprocessingml.header+xml"/>
  <Override PartName="/word/footer76.xml" ContentType="application/vnd.openxmlformats-officedocument.wordprocessingml.footer+xml"/>
  <Override PartName="/word/header80.xml" ContentType="application/vnd.openxmlformats-officedocument.wordprocessingml.header+xml"/>
  <Override PartName="/word/footer77.xml" ContentType="application/vnd.openxmlformats-officedocument.wordprocessingml.footer+xml"/>
  <Override PartName="/word/header81.xml" ContentType="application/vnd.openxmlformats-officedocument.wordprocessingml.header+xml"/>
  <Override PartName="/word/footer78.xml" ContentType="application/vnd.openxmlformats-officedocument.wordprocessingml.footer+xml"/>
  <Override PartName="/word/header82.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83.xml" ContentType="application/vnd.openxmlformats-officedocument.wordprocessingml.header+xml"/>
  <Override PartName="/word/header84.xml" ContentType="application/vnd.openxmlformats-officedocument.wordprocessingml.header+xml"/>
  <Override PartName="/word/footer81.xml" ContentType="application/vnd.openxmlformats-officedocument.wordprocessingml.footer+xml"/>
  <Override PartName="/word/footer82.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83.xml" ContentType="application/vnd.openxmlformats-officedocument.wordprocessingml.footer+xml"/>
  <Override PartName="/word/header87.xml" ContentType="application/vnd.openxmlformats-officedocument.wordprocessingml.header+xml"/>
  <Override PartName="/word/footer84.xml" ContentType="application/vnd.openxmlformats-officedocument.wordprocessingml.footer+xml"/>
  <Override PartName="/word/footer85.xml" ContentType="application/vnd.openxmlformats-officedocument.wordprocessingml.footer+xml"/>
  <Override PartName="/word/header88.xml" ContentType="application/vnd.openxmlformats-officedocument.wordprocessingml.header+xml"/>
  <Override PartName="/word/header89.xml" ContentType="application/vnd.openxmlformats-officedocument.wordprocessingml.header+xml"/>
  <Override PartName="/word/footer86.xml" ContentType="application/vnd.openxmlformats-officedocument.wordprocessingml.footer+xml"/>
  <Override PartName="/word/header90.xml" ContentType="application/vnd.openxmlformats-officedocument.wordprocessingml.header+xml"/>
  <Override PartName="/word/footer87.xml" ContentType="application/vnd.openxmlformats-officedocument.wordprocessingml.footer+xml"/>
  <Override PartName="/word/header91.xml" ContentType="application/vnd.openxmlformats-officedocument.wordprocessingml.header+xml"/>
  <Override PartName="/word/footer88.xml" ContentType="application/vnd.openxmlformats-officedocument.wordprocessingml.footer+xml"/>
  <Override PartName="/word/header92.xml" ContentType="application/vnd.openxmlformats-officedocument.wordprocessingml.header+xml"/>
  <Override PartName="/word/footer89.xml" ContentType="application/vnd.openxmlformats-officedocument.wordprocessingml.footer+xml"/>
  <Override PartName="/word/header93.xml" ContentType="application/vnd.openxmlformats-officedocument.wordprocessingml.header+xml"/>
  <Override PartName="/word/footer90.xml" ContentType="application/vnd.openxmlformats-officedocument.wordprocessingml.footer+xml"/>
  <Override PartName="/word/header94.xml" ContentType="application/vnd.openxmlformats-officedocument.wordprocessingml.header+xml"/>
  <Override PartName="/word/footer91.xml" ContentType="application/vnd.openxmlformats-officedocument.wordprocessingml.footer+xml"/>
  <Override PartName="/word/header95.xml" ContentType="application/vnd.openxmlformats-officedocument.wordprocessingml.header+xml"/>
  <Override PartName="/word/footer92.xml" ContentType="application/vnd.openxmlformats-officedocument.wordprocessingml.footer+xml"/>
  <Override PartName="/word/header96.xml" ContentType="application/vnd.openxmlformats-officedocument.wordprocessingml.header+xml"/>
  <Override PartName="/word/footer93.xml" ContentType="application/vnd.openxmlformats-officedocument.wordprocessingml.footer+xml"/>
  <Override PartName="/word/header97.xml" ContentType="application/vnd.openxmlformats-officedocument.wordprocessingml.header+xml"/>
  <Override PartName="/word/footer94.xml" ContentType="application/vnd.openxmlformats-officedocument.wordprocessingml.footer+xml"/>
  <Override PartName="/word/header98.xml" ContentType="application/vnd.openxmlformats-officedocument.wordprocessingml.header+xml"/>
  <Override PartName="/word/footer95.xml" ContentType="application/vnd.openxmlformats-officedocument.wordprocessingml.footer+xml"/>
  <Override PartName="/word/footer96.xml" ContentType="application/vnd.openxmlformats-officedocument.wordprocessingml.footer+xml"/>
  <Override PartName="/word/header99.xml" ContentType="application/vnd.openxmlformats-officedocument.wordprocessingml.header+xml"/>
  <Override PartName="/word/header100.xml" ContentType="application/vnd.openxmlformats-officedocument.wordprocessingml.header+xml"/>
  <Override PartName="/word/footer97.xml" ContentType="application/vnd.openxmlformats-officedocument.wordprocessingml.footer+xml"/>
  <Override PartName="/word/header101.xml" ContentType="application/vnd.openxmlformats-officedocument.wordprocessingml.header+xml"/>
  <Override PartName="/word/footer98.xml" ContentType="application/vnd.openxmlformats-officedocument.wordprocessingml.footer+xml"/>
  <Override PartName="/word/footer99.xml" ContentType="application/vnd.openxmlformats-officedocument.wordprocessingml.footer+xml"/>
  <Override PartName="/word/header102.xml" ContentType="application/vnd.openxmlformats-officedocument.wordprocessingml.header+xml"/>
  <Override PartName="/word/header103.xml" ContentType="application/vnd.openxmlformats-officedocument.wordprocessingml.header+xml"/>
  <Override PartName="/word/footer100.xml" ContentType="application/vnd.openxmlformats-officedocument.wordprocessingml.footer+xml"/>
  <Override PartName="/word/footer101.xml" ContentType="application/vnd.openxmlformats-officedocument.wordprocessingml.footer+xml"/>
  <Override PartName="/word/header104.xml" ContentType="application/vnd.openxmlformats-officedocument.wordprocessingml.header+xml"/>
  <Override PartName="/word/header105.xml" ContentType="application/vnd.openxmlformats-officedocument.wordprocessingml.header+xml"/>
  <Override PartName="/word/footer102.xml" ContentType="application/vnd.openxmlformats-officedocument.wordprocessingml.footer+xml"/>
  <Override PartName="/word/footer103.xml" ContentType="application/vnd.openxmlformats-officedocument.wordprocessingml.footer+xml"/>
  <Override PartName="/word/header106.xml" ContentType="application/vnd.openxmlformats-officedocument.wordprocessingml.header+xml"/>
  <Override PartName="/word/header107.xml" ContentType="application/vnd.openxmlformats-officedocument.wordprocessingml.header+xml"/>
  <Override PartName="/word/footer104.xml" ContentType="application/vnd.openxmlformats-officedocument.wordprocessingml.footer+xml"/>
  <Override PartName="/word/footer105.xml" ContentType="application/vnd.openxmlformats-officedocument.wordprocessingml.footer+xml"/>
  <Override PartName="/word/header108.xml" ContentType="application/vnd.openxmlformats-officedocument.wordprocessingml.header+xml"/>
  <Override PartName="/word/header109.xml" ContentType="application/vnd.openxmlformats-officedocument.wordprocessingml.header+xml"/>
  <Override PartName="/word/footer106.xml" ContentType="application/vnd.openxmlformats-officedocument.wordprocessingml.footer+xml"/>
  <Override PartName="/word/header110.xml" ContentType="application/vnd.openxmlformats-officedocument.wordprocessingml.header+xml"/>
  <Override PartName="/word/footer107.xml" ContentType="application/vnd.openxmlformats-officedocument.wordprocessingml.footer+xml"/>
  <Override PartName="/word/footer108.xml" ContentType="application/vnd.openxmlformats-officedocument.wordprocessingml.footer+xml"/>
  <Override PartName="/word/header111.xml" ContentType="application/vnd.openxmlformats-officedocument.wordprocessingml.header+xml"/>
  <Override PartName="/word/header112.xml" ContentType="application/vnd.openxmlformats-officedocument.wordprocessingml.header+xml"/>
  <Override PartName="/word/footer109.xml" ContentType="application/vnd.openxmlformats-officedocument.wordprocessingml.footer+xml"/>
  <Override PartName="/word/footer110.xml" ContentType="application/vnd.openxmlformats-officedocument.wordprocessingml.footer+xml"/>
  <Override PartName="/word/header113.xml" ContentType="application/vnd.openxmlformats-officedocument.wordprocessingml.header+xml"/>
  <Override PartName="/word/header114.xml" ContentType="application/vnd.openxmlformats-officedocument.wordprocessingml.header+xml"/>
  <Override PartName="/word/footer111.xml" ContentType="application/vnd.openxmlformats-officedocument.wordprocessingml.footer+xml"/>
  <Override PartName="/word/footer112.xml" ContentType="application/vnd.openxmlformats-officedocument.wordprocessingml.footer+xml"/>
  <Override PartName="/word/header115.xml" ContentType="application/vnd.openxmlformats-officedocument.wordprocessingml.header+xml"/>
  <Override PartName="/word/header116.xml" ContentType="application/vnd.openxmlformats-officedocument.wordprocessingml.header+xml"/>
  <Override PartName="/word/footer113.xml" ContentType="application/vnd.openxmlformats-officedocument.wordprocessingml.footer+xml"/>
  <Override PartName="/word/footer114.xml" ContentType="application/vnd.openxmlformats-officedocument.wordprocessingml.footer+xml"/>
  <Override PartName="/word/header117.xml" ContentType="application/vnd.openxmlformats-officedocument.wordprocessingml.header+xml"/>
  <Override PartName="/word/header118.xml" ContentType="application/vnd.openxmlformats-officedocument.wordprocessingml.header+xml"/>
  <Override PartName="/word/footer115.xml" ContentType="application/vnd.openxmlformats-officedocument.wordprocessingml.footer+xml"/>
  <Override PartName="/word/header119.xml" ContentType="application/vnd.openxmlformats-officedocument.wordprocessingml.header+xml"/>
  <Override PartName="/word/footer116.xml" ContentType="application/vnd.openxmlformats-officedocument.wordprocessingml.footer+xml"/>
  <Override PartName="/word/footer117.xml" ContentType="application/vnd.openxmlformats-officedocument.wordprocessingml.footer+xml"/>
  <Override PartName="/word/header120.xml" ContentType="application/vnd.openxmlformats-officedocument.wordprocessingml.header+xml"/>
  <Override PartName="/word/header121.xml" ContentType="application/vnd.openxmlformats-officedocument.wordprocessingml.header+xml"/>
  <Override PartName="/word/footer118.xml" ContentType="application/vnd.openxmlformats-officedocument.wordprocessingml.footer+xml"/>
  <Override PartName="/word/footer119.xml" ContentType="application/vnd.openxmlformats-officedocument.wordprocessingml.footer+xml"/>
  <Override PartName="/word/header122.xml" ContentType="application/vnd.openxmlformats-officedocument.wordprocessingml.header+xml"/>
  <Override PartName="/word/header123.xml" ContentType="application/vnd.openxmlformats-officedocument.wordprocessingml.header+xml"/>
  <Override PartName="/word/footer120.xml" ContentType="application/vnd.openxmlformats-officedocument.wordprocessingml.footer+xml"/>
  <Override PartName="/word/footer121.xml" ContentType="application/vnd.openxmlformats-officedocument.wordprocessingml.footer+xml"/>
  <Override PartName="/word/header124.xml" ContentType="application/vnd.openxmlformats-officedocument.wordprocessingml.header+xml"/>
  <Override PartName="/word/header125.xml" ContentType="application/vnd.openxmlformats-officedocument.wordprocessingml.header+xml"/>
  <Override PartName="/word/footer122.xml" ContentType="application/vnd.openxmlformats-officedocument.wordprocessingml.footer+xml"/>
  <Override PartName="/word/header126.xml" ContentType="application/vnd.openxmlformats-officedocument.wordprocessingml.header+xml"/>
  <Override PartName="/word/footer123.xml" ContentType="application/vnd.openxmlformats-officedocument.wordprocessingml.footer+xml"/>
  <Override PartName="/word/header127.xml" ContentType="application/vnd.openxmlformats-officedocument.wordprocessingml.header+xml"/>
  <Override PartName="/word/footer124.xml" ContentType="application/vnd.openxmlformats-officedocument.wordprocessingml.footer+xml"/>
  <Override PartName="/word/header128.xml" ContentType="application/vnd.openxmlformats-officedocument.wordprocessingml.header+xml"/>
  <Override PartName="/word/footer125.xml" ContentType="application/vnd.openxmlformats-officedocument.wordprocessingml.footer+xml"/>
  <Override PartName="/word/header129.xml" ContentType="application/vnd.openxmlformats-officedocument.wordprocessingml.header+xml"/>
  <Override PartName="/word/footer126.xml" ContentType="application/vnd.openxmlformats-officedocument.wordprocessingml.footer+xml"/>
  <Override PartName="/word/header130.xml" ContentType="application/vnd.openxmlformats-officedocument.wordprocessingml.header+xml"/>
  <Override PartName="/word/footer127.xml" ContentType="application/vnd.openxmlformats-officedocument.wordprocessingml.footer+xml"/>
  <Override PartName="/word/header131.xml" ContentType="application/vnd.openxmlformats-officedocument.wordprocessingml.header+xml"/>
  <Override PartName="/word/footer128.xml" ContentType="application/vnd.openxmlformats-officedocument.wordprocessingml.footer+xml"/>
  <Override PartName="/word/footer129.xml" ContentType="application/vnd.openxmlformats-officedocument.wordprocessingml.footer+xml"/>
  <Override PartName="/word/header132.xml" ContentType="application/vnd.openxmlformats-officedocument.wordprocessingml.header+xml"/>
  <Override PartName="/word/header133.xml" ContentType="application/vnd.openxmlformats-officedocument.wordprocessingml.header+xml"/>
  <Override PartName="/word/footer130.xml" ContentType="application/vnd.openxmlformats-officedocument.wordprocessingml.footer+xml"/>
  <Override PartName="/word/footer131.xml" ContentType="application/vnd.openxmlformats-officedocument.wordprocessingml.footer+xml"/>
  <Override PartName="/word/header134.xml" ContentType="application/vnd.openxmlformats-officedocument.wordprocessingml.header+xml"/>
  <Override PartName="/word/header135.xml" ContentType="application/vnd.openxmlformats-officedocument.wordprocessingml.header+xml"/>
  <Override PartName="/word/footer132.xml" ContentType="application/vnd.openxmlformats-officedocument.wordprocessingml.footer+xml"/>
  <Override PartName="/word/header136.xml" ContentType="application/vnd.openxmlformats-officedocument.wordprocessingml.header+xml"/>
  <Override PartName="/word/footer133.xml" ContentType="application/vnd.openxmlformats-officedocument.wordprocessingml.footer+xml"/>
  <Override PartName="/word/footer134.xml" ContentType="application/vnd.openxmlformats-officedocument.wordprocessingml.footer+xml"/>
  <Override PartName="/word/header137.xml" ContentType="application/vnd.openxmlformats-officedocument.wordprocessingml.header+xml"/>
  <Override PartName="/word/header138.xml" ContentType="application/vnd.openxmlformats-officedocument.wordprocessingml.header+xml"/>
  <Override PartName="/word/footer135.xml" ContentType="application/vnd.openxmlformats-officedocument.wordprocessingml.footer+xml"/>
  <Override PartName="/word/footer136.xml" ContentType="application/vnd.openxmlformats-officedocument.wordprocessingml.footer+xml"/>
  <Override PartName="/word/header139.xml" ContentType="application/vnd.openxmlformats-officedocument.wordprocessingml.header+xml"/>
  <Override PartName="/word/header140.xml" ContentType="application/vnd.openxmlformats-officedocument.wordprocessingml.header+xml"/>
  <Override PartName="/word/footer137.xml" ContentType="application/vnd.openxmlformats-officedocument.wordprocessingml.footer+xml"/>
  <Override PartName="/word/footer138.xml" ContentType="application/vnd.openxmlformats-officedocument.wordprocessingml.footer+xml"/>
  <Override PartName="/word/header141.xml" ContentType="application/vnd.openxmlformats-officedocument.wordprocessingml.header+xml"/>
  <Override PartName="/word/header142.xml" ContentType="application/vnd.openxmlformats-officedocument.wordprocessingml.header+xml"/>
  <Override PartName="/word/footer139.xml" ContentType="application/vnd.openxmlformats-officedocument.wordprocessingml.footer+xml"/>
  <Override PartName="/word/footer140.xml" ContentType="application/vnd.openxmlformats-officedocument.wordprocessingml.footer+xml"/>
  <Override PartName="/word/header143.xml" ContentType="application/vnd.openxmlformats-officedocument.wordprocessingml.header+xml"/>
  <Override PartName="/word/header144.xml" ContentType="application/vnd.openxmlformats-officedocument.wordprocessingml.header+xml"/>
  <Override PartName="/word/footer141.xml" ContentType="application/vnd.openxmlformats-officedocument.wordprocessingml.footer+xml"/>
  <Override PartName="/word/footer142.xml" ContentType="application/vnd.openxmlformats-officedocument.wordprocessingml.footer+xml"/>
  <Override PartName="/word/header145.xml" ContentType="application/vnd.openxmlformats-officedocument.wordprocessingml.header+xml"/>
  <Override PartName="/word/header146.xml" ContentType="application/vnd.openxmlformats-officedocument.wordprocessingml.header+xml"/>
  <Override PartName="/word/footer143.xml" ContentType="application/vnd.openxmlformats-officedocument.wordprocessingml.footer+xml"/>
  <Override PartName="/word/footer144.xml" ContentType="application/vnd.openxmlformats-officedocument.wordprocessingml.footer+xml"/>
  <Override PartName="/word/header147.xml" ContentType="application/vnd.openxmlformats-officedocument.wordprocessingml.header+xml"/>
  <Override PartName="/word/header148.xml" ContentType="application/vnd.openxmlformats-officedocument.wordprocessingml.header+xml"/>
  <Override PartName="/word/footer145.xml" ContentType="application/vnd.openxmlformats-officedocument.wordprocessingml.footer+xml"/>
  <Override PartName="/word/footer146.xml" ContentType="application/vnd.openxmlformats-officedocument.wordprocessingml.footer+xml"/>
  <Override PartName="/word/header149.xml" ContentType="application/vnd.openxmlformats-officedocument.wordprocessingml.header+xml"/>
  <Override PartName="/word/header150.xml" ContentType="application/vnd.openxmlformats-officedocument.wordprocessingml.header+xml"/>
  <Override PartName="/word/footer147.xml" ContentType="application/vnd.openxmlformats-officedocument.wordprocessingml.footer+xml"/>
  <Override PartName="/word/header151.xml" ContentType="application/vnd.openxmlformats-officedocument.wordprocessingml.header+xml"/>
  <Override PartName="/word/footer148.xml" ContentType="application/vnd.openxmlformats-officedocument.wordprocessingml.footer+xml"/>
  <Override PartName="/word/header152.xml" ContentType="application/vnd.openxmlformats-officedocument.wordprocessingml.header+xml"/>
  <Override PartName="/word/footer149.xml" ContentType="application/vnd.openxmlformats-officedocument.wordprocessingml.footer+xml"/>
  <Override PartName="/word/footer150.xml" ContentType="application/vnd.openxmlformats-officedocument.wordprocessingml.footer+xml"/>
  <Override PartName="/word/header153.xml" ContentType="application/vnd.openxmlformats-officedocument.wordprocessingml.header+xml"/>
  <Override PartName="/word/header154.xml" ContentType="application/vnd.openxmlformats-officedocument.wordprocessingml.header+xml"/>
  <Override PartName="/word/footer151.xml" ContentType="application/vnd.openxmlformats-officedocument.wordprocessingml.footer+xml"/>
  <Override PartName="/word/footer152.xml" ContentType="application/vnd.openxmlformats-officedocument.wordprocessingml.footer+xml"/>
  <Override PartName="/word/header155.xml" ContentType="application/vnd.openxmlformats-officedocument.wordprocessingml.header+xml"/>
  <Override PartName="/word/header156.xml" ContentType="application/vnd.openxmlformats-officedocument.wordprocessingml.header+xml"/>
  <Override PartName="/word/footer153.xml" ContentType="application/vnd.openxmlformats-officedocument.wordprocessingml.footer+xml"/>
  <Override PartName="/word/footer154.xml" ContentType="application/vnd.openxmlformats-officedocument.wordprocessingml.footer+xml"/>
  <Override PartName="/word/header157.xml" ContentType="application/vnd.openxmlformats-officedocument.wordprocessingml.header+xml"/>
  <Override PartName="/word/header158.xml" ContentType="application/vnd.openxmlformats-officedocument.wordprocessingml.header+xml"/>
  <Override PartName="/word/footer155.xml" ContentType="application/vnd.openxmlformats-officedocument.wordprocessingml.footer+xml"/>
  <Override PartName="/word/footer156.xml" ContentType="application/vnd.openxmlformats-officedocument.wordprocessingml.footer+xml"/>
  <Override PartName="/word/header159.xml" ContentType="application/vnd.openxmlformats-officedocument.wordprocessingml.header+xml"/>
  <Override PartName="/word/header160.xml" ContentType="application/vnd.openxmlformats-officedocument.wordprocessingml.header+xml"/>
  <Override PartName="/word/footer157.xml" ContentType="application/vnd.openxmlformats-officedocument.wordprocessingml.footer+xml"/>
  <Override PartName="/word/footer158.xml" ContentType="application/vnd.openxmlformats-officedocument.wordprocessingml.footer+xml"/>
  <Override PartName="/word/header161.xml" ContentType="application/vnd.openxmlformats-officedocument.wordprocessingml.header+xml"/>
  <Override PartName="/word/header162.xml" ContentType="application/vnd.openxmlformats-officedocument.wordprocessingml.header+xml"/>
  <Override PartName="/word/footer159.xml" ContentType="application/vnd.openxmlformats-officedocument.wordprocessingml.footer+xml"/>
  <Override PartName="/word/footer160.xml" ContentType="application/vnd.openxmlformats-officedocument.wordprocessingml.footer+xml"/>
  <Override PartName="/word/header163.xml" ContentType="application/vnd.openxmlformats-officedocument.wordprocessingml.header+xml"/>
  <Override PartName="/word/header164.xml" ContentType="application/vnd.openxmlformats-officedocument.wordprocessingml.header+xml"/>
  <Override PartName="/word/footer161.xml" ContentType="application/vnd.openxmlformats-officedocument.wordprocessingml.footer+xml"/>
  <Override PartName="/word/footer162.xml" ContentType="application/vnd.openxmlformats-officedocument.wordprocessingml.footer+xml"/>
  <Override PartName="/word/header165.xml" ContentType="application/vnd.openxmlformats-officedocument.wordprocessingml.header+xml"/>
  <Override PartName="/word/header166.xml" ContentType="application/vnd.openxmlformats-officedocument.wordprocessingml.header+xml"/>
  <Override PartName="/word/footer163.xml" ContentType="application/vnd.openxmlformats-officedocument.wordprocessingml.footer+xml"/>
  <Override PartName="/word/footer164.xml" ContentType="application/vnd.openxmlformats-officedocument.wordprocessingml.footer+xml"/>
  <Override PartName="/word/header167.xml" ContentType="application/vnd.openxmlformats-officedocument.wordprocessingml.header+xml"/>
  <Override PartName="/word/header168.xml" ContentType="application/vnd.openxmlformats-officedocument.wordprocessingml.header+xml"/>
  <Override PartName="/word/footer165.xml" ContentType="application/vnd.openxmlformats-officedocument.wordprocessingml.footer+xml"/>
  <Override PartName="/word/footer166.xml" ContentType="application/vnd.openxmlformats-officedocument.wordprocessingml.footer+xml"/>
  <Override PartName="/word/header169.xml" ContentType="application/vnd.openxmlformats-officedocument.wordprocessingml.header+xml"/>
  <Override PartName="/word/header170.xml" ContentType="application/vnd.openxmlformats-officedocument.wordprocessingml.header+xml"/>
  <Override PartName="/word/footer167.xml" ContentType="application/vnd.openxmlformats-officedocument.wordprocessingml.footer+xml"/>
  <Override PartName="/word/footer168.xml" ContentType="application/vnd.openxmlformats-officedocument.wordprocessingml.footer+xml"/>
  <Override PartName="/word/header171.xml" ContentType="application/vnd.openxmlformats-officedocument.wordprocessingml.header+xml"/>
  <Override PartName="/word/header172.xml" ContentType="application/vnd.openxmlformats-officedocument.wordprocessingml.header+xml"/>
  <Override PartName="/word/footer169.xml" ContentType="application/vnd.openxmlformats-officedocument.wordprocessingml.footer+xml"/>
  <Override PartName="/word/footer170.xml" ContentType="application/vnd.openxmlformats-officedocument.wordprocessingml.footer+xml"/>
  <Override PartName="/word/header173.xml" ContentType="application/vnd.openxmlformats-officedocument.wordprocessingml.header+xml"/>
  <Override PartName="/word/header174.xml" ContentType="application/vnd.openxmlformats-officedocument.wordprocessingml.header+xml"/>
  <Override PartName="/word/footer171.xml" ContentType="application/vnd.openxmlformats-officedocument.wordprocessingml.footer+xml"/>
  <Override PartName="/word/footer172.xml" ContentType="application/vnd.openxmlformats-officedocument.wordprocessingml.footer+xml"/>
  <Override PartName="/word/header175.xml" ContentType="application/vnd.openxmlformats-officedocument.wordprocessingml.header+xml"/>
  <Override PartName="/word/header176.xml" ContentType="application/vnd.openxmlformats-officedocument.wordprocessingml.header+xml"/>
  <Override PartName="/word/footer173.xml" ContentType="application/vnd.openxmlformats-officedocument.wordprocessingml.footer+xml"/>
  <Override PartName="/word/footer174.xml" ContentType="application/vnd.openxmlformats-officedocument.wordprocessingml.footer+xml"/>
  <Override PartName="/word/header177.xml" ContentType="application/vnd.openxmlformats-officedocument.wordprocessingml.header+xml"/>
  <Override PartName="/word/header178.xml" ContentType="application/vnd.openxmlformats-officedocument.wordprocessingml.header+xml"/>
  <Override PartName="/word/footer175.xml" ContentType="application/vnd.openxmlformats-officedocument.wordprocessingml.footer+xml"/>
  <Override PartName="/word/footer176.xml" ContentType="application/vnd.openxmlformats-officedocument.wordprocessingml.footer+xml"/>
  <Override PartName="/word/header179.xml" ContentType="application/vnd.openxmlformats-officedocument.wordprocessingml.header+xml"/>
  <Override PartName="/word/header180.xml" ContentType="application/vnd.openxmlformats-officedocument.wordprocessingml.header+xml"/>
  <Override PartName="/word/footer177.xml" ContentType="application/vnd.openxmlformats-officedocument.wordprocessingml.footer+xml"/>
  <Override PartName="/word/footer178.xml" ContentType="application/vnd.openxmlformats-officedocument.wordprocessingml.footer+xml"/>
  <Override PartName="/word/header181.xml" ContentType="application/vnd.openxmlformats-officedocument.wordprocessingml.header+xml"/>
  <Override PartName="/word/header182.xml" ContentType="application/vnd.openxmlformats-officedocument.wordprocessingml.header+xml"/>
  <Override PartName="/word/footer179.xml" ContentType="application/vnd.openxmlformats-officedocument.wordprocessingml.footer+xml"/>
  <Override PartName="/word/footer180.xml" ContentType="application/vnd.openxmlformats-officedocument.wordprocessingml.footer+xml"/>
  <Override PartName="/word/header183.xml" ContentType="application/vnd.openxmlformats-officedocument.wordprocessingml.header+xml"/>
  <Override PartName="/word/header184.xml" ContentType="application/vnd.openxmlformats-officedocument.wordprocessingml.header+xml"/>
  <Override PartName="/word/footer181.xml" ContentType="application/vnd.openxmlformats-officedocument.wordprocessingml.footer+xml"/>
  <Override PartName="/word/footer182.xml" ContentType="application/vnd.openxmlformats-officedocument.wordprocessingml.footer+xml"/>
  <Override PartName="/word/header185.xml" ContentType="application/vnd.openxmlformats-officedocument.wordprocessingml.header+xml"/>
  <Override PartName="/word/header186.xml" ContentType="application/vnd.openxmlformats-officedocument.wordprocessingml.header+xml"/>
  <Override PartName="/word/footer183.xml" ContentType="application/vnd.openxmlformats-officedocument.wordprocessingml.footer+xml"/>
  <Override PartName="/word/footer184.xml" ContentType="application/vnd.openxmlformats-officedocument.wordprocessingml.footer+xml"/>
  <Override PartName="/word/header187.xml" ContentType="application/vnd.openxmlformats-officedocument.wordprocessingml.header+xml"/>
  <Override PartName="/word/header188.xml" ContentType="application/vnd.openxmlformats-officedocument.wordprocessingml.header+xml"/>
  <Override PartName="/word/footer185.xml" ContentType="application/vnd.openxmlformats-officedocument.wordprocessingml.footer+xml"/>
  <Override PartName="/word/footer186.xml" ContentType="application/vnd.openxmlformats-officedocument.wordprocessingml.footer+xml"/>
  <Override PartName="/word/header189.xml" ContentType="application/vnd.openxmlformats-officedocument.wordprocessingml.header+xml"/>
  <Override PartName="/word/header190.xml" ContentType="application/vnd.openxmlformats-officedocument.wordprocessingml.header+xml"/>
  <Override PartName="/word/footer187.xml" ContentType="application/vnd.openxmlformats-officedocument.wordprocessingml.footer+xml"/>
  <Override PartName="/word/footer188.xml" ContentType="application/vnd.openxmlformats-officedocument.wordprocessingml.footer+xml"/>
  <Override PartName="/word/header191.xml" ContentType="application/vnd.openxmlformats-officedocument.wordprocessingml.header+xml"/>
  <Override PartName="/word/header192.xml" ContentType="application/vnd.openxmlformats-officedocument.wordprocessingml.header+xml"/>
  <Override PartName="/word/footer189.xml" ContentType="application/vnd.openxmlformats-officedocument.wordprocessingml.footer+xml"/>
  <Override PartName="/word/footer190.xml" ContentType="application/vnd.openxmlformats-officedocument.wordprocessingml.footer+xml"/>
  <Override PartName="/word/header193.xml" ContentType="application/vnd.openxmlformats-officedocument.wordprocessingml.header+xml"/>
  <Override PartName="/word/header194.xml" ContentType="application/vnd.openxmlformats-officedocument.wordprocessingml.header+xml"/>
  <Override PartName="/word/footer191.xml" ContentType="application/vnd.openxmlformats-officedocument.wordprocessingml.footer+xml"/>
  <Override PartName="/word/footer192.xml" ContentType="application/vnd.openxmlformats-officedocument.wordprocessingml.footer+xml"/>
  <Override PartName="/word/header195.xml" ContentType="application/vnd.openxmlformats-officedocument.wordprocessingml.header+xml"/>
  <Override PartName="/word/header196.xml" ContentType="application/vnd.openxmlformats-officedocument.wordprocessingml.header+xml"/>
  <Override PartName="/word/footer193.xml" ContentType="application/vnd.openxmlformats-officedocument.wordprocessingml.footer+xml"/>
  <Override PartName="/word/footer194.xml" ContentType="application/vnd.openxmlformats-officedocument.wordprocessingml.footer+xml"/>
  <Override PartName="/word/header197.xml" ContentType="application/vnd.openxmlformats-officedocument.wordprocessingml.header+xml"/>
  <Override PartName="/word/header198.xml" ContentType="application/vnd.openxmlformats-officedocument.wordprocessingml.header+xml"/>
  <Override PartName="/word/footer195.xml" ContentType="application/vnd.openxmlformats-officedocument.wordprocessingml.footer+xml"/>
  <Override PartName="/word/footer196.xml" ContentType="application/vnd.openxmlformats-officedocument.wordprocessingml.footer+xml"/>
  <Override PartName="/word/header199.xml" ContentType="application/vnd.openxmlformats-officedocument.wordprocessingml.header+xml"/>
  <Override PartName="/word/header200.xml" ContentType="application/vnd.openxmlformats-officedocument.wordprocessingml.header+xml"/>
  <Override PartName="/word/footer197.xml" ContentType="application/vnd.openxmlformats-officedocument.wordprocessingml.footer+xml"/>
  <Override PartName="/word/footer198.xml" ContentType="application/vnd.openxmlformats-officedocument.wordprocessingml.footer+xml"/>
  <Override PartName="/word/header201.xml" ContentType="application/vnd.openxmlformats-officedocument.wordprocessingml.header+xml"/>
  <Override PartName="/word/header202.xml" ContentType="application/vnd.openxmlformats-officedocument.wordprocessingml.header+xml"/>
  <Override PartName="/word/footer199.xml" ContentType="application/vnd.openxmlformats-officedocument.wordprocessingml.footer+xml"/>
  <Override PartName="/word/footer200.xml" ContentType="application/vnd.openxmlformats-officedocument.wordprocessingml.footer+xml"/>
  <Override PartName="/word/header203.xml" ContentType="application/vnd.openxmlformats-officedocument.wordprocessingml.header+xml"/>
  <Override PartName="/word/header204.xml" ContentType="application/vnd.openxmlformats-officedocument.wordprocessingml.header+xml"/>
  <Override PartName="/word/footer201.xml" ContentType="application/vnd.openxmlformats-officedocument.wordprocessingml.footer+xml"/>
  <Override PartName="/word/footer202.xml" ContentType="application/vnd.openxmlformats-officedocument.wordprocessingml.footer+xml"/>
  <Override PartName="/word/header205.xml" ContentType="application/vnd.openxmlformats-officedocument.wordprocessingml.header+xml"/>
  <Override PartName="/word/header206.xml" ContentType="application/vnd.openxmlformats-officedocument.wordprocessingml.header+xml"/>
  <Override PartName="/word/footer203.xml" ContentType="application/vnd.openxmlformats-officedocument.wordprocessingml.footer+xml"/>
  <Override PartName="/word/footer204.xml" ContentType="application/vnd.openxmlformats-officedocument.wordprocessingml.footer+xml"/>
  <Override PartName="/word/header207.xml" ContentType="application/vnd.openxmlformats-officedocument.wordprocessingml.header+xml"/>
  <Override PartName="/word/header208.xml" ContentType="application/vnd.openxmlformats-officedocument.wordprocessingml.header+xml"/>
  <Override PartName="/word/footer205.xml" ContentType="application/vnd.openxmlformats-officedocument.wordprocessingml.footer+xml"/>
  <Override PartName="/word/footer206.xml" ContentType="application/vnd.openxmlformats-officedocument.wordprocessingml.footer+xml"/>
  <Override PartName="/word/header209.xml" ContentType="application/vnd.openxmlformats-officedocument.wordprocessingml.header+xml"/>
  <Override PartName="/word/header210.xml" ContentType="application/vnd.openxmlformats-officedocument.wordprocessingml.header+xml"/>
  <Override PartName="/word/footer207.xml" ContentType="application/vnd.openxmlformats-officedocument.wordprocessingml.footer+xml"/>
  <Override PartName="/word/footer208.xml" ContentType="application/vnd.openxmlformats-officedocument.wordprocessingml.footer+xml"/>
  <Override PartName="/word/header211.xml" ContentType="application/vnd.openxmlformats-officedocument.wordprocessingml.header+xml"/>
  <Override PartName="/word/header212.xml" ContentType="application/vnd.openxmlformats-officedocument.wordprocessingml.header+xml"/>
  <Override PartName="/word/footer209.xml" ContentType="application/vnd.openxmlformats-officedocument.wordprocessingml.footer+xml"/>
  <Override PartName="/word/header213.xml" ContentType="application/vnd.openxmlformats-officedocument.wordprocessingml.header+xml"/>
  <Override PartName="/word/footer210.xml" ContentType="application/vnd.openxmlformats-officedocument.wordprocessingml.footer+xml"/>
  <Override PartName="/word/header214.xml" ContentType="application/vnd.openxmlformats-officedocument.wordprocessingml.header+xml"/>
  <Override PartName="/word/footer211.xml" ContentType="application/vnd.openxmlformats-officedocument.wordprocessingml.footer+xml"/>
  <Override PartName="/word/footer212.xml" ContentType="application/vnd.openxmlformats-officedocument.wordprocessingml.footer+xml"/>
  <Override PartName="/word/header215.xml" ContentType="application/vnd.openxmlformats-officedocument.wordprocessingml.header+xml"/>
  <Override PartName="/word/header216.xml" ContentType="application/vnd.openxmlformats-officedocument.wordprocessingml.header+xml"/>
  <Override PartName="/word/footer213.xml" ContentType="application/vnd.openxmlformats-officedocument.wordprocessingml.footer+xml"/>
  <Override PartName="/word/footer214.xml" ContentType="application/vnd.openxmlformats-officedocument.wordprocessingml.footer+xml"/>
  <Override PartName="/word/header217.xml" ContentType="application/vnd.openxmlformats-officedocument.wordprocessingml.header+xml"/>
  <Override PartName="/word/header218.xml" ContentType="application/vnd.openxmlformats-officedocument.wordprocessingml.header+xml"/>
  <Override PartName="/word/footer215.xml" ContentType="application/vnd.openxmlformats-officedocument.wordprocessingml.footer+xml"/>
  <Override PartName="/word/footer216.xml" ContentType="application/vnd.openxmlformats-officedocument.wordprocessingml.footer+xml"/>
  <Override PartName="/word/header219.xml" ContentType="application/vnd.openxmlformats-officedocument.wordprocessingml.header+xml"/>
  <Override PartName="/word/header220.xml" ContentType="application/vnd.openxmlformats-officedocument.wordprocessingml.header+xml"/>
  <Override PartName="/word/footer217.xml" ContentType="application/vnd.openxmlformats-officedocument.wordprocessingml.footer+xml"/>
  <Override PartName="/word/footer218.xml" ContentType="application/vnd.openxmlformats-officedocument.wordprocessingml.footer+xml"/>
  <Override PartName="/word/header221.xml" ContentType="application/vnd.openxmlformats-officedocument.wordprocessingml.header+xml"/>
  <Override PartName="/word/header222.xml" ContentType="application/vnd.openxmlformats-officedocument.wordprocessingml.header+xml"/>
  <Override PartName="/word/footer219.xml" ContentType="application/vnd.openxmlformats-officedocument.wordprocessingml.footer+xml"/>
  <Override PartName="/word/header223.xml" ContentType="application/vnd.openxmlformats-officedocument.wordprocessingml.header+xml"/>
  <Override PartName="/word/footer220.xml" ContentType="application/vnd.openxmlformats-officedocument.wordprocessingml.footer+xml"/>
  <Override PartName="/word/header224.xml" ContentType="application/vnd.openxmlformats-officedocument.wordprocessingml.header+xml"/>
  <Override PartName="/word/footer221.xml" ContentType="application/vnd.openxmlformats-officedocument.wordprocessingml.footer+xml"/>
  <Override PartName="/word/header225.xml" ContentType="application/vnd.openxmlformats-officedocument.wordprocessingml.header+xml"/>
  <Override PartName="/word/footer222.xml" ContentType="application/vnd.openxmlformats-officedocument.wordprocessingml.footer+xml"/>
  <Override PartName="/word/header226.xml" ContentType="application/vnd.openxmlformats-officedocument.wordprocessingml.header+xml"/>
  <Override PartName="/word/footer223.xml" ContentType="application/vnd.openxmlformats-officedocument.wordprocessingml.footer+xml"/>
  <Override PartName="/word/header227.xml" ContentType="application/vnd.openxmlformats-officedocument.wordprocessingml.header+xml"/>
  <Override PartName="/word/footer224.xml" ContentType="application/vnd.openxmlformats-officedocument.wordprocessingml.footer+xml"/>
  <Override PartName="/word/header228.xml" ContentType="application/vnd.openxmlformats-officedocument.wordprocessingml.header+xml"/>
  <Override PartName="/word/footer225.xml" ContentType="application/vnd.openxmlformats-officedocument.wordprocessingml.footer+xml"/>
  <Override PartName="/word/footer226.xml" ContentType="application/vnd.openxmlformats-officedocument.wordprocessingml.footer+xml"/>
  <Override PartName="/word/header229.xml" ContentType="application/vnd.openxmlformats-officedocument.wordprocessingml.header+xml"/>
  <Override PartName="/word/header230.xml" ContentType="application/vnd.openxmlformats-officedocument.wordprocessingml.header+xml"/>
  <Override PartName="/word/footer227.xml" ContentType="application/vnd.openxmlformats-officedocument.wordprocessingml.footer+xml"/>
  <Override PartName="/word/footer228.xml" ContentType="application/vnd.openxmlformats-officedocument.wordprocessingml.footer+xml"/>
  <Override PartName="/word/header231.xml" ContentType="application/vnd.openxmlformats-officedocument.wordprocessingml.header+xml"/>
  <Override PartName="/word/header232.xml" ContentType="application/vnd.openxmlformats-officedocument.wordprocessingml.header+xml"/>
  <Override PartName="/word/footer229.xml" ContentType="application/vnd.openxmlformats-officedocument.wordprocessingml.footer+xml"/>
  <Override PartName="/word/footer230.xml" ContentType="application/vnd.openxmlformats-officedocument.wordprocessingml.footer+xml"/>
  <Override PartName="/word/header233.xml" ContentType="application/vnd.openxmlformats-officedocument.wordprocessingml.header+xml"/>
  <Override PartName="/word/header234.xml" ContentType="application/vnd.openxmlformats-officedocument.wordprocessingml.header+xml"/>
  <Override PartName="/word/footer231.xml" ContentType="application/vnd.openxmlformats-officedocument.wordprocessingml.footer+xml"/>
  <Override PartName="/word/footer232.xml" ContentType="application/vnd.openxmlformats-officedocument.wordprocessingml.footer+xml"/>
  <Override PartName="/word/header235.xml" ContentType="application/vnd.openxmlformats-officedocument.wordprocessingml.header+xml"/>
  <Override PartName="/word/header236.xml" ContentType="application/vnd.openxmlformats-officedocument.wordprocessingml.header+xml"/>
  <Override PartName="/word/footer233.xml" ContentType="application/vnd.openxmlformats-officedocument.wordprocessingml.footer+xml"/>
  <Override PartName="/word/footer234.xml" ContentType="application/vnd.openxmlformats-officedocument.wordprocessingml.footer+xml"/>
  <Override PartName="/word/header237.xml" ContentType="application/vnd.openxmlformats-officedocument.wordprocessingml.header+xml"/>
  <Override PartName="/word/header238.xml" ContentType="application/vnd.openxmlformats-officedocument.wordprocessingml.header+xml"/>
  <Override PartName="/word/footer235.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tbl>
      <w:tblPr>
        <w:tblW w:w="0" w:type="auto"/>
        <w:jc w:val="left"/>
        <w:tblInd w:w="15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87"/>
        <w:gridCol w:w="4852"/>
        <w:gridCol w:w="1095"/>
      </w:tblGrid>
      <w:tr>
        <w:trPr>
          <w:trHeight w:val="226" w:hRule="atLeast"/>
        </w:trPr>
        <w:tc>
          <w:tcPr>
            <w:tcW w:w="1587" w:type="dxa"/>
            <w:tcBorders>
              <w:right w:val="single" w:sz="48" w:space="0" w:color="FFFFFF"/>
            </w:tcBorders>
          </w:tcPr>
          <w:p>
            <w:pPr>
              <w:pStyle w:val="TableParagraph"/>
              <w:ind w:left="0"/>
              <w:rPr>
                <w:rFonts w:ascii="Times New Roman"/>
                <w:sz w:val="16"/>
              </w:rPr>
            </w:pPr>
          </w:p>
        </w:tc>
        <w:tc>
          <w:tcPr>
            <w:tcW w:w="5947" w:type="dxa"/>
            <w:gridSpan w:val="2"/>
            <w:tcBorders>
              <w:left w:val="single" w:sz="48" w:space="0" w:color="FFFFFF"/>
            </w:tcBorders>
          </w:tcPr>
          <w:p>
            <w:pPr>
              <w:pStyle w:val="TableParagraph"/>
              <w:ind w:left="0"/>
              <w:rPr>
                <w:rFonts w:ascii="Times New Roman"/>
                <w:sz w:val="16"/>
              </w:rPr>
            </w:pPr>
          </w:p>
        </w:tc>
      </w:tr>
      <w:tr>
        <w:trPr>
          <w:trHeight w:val="314" w:hRule="atLeast"/>
        </w:trPr>
        <w:tc>
          <w:tcPr>
            <w:tcW w:w="1587" w:type="dxa"/>
            <w:tcBorders>
              <w:right w:val="single" w:sz="48" w:space="0" w:color="FFFFFF"/>
            </w:tcBorders>
            <w:shd w:val="clear" w:color="auto" w:fill="FFF3D7"/>
          </w:tcPr>
          <w:p>
            <w:pPr>
              <w:pStyle w:val="TableParagraph"/>
              <w:spacing w:before="17"/>
              <w:ind w:left="59"/>
              <w:rPr>
                <w:rFonts w:ascii="Stone Sans II ITC Std X Bd"/>
                <w:b/>
                <w:sz w:val="20"/>
              </w:rPr>
            </w:pPr>
            <w:r>
              <w:rPr>
                <w:rFonts w:ascii="Stone Sans II ITC Std X Bd"/>
                <w:b/>
                <w:w w:val="110"/>
                <w:sz w:val="20"/>
              </w:rPr>
              <w:t>PART ONE</w:t>
            </w:r>
          </w:p>
        </w:tc>
        <w:tc>
          <w:tcPr>
            <w:tcW w:w="4852" w:type="dxa"/>
            <w:vMerge w:val="restart"/>
            <w:tcBorders>
              <w:left w:val="single" w:sz="48" w:space="0" w:color="FFFFFF"/>
            </w:tcBorders>
            <w:shd w:val="clear" w:color="auto" w:fill="FFF3D7"/>
          </w:tcPr>
          <w:p>
            <w:pPr>
              <w:pStyle w:val="TableParagraph"/>
              <w:spacing w:line="249" w:lineRule="auto" w:before="91"/>
              <w:ind w:left="96" w:right="2966"/>
              <w:rPr>
                <w:rFonts w:ascii="Stone Sans II ITC Std X Bd"/>
                <w:b/>
                <w:sz w:val="20"/>
              </w:rPr>
            </w:pPr>
            <w:hyperlink w:history="true" w:anchor="_bookmark0">
              <w:r>
                <w:rPr>
                  <w:rFonts w:ascii="Stone Sans II ITC Std X Bd"/>
                  <w:b/>
                  <w:w w:val="110"/>
                  <w:sz w:val="20"/>
                </w:rPr>
                <w:t>Introduction</w:t>
              </w:r>
            </w:hyperlink>
            <w:r>
              <w:rPr>
                <w:rFonts w:ascii="Stone Sans II ITC Std X Bd"/>
                <w:b/>
                <w:w w:val="110"/>
                <w:sz w:val="20"/>
              </w:rPr>
              <w:t> </w:t>
            </w:r>
            <w:hyperlink w:history="true" w:anchor="_bookmark1">
              <w:r>
                <w:rPr>
                  <w:rFonts w:ascii="Stone Sans II ITC Std X Bd"/>
                  <w:b/>
                  <w:w w:val="110"/>
                  <w:sz w:val="20"/>
                </w:rPr>
                <w:t>Mission Council</w:t>
              </w:r>
            </w:hyperlink>
          </w:p>
          <w:p>
            <w:pPr>
              <w:pStyle w:val="TableParagraph"/>
              <w:spacing w:line="249" w:lineRule="auto"/>
              <w:ind w:left="435" w:right="1376"/>
              <w:rPr>
                <w:rFonts w:ascii="Stone Sans II ITC Std Sm"/>
                <w:b/>
                <w:sz w:val="20"/>
              </w:rPr>
            </w:pPr>
            <w:hyperlink w:history="true" w:anchor="_bookmark1">
              <w:r>
                <w:rPr>
                  <w:rFonts w:ascii="Stone Sans II ITC Std Sm"/>
                  <w:b/>
                  <w:w w:val="110"/>
                  <w:sz w:val="20"/>
                </w:rPr>
                <w:t>General report 2012-14</w:t>
              </w:r>
            </w:hyperlink>
            <w:r>
              <w:rPr>
                <w:rFonts w:ascii="Stone Sans II ITC Std Sm"/>
                <w:b/>
                <w:w w:val="110"/>
                <w:sz w:val="20"/>
              </w:rPr>
              <w:t> </w:t>
            </w:r>
            <w:hyperlink w:history="true" w:anchor="_bookmark2">
              <w:r>
                <w:rPr>
                  <w:rFonts w:ascii="Stone Sans II ITC Std Sm"/>
                  <w:b/>
                  <w:w w:val="110"/>
                  <w:sz w:val="20"/>
                </w:rPr>
                <w:t>Mission Council membership</w:t>
              </w:r>
            </w:hyperlink>
            <w:r>
              <w:rPr>
                <w:rFonts w:ascii="Stone Sans II ITC Std Sm"/>
                <w:b/>
                <w:w w:val="110"/>
                <w:sz w:val="20"/>
              </w:rPr>
              <w:t> </w:t>
            </w:r>
            <w:hyperlink w:history="true" w:anchor="_bookmark3">
              <w:r>
                <w:rPr>
                  <w:rFonts w:ascii="Stone Sans II ITC Std Sm"/>
                  <w:b/>
                  <w:w w:val="110"/>
                  <w:sz w:val="20"/>
                </w:rPr>
                <w:t>Assembly-appointed posts</w:t>
              </w:r>
            </w:hyperlink>
            <w:r>
              <w:rPr>
                <w:rFonts w:ascii="Stone Sans II ITC Std Sm"/>
                <w:b/>
                <w:w w:val="110"/>
                <w:sz w:val="20"/>
              </w:rPr>
              <w:t> </w:t>
            </w:r>
            <w:hyperlink w:history="true" w:anchor="_bookmark4">
              <w:r>
                <w:rPr>
                  <w:rFonts w:ascii="Stone Sans II ITC Std Sm"/>
                  <w:b/>
                  <w:w w:val="110"/>
                  <w:sz w:val="20"/>
                </w:rPr>
                <w:t>Role of the synod moderator</w:t>
              </w:r>
            </w:hyperlink>
            <w:r>
              <w:rPr>
                <w:rFonts w:ascii="Stone Sans II ITC Std Sm"/>
                <w:b/>
                <w:w w:val="110"/>
                <w:sz w:val="20"/>
              </w:rPr>
              <w:t> </w:t>
            </w:r>
            <w:hyperlink w:history="true" w:anchor="_bookmark5">
              <w:r>
                <w:rPr>
                  <w:rFonts w:ascii="Stone Sans II ITC Std Sm"/>
                  <w:b/>
                  <w:w w:val="110"/>
                  <w:sz w:val="20"/>
                </w:rPr>
                <w:t>Powers in pre-union trusts</w:t>
              </w:r>
            </w:hyperlink>
            <w:r>
              <w:rPr>
                <w:rFonts w:ascii="Stone Sans II ITC Std Sm"/>
                <w:b/>
                <w:w w:val="110"/>
                <w:sz w:val="20"/>
              </w:rPr>
              <w:t> </w:t>
            </w:r>
            <w:hyperlink w:history="true" w:anchor="_bookmark6">
              <w:r>
                <w:rPr>
                  <w:rFonts w:ascii="Stone Sans II ITC Std Sm"/>
                  <w:b/>
                  <w:w w:val="110"/>
                  <w:sz w:val="20"/>
                </w:rPr>
                <w:t>Changes to the Structure</w:t>
              </w:r>
            </w:hyperlink>
          </w:p>
          <w:p>
            <w:pPr>
              <w:pStyle w:val="TableParagraph"/>
              <w:spacing w:line="249" w:lineRule="auto"/>
              <w:ind w:left="435" w:right="766"/>
              <w:rPr>
                <w:rFonts w:ascii="Stone Sans II ITC Std Sm"/>
                <w:b/>
                <w:sz w:val="20"/>
              </w:rPr>
            </w:pPr>
            <w:hyperlink w:history="true" w:anchor="_bookmark7">
              <w:r>
                <w:rPr>
                  <w:rFonts w:ascii="Stone Sans II ITC Std Sm"/>
                  <w:b/>
                  <w:w w:val="110"/>
                  <w:sz w:val="20"/>
                </w:rPr>
                <w:t>Membership of governance bodies</w:t>
              </w:r>
            </w:hyperlink>
            <w:r>
              <w:rPr>
                <w:rFonts w:ascii="Stone Sans II ITC Std Sm"/>
                <w:b/>
                <w:w w:val="110"/>
                <w:sz w:val="20"/>
              </w:rPr>
              <w:t> </w:t>
            </w:r>
            <w:hyperlink w:history="true" w:anchor="_bookmark8">
              <w:r>
                <w:rPr>
                  <w:rFonts w:ascii="Stone Sans II ITC Std Sm"/>
                  <w:b/>
                  <w:w w:val="110"/>
                  <w:sz w:val="20"/>
                </w:rPr>
                <w:t>Changes to the standing orders</w:t>
              </w:r>
            </w:hyperlink>
          </w:p>
          <w:p>
            <w:pPr>
              <w:pStyle w:val="TableParagraph"/>
              <w:spacing w:line="268" w:lineRule="exact"/>
              <w:ind w:left="96"/>
              <w:rPr>
                <w:rFonts w:ascii="Stone Sans II ITC Std Sm" w:hAnsi="Stone Sans II ITC Std Sm"/>
                <w:b/>
                <w:sz w:val="20"/>
              </w:rPr>
            </w:pPr>
            <w:hyperlink w:history="true" w:anchor="_bookmark9">
              <w:r>
                <w:rPr>
                  <w:rFonts w:ascii="Stone Sans II ITC Std Sm" w:hAnsi="Stone Sans II ITC Std Sm"/>
                  <w:b/>
                  <w:w w:val="110"/>
                  <w:sz w:val="20"/>
                </w:rPr>
                <w:t>Synod moderators’ report</w:t>
              </w:r>
            </w:hyperlink>
          </w:p>
          <w:p>
            <w:pPr>
              <w:pStyle w:val="TableParagraph"/>
              <w:spacing w:line="249" w:lineRule="auto"/>
              <w:ind w:left="96"/>
              <w:rPr>
                <w:rFonts w:ascii="Stone Sans II ITC Std Sm"/>
                <w:b/>
                <w:sz w:val="20"/>
              </w:rPr>
            </w:pPr>
            <w:hyperlink w:history="true" w:anchor="_bookmark10">
              <w:r>
                <w:rPr>
                  <w:rFonts w:ascii="Stone Sans II ITC Std Sm"/>
                  <w:b/>
                  <w:w w:val="110"/>
                  <w:sz w:val="20"/>
                </w:rPr>
                <w:t>Scottish independence referendum 2014</w:t>
              </w:r>
            </w:hyperlink>
            <w:r>
              <w:rPr>
                <w:rFonts w:ascii="Stone Sans II ITC Std Sm"/>
                <w:b/>
                <w:w w:val="110"/>
                <w:sz w:val="20"/>
              </w:rPr>
              <w:t> </w:t>
            </w:r>
            <w:hyperlink w:history="true" w:anchor="_bookmark11">
              <w:r>
                <w:rPr>
                  <w:rFonts w:ascii="Stone Sans II ITC Std Sm"/>
                  <w:b/>
                  <w:w w:val="110"/>
                  <w:sz w:val="20"/>
                </w:rPr>
                <w:t>Ministry and mission fund giving</w:t>
              </w:r>
            </w:hyperlink>
          </w:p>
          <w:p>
            <w:pPr>
              <w:pStyle w:val="TableParagraph"/>
              <w:spacing w:line="268" w:lineRule="exact"/>
              <w:ind w:left="96"/>
              <w:rPr>
                <w:rFonts w:ascii="Stone Sans II ITC Std Sm"/>
                <w:b/>
                <w:sz w:val="20"/>
              </w:rPr>
            </w:pPr>
            <w:hyperlink w:history="true" w:anchor="_bookmark12">
              <w:r>
                <w:rPr>
                  <w:rFonts w:ascii="Stone Sans II ITC Std Sm"/>
                  <w:b/>
                  <w:w w:val="110"/>
                  <w:sz w:val="20"/>
                </w:rPr>
                <w:t>Non-stipendiary ministry age limit</w:t>
              </w:r>
            </w:hyperlink>
          </w:p>
        </w:tc>
        <w:tc>
          <w:tcPr>
            <w:tcW w:w="1095" w:type="dxa"/>
            <w:vMerge w:val="restart"/>
            <w:shd w:val="clear" w:color="auto" w:fill="FFF3D7"/>
          </w:tcPr>
          <w:p>
            <w:pPr>
              <w:pStyle w:val="TableParagraph"/>
              <w:spacing w:before="91"/>
              <w:ind w:left="0" w:right="168"/>
              <w:jc w:val="right"/>
              <w:rPr>
                <w:rFonts w:ascii="Stone Sans II ITC Std X Bd"/>
                <w:b/>
                <w:sz w:val="20"/>
              </w:rPr>
            </w:pPr>
            <w:hyperlink w:history="true" w:anchor="_bookmark0">
              <w:r>
                <w:rPr>
                  <w:rFonts w:ascii="Stone Sans II ITC Std X Bd"/>
                  <w:b/>
                  <w:w w:val="110"/>
                  <w:sz w:val="20"/>
                </w:rPr>
                <w:t>3</w:t>
              </w:r>
            </w:hyperlink>
          </w:p>
        </w:tc>
      </w:tr>
      <w:tr>
        <w:trPr>
          <w:trHeight w:val="192" w:hRule="atLeast"/>
        </w:trPr>
        <w:tc>
          <w:tcPr>
            <w:tcW w:w="1587" w:type="dxa"/>
            <w:vMerge w:val="restart"/>
            <w:tcBorders>
              <w:right w:val="single" w:sz="48" w:space="0" w:color="FFFFFF"/>
            </w:tcBorders>
          </w:tcPr>
          <w:p>
            <w:pPr>
              <w:pStyle w:val="TableParagraph"/>
              <w:ind w:left="0"/>
              <w:rPr>
                <w:rFonts w:ascii="Times New Roman"/>
                <w:sz w:val="22"/>
              </w:rPr>
            </w:pPr>
          </w:p>
        </w:tc>
        <w:tc>
          <w:tcPr>
            <w:tcW w:w="4852" w:type="dxa"/>
            <w:vMerge/>
            <w:tcBorders>
              <w:top w:val="nil"/>
              <w:left w:val="single" w:sz="48" w:space="0" w:color="FFFFFF"/>
            </w:tcBorders>
            <w:shd w:val="clear" w:color="auto" w:fill="FFF3D7"/>
          </w:tcPr>
          <w:p>
            <w:pPr>
              <w:rPr>
                <w:sz w:val="2"/>
                <w:szCs w:val="2"/>
              </w:rPr>
            </w:pPr>
          </w:p>
        </w:tc>
        <w:tc>
          <w:tcPr>
            <w:tcW w:w="1095" w:type="dxa"/>
            <w:vMerge/>
            <w:tcBorders>
              <w:top w:val="nil"/>
            </w:tcBorders>
            <w:shd w:val="clear" w:color="auto" w:fill="FFF3D7"/>
          </w:tcPr>
          <w:p>
            <w:pPr>
              <w:rPr>
                <w:sz w:val="2"/>
                <w:szCs w:val="2"/>
              </w:rPr>
            </w:pPr>
          </w:p>
        </w:tc>
      </w:tr>
      <w:tr>
        <w:trPr>
          <w:trHeight w:val="419" w:hRule="atLeast"/>
        </w:trPr>
        <w:tc>
          <w:tcPr>
            <w:tcW w:w="1587" w:type="dxa"/>
            <w:vMerge/>
            <w:tcBorders>
              <w:top w:val="nil"/>
              <w:right w:val="single" w:sz="48" w:space="0" w:color="FFFFFF"/>
            </w:tcBorders>
          </w:tcPr>
          <w:p>
            <w:pPr>
              <w:rPr>
                <w:sz w:val="2"/>
                <w:szCs w:val="2"/>
              </w:rPr>
            </w:pPr>
          </w:p>
        </w:tc>
        <w:tc>
          <w:tcPr>
            <w:tcW w:w="4852" w:type="dxa"/>
            <w:vMerge/>
            <w:tcBorders>
              <w:top w:val="nil"/>
              <w:left w:val="single" w:sz="48" w:space="0" w:color="FFFFFF"/>
            </w:tcBorders>
            <w:shd w:val="clear" w:color="auto" w:fill="FFF3D7"/>
          </w:tcPr>
          <w:p>
            <w:pPr>
              <w:rPr>
                <w:sz w:val="2"/>
                <w:szCs w:val="2"/>
              </w:rPr>
            </w:pPr>
          </w:p>
        </w:tc>
        <w:tc>
          <w:tcPr>
            <w:tcW w:w="1095" w:type="dxa"/>
            <w:shd w:val="clear" w:color="auto" w:fill="FFF3D7"/>
          </w:tcPr>
          <w:p>
            <w:pPr>
              <w:pStyle w:val="TableParagraph"/>
              <w:spacing w:line="254" w:lineRule="exact" w:before="144"/>
              <w:ind w:left="0" w:right="169"/>
              <w:jc w:val="right"/>
              <w:rPr>
                <w:rFonts w:ascii="Stone Sans II ITC Std Sm"/>
                <w:b/>
                <w:sz w:val="20"/>
              </w:rPr>
            </w:pPr>
            <w:hyperlink w:history="true" w:anchor="_bookmark1">
              <w:r>
                <w:rPr>
                  <w:rFonts w:ascii="Stone Sans II ITC Std Sm"/>
                  <w:b/>
                  <w:w w:val="110"/>
                  <w:sz w:val="20"/>
                </w:rPr>
                <w:t>5</w:t>
              </w:r>
            </w:hyperlink>
          </w:p>
        </w:tc>
      </w:tr>
      <w:tr>
        <w:trPr>
          <w:trHeight w:val="280" w:hRule="atLeast"/>
        </w:trPr>
        <w:tc>
          <w:tcPr>
            <w:tcW w:w="1587" w:type="dxa"/>
            <w:vMerge/>
            <w:tcBorders>
              <w:top w:val="nil"/>
              <w:right w:val="single" w:sz="48" w:space="0" w:color="FFFFFF"/>
            </w:tcBorders>
          </w:tcPr>
          <w:p>
            <w:pPr>
              <w:rPr>
                <w:sz w:val="2"/>
                <w:szCs w:val="2"/>
              </w:rPr>
            </w:pPr>
          </w:p>
        </w:tc>
        <w:tc>
          <w:tcPr>
            <w:tcW w:w="4852" w:type="dxa"/>
            <w:vMerge/>
            <w:tcBorders>
              <w:top w:val="nil"/>
              <w:left w:val="single" w:sz="48" w:space="0" w:color="FFFFFF"/>
            </w:tcBorders>
            <w:shd w:val="clear" w:color="auto" w:fill="FFF3D7"/>
          </w:tcPr>
          <w:p>
            <w:pPr>
              <w:rPr>
                <w:sz w:val="2"/>
                <w:szCs w:val="2"/>
              </w:rPr>
            </w:pPr>
          </w:p>
        </w:tc>
        <w:tc>
          <w:tcPr>
            <w:tcW w:w="1095" w:type="dxa"/>
            <w:shd w:val="clear" w:color="auto" w:fill="FFF3D7"/>
          </w:tcPr>
          <w:p>
            <w:pPr>
              <w:pStyle w:val="TableParagraph"/>
              <w:spacing w:line="254" w:lineRule="exact" w:before="5"/>
              <w:ind w:left="0" w:right="169"/>
              <w:jc w:val="right"/>
              <w:rPr>
                <w:rFonts w:ascii="Stone Sans II ITC Std Sm"/>
                <w:b/>
                <w:sz w:val="20"/>
              </w:rPr>
            </w:pPr>
            <w:hyperlink w:history="true" w:anchor="_bookmark2">
              <w:r>
                <w:rPr>
                  <w:rFonts w:ascii="Stone Sans II ITC Std Sm"/>
                  <w:b/>
                  <w:w w:val="110"/>
                  <w:sz w:val="20"/>
                </w:rPr>
                <w:t>34</w:t>
              </w:r>
            </w:hyperlink>
          </w:p>
        </w:tc>
      </w:tr>
      <w:tr>
        <w:trPr>
          <w:trHeight w:val="280" w:hRule="atLeast"/>
        </w:trPr>
        <w:tc>
          <w:tcPr>
            <w:tcW w:w="1587" w:type="dxa"/>
            <w:vMerge/>
            <w:tcBorders>
              <w:top w:val="nil"/>
              <w:right w:val="single" w:sz="48" w:space="0" w:color="FFFFFF"/>
            </w:tcBorders>
          </w:tcPr>
          <w:p>
            <w:pPr>
              <w:rPr>
                <w:sz w:val="2"/>
                <w:szCs w:val="2"/>
              </w:rPr>
            </w:pPr>
          </w:p>
        </w:tc>
        <w:tc>
          <w:tcPr>
            <w:tcW w:w="4852" w:type="dxa"/>
            <w:vMerge/>
            <w:tcBorders>
              <w:top w:val="nil"/>
              <w:left w:val="single" w:sz="48" w:space="0" w:color="FFFFFF"/>
            </w:tcBorders>
            <w:shd w:val="clear" w:color="auto" w:fill="FFF3D7"/>
          </w:tcPr>
          <w:p>
            <w:pPr>
              <w:rPr>
                <w:sz w:val="2"/>
                <w:szCs w:val="2"/>
              </w:rPr>
            </w:pPr>
          </w:p>
        </w:tc>
        <w:tc>
          <w:tcPr>
            <w:tcW w:w="1095" w:type="dxa"/>
            <w:shd w:val="clear" w:color="auto" w:fill="FFF3D7"/>
          </w:tcPr>
          <w:p>
            <w:pPr>
              <w:pStyle w:val="TableParagraph"/>
              <w:spacing w:line="254" w:lineRule="exact" w:before="5"/>
              <w:ind w:left="0" w:right="169"/>
              <w:jc w:val="right"/>
              <w:rPr>
                <w:rFonts w:ascii="Stone Sans II ITC Std Sm"/>
                <w:b/>
                <w:sz w:val="20"/>
              </w:rPr>
            </w:pPr>
            <w:hyperlink w:history="true" w:anchor="_bookmark3">
              <w:r>
                <w:rPr>
                  <w:rFonts w:ascii="Stone Sans II ITC Std Sm"/>
                  <w:b/>
                  <w:w w:val="110"/>
                  <w:sz w:val="20"/>
                </w:rPr>
                <w:t>35</w:t>
              </w:r>
            </w:hyperlink>
          </w:p>
        </w:tc>
      </w:tr>
      <w:tr>
        <w:trPr>
          <w:trHeight w:val="280" w:hRule="atLeast"/>
        </w:trPr>
        <w:tc>
          <w:tcPr>
            <w:tcW w:w="1587" w:type="dxa"/>
            <w:vMerge/>
            <w:tcBorders>
              <w:top w:val="nil"/>
              <w:right w:val="single" w:sz="48" w:space="0" w:color="FFFFFF"/>
            </w:tcBorders>
          </w:tcPr>
          <w:p>
            <w:pPr>
              <w:rPr>
                <w:sz w:val="2"/>
                <w:szCs w:val="2"/>
              </w:rPr>
            </w:pPr>
          </w:p>
        </w:tc>
        <w:tc>
          <w:tcPr>
            <w:tcW w:w="4852" w:type="dxa"/>
            <w:vMerge/>
            <w:tcBorders>
              <w:top w:val="nil"/>
              <w:left w:val="single" w:sz="48" w:space="0" w:color="FFFFFF"/>
            </w:tcBorders>
            <w:shd w:val="clear" w:color="auto" w:fill="FFF3D7"/>
          </w:tcPr>
          <w:p>
            <w:pPr>
              <w:rPr>
                <w:sz w:val="2"/>
                <w:szCs w:val="2"/>
              </w:rPr>
            </w:pPr>
          </w:p>
        </w:tc>
        <w:tc>
          <w:tcPr>
            <w:tcW w:w="1095" w:type="dxa"/>
            <w:shd w:val="clear" w:color="auto" w:fill="FFF3D7"/>
          </w:tcPr>
          <w:p>
            <w:pPr>
              <w:pStyle w:val="TableParagraph"/>
              <w:spacing w:line="254" w:lineRule="exact" w:before="5"/>
              <w:ind w:left="0" w:right="168"/>
              <w:jc w:val="right"/>
              <w:rPr>
                <w:rFonts w:ascii="Stone Sans II ITC Std Sm"/>
                <w:b/>
                <w:sz w:val="20"/>
              </w:rPr>
            </w:pPr>
            <w:hyperlink w:history="true" w:anchor="_bookmark4">
              <w:r>
                <w:rPr>
                  <w:rFonts w:ascii="Stone Sans II ITC Std Sm"/>
                  <w:b/>
                  <w:w w:val="110"/>
                  <w:sz w:val="20"/>
                </w:rPr>
                <w:t>38</w:t>
              </w:r>
            </w:hyperlink>
          </w:p>
        </w:tc>
      </w:tr>
      <w:tr>
        <w:trPr>
          <w:trHeight w:val="280" w:hRule="atLeast"/>
        </w:trPr>
        <w:tc>
          <w:tcPr>
            <w:tcW w:w="1587" w:type="dxa"/>
            <w:vMerge/>
            <w:tcBorders>
              <w:top w:val="nil"/>
              <w:right w:val="single" w:sz="48" w:space="0" w:color="FFFFFF"/>
            </w:tcBorders>
          </w:tcPr>
          <w:p>
            <w:pPr>
              <w:rPr>
                <w:sz w:val="2"/>
                <w:szCs w:val="2"/>
              </w:rPr>
            </w:pPr>
          </w:p>
        </w:tc>
        <w:tc>
          <w:tcPr>
            <w:tcW w:w="4852" w:type="dxa"/>
            <w:vMerge/>
            <w:tcBorders>
              <w:top w:val="nil"/>
              <w:left w:val="single" w:sz="48" w:space="0" w:color="FFFFFF"/>
            </w:tcBorders>
            <w:shd w:val="clear" w:color="auto" w:fill="FFF3D7"/>
          </w:tcPr>
          <w:p>
            <w:pPr>
              <w:rPr>
                <w:sz w:val="2"/>
                <w:szCs w:val="2"/>
              </w:rPr>
            </w:pPr>
          </w:p>
        </w:tc>
        <w:tc>
          <w:tcPr>
            <w:tcW w:w="1095" w:type="dxa"/>
            <w:shd w:val="clear" w:color="auto" w:fill="FFF3D7"/>
          </w:tcPr>
          <w:p>
            <w:pPr>
              <w:pStyle w:val="TableParagraph"/>
              <w:spacing w:line="254" w:lineRule="exact" w:before="5"/>
              <w:ind w:left="0" w:right="169"/>
              <w:jc w:val="right"/>
              <w:rPr>
                <w:rFonts w:ascii="Stone Sans II ITC Std Sm"/>
                <w:b/>
                <w:sz w:val="20"/>
              </w:rPr>
            </w:pPr>
            <w:hyperlink w:history="true" w:anchor="_bookmark5">
              <w:r>
                <w:rPr>
                  <w:rFonts w:ascii="Stone Sans II ITC Std Sm"/>
                  <w:b/>
                  <w:w w:val="110"/>
                  <w:sz w:val="20"/>
                </w:rPr>
                <w:t>44</w:t>
              </w:r>
            </w:hyperlink>
          </w:p>
        </w:tc>
      </w:tr>
      <w:tr>
        <w:trPr>
          <w:trHeight w:val="280" w:hRule="atLeast"/>
        </w:trPr>
        <w:tc>
          <w:tcPr>
            <w:tcW w:w="1587" w:type="dxa"/>
            <w:vMerge/>
            <w:tcBorders>
              <w:top w:val="nil"/>
              <w:right w:val="single" w:sz="48" w:space="0" w:color="FFFFFF"/>
            </w:tcBorders>
          </w:tcPr>
          <w:p>
            <w:pPr>
              <w:rPr>
                <w:sz w:val="2"/>
                <w:szCs w:val="2"/>
              </w:rPr>
            </w:pPr>
          </w:p>
        </w:tc>
        <w:tc>
          <w:tcPr>
            <w:tcW w:w="4852" w:type="dxa"/>
            <w:vMerge/>
            <w:tcBorders>
              <w:top w:val="nil"/>
              <w:left w:val="single" w:sz="48" w:space="0" w:color="FFFFFF"/>
            </w:tcBorders>
            <w:shd w:val="clear" w:color="auto" w:fill="FFF3D7"/>
          </w:tcPr>
          <w:p>
            <w:pPr>
              <w:rPr>
                <w:sz w:val="2"/>
                <w:szCs w:val="2"/>
              </w:rPr>
            </w:pPr>
          </w:p>
        </w:tc>
        <w:tc>
          <w:tcPr>
            <w:tcW w:w="1095" w:type="dxa"/>
            <w:shd w:val="clear" w:color="auto" w:fill="FFF3D7"/>
          </w:tcPr>
          <w:p>
            <w:pPr>
              <w:pStyle w:val="TableParagraph"/>
              <w:spacing w:line="254" w:lineRule="exact" w:before="5"/>
              <w:ind w:left="0" w:right="169"/>
              <w:jc w:val="right"/>
              <w:rPr>
                <w:rFonts w:ascii="Stone Sans II ITC Std Sm"/>
                <w:b/>
                <w:sz w:val="20"/>
              </w:rPr>
            </w:pPr>
            <w:hyperlink w:history="true" w:anchor="_bookmark6">
              <w:r>
                <w:rPr>
                  <w:rFonts w:ascii="Stone Sans II ITC Std Sm"/>
                  <w:b/>
                  <w:w w:val="110"/>
                  <w:sz w:val="20"/>
                </w:rPr>
                <w:t>49</w:t>
              </w:r>
            </w:hyperlink>
          </w:p>
        </w:tc>
      </w:tr>
      <w:tr>
        <w:trPr>
          <w:trHeight w:val="280" w:hRule="atLeast"/>
        </w:trPr>
        <w:tc>
          <w:tcPr>
            <w:tcW w:w="1587" w:type="dxa"/>
            <w:vMerge/>
            <w:tcBorders>
              <w:top w:val="nil"/>
              <w:right w:val="single" w:sz="48" w:space="0" w:color="FFFFFF"/>
            </w:tcBorders>
          </w:tcPr>
          <w:p>
            <w:pPr>
              <w:rPr>
                <w:sz w:val="2"/>
                <w:szCs w:val="2"/>
              </w:rPr>
            </w:pPr>
          </w:p>
        </w:tc>
        <w:tc>
          <w:tcPr>
            <w:tcW w:w="4852" w:type="dxa"/>
            <w:vMerge/>
            <w:tcBorders>
              <w:top w:val="nil"/>
              <w:left w:val="single" w:sz="48" w:space="0" w:color="FFFFFF"/>
            </w:tcBorders>
            <w:shd w:val="clear" w:color="auto" w:fill="FFF3D7"/>
          </w:tcPr>
          <w:p>
            <w:pPr>
              <w:rPr>
                <w:sz w:val="2"/>
                <w:szCs w:val="2"/>
              </w:rPr>
            </w:pPr>
          </w:p>
        </w:tc>
        <w:tc>
          <w:tcPr>
            <w:tcW w:w="1095" w:type="dxa"/>
            <w:shd w:val="clear" w:color="auto" w:fill="FFF3D7"/>
          </w:tcPr>
          <w:p>
            <w:pPr>
              <w:pStyle w:val="TableParagraph"/>
              <w:spacing w:line="254" w:lineRule="exact" w:before="5"/>
              <w:ind w:left="0" w:right="169"/>
              <w:jc w:val="right"/>
              <w:rPr>
                <w:rFonts w:ascii="Stone Sans II ITC Std Sm"/>
                <w:b/>
                <w:sz w:val="20"/>
              </w:rPr>
            </w:pPr>
            <w:hyperlink w:history="true" w:anchor="_bookmark7">
              <w:r>
                <w:rPr>
                  <w:rFonts w:ascii="Stone Sans II ITC Std Sm"/>
                  <w:b/>
                  <w:w w:val="110"/>
                  <w:sz w:val="20"/>
                </w:rPr>
                <w:t>51</w:t>
              </w:r>
            </w:hyperlink>
          </w:p>
        </w:tc>
      </w:tr>
      <w:tr>
        <w:trPr>
          <w:trHeight w:val="280" w:hRule="atLeast"/>
        </w:trPr>
        <w:tc>
          <w:tcPr>
            <w:tcW w:w="1587" w:type="dxa"/>
            <w:vMerge/>
            <w:tcBorders>
              <w:top w:val="nil"/>
              <w:right w:val="single" w:sz="48" w:space="0" w:color="FFFFFF"/>
            </w:tcBorders>
          </w:tcPr>
          <w:p>
            <w:pPr>
              <w:rPr>
                <w:sz w:val="2"/>
                <w:szCs w:val="2"/>
              </w:rPr>
            </w:pPr>
          </w:p>
        </w:tc>
        <w:tc>
          <w:tcPr>
            <w:tcW w:w="4852" w:type="dxa"/>
            <w:vMerge/>
            <w:tcBorders>
              <w:top w:val="nil"/>
              <w:left w:val="single" w:sz="48" w:space="0" w:color="FFFFFF"/>
            </w:tcBorders>
            <w:shd w:val="clear" w:color="auto" w:fill="FFF3D7"/>
          </w:tcPr>
          <w:p>
            <w:pPr>
              <w:rPr>
                <w:sz w:val="2"/>
                <w:szCs w:val="2"/>
              </w:rPr>
            </w:pPr>
          </w:p>
        </w:tc>
        <w:tc>
          <w:tcPr>
            <w:tcW w:w="1095" w:type="dxa"/>
            <w:shd w:val="clear" w:color="auto" w:fill="FFF3D7"/>
          </w:tcPr>
          <w:p>
            <w:pPr>
              <w:pStyle w:val="TableParagraph"/>
              <w:spacing w:line="254" w:lineRule="exact" w:before="5"/>
              <w:ind w:left="0" w:right="168"/>
              <w:jc w:val="right"/>
              <w:rPr>
                <w:rFonts w:ascii="Stone Sans II ITC Std Sm"/>
                <w:b/>
                <w:sz w:val="20"/>
              </w:rPr>
            </w:pPr>
            <w:hyperlink w:history="true" w:anchor="_bookmark8">
              <w:r>
                <w:rPr>
                  <w:rFonts w:ascii="Stone Sans II ITC Std Sm"/>
                  <w:b/>
                  <w:w w:val="110"/>
                  <w:sz w:val="20"/>
                </w:rPr>
                <w:t>58</w:t>
              </w:r>
            </w:hyperlink>
          </w:p>
        </w:tc>
      </w:tr>
      <w:tr>
        <w:trPr>
          <w:trHeight w:val="280" w:hRule="atLeast"/>
        </w:trPr>
        <w:tc>
          <w:tcPr>
            <w:tcW w:w="1587" w:type="dxa"/>
            <w:vMerge/>
            <w:tcBorders>
              <w:top w:val="nil"/>
              <w:right w:val="single" w:sz="48" w:space="0" w:color="FFFFFF"/>
            </w:tcBorders>
          </w:tcPr>
          <w:p>
            <w:pPr>
              <w:rPr>
                <w:sz w:val="2"/>
                <w:szCs w:val="2"/>
              </w:rPr>
            </w:pPr>
          </w:p>
        </w:tc>
        <w:tc>
          <w:tcPr>
            <w:tcW w:w="4852" w:type="dxa"/>
            <w:vMerge/>
            <w:tcBorders>
              <w:top w:val="nil"/>
              <w:left w:val="single" w:sz="48" w:space="0" w:color="FFFFFF"/>
            </w:tcBorders>
            <w:shd w:val="clear" w:color="auto" w:fill="FFF3D7"/>
          </w:tcPr>
          <w:p>
            <w:pPr>
              <w:rPr>
                <w:sz w:val="2"/>
                <w:szCs w:val="2"/>
              </w:rPr>
            </w:pPr>
          </w:p>
        </w:tc>
        <w:tc>
          <w:tcPr>
            <w:tcW w:w="1095" w:type="dxa"/>
            <w:shd w:val="clear" w:color="auto" w:fill="FFF3D7"/>
          </w:tcPr>
          <w:p>
            <w:pPr>
              <w:pStyle w:val="TableParagraph"/>
              <w:spacing w:line="254" w:lineRule="exact" w:before="5"/>
              <w:ind w:left="0" w:right="168"/>
              <w:jc w:val="right"/>
              <w:rPr>
                <w:rFonts w:ascii="Stone Sans II ITC Std Sm"/>
                <w:b/>
                <w:sz w:val="20"/>
              </w:rPr>
            </w:pPr>
            <w:hyperlink w:history="true" w:anchor="_bookmark9">
              <w:r>
                <w:rPr>
                  <w:rFonts w:ascii="Stone Sans II ITC Std Sm"/>
                  <w:b/>
                  <w:w w:val="110"/>
                  <w:sz w:val="20"/>
                </w:rPr>
                <w:t>70</w:t>
              </w:r>
            </w:hyperlink>
          </w:p>
        </w:tc>
      </w:tr>
      <w:tr>
        <w:trPr>
          <w:trHeight w:val="280" w:hRule="atLeast"/>
        </w:trPr>
        <w:tc>
          <w:tcPr>
            <w:tcW w:w="1587" w:type="dxa"/>
            <w:vMerge/>
            <w:tcBorders>
              <w:top w:val="nil"/>
              <w:right w:val="single" w:sz="48" w:space="0" w:color="FFFFFF"/>
            </w:tcBorders>
          </w:tcPr>
          <w:p>
            <w:pPr>
              <w:rPr>
                <w:sz w:val="2"/>
                <w:szCs w:val="2"/>
              </w:rPr>
            </w:pPr>
          </w:p>
        </w:tc>
        <w:tc>
          <w:tcPr>
            <w:tcW w:w="4852" w:type="dxa"/>
            <w:vMerge/>
            <w:tcBorders>
              <w:top w:val="nil"/>
              <w:left w:val="single" w:sz="48" w:space="0" w:color="FFFFFF"/>
            </w:tcBorders>
            <w:shd w:val="clear" w:color="auto" w:fill="FFF3D7"/>
          </w:tcPr>
          <w:p>
            <w:pPr>
              <w:rPr>
                <w:sz w:val="2"/>
                <w:szCs w:val="2"/>
              </w:rPr>
            </w:pPr>
          </w:p>
        </w:tc>
        <w:tc>
          <w:tcPr>
            <w:tcW w:w="1095" w:type="dxa"/>
            <w:shd w:val="clear" w:color="auto" w:fill="FFF3D7"/>
          </w:tcPr>
          <w:p>
            <w:pPr>
              <w:pStyle w:val="TableParagraph"/>
              <w:spacing w:line="254" w:lineRule="exact" w:before="5"/>
              <w:ind w:left="0" w:right="168"/>
              <w:jc w:val="right"/>
              <w:rPr>
                <w:rFonts w:ascii="Stone Sans II ITC Std Sm"/>
                <w:b/>
                <w:sz w:val="20"/>
              </w:rPr>
            </w:pPr>
            <w:hyperlink w:history="true" w:anchor="_bookmark10">
              <w:r>
                <w:rPr>
                  <w:rFonts w:ascii="Stone Sans II ITC Std Sm"/>
                  <w:b/>
                  <w:w w:val="110"/>
                  <w:sz w:val="20"/>
                </w:rPr>
                <w:t>76</w:t>
              </w:r>
            </w:hyperlink>
          </w:p>
        </w:tc>
      </w:tr>
      <w:tr>
        <w:trPr>
          <w:trHeight w:val="280" w:hRule="atLeast"/>
        </w:trPr>
        <w:tc>
          <w:tcPr>
            <w:tcW w:w="1587" w:type="dxa"/>
            <w:vMerge/>
            <w:tcBorders>
              <w:top w:val="nil"/>
              <w:right w:val="single" w:sz="48" w:space="0" w:color="FFFFFF"/>
            </w:tcBorders>
          </w:tcPr>
          <w:p>
            <w:pPr>
              <w:rPr>
                <w:sz w:val="2"/>
                <w:szCs w:val="2"/>
              </w:rPr>
            </w:pPr>
          </w:p>
        </w:tc>
        <w:tc>
          <w:tcPr>
            <w:tcW w:w="4852" w:type="dxa"/>
            <w:vMerge/>
            <w:tcBorders>
              <w:top w:val="nil"/>
              <w:left w:val="single" w:sz="48" w:space="0" w:color="FFFFFF"/>
            </w:tcBorders>
            <w:shd w:val="clear" w:color="auto" w:fill="FFF3D7"/>
          </w:tcPr>
          <w:p>
            <w:pPr>
              <w:rPr>
                <w:sz w:val="2"/>
                <w:szCs w:val="2"/>
              </w:rPr>
            </w:pPr>
          </w:p>
        </w:tc>
        <w:tc>
          <w:tcPr>
            <w:tcW w:w="1095" w:type="dxa"/>
            <w:shd w:val="clear" w:color="auto" w:fill="FFF3D7"/>
          </w:tcPr>
          <w:p>
            <w:pPr>
              <w:pStyle w:val="TableParagraph"/>
              <w:spacing w:line="254" w:lineRule="exact" w:before="5"/>
              <w:ind w:left="0" w:right="168"/>
              <w:jc w:val="right"/>
              <w:rPr>
                <w:rFonts w:ascii="Stone Sans II ITC Std Sm"/>
                <w:b/>
                <w:sz w:val="20"/>
              </w:rPr>
            </w:pPr>
            <w:hyperlink w:history="true" w:anchor="_bookmark11">
              <w:r>
                <w:rPr>
                  <w:rFonts w:ascii="Stone Sans II ITC Std Sm"/>
                  <w:b/>
                  <w:w w:val="110"/>
                  <w:sz w:val="20"/>
                </w:rPr>
                <w:t>77</w:t>
              </w:r>
            </w:hyperlink>
          </w:p>
        </w:tc>
      </w:tr>
      <w:tr>
        <w:trPr>
          <w:trHeight w:val="455" w:hRule="atLeast"/>
        </w:trPr>
        <w:tc>
          <w:tcPr>
            <w:tcW w:w="1587" w:type="dxa"/>
            <w:vMerge/>
            <w:tcBorders>
              <w:top w:val="nil"/>
              <w:right w:val="single" w:sz="48" w:space="0" w:color="FFFFFF"/>
            </w:tcBorders>
          </w:tcPr>
          <w:p>
            <w:pPr>
              <w:rPr>
                <w:sz w:val="2"/>
                <w:szCs w:val="2"/>
              </w:rPr>
            </w:pPr>
          </w:p>
        </w:tc>
        <w:tc>
          <w:tcPr>
            <w:tcW w:w="4852" w:type="dxa"/>
            <w:vMerge/>
            <w:tcBorders>
              <w:top w:val="nil"/>
              <w:left w:val="single" w:sz="48" w:space="0" w:color="FFFFFF"/>
            </w:tcBorders>
            <w:shd w:val="clear" w:color="auto" w:fill="FFF3D7"/>
          </w:tcPr>
          <w:p>
            <w:pPr>
              <w:rPr>
                <w:sz w:val="2"/>
                <w:szCs w:val="2"/>
              </w:rPr>
            </w:pPr>
          </w:p>
        </w:tc>
        <w:tc>
          <w:tcPr>
            <w:tcW w:w="1095" w:type="dxa"/>
            <w:shd w:val="clear" w:color="auto" w:fill="FFF3D7"/>
          </w:tcPr>
          <w:p>
            <w:pPr>
              <w:pStyle w:val="TableParagraph"/>
              <w:spacing w:before="5"/>
              <w:ind w:left="0" w:right="168"/>
              <w:jc w:val="right"/>
              <w:rPr>
                <w:rFonts w:ascii="Stone Sans II ITC Std Sm"/>
                <w:b/>
                <w:sz w:val="20"/>
              </w:rPr>
            </w:pPr>
            <w:hyperlink w:history="true" w:anchor="_bookmark12">
              <w:r>
                <w:rPr>
                  <w:rFonts w:ascii="Stone Sans II ITC Std Sm"/>
                  <w:b/>
                  <w:w w:val="110"/>
                  <w:sz w:val="20"/>
                </w:rPr>
                <w:t>78</w:t>
              </w:r>
            </w:hyperlink>
          </w:p>
        </w:tc>
      </w:tr>
      <w:tr>
        <w:trPr>
          <w:trHeight w:val="136" w:hRule="atLeast"/>
        </w:trPr>
        <w:tc>
          <w:tcPr>
            <w:tcW w:w="1587" w:type="dxa"/>
            <w:vMerge/>
            <w:tcBorders>
              <w:top w:val="nil"/>
              <w:right w:val="single" w:sz="48" w:space="0" w:color="FFFFFF"/>
            </w:tcBorders>
          </w:tcPr>
          <w:p>
            <w:pPr>
              <w:rPr>
                <w:sz w:val="2"/>
                <w:szCs w:val="2"/>
              </w:rPr>
            </w:pPr>
          </w:p>
        </w:tc>
        <w:tc>
          <w:tcPr>
            <w:tcW w:w="5947" w:type="dxa"/>
            <w:gridSpan w:val="2"/>
            <w:tcBorders>
              <w:left w:val="single" w:sz="48" w:space="0" w:color="FFFFFF"/>
            </w:tcBorders>
            <w:shd w:val="clear" w:color="auto" w:fill="FFFFFF"/>
          </w:tcPr>
          <w:p>
            <w:pPr>
              <w:pStyle w:val="TableParagraph"/>
              <w:ind w:left="0"/>
              <w:rPr>
                <w:rFonts w:ascii="Times New Roman"/>
                <w:sz w:val="8"/>
              </w:rPr>
            </w:pPr>
          </w:p>
        </w:tc>
      </w:tr>
      <w:tr>
        <w:trPr>
          <w:trHeight w:val="305" w:hRule="atLeast"/>
        </w:trPr>
        <w:tc>
          <w:tcPr>
            <w:tcW w:w="1587" w:type="dxa"/>
            <w:tcBorders>
              <w:right w:val="single" w:sz="48" w:space="0" w:color="FFFFFF"/>
            </w:tcBorders>
            <w:shd w:val="clear" w:color="auto" w:fill="E2EED8"/>
          </w:tcPr>
          <w:p>
            <w:pPr>
              <w:pStyle w:val="TableParagraph"/>
              <w:spacing w:before="8"/>
              <w:ind w:left="59"/>
              <w:rPr>
                <w:rFonts w:ascii="Stone Sans II ITC Std X Bd"/>
                <w:b/>
                <w:sz w:val="20"/>
              </w:rPr>
            </w:pPr>
            <w:r>
              <w:rPr>
                <w:rFonts w:ascii="Stone Sans II ITC Std X Bd"/>
                <w:b/>
                <w:w w:val="110"/>
                <w:sz w:val="20"/>
              </w:rPr>
              <w:t>PART TWO</w:t>
            </w:r>
          </w:p>
        </w:tc>
        <w:tc>
          <w:tcPr>
            <w:tcW w:w="4852" w:type="dxa"/>
            <w:vMerge w:val="restart"/>
            <w:tcBorders>
              <w:left w:val="single" w:sz="48" w:space="0" w:color="FFFFFF"/>
            </w:tcBorders>
            <w:shd w:val="clear" w:color="auto" w:fill="E2EED8"/>
          </w:tcPr>
          <w:p>
            <w:pPr>
              <w:pStyle w:val="TableParagraph"/>
              <w:spacing w:line="195" w:lineRule="exact" w:before="54"/>
              <w:ind w:left="96"/>
              <w:rPr>
                <w:rFonts w:ascii="Stone Sans II ITC Std X Bd"/>
                <w:b/>
                <w:sz w:val="20"/>
              </w:rPr>
            </w:pPr>
            <w:hyperlink w:history="true" w:anchor="_bookmark13">
              <w:r>
                <w:rPr>
                  <w:rFonts w:ascii="Stone Sans II ITC Std X Bd"/>
                  <w:b/>
                  <w:w w:val="110"/>
                  <w:sz w:val="20"/>
                </w:rPr>
                <w:t>Forward looking reports</w:t>
              </w:r>
            </w:hyperlink>
          </w:p>
        </w:tc>
        <w:tc>
          <w:tcPr>
            <w:tcW w:w="1095" w:type="dxa"/>
            <w:vMerge w:val="restart"/>
            <w:shd w:val="clear" w:color="auto" w:fill="E2EED8"/>
          </w:tcPr>
          <w:p>
            <w:pPr>
              <w:pStyle w:val="TableParagraph"/>
              <w:spacing w:line="195" w:lineRule="exact" w:before="54"/>
              <w:ind w:left="638"/>
              <w:rPr>
                <w:rFonts w:ascii="Stone Sans II ITC Std X Bd"/>
                <w:b/>
                <w:sz w:val="20"/>
              </w:rPr>
            </w:pPr>
            <w:hyperlink w:history="true" w:anchor="_bookmark13">
              <w:r>
                <w:rPr>
                  <w:rFonts w:ascii="Stone Sans II ITC Std X Bd"/>
                  <w:b/>
                  <w:w w:val="110"/>
                  <w:sz w:val="20"/>
                </w:rPr>
                <w:t>81</w:t>
              </w:r>
            </w:hyperlink>
          </w:p>
        </w:tc>
      </w:tr>
      <w:tr>
        <w:trPr>
          <w:trHeight w:val="10" w:hRule="atLeast"/>
        </w:trPr>
        <w:tc>
          <w:tcPr>
            <w:tcW w:w="1587" w:type="dxa"/>
            <w:vMerge w:val="restart"/>
            <w:tcBorders>
              <w:bottom w:val="single" w:sz="48" w:space="0" w:color="FFFFFF"/>
              <w:right w:val="single" w:sz="48" w:space="0" w:color="FFFFFF"/>
            </w:tcBorders>
          </w:tcPr>
          <w:p>
            <w:pPr>
              <w:pStyle w:val="TableParagraph"/>
              <w:ind w:left="0"/>
              <w:rPr>
                <w:rFonts w:ascii="Times New Roman"/>
                <w:sz w:val="22"/>
              </w:rPr>
            </w:pPr>
          </w:p>
        </w:tc>
        <w:tc>
          <w:tcPr>
            <w:tcW w:w="4852" w:type="dxa"/>
            <w:vMerge/>
            <w:tcBorders>
              <w:top w:val="nil"/>
              <w:left w:val="single" w:sz="48" w:space="0" w:color="FFFFFF"/>
            </w:tcBorders>
            <w:shd w:val="clear" w:color="auto" w:fill="E2EED8"/>
          </w:tcPr>
          <w:p>
            <w:pPr>
              <w:rPr>
                <w:sz w:val="2"/>
                <w:szCs w:val="2"/>
              </w:rPr>
            </w:pPr>
          </w:p>
        </w:tc>
        <w:tc>
          <w:tcPr>
            <w:tcW w:w="1095" w:type="dxa"/>
            <w:vMerge/>
            <w:tcBorders>
              <w:top w:val="nil"/>
            </w:tcBorders>
            <w:shd w:val="clear" w:color="auto" w:fill="E2EED8"/>
          </w:tcPr>
          <w:p>
            <w:pPr>
              <w:rPr>
                <w:sz w:val="2"/>
                <w:szCs w:val="2"/>
              </w:rPr>
            </w:pPr>
          </w:p>
        </w:tc>
      </w:tr>
      <w:tr>
        <w:trPr>
          <w:trHeight w:val="159" w:hRule="atLeast"/>
        </w:trPr>
        <w:tc>
          <w:tcPr>
            <w:tcW w:w="1587" w:type="dxa"/>
            <w:vMerge/>
            <w:tcBorders>
              <w:top w:val="nil"/>
              <w:bottom w:val="single" w:sz="48" w:space="0" w:color="FFFFFF"/>
              <w:right w:val="single" w:sz="48" w:space="0" w:color="FFFFFF"/>
            </w:tcBorders>
          </w:tcPr>
          <w:p>
            <w:pPr>
              <w:rPr>
                <w:sz w:val="2"/>
                <w:szCs w:val="2"/>
              </w:rPr>
            </w:pPr>
          </w:p>
        </w:tc>
        <w:tc>
          <w:tcPr>
            <w:tcW w:w="4852" w:type="dxa"/>
            <w:tcBorders>
              <w:left w:val="single" w:sz="48" w:space="0" w:color="FFFFFF"/>
            </w:tcBorders>
            <w:shd w:val="clear" w:color="auto" w:fill="E2EED8"/>
          </w:tcPr>
          <w:p>
            <w:pPr>
              <w:pStyle w:val="TableParagraph"/>
              <w:spacing w:line="139" w:lineRule="exact"/>
              <w:ind w:left="96"/>
              <w:rPr>
                <w:rFonts w:ascii="Stone Sans II ITC Std Sm"/>
                <w:b/>
                <w:sz w:val="20"/>
              </w:rPr>
            </w:pPr>
            <w:hyperlink w:history="true" w:anchor="_bookmark14">
              <w:r>
                <w:rPr>
                  <w:rFonts w:ascii="Stone Sans II ITC Std Sm"/>
                  <w:b/>
                  <w:w w:val="110"/>
                  <w:sz w:val="20"/>
                </w:rPr>
                <w:t>Assembly arrangements</w:t>
              </w:r>
            </w:hyperlink>
          </w:p>
        </w:tc>
        <w:tc>
          <w:tcPr>
            <w:tcW w:w="1095" w:type="dxa"/>
            <w:shd w:val="clear" w:color="auto" w:fill="E2EED8"/>
          </w:tcPr>
          <w:p>
            <w:pPr>
              <w:pStyle w:val="TableParagraph"/>
              <w:spacing w:line="139" w:lineRule="exact"/>
              <w:ind w:left="0" w:right="169"/>
              <w:jc w:val="right"/>
              <w:rPr>
                <w:rFonts w:ascii="Stone Sans II ITC Std Sm"/>
                <w:b/>
                <w:sz w:val="20"/>
              </w:rPr>
            </w:pPr>
            <w:hyperlink w:history="true" w:anchor="_bookmark14">
              <w:r>
                <w:rPr>
                  <w:rFonts w:ascii="Stone Sans II ITC Std Sm"/>
                  <w:b/>
                  <w:w w:val="110"/>
                  <w:sz w:val="20"/>
                </w:rPr>
                <w:t>82</w:t>
              </w:r>
            </w:hyperlink>
          </w:p>
        </w:tc>
      </w:tr>
      <w:tr>
        <w:trPr>
          <w:trHeight w:val="160" w:hRule="atLeast"/>
        </w:trPr>
        <w:tc>
          <w:tcPr>
            <w:tcW w:w="1587" w:type="dxa"/>
            <w:vMerge/>
            <w:tcBorders>
              <w:top w:val="nil"/>
              <w:bottom w:val="single" w:sz="48" w:space="0" w:color="FFFFFF"/>
              <w:right w:val="single" w:sz="48" w:space="0" w:color="FFFFFF"/>
            </w:tcBorders>
          </w:tcPr>
          <w:p>
            <w:pPr>
              <w:rPr>
                <w:sz w:val="2"/>
                <w:szCs w:val="2"/>
              </w:rPr>
            </w:pPr>
          </w:p>
        </w:tc>
        <w:tc>
          <w:tcPr>
            <w:tcW w:w="4852" w:type="dxa"/>
            <w:tcBorders>
              <w:left w:val="single" w:sz="48" w:space="0" w:color="FFFFFF"/>
            </w:tcBorders>
            <w:shd w:val="clear" w:color="auto" w:fill="E2EED8"/>
          </w:tcPr>
          <w:p>
            <w:pPr>
              <w:pStyle w:val="TableParagraph"/>
              <w:spacing w:line="140" w:lineRule="exact"/>
              <w:ind w:left="96"/>
              <w:rPr>
                <w:rFonts w:ascii="Stone Sans II ITC Std Sm" w:hAnsi="Stone Sans II ITC Std Sm"/>
                <w:b/>
                <w:sz w:val="20"/>
              </w:rPr>
            </w:pPr>
            <w:hyperlink w:history="true" w:anchor="_bookmark15">
              <w:r>
                <w:rPr>
                  <w:rFonts w:ascii="Stone Sans II ITC Std Sm" w:hAnsi="Stone Sans II ITC Std Sm"/>
                  <w:b/>
                  <w:w w:val="110"/>
                  <w:sz w:val="20"/>
                </w:rPr>
                <w:t>Children’s and youth work</w:t>
              </w:r>
            </w:hyperlink>
          </w:p>
        </w:tc>
        <w:tc>
          <w:tcPr>
            <w:tcW w:w="1095" w:type="dxa"/>
            <w:shd w:val="clear" w:color="auto" w:fill="E2EED8"/>
          </w:tcPr>
          <w:p>
            <w:pPr>
              <w:pStyle w:val="TableParagraph"/>
              <w:spacing w:line="140" w:lineRule="exact"/>
              <w:ind w:left="0" w:right="169"/>
              <w:jc w:val="right"/>
              <w:rPr>
                <w:rFonts w:ascii="Stone Sans II ITC Std Sm"/>
                <w:b/>
                <w:sz w:val="20"/>
              </w:rPr>
            </w:pPr>
            <w:hyperlink w:history="true" w:anchor="_bookmark15">
              <w:r>
                <w:rPr>
                  <w:rFonts w:ascii="Stone Sans II ITC Std Sm"/>
                  <w:b/>
                  <w:w w:val="110"/>
                  <w:sz w:val="20"/>
                </w:rPr>
                <w:t>83</w:t>
              </w:r>
            </w:hyperlink>
          </w:p>
        </w:tc>
      </w:tr>
      <w:tr>
        <w:trPr>
          <w:trHeight w:val="160" w:hRule="atLeast"/>
        </w:trPr>
        <w:tc>
          <w:tcPr>
            <w:tcW w:w="1587" w:type="dxa"/>
            <w:vMerge/>
            <w:tcBorders>
              <w:top w:val="nil"/>
              <w:bottom w:val="single" w:sz="48" w:space="0" w:color="FFFFFF"/>
              <w:right w:val="single" w:sz="48" w:space="0" w:color="FFFFFF"/>
            </w:tcBorders>
          </w:tcPr>
          <w:p>
            <w:pPr>
              <w:rPr>
                <w:sz w:val="2"/>
                <w:szCs w:val="2"/>
              </w:rPr>
            </w:pPr>
          </w:p>
        </w:tc>
        <w:tc>
          <w:tcPr>
            <w:tcW w:w="4852" w:type="dxa"/>
            <w:tcBorders>
              <w:left w:val="single" w:sz="48" w:space="0" w:color="FFFFFF"/>
            </w:tcBorders>
            <w:shd w:val="clear" w:color="auto" w:fill="E2EED8"/>
          </w:tcPr>
          <w:p>
            <w:pPr>
              <w:pStyle w:val="TableParagraph"/>
              <w:spacing w:line="140" w:lineRule="exact"/>
              <w:ind w:left="96"/>
              <w:rPr>
                <w:rFonts w:ascii="Stone Sans II ITC Std Sm"/>
                <w:b/>
                <w:sz w:val="20"/>
              </w:rPr>
            </w:pPr>
            <w:hyperlink w:history="true" w:anchor="_bookmark16">
              <w:r>
                <w:rPr>
                  <w:rFonts w:ascii="Stone Sans II ITC Std Sm"/>
                  <w:b/>
                  <w:w w:val="110"/>
                  <w:sz w:val="20"/>
                </w:rPr>
                <w:t>Communications and editorial</w:t>
              </w:r>
            </w:hyperlink>
          </w:p>
        </w:tc>
        <w:tc>
          <w:tcPr>
            <w:tcW w:w="1095" w:type="dxa"/>
            <w:shd w:val="clear" w:color="auto" w:fill="E2EED8"/>
          </w:tcPr>
          <w:p>
            <w:pPr>
              <w:pStyle w:val="TableParagraph"/>
              <w:spacing w:line="140" w:lineRule="exact"/>
              <w:ind w:left="0" w:right="168"/>
              <w:jc w:val="right"/>
              <w:rPr>
                <w:rFonts w:ascii="Stone Sans II ITC Std Sm"/>
                <w:b/>
                <w:sz w:val="20"/>
              </w:rPr>
            </w:pPr>
            <w:hyperlink w:history="true" w:anchor="_bookmark16">
              <w:r>
                <w:rPr>
                  <w:rFonts w:ascii="Stone Sans II ITC Std Sm"/>
                  <w:b/>
                  <w:w w:val="110"/>
                  <w:sz w:val="20"/>
                </w:rPr>
                <w:t>88</w:t>
              </w:r>
            </w:hyperlink>
          </w:p>
        </w:tc>
      </w:tr>
      <w:tr>
        <w:trPr>
          <w:trHeight w:val="160" w:hRule="atLeast"/>
        </w:trPr>
        <w:tc>
          <w:tcPr>
            <w:tcW w:w="1587" w:type="dxa"/>
            <w:vMerge/>
            <w:tcBorders>
              <w:top w:val="nil"/>
              <w:bottom w:val="single" w:sz="48" w:space="0" w:color="FFFFFF"/>
              <w:right w:val="single" w:sz="48" w:space="0" w:color="FFFFFF"/>
            </w:tcBorders>
          </w:tcPr>
          <w:p>
            <w:pPr>
              <w:rPr>
                <w:sz w:val="2"/>
                <w:szCs w:val="2"/>
              </w:rPr>
            </w:pPr>
          </w:p>
        </w:tc>
        <w:tc>
          <w:tcPr>
            <w:tcW w:w="4852" w:type="dxa"/>
            <w:tcBorders>
              <w:left w:val="single" w:sz="48" w:space="0" w:color="FFFFFF"/>
            </w:tcBorders>
            <w:shd w:val="clear" w:color="auto" w:fill="E2EED8"/>
          </w:tcPr>
          <w:p>
            <w:pPr>
              <w:pStyle w:val="TableParagraph"/>
              <w:spacing w:line="140" w:lineRule="exact"/>
              <w:ind w:left="96"/>
              <w:rPr>
                <w:rFonts w:ascii="Stone Sans II ITC Std Sm"/>
                <w:b/>
                <w:sz w:val="20"/>
              </w:rPr>
            </w:pPr>
            <w:hyperlink w:history="true" w:anchor="_bookmark17">
              <w:r>
                <w:rPr>
                  <w:rFonts w:ascii="Stone Sans II ITC Std Sm"/>
                  <w:b/>
                  <w:w w:val="110"/>
                  <w:sz w:val="20"/>
                </w:rPr>
                <w:t>Education and learning</w:t>
              </w:r>
            </w:hyperlink>
          </w:p>
        </w:tc>
        <w:tc>
          <w:tcPr>
            <w:tcW w:w="1095" w:type="dxa"/>
            <w:shd w:val="clear" w:color="auto" w:fill="E2EED8"/>
          </w:tcPr>
          <w:p>
            <w:pPr>
              <w:pStyle w:val="TableParagraph"/>
              <w:spacing w:line="140" w:lineRule="exact"/>
              <w:ind w:left="0" w:right="168"/>
              <w:jc w:val="right"/>
              <w:rPr>
                <w:rFonts w:ascii="Stone Sans II ITC Std Sm"/>
                <w:b/>
                <w:sz w:val="20"/>
              </w:rPr>
            </w:pPr>
            <w:hyperlink w:history="true" w:anchor="_bookmark17">
              <w:r>
                <w:rPr>
                  <w:rFonts w:ascii="Stone Sans II ITC Std Sm"/>
                  <w:b/>
                  <w:w w:val="110"/>
                  <w:sz w:val="20"/>
                </w:rPr>
                <w:t>91</w:t>
              </w:r>
            </w:hyperlink>
          </w:p>
        </w:tc>
      </w:tr>
      <w:tr>
        <w:trPr>
          <w:trHeight w:val="160" w:hRule="atLeast"/>
        </w:trPr>
        <w:tc>
          <w:tcPr>
            <w:tcW w:w="1587" w:type="dxa"/>
            <w:vMerge/>
            <w:tcBorders>
              <w:top w:val="nil"/>
              <w:bottom w:val="single" w:sz="48" w:space="0" w:color="FFFFFF"/>
              <w:right w:val="single" w:sz="48" w:space="0" w:color="FFFFFF"/>
            </w:tcBorders>
          </w:tcPr>
          <w:p>
            <w:pPr>
              <w:rPr>
                <w:sz w:val="2"/>
                <w:szCs w:val="2"/>
              </w:rPr>
            </w:pPr>
          </w:p>
        </w:tc>
        <w:tc>
          <w:tcPr>
            <w:tcW w:w="4852" w:type="dxa"/>
            <w:tcBorders>
              <w:left w:val="single" w:sz="48" w:space="0" w:color="FFFFFF"/>
            </w:tcBorders>
            <w:shd w:val="clear" w:color="auto" w:fill="E2EED8"/>
          </w:tcPr>
          <w:p>
            <w:pPr>
              <w:pStyle w:val="TableParagraph"/>
              <w:spacing w:line="140" w:lineRule="exact"/>
              <w:ind w:left="96"/>
              <w:rPr>
                <w:rFonts w:ascii="Stone Sans II ITC Std Sm"/>
                <w:b/>
                <w:sz w:val="20"/>
              </w:rPr>
            </w:pPr>
            <w:hyperlink w:history="true" w:anchor="_bookmark18">
              <w:r>
                <w:rPr>
                  <w:rFonts w:ascii="Stone Sans II ITC Std Sm"/>
                  <w:b/>
                  <w:w w:val="110"/>
                  <w:sz w:val="20"/>
                </w:rPr>
                <w:t>Equalities</w:t>
              </w:r>
            </w:hyperlink>
          </w:p>
        </w:tc>
        <w:tc>
          <w:tcPr>
            <w:tcW w:w="1095" w:type="dxa"/>
            <w:shd w:val="clear" w:color="auto" w:fill="E2EED8"/>
          </w:tcPr>
          <w:p>
            <w:pPr>
              <w:pStyle w:val="TableParagraph"/>
              <w:spacing w:line="140" w:lineRule="exact"/>
              <w:ind w:left="0" w:right="168"/>
              <w:jc w:val="right"/>
              <w:rPr>
                <w:rFonts w:ascii="Stone Sans II ITC Std Sm"/>
                <w:b/>
                <w:sz w:val="20"/>
              </w:rPr>
            </w:pPr>
            <w:hyperlink w:history="true" w:anchor="_bookmark18">
              <w:r>
                <w:rPr>
                  <w:rFonts w:ascii="Stone Sans II ITC Std Sm"/>
                  <w:b/>
                  <w:w w:val="110"/>
                  <w:sz w:val="20"/>
                </w:rPr>
                <w:t>95</w:t>
              </w:r>
            </w:hyperlink>
          </w:p>
        </w:tc>
      </w:tr>
      <w:tr>
        <w:trPr>
          <w:trHeight w:val="160" w:hRule="atLeast"/>
        </w:trPr>
        <w:tc>
          <w:tcPr>
            <w:tcW w:w="1587" w:type="dxa"/>
            <w:vMerge/>
            <w:tcBorders>
              <w:top w:val="nil"/>
              <w:bottom w:val="single" w:sz="48" w:space="0" w:color="FFFFFF"/>
              <w:right w:val="single" w:sz="48" w:space="0" w:color="FFFFFF"/>
            </w:tcBorders>
          </w:tcPr>
          <w:p>
            <w:pPr>
              <w:rPr>
                <w:sz w:val="2"/>
                <w:szCs w:val="2"/>
              </w:rPr>
            </w:pPr>
          </w:p>
        </w:tc>
        <w:tc>
          <w:tcPr>
            <w:tcW w:w="4852" w:type="dxa"/>
            <w:tcBorders>
              <w:left w:val="single" w:sz="48" w:space="0" w:color="FFFFFF"/>
            </w:tcBorders>
            <w:shd w:val="clear" w:color="auto" w:fill="E2EED8"/>
          </w:tcPr>
          <w:p>
            <w:pPr>
              <w:pStyle w:val="TableParagraph"/>
              <w:spacing w:line="140" w:lineRule="exact"/>
              <w:ind w:left="96"/>
              <w:rPr>
                <w:rFonts w:ascii="Stone Sans II ITC Std Sm"/>
                <w:b/>
                <w:sz w:val="20"/>
              </w:rPr>
            </w:pPr>
            <w:hyperlink w:history="true" w:anchor="_bookmark19">
              <w:r>
                <w:rPr>
                  <w:rFonts w:ascii="Stone Sans II ITC Std Sm"/>
                  <w:b/>
                  <w:w w:val="110"/>
                  <w:sz w:val="20"/>
                </w:rPr>
                <w:t>Faith and order</w:t>
              </w:r>
            </w:hyperlink>
          </w:p>
        </w:tc>
        <w:tc>
          <w:tcPr>
            <w:tcW w:w="1095" w:type="dxa"/>
            <w:shd w:val="clear" w:color="auto" w:fill="E2EED8"/>
          </w:tcPr>
          <w:p>
            <w:pPr>
              <w:pStyle w:val="TableParagraph"/>
              <w:spacing w:line="140" w:lineRule="exact"/>
              <w:ind w:left="0" w:right="168"/>
              <w:jc w:val="right"/>
              <w:rPr>
                <w:rFonts w:ascii="Stone Sans II ITC Std Sm"/>
                <w:b/>
                <w:sz w:val="20"/>
              </w:rPr>
            </w:pPr>
            <w:hyperlink w:history="true" w:anchor="_bookmark19">
              <w:r>
                <w:rPr>
                  <w:rFonts w:ascii="Stone Sans II ITC Std Sm"/>
                  <w:b/>
                  <w:w w:val="110"/>
                  <w:sz w:val="20"/>
                </w:rPr>
                <w:t>102</w:t>
              </w:r>
            </w:hyperlink>
          </w:p>
        </w:tc>
      </w:tr>
      <w:tr>
        <w:trPr>
          <w:trHeight w:val="160" w:hRule="atLeast"/>
        </w:trPr>
        <w:tc>
          <w:tcPr>
            <w:tcW w:w="1587" w:type="dxa"/>
            <w:vMerge/>
            <w:tcBorders>
              <w:top w:val="nil"/>
              <w:bottom w:val="single" w:sz="48" w:space="0" w:color="FFFFFF"/>
              <w:right w:val="single" w:sz="48" w:space="0" w:color="FFFFFF"/>
            </w:tcBorders>
          </w:tcPr>
          <w:p>
            <w:pPr>
              <w:rPr>
                <w:sz w:val="2"/>
                <w:szCs w:val="2"/>
              </w:rPr>
            </w:pPr>
          </w:p>
        </w:tc>
        <w:tc>
          <w:tcPr>
            <w:tcW w:w="4852" w:type="dxa"/>
            <w:tcBorders>
              <w:left w:val="single" w:sz="48" w:space="0" w:color="FFFFFF"/>
            </w:tcBorders>
            <w:shd w:val="clear" w:color="auto" w:fill="E2EED8"/>
          </w:tcPr>
          <w:p>
            <w:pPr>
              <w:pStyle w:val="TableParagraph"/>
              <w:spacing w:line="140" w:lineRule="exact"/>
              <w:ind w:left="96"/>
              <w:rPr>
                <w:rFonts w:ascii="Stone Sans II ITC Std Sm"/>
                <w:b/>
                <w:sz w:val="20"/>
              </w:rPr>
            </w:pPr>
            <w:hyperlink w:history="true" w:anchor="_bookmark20">
              <w:r>
                <w:rPr>
                  <w:rFonts w:ascii="Stone Sans II ITC Std Sm"/>
                  <w:b/>
                  <w:w w:val="110"/>
                  <w:sz w:val="20"/>
                </w:rPr>
                <w:t>Finance</w:t>
              </w:r>
            </w:hyperlink>
          </w:p>
        </w:tc>
        <w:tc>
          <w:tcPr>
            <w:tcW w:w="1095" w:type="dxa"/>
            <w:shd w:val="clear" w:color="auto" w:fill="E2EED8"/>
          </w:tcPr>
          <w:p>
            <w:pPr>
              <w:pStyle w:val="TableParagraph"/>
              <w:spacing w:line="140" w:lineRule="exact"/>
              <w:ind w:left="0" w:right="168"/>
              <w:jc w:val="right"/>
              <w:rPr>
                <w:rFonts w:ascii="Stone Sans II ITC Std Sm"/>
                <w:b/>
                <w:sz w:val="20"/>
              </w:rPr>
            </w:pPr>
            <w:hyperlink w:history="true" w:anchor="_bookmark20">
              <w:r>
                <w:rPr>
                  <w:rFonts w:ascii="Stone Sans II ITC Std Sm"/>
                  <w:b/>
                  <w:w w:val="110"/>
                  <w:sz w:val="20"/>
                </w:rPr>
                <w:t>128</w:t>
              </w:r>
            </w:hyperlink>
          </w:p>
        </w:tc>
      </w:tr>
      <w:tr>
        <w:trPr>
          <w:trHeight w:val="160" w:hRule="atLeast"/>
        </w:trPr>
        <w:tc>
          <w:tcPr>
            <w:tcW w:w="1587" w:type="dxa"/>
            <w:vMerge/>
            <w:tcBorders>
              <w:top w:val="nil"/>
              <w:bottom w:val="single" w:sz="48" w:space="0" w:color="FFFFFF"/>
              <w:right w:val="single" w:sz="48" w:space="0" w:color="FFFFFF"/>
            </w:tcBorders>
          </w:tcPr>
          <w:p>
            <w:pPr>
              <w:rPr>
                <w:sz w:val="2"/>
                <w:szCs w:val="2"/>
              </w:rPr>
            </w:pPr>
          </w:p>
        </w:tc>
        <w:tc>
          <w:tcPr>
            <w:tcW w:w="4852" w:type="dxa"/>
            <w:tcBorders>
              <w:left w:val="single" w:sz="48" w:space="0" w:color="FFFFFF"/>
            </w:tcBorders>
            <w:shd w:val="clear" w:color="auto" w:fill="E2EED8"/>
          </w:tcPr>
          <w:p>
            <w:pPr>
              <w:pStyle w:val="TableParagraph"/>
              <w:spacing w:line="140" w:lineRule="exact"/>
              <w:ind w:left="96"/>
              <w:rPr>
                <w:rFonts w:ascii="Stone Sans II ITC Std Sm"/>
                <w:b/>
                <w:sz w:val="20"/>
              </w:rPr>
            </w:pPr>
            <w:hyperlink w:history="true" w:anchor="_bookmark21">
              <w:r>
                <w:rPr>
                  <w:rFonts w:ascii="Stone Sans II ITC Std Sm"/>
                  <w:b/>
                  <w:w w:val="110"/>
                  <w:sz w:val="20"/>
                </w:rPr>
                <w:t>General secretary nominating group</w:t>
              </w:r>
            </w:hyperlink>
          </w:p>
        </w:tc>
        <w:tc>
          <w:tcPr>
            <w:tcW w:w="1095" w:type="dxa"/>
            <w:shd w:val="clear" w:color="auto" w:fill="E2EED8"/>
          </w:tcPr>
          <w:p>
            <w:pPr>
              <w:pStyle w:val="TableParagraph"/>
              <w:spacing w:line="140" w:lineRule="exact"/>
              <w:ind w:left="0" w:right="169"/>
              <w:jc w:val="right"/>
              <w:rPr>
                <w:rFonts w:ascii="Stone Sans II ITC Std Sm"/>
                <w:b/>
                <w:sz w:val="20"/>
              </w:rPr>
            </w:pPr>
            <w:hyperlink w:history="true" w:anchor="_bookmark21">
              <w:r>
                <w:rPr>
                  <w:rFonts w:ascii="Stone Sans II ITC Std Sm"/>
                  <w:b/>
                  <w:w w:val="110"/>
                  <w:sz w:val="20"/>
                </w:rPr>
                <w:t>129</w:t>
              </w:r>
            </w:hyperlink>
          </w:p>
        </w:tc>
      </w:tr>
      <w:tr>
        <w:trPr>
          <w:trHeight w:val="160" w:hRule="atLeast"/>
        </w:trPr>
        <w:tc>
          <w:tcPr>
            <w:tcW w:w="1587" w:type="dxa"/>
            <w:vMerge/>
            <w:tcBorders>
              <w:top w:val="nil"/>
              <w:bottom w:val="single" w:sz="48" w:space="0" w:color="FFFFFF"/>
              <w:right w:val="single" w:sz="48" w:space="0" w:color="FFFFFF"/>
            </w:tcBorders>
          </w:tcPr>
          <w:p>
            <w:pPr>
              <w:rPr>
                <w:sz w:val="2"/>
                <w:szCs w:val="2"/>
              </w:rPr>
            </w:pPr>
          </w:p>
        </w:tc>
        <w:tc>
          <w:tcPr>
            <w:tcW w:w="4852" w:type="dxa"/>
            <w:tcBorders>
              <w:left w:val="single" w:sz="48" w:space="0" w:color="FFFFFF"/>
            </w:tcBorders>
            <w:shd w:val="clear" w:color="auto" w:fill="E2EED8"/>
          </w:tcPr>
          <w:p>
            <w:pPr>
              <w:pStyle w:val="TableParagraph"/>
              <w:spacing w:line="140" w:lineRule="exact"/>
              <w:ind w:left="96"/>
              <w:rPr>
                <w:rFonts w:ascii="Stone Sans II ITC Std Sm"/>
                <w:b/>
                <w:sz w:val="20"/>
              </w:rPr>
            </w:pPr>
            <w:hyperlink w:history="true" w:anchor="_bookmark22">
              <w:r>
                <w:rPr>
                  <w:rFonts w:ascii="Stone Sans II ITC Std Sm"/>
                  <w:b/>
                  <w:w w:val="110"/>
                  <w:sz w:val="20"/>
                </w:rPr>
                <w:t>Ministries</w:t>
              </w:r>
            </w:hyperlink>
          </w:p>
        </w:tc>
        <w:tc>
          <w:tcPr>
            <w:tcW w:w="1095" w:type="dxa"/>
            <w:shd w:val="clear" w:color="auto" w:fill="E2EED8"/>
          </w:tcPr>
          <w:p>
            <w:pPr>
              <w:pStyle w:val="TableParagraph"/>
              <w:spacing w:line="140" w:lineRule="exact"/>
              <w:ind w:left="0" w:right="168"/>
              <w:jc w:val="right"/>
              <w:rPr>
                <w:rFonts w:ascii="Stone Sans II ITC Std Sm"/>
                <w:b/>
                <w:sz w:val="20"/>
              </w:rPr>
            </w:pPr>
            <w:hyperlink w:history="true" w:anchor="_bookmark22">
              <w:r>
                <w:rPr>
                  <w:rFonts w:ascii="Stone Sans II ITC Std Sm"/>
                  <w:b/>
                  <w:w w:val="110"/>
                  <w:sz w:val="20"/>
                </w:rPr>
                <w:t>130</w:t>
              </w:r>
            </w:hyperlink>
          </w:p>
        </w:tc>
      </w:tr>
      <w:tr>
        <w:trPr>
          <w:trHeight w:val="160" w:hRule="atLeast"/>
        </w:trPr>
        <w:tc>
          <w:tcPr>
            <w:tcW w:w="1587" w:type="dxa"/>
            <w:vMerge/>
            <w:tcBorders>
              <w:top w:val="nil"/>
              <w:bottom w:val="single" w:sz="48" w:space="0" w:color="FFFFFF"/>
              <w:right w:val="single" w:sz="48" w:space="0" w:color="FFFFFF"/>
            </w:tcBorders>
          </w:tcPr>
          <w:p>
            <w:pPr>
              <w:rPr>
                <w:sz w:val="2"/>
                <w:szCs w:val="2"/>
              </w:rPr>
            </w:pPr>
          </w:p>
        </w:tc>
        <w:tc>
          <w:tcPr>
            <w:tcW w:w="4852" w:type="dxa"/>
            <w:tcBorders>
              <w:left w:val="single" w:sz="48" w:space="0" w:color="FFFFFF"/>
            </w:tcBorders>
            <w:shd w:val="clear" w:color="auto" w:fill="E2EED8"/>
          </w:tcPr>
          <w:p>
            <w:pPr>
              <w:pStyle w:val="TableParagraph"/>
              <w:spacing w:line="140" w:lineRule="exact"/>
              <w:ind w:left="96"/>
              <w:rPr>
                <w:rFonts w:ascii="Stone Sans II ITC Std Sm"/>
                <w:b/>
                <w:sz w:val="20"/>
              </w:rPr>
            </w:pPr>
            <w:hyperlink w:history="true" w:anchor="_bookmark23">
              <w:r>
                <w:rPr>
                  <w:rFonts w:ascii="Stone Sans II ITC Std Sm"/>
                  <w:b/>
                  <w:w w:val="110"/>
                  <w:sz w:val="20"/>
                </w:rPr>
                <w:t>Mission</w:t>
              </w:r>
            </w:hyperlink>
          </w:p>
        </w:tc>
        <w:tc>
          <w:tcPr>
            <w:tcW w:w="1095" w:type="dxa"/>
            <w:shd w:val="clear" w:color="auto" w:fill="E2EED8"/>
          </w:tcPr>
          <w:p>
            <w:pPr>
              <w:pStyle w:val="TableParagraph"/>
              <w:spacing w:line="140" w:lineRule="exact"/>
              <w:ind w:left="0" w:right="168"/>
              <w:jc w:val="right"/>
              <w:rPr>
                <w:rFonts w:ascii="Stone Sans II ITC Std Sm"/>
                <w:b/>
                <w:sz w:val="20"/>
              </w:rPr>
            </w:pPr>
            <w:hyperlink w:history="true" w:anchor="_bookmark23">
              <w:r>
                <w:rPr>
                  <w:rFonts w:ascii="Stone Sans II ITC Std Sm"/>
                  <w:b/>
                  <w:w w:val="110"/>
                  <w:sz w:val="20"/>
                </w:rPr>
                <w:t>132</w:t>
              </w:r>
            </w:hyperlink>
          </w:p>
        </w:tc>
      </w:tr>
      <w:tr>
        <w:trPr>
          <w:trHeight w:val="373" w:hRule="atLeast"/>
        </w:trPr>
        <w:tc>
          <w:tcPr>
            <w:tcW w:w="1587" w:type="dxa"/>
            <w:vMerge/>
            <w:tcBorders>
              <w:top w:val="nil"/>
              <w:bottom w:val="single" w:sz="48" w:space="0" w:color="FFFFFF"/>
              <w:right w:val="single" w:sz="48" w:space="0" w:color="FFFFFF"/>
            </w:tcBorders>
          </w:tcPr>
          <w:p>
            <w:pPr>
              <w:rPr>
                <w:sz w:val="2"/>
                <w:szCs w:val="2"/>
              </w:rPr>
            </w:pPr>
          </w:p>
        </w:tc>
        <w:tc>
          <w:tcPr>
            <w:tcW w:w="4852" w:type="dxa"/>
            <w:tcBorders>
              <w:left w:val="single" w:sz="48" w:space="0" w:color="FFFFFF"/>
              <w:bottom w:val="single" w:sz="48" w:space="0" w:color="FFFFFF"/>
            </w:tcBorders>
            <w:shd w:val="clear" w:color="auto" w:fill="E2EED8"/>
          </w:tcPr>
          <w:p>
            <w:pPr>
              <w:pStyle w:val="TableParagraph"/>
              <w:spacing w:line="216" w:lineRule="exact"/>
              <w:ind w:left="96"/>
              <w:rPr>
                <w:rFonts w:ascii="Stone Sans II ITC Std Sm"/>
                <w:b/>
                <w:sz w:val="20"/>
              </w:rPr>
            </w:pPr>
            <w:hyperlink w:history="true" w:anchor="_bookmark24">
              <w:r>
                <w:rPr>
                  <w:rFonts w:ascii="Stone Sans II ITC Std Sm"/>
                  <w:b/>
                  <w:w w:val="110"/>
                  <w:sz w:val="20"/>
                </w:rPr>
                <w:t>Nominations</w:t>
              </w:r>
            </w:hyperlink>
          </w:p>
        </w:tc>
        <w:tc>
          <w:tcPr>
            <w:tcW w:w="1095" w:type="dxa"/>
            <w:tcBorders>
              <w:bottom w:val="single" w:sz="48" w:space="0" w:color="FFFFFF"/>
            </w:tcBorders>
            <w:shd w:val="clear" w:color="auto" w:fill="E2EED8"/>
          </w:tcPr>
          <w:p>
            <w:pPr>
              <w:pStyle w:val="TableParagraph"/>
              <w:spacing w:line="216" w:lineRule="exact"/>
              <w:ind w:left="0" w:right="168"/>
              <w:jc w:val="right"/>
              <w:rPr>
                <w:rFonts w:ascii="Stone Sans II ITC Std Sm"/>
                <w:b/>
                <w:sz w:val="20"/>
              </w:rPr>
            </w:pPr>
            <w:hyperlink w:history="true" w:anchor="_bookmark24">
              <w:r>
                <w:rPr>
                  <w:rFonts w:ascii="Stone Sans II ITC Std Sm"/>
                  <w:b/>
                  <w:w w:val="110"/>
                  <w:sz w:val="20"/>
                </w:rPr>
                <w:t>137</w:t>
              </w:r>
            </w:hyperlink>
          </w:p>
        </w:tc>
      </w:tr>
      <w:tr>
        <w:trPr>
          <w:trHeight w:val="306" w:hRule="atLeast"/>
        </w:trPr>
        <w:tc>
          <w:tcPr>
            <w:tcW w:w="1587" w:type="dxa"/>
            <w:vMerge/>
            <w:tcBorders>
              <w:top w:val="nil"/>
              <w:bottom w:val="single" w:sz="48" w:space="0" w:color="FFFFFF"/>
              <w:right w:val="single" w:sz="48" w:space="0" w:color="FFFFFF"/>
            </w:tcBorders>
          </w:tcPr>
          <w:p>
            <w:pPr>
              <w:rPr>
                <w:sz w:val="2"/>
                <w:szCs w:val="2"/>
              </w:rPr>
            </w:pPr>
          </w:p>
        </w:tc>
        <w:tc>
          <w:tcPr>
            <w:tcW w:w="5947" w:type="dxa"/>
            <w:gridSpan w:val="2"/>
            <w:tcBorders>
              <w:top w:val="single" w:sz="48" w:space="0" w:color="FFFFFF"/>
              <w:left w:val="single" w:sz="48" w:space="0" w:color="FFFFFF"/>
            </w:tcBorders>
            <w:shd w:val="clear" w:color="auto" w:fill="D4E9F7"/>
          </w:tcPr>
          <w:p>
            <w:pPr>
              <w:pStyle w:val="TableParagraph"/>
              <w:tabs>
                <w:tab w:pos="5716" w:val="right" w:leader="none"/>
              </w:tabs>
              <w:spacing w:line="195" w:lineRule="exact" w:before="91"/>
              <w:ind w:left="96"/>
              <w:rPr>
                <w:rFonts w:ascii="Stone Sans II ITC Std X Bd"/>
                <w:b/>
                <w:sz w:val="20"/>
              </w:rPr>
            </w:pPr>
            <w:hyperlink w:history="true" w:anchor="_bookmark25">
              <w:r>
                <w:rPr>
                  <w:rFonts w:ascii="Stone Sans II ITC Std X Bd"/>
                  <w:b/>
                  <w:w w:val="110"/>
                  <w:sz w:val="20"/>
                </w:rPr>
                <w:t>Retrospective reports</w:t>
                <w:tab/>
              </w:r>
              <w:r>
                <w:rPr>
                  <w:rFonts w:ascii="Stone Sans II ITC Std X Bd"/>
                  <w:b/>
                  <w:spacing w:val="-8"/>
                  <w:w w:val="110"/>
                  <w:sz w:val="20"/>
                </w:rPr>
                <w:t>153</w:t>
              </w:r>
            </w:hyperlink>
          </w:p>
        </w:tc>
      </w:tr>
      <w:tr>
        <w:trPr>
          <w:trHeight w:val="159" w:hRule="atLeast"/>
        </w:trPr>
        <w:tc>
          <w:tcPr>
            <w:tcW w:w="1587" w:type="dxa"/>
            <w:vMerge/>
            <w:tcBorders>
              <w:top w:val="nil"/>
              <w:bottom w:val="single" w:sz="48" w:space="0" w:color="FFFFFF"/>
              <w:right w:val="single" w:sz="48" w:space="0" w:color="FFFFFF"/>
            </w:tcBorders>
          </w:tcPr>
          <w:p>
            <w:pPr>
              <w:rPr>
                <w:sz w:val="2"/>
                <w:szCs w:val="2"/>
              </w:rPr>
            </w:pPr>
          </w:p>
        </w:tc>
        <w:tc>
          <w:tcPr>
            <w:tcW w:w="5947" w:type="dxa"/>
            <w:gridSpan w:val="2"/>
            <w:tcBorders>
              <w:left w:val="single" w:sz="48" w:space="0" w:color="FFFFFF"/>
            </w:tcBorders>
            <w:shd w:val="clear" w:color="auto" w:fill="D4E9F7"/>
          </w:tcPr>
          <w:p>
            <w:pPr>
              <w:pStyle w:val="TableParagraph"/>
              <w:tabs>
                <w:tab w:pos="5715" w:val="right" w:leader="none"/>
              </w:tabs>
              <w:spacing w:line="139" w:lineRule="exact"/>
              <w:ind w:left="96"/>
              <w:rPr>
                <w:rFonts w:ascii="Stone Sans II ITC Std Sm"/>
                <w:b/>
                <w:sz w:val="20"/>
              </w:rPr>
            </w:pPr>
            <w:hyperlink w:history="true" w:anchor="_bookmark26">
              <w:r>
                <w:rPr>
                  <w:rFonts w:ascii="Stone Sans II ITC Std Sm"/>
                  <w:b/>
                  <w:w w:val="110"/>
                  <w:sz w:val="20"/>
                </w:rPr>
                <w:t>Assembly arrangements</w:t>
                <w:tab/>
              </w:r>
              <w:r>
                <w:rPr>
                  <w:rFonts w:ascii="Stone Sans II ITC Std Sm"/>
                  <w:b/>
                  <w:spacing w:val="-6"/>
                  <w:w w:val="110"/>
                  <w:sz w:val="20"/>
                </w:rPr>
                <w:t>154</w:t>
              </w:r>
            </w:hyperlink>
          </w:p>
        </w:tc>
      </w:tr>
      <w:tr>
        <w:trPr>
          <w:trHeight w:val="160" w:hRule="atLeast"/>
        </w:trPr>
        <w:tc>
          <w:tcPr>
            <w:tcW w:w="1587" w:type="dxa"/>
            <w:vMerge/>
            <w:tcBorders>
              <w:top w:val="nil"/>
              <w:bottom w:val="single" w:sz="48" w:space="0" w:color="FFFFFF"/>
              <w:right w:val="single" w:sz="48" w:space="0" w:color="FFFFFF"/>
            </w:tcBorders>
          </w:tcPr>
          <w:p>
            <w:pPr>
              <w:rPr>
                <w:sz w:val="2"/>
                <w:szCs w:val="2"/>
              </w:rPr>
            </w:pPr>
          </w:p>
        </w:tc>
        <w:tc>
          <w:tcPr>
            <w:tcW w:w="5947" w:type="dxa"/>
            <w:gridSpan w:val="2"/>
            <w:tcBorders>
              <w:left w:val="single" w:sz="48" w:space="0" w:color="FFFFFF"/>
            </w:tcBorders>
            <w:shd w:val="clear" w:color="auto" w:fill="D4E9F7"/>
          </w:tcPr>
          <w:p>
            <w:pPr>
              <w:pStyle w:val="TableParagraph"/>
              <w:tabs>
                <w:tab w:pos="5715" w:val="right" w:leader="none"/>
              </w:tabs>
              <w:spacing w:line="140" w:lineRule="exact"/>
              <w:ind w:left="96"/>
              <w:rPr>
                <w:rFonts w:ascii="Stone Sans II ITC Std Sm" w:hAnsi="Stone Sans II ITC Std Sm"/>
                <w:b/>
                <w:sz w:val="20"/>
              </w:rPr>
            </w:pPr>
            <w:hyperlink w:history="true" w:anchor="_bookmark27">
              <w:r>
                <w:rPr>
                  <w:rFonts w:ascii="Stone Sans II ITC Std Sm" w:hAnsi="Stone Sans II ITC Std Sm"/>
                  <w:b/>
                  <w:spacing w:val="-3"/>
                  <w:w w:val="110"/>
                  <w:sz w:val="20"/>
                </w:rPr>
                <w:t>Children’s </w:t>
              </w:r>
              <w:r>
                <w:rPr>
                  <w:rFonts w:ascii="Stone Sans II ITC Std Sm" w:hAnsi="Stone Sans II ITC Std Sm"/>
                  <w:b/>
                  <w:w w:val="110"/>
                  <w:sz w:val="20"/>
                </w:rPr>
                <w:t>and</w:t>
              </w:r>
              <w:r>
                <w:rPr>
                  <w:rFonts w:ascii="Stone Sans II ITC Std Sm" w:hAnsi="Stone Sans II ITC Std Sm"/>
                  <w:b/>
                  <w:spacing w:val="2"/>
                  <w:w w:val="110"/>
                  <w:sz w:val="20"/>
                </w:rPr>
                <w:t> </w:t>
              </w:r>
              <w:r>
                <w:rPr>
                  <w:rFonts w:ascii="Stone Sans II ITC Std Sm" w:hAnsi="Stone Sans II ITC Std Sm"/>
                  <w:b/>
                  <w:w w:val="110"/>
                  <w:sz w:val="20"/>
                </w:rPr>
                <w:t>youth work</w:t>
                <w:tab/>
              </w:r>
              <w:r>
                <w:rPr>
                  <w:rFonts w:ascii="Stone Sans II ITC Std Sm" w:hAnsi="Stone Sans II ITC Std Sm"/>
                  <w:b/>
                  <w:spacing w:val="-8"/>
                  <w:w w:val="110"/>
                  <w:sz w:val="20"/>
                </w:rPr>
                <w:t>155</w:t>
              </w:r>
            </w:hyperlink>
          </w:p>
        </w:tc>
      </w:tr>
      <w:tr>
        <w:trPr>
          <w:trHeight w:val="160" w:hRule="atLeast"/>
        </w:trPr>
        <w:tc>
          <w:tcPr>
            <w:tcW w:w="1587" w:type="dxa"/>
            <w:vMerge/>
            <w:tcBorders>
              <w:top w:val="nil"/>
              <w:bottom w:val="single" w:sz="48" w:space="0" w:color="FFFFFF"/>
              <w:right w:val="single" w:sz="48" w:space="0" w:color="FFFFFF"/>
            </w:tcBorders>
          </w:tcPr>
          <w:p>
            <w:pPr>
              <w:rPr>
                <w:sz w:val="2"/>
                <w:szCs w:val="2"/>
              </w:rPr>
            </w:pPr>
          </w:p>
        </w:tc>
        <w:tc>
          <w:tcPr>
            <w:tcW w:w="5947" w:type="dxa"/>
            <w:gridSpan w:val="2"/>
            <w:tcBorders>
              <w:left w:val="single" w:sz="48" w:space="0" w:color="FFFFFF"/>
            </w:tcBorders>
            <w:shd w:val="clear" w:color="auto" w:fill="D4E9F7"/>
          </w:tcPr>
          <w:p>
            <w:pPr>
              <w:pStyle w:val="TableParagraph"/>
              <w:tabs>
                <w:tab w:pos="5715" w:val="right" w:leader="none"/>
              </w:tabs>
              <w:spacing w:line="140" w:lineRule="exact"/>
              <w:ind w:left="96"/>
              <w:rPr>
                <w:rFonts w:ascii="Stone Sans II ITC Std Sm"/>
                <w:b/>
                <w:sz w:val="20"/>
              </w:rPr>
            </w:pPr>
            <w:hyperlink w:history="true" w:anchor="_bookmark28">
              <w:r>
                <w:rPr>
                  <w:rFonts w:ascii="Stone Sans II ITC Std Sm"/>
                  <w:b/>
                  <w:w w:val="110"/>
                  <w:sz w:val="20"/>
                </w:rPr>
                <w:t>Communications</w:t>
              </w:r>
              <w:r>
                <w:rPr>
                  <w:rFonts w:ascii="Stone Sans II ITC Std Sm"/>
                  <w:b/>
                  <w:spacing w:val="-1"/>
                  <w:w w:val="110"/>
                  <w:sz w:val="20"/>
                </w:rPr>
                <w:t> </w:t>
              </w:r>
              <w:r>
                <w:rPr>
                  <w:rFonts w:ascii="Stone Sans II ITC Std Sm"/>
                  <w:b/>
                  <w:w w:val="110"/>
                  <w:sz w:val="20"/>
                </w:rPr>
                <w:t>and editorial</w:t>
                <w:tab/>
              </w:r>
              <w:r>
                <w:rPr>
                  <w:rFonts w:ascii="Stone Sans II ITC Std Sm"/>
                  <w:b/>
                  <w:spacing w:val="-9"/>
                  <w:w w:val="110"/>
                  <w:sz w:val="20"/>
                </w:rPr>
                <w:t>157</w:t>
              </w:r>
            </w:hyperlink>
          </w:p>
        </w:tc>
      </w:tr>
      <w:tr>
        <w:trPr>
          <w:trHeight w:val="160" w:hRule="atLeast"/>
        </w:trPr>
        <w:tc>
          <w:tcPr>
            <w:tcW w:w="1587" w:type="dxa"/>
            <w:vMerge/>
            <w:tcBorders>
              <w:top w:val="nil"/>
              <w:bottom w:val="single" w:sz="48" w:space="0" w:color="FFFFFF"/>
              <w:right w:val="single" w:sz="48" w:space="0" w:color="FFFFFF"/>
            </w:tcBorders>
          </w:tcPr>
          <w:p>
            <w:pPr>
              <w:rPr>
                <w:sz w:val="2"/>
                <w:szCs w:val="2"/>
              </w:rPr>
            </w:pPr>
          </w:p>
        </w:tc>
        <w:tc>
          <w:tcPr>
            <w:tcW w:w="5947" w:type="dxa"/>
            <w:gridSpan w:val="2"/>
            <w:tcBorders>
              <w:left w:val="single" w:sz="48" w:space="0" w:color="FFFFFF"/>
            </w:tcBorders>
            <w:shd w:val="clear" w:color="auto" w:fill="D4E9F7"/>
          </w:tcPr>
          <w:p>
            <w:pPr>
              <w:pStyle w:val="TableParagraph"/>
              <w:tabs>
                <w:tab w:pos="5715" w:val="right" w:leader="none"/>
              </w:tabs>
              <w:spacing w:line="140" w:lineRule="exact"/>
              <w:ind w:left="96"/>
              <w:rPr>
                <w:rFonts w:ascii="Stone Sans II ITC Std Sm"/>
                <w:b/>
                <w:sz w:val="20"/>
              </w:rPr>
            </w:pPr>
            <w:hyperlink w:history="true" w:anchor="_bookmark29">
              <w:r>
                <w:rPr>
                  <w:rFonts w:ascii="Stone Sans II ITC Std Sm"/>
                  <w:b/>
                  <w:w w:val="110"/>
                  <w:sz w:val="20"/>
                </w:rPr>
                <w:t>Education</w:t>
              </w:r>
              <w:r>
                <w:rPr>
                  <w:rFonts w:ascii="Stone Sans II ITC Std Sm"/>
                  <w:b/>
                  <w:spacing w:val="-1"/>
                  <w:w w:val="110"/>
                  <w:sz w:val="20"/>
                </w:rPr>
                <w:t> </w:t>
              </w:r>
              <w:r>
                <w:rPr>
                  <w:rFonts w:ascii="Stone Sans II ITC Std Sm"/>
                  <w:b/>
                  <w:w w:val="110"/>
                  <w:sz w:val="20"/>
                </w:rPr>
                <w:t>and learning</w:t>
                <w:tab/>
              </w:r>
              <w:r>
                <w:rPr>
                  <w:rFonts w:ascii="Stone Sans II ITC Std Sm"/>
                  <w:b/>
                  <w:spacing w:val="-4"/>
                  <w:w w:val="110"/>
                  <w:sz w:val="20"/>
                </w:rPr>
                <w:t>160</w:t>
              </w:r>
            </w:hyperlink>
          </w:p>
        </w:tc>
      </w:tr>
      <w:tr>
        <w:trPr>
          <w:trHeight w:val="160" w:hRule="atLeast"/>
        </w:trPr>
        <w:tc>
          <w:tcPr>
            <w:tcW w:w="1587" w:type="dxa"/>
            <w:vMerge/>
            <w:tcBorders>
              <w:top w:val="nil"/>
              <w:bottom w:val="single" w:sz="48" w:space="0" w:color="FFFFFF"/>
              <w:right w:val="single" w:sz="48" w:space="0" w:color="FFFFFF"/>
            </w:tcBorders>
          </w:tcPr>
          <w:p>
            <w:pPr>
              <w:rPr>
                <w:sz w:val="2"/>
                <w:szCs w:val="2"/>
              </w:rPr>
            </w:pPr>
          </w:p>
        </w:tc>
        <w:tc>
          <w:tcPr>
            <w:tcW w:w="5947" w:type="dxa"/>
            <w:gridSpan w:val="2"/>
            <w:tcBorders>
              <w:left w:val="single" w:sz="48" w:space="0" w:color="FFFFFF"/>
            </w:tcBorders>
            <w:shd w:val="clear" w:color="auto" w:fill="D4E9F7"/>
          </w:tcPr>
          <w:p>
            <w:pPr>
              <w:pStyle w:val="TableParagraph"/>
              <w:tabs>
                <w:tab w:pos="5716" w:val="right" w:leader="none"/>
              </w:tabs>
              <w:spacing w:line="140" w:lineRule="exact"/>
              <w:ind w:left="435"/>
              <w:rPr>
                <w:rFonts w:ascii="Stone Sans II ITC Std Sm"/>
                <w:b/>
                <w:sz w:val="20"/>
              </w:rPr>
            </w:pPr>
            <w:hyperlink w:history="true" w:anchor="_bookmark30">
              <w:r>
                <w:rPr>
                  <w:rFonts w:ascii="Stone Sans II ITC Std Sm"/>
                  <w:b/>
                  <w:w w:val="110"/>
                  <w:sz w:val="20"/>
                </w:rPr>
                <w:t>Statistics of students</w:t>
              </w:r>
              <w:r>
                <w:rPr>
                  <w:rFonts w:ascii="Stone Sans II ITC Std Sm"/>
                  <w:b/>
                  <w:spacing w:val="-1"/>
                  <w:w w:val="110"/>
                  <w:sz w:val="20"/>
                </w:rPr>
                <w:t> </w:t>
              </w:r>
              <w:r>
                <w:rPr>
                  <w:rFonts w:ascii="Stone Sans II ITC Std Sm"/>
                  <w:b/>
                  <w:w w:val="110"/>
                  <w:sz w:val="20"/>
                </w:rPr>
                <w:t>in</w:t>
              </w:r>
              <w:r>
                <w:rPr>
                  <w:rFonts w:ascii="Stone Sans II ITC Std Sm"/>
                  <w:b/>
                  <w:spacing w:val="-1"/>
                  <w:w w:val="110"/>
                  <w:sz w:val="20"/>
                </w:rPr>
                <w:t> </w:t>
              </w:r>
              <w:r>
                <w:rPr>
                  <w:rFonts w:ascii="Stone Sans II ITC Std Sm"/>
                  <w:b/>
                  <w:w w:val="110"/>
                  <w:sz w:val="20"/>
                </w:rPr>
                <w:t>EM1</w:t>
                <w:tab/>
              </w:r>
              <w:r>
                <w:rPr>
                  <w:rFonts w:ascii="Stone Sans II ITC Std Sm"/>
                  <w:b/>
                  <w:spacing w:val="-9"/>
                  <w:w w:val="110"/>
                  <w:sz w:val="20"/>
                </w:rPr>
                <w:t>170</w:t>
              </w:r>
            </w:hyperlink>
          </w:p>
        </w:tc>
      </w:tr>
      <w:tr>
        <w:trPr>
          <w:trHeight w:val="160" w:hRule="atLeast"/>
        </w:trPr>
        <w:tc>
          <w:tcPr>
            <w:tcW w:w="1587" w:type="dxa"/>
            <w:vMerge/>
            <w:tcBorders>
              <w:top w:val="nil"/>
              <w:bottom w:val="single" w:sz="48" w:space="0" w:color="FFFFFF"/>
              <w:right w:val="single" w:sz="48" w:space="0" w:color="FFFFFF"/>
            </w:tcBorders>
          </w:tcPr>
          <w:p>
            <w:pPr>
              <w:rPr>
                <w:sz w:val="2"/>
                <w:szCs w:val="2"/>
              </w:rPr>
            </w:pPr>
          </w:p>
        </w:tc>
        <w:tc>
          <w:tcPr>
            <w:tcW w:w="5947" w:type="dxa"/>
            <w:gridSpan w:val="2"/>
            <w:tcBorders>
              <w:left w:val="single" w:sz="48" w:space="0" w:color="FFFFFF"/>
            </w:tcBorders>
            <w:shd w:val="clear" w:color="auto" w:fill="D4E9F7"/>
          </w:tcPr>
          <w:p>
            <w:pPr>
              <w:pStyle w:val="TableParagraph"/>
              <w:tabs>
                <w:tab w:pos="5715" w:val="right" w:leader="none"/>
              </w:tabs>
              <w:spacing w:line="140" w:lineRule="exact"/>
              <w:ind w:left="435"/>
              <w:rPr>
                <w:rFonts w:ascii="Stone Sans II ITC Std Sm"/>
                <w:b/>
                <w:sz w:val="20"/>
              </w:rPr>
            </w:pPr>
            <w:hyperlink w:history="true" w:anchor="_bookmark31">
              <w:r>
                <w:rPr>
                  <w:rFonts w:ascii="Stone Sans II ITC Std Sm"/>
                  <w:b/>
                  <w:w w:val="110"/>
                  <w:sz w:val="20"/>
                </w:rPr>
                <w:t>Students sent</w:t>
              </w:r>
              <w:r>
                <w:rPr>
                  <w:rFonts w:ascii="Stone Sans II ITC Std Sm"/>
                  <w:b/>
                  <w:spacing w:val="-1"/>
                  <w:w w:val="110"/>
                  <w:sz w:val="20"/>
                </w:rPr>
                <w:t> </w:t>
              </w:r>
              <w:r>
                <w:rPr>
                  <w:rFonts w:ascii="Stone Sans II ITC Std Sm"/>
                  <w:b/>
                  <w:w w:val="110"/>
                  <w:sz w:val="20"/>
                </w:rPr>
                <w:t>by synod</w:t>
                <w:tab/>
              </w:r>
              <w:r>
                <w:rPr>
                  <w:rFonts w:ascii="Stone Sans II ITC Std Sm"/>
                  <w:b/>
                  <w:spacing w:val="-9"/>
                  <w:w w:val="110"/>
                  <w:sz w:val="20"/>
                </w:rPr>
                <w:t>171</w:t>
              </w:r>
            </w:hyperlink>
          </w:p>
        </w:tc>
      </w:tr>
      <w:tr>
        <w:trPr>
          <w:trHeight w:val="160" w:hRule="atLeast"/>
        </w:trPr>
        <w:tc>
          <w:tcPr>
            <w:tcW w:w="1587" w:type="dxa"/>
            <w:vMerge/>
            <w:tcBorders>
              <w:top w:val="nil"/>
              <w:bottom w:val="single" w:sz="48" w:space="0" w:color="FFFFFF"/>
              <w:right w:val="single" w:sz="48" w:space="0" w:color="FFFFFF"/>
            </w:tcBorders>
          </w:tcPr>
          <w:p>
            <w:pPr>
              <w:rPr>
                <w:sz w:val="2"/>
                <w:szCs w:val="2"/>
              </w:rPr>
            </w:pPr>
          </w:p>
        </w:tc>
        <w:tc>
          <w:tcPr>
            <w:tcW w:w="5947" w:type="dxa"/>
            <w:gridSpan w:val="2"/>
            <w:tcBorders>
              <w:left w:val="single" w:sz="48" w:space="0" w:color="FFFFFF"/>
            </w:tcBorders>
            <w:shd w:val="clear" w:color="auto" w:fill="D4E9F7"/>
          </w:tcPr>
          <w:p>
            <w:pPr>
              <w:pStyle w:val="TableParagraph"/>
              <w:tabs>
                <w:tab w:pos="5715" w:val="right" w:leader="none"/>
              </w:tabs>
              <w:spacing w:line="140" w:lineRule="exact"/>
              <w:ind w:left="96"/>
              <w:rPr>
                <w:rFonts w:ascii="Stone Sans II ITC Std Sm"/>
                <w:b/>
                <w:sz w:val="20"/>
              </w:rPr>
            </w:pPr>
            <w:hyperlink w:history="true" w:anchor="_bookmark32">
              <w:r>
                <w:rPr>
                  <w:rFonts w:ascii="Stone Sans II ITC Std Sm"/>
                  <w:b/>
                  <w:w w:val="110"/>
                  <w:sz w:val="20"/>
                </w:rPr>
                <w:t>Equalities</w:t>
                <w:tab/>
              </w:r>
              <w:r>
                <w:rPr>
                  <w:rFonts w:ascii="Stone Sans II ITC Std Sm"/>
                  <w:b/>
                  <w:spacing w:val="-8"/>
                  <w:w w:val="110"/>
                  <w:sz w:val="20"/>
                </w:rPr>
                <w:t>173</w:t>
              </w:r>
            </w:hyperlink>
          </w:p>
        </w:tc>
      </w:tr>
      <w:tr>
        <w:trPr>
          <w:trHeight w:val="160" w:hRule="atLeast"/>
        </w:trPr>
        <w:tc>
          <w:tcPr>
            <w:tcW w:w="1587" w:type="dxa"/>
            <w:vMerge/>
            <w:tcBorders>
              <w:top w:val="nil"/>
              <w:bottom w:val="single" w:sz="48" w:space="0" w:color="FFFFFF"/>
              <w:right w:val="single" w:sz="48" w:space="0" w:color="FFFFFF"/>
            </w:tcBorders>
          </w:tcPr>
          <w:p>
            <w:pPr>
              <w:rPr>
                <w:sz w:val="2"/>
                <w:szCs w:val="2"/>
              </w:rPr>
            </w:pPr>
          </w:p>
        </w:tc>
        <w:tc>
          <w:tcPr>
            <w:tcW w:w="5947" w:type="dxa"/>
            <w:gridSpan w:val="2"/>
            <w:tcBorders>
              <w:left w:val="single" w:sz="48" w:space="0" w:color="FFFFFF"/>
            </w:tcBorders>
            <w:shd w:val="clear" w:color="auto" w:fill="D4E9F7"/>
          </w:tcPr>
          <w:p>
            <w:pPr>
              <w:pStyle w:val="TableParagraph"/>
              <w:tabs>
                <w:tab w:pos="5715" w:val="right" w:leader="none"/>
              </w:tabs>
              <w:spacing w:line="140" w:lineRule="exact"/>
              <w:ind w:left="96"/>
              <w:rPr>
                <w:rFonts w:ascii="Stone Sans II ITC Std Sm"/>
                <w:b/>
                <w:sz w:val="20"/>
              </w:rPr>
            </w:pPr>
            <w:hyperlink w:history="true" w:anchor="_bookmark33">
              <w:r>
                <w:rPr>
                  <w:rFonts w:ascii="Stone Sans II ITC Std Sm"/>
                  <w:b/>
                  <w:w w:val="110"/>
                  <w:sz w:val="20"/>
                </w:rPr>
                <w:t>Faith</w:t>
              </w:r>
              <w:r>
                <w:rPr>
                  <w:rFonts w:ascii="Stone Sans II ITC Std Sm"/>
                  <w:b/>
                  <w:spacing w:val="-1"/>
                  <w:w w:val="110"/>
                  <w:sz w:val="20"/>
                </w:rPr>
                <w:t> </w:t>
              </w:r>
              <w:r>
                <w:rPr>
                  <w:rFonts w:ascii="Stone Sans II ITC Std Sm"/>
                  <w:b/>
                  <w:w w:val="110"/>
                  <w:sz w:val="20"/>
                </w:rPr>
                <w:t>and order</w:t>
                <w:tab/>
              </w:r>
              <w:r>
                <w:rPr>
                  <w:rFonts w:ascii="Stone Sans II ITC Std Sm"/>
                  <w:b/>
                  <w:spacing w:val="-12"/>
                  <w:w w:val="110"/>
                  <w:sz w:val="20"/>
                </w:rPr>
                <w:t>175</w:t>
              </w:r>
            </w:hyperlink>
          </w:p>
        </w:tc>
      </w:tr>
      <w:tr>
        <w:trPr>
          <w:trHeight w:val="160" w:hRule="atLeast"/>
        </w:trPr>
        <w:tc>
          <w:tcPr>
            <w:tcW w:w="1587" w:type="dxa"/>
            <w:vMerge/>
            <w:tcBorders>
              <w:top w:val="nil"/>
              <w:bottom w:val="single" w:sz="48" w:space="0" w:color="FFFFFF"/>
              <w:right w:val="single" w:sz="48" w:space="0" w:color="FFFFFF"/>
            </w:tcBorders>
          </w:tcPr>
          <w:p>
            <w:pPr>
              <w:rPr>
                <w:sz w:val="2"/>
                <w:szCs w:val="2"/>
              </w:rPr>
            </w:pPr>
          </w:p>
        </w:tc>
        <w:tc>
          <w:tcPr>
            <w:tcW w:w="5947" w:type="dxa"/>
            <w:gridSpan w:val="2"/>
            <w:tcBorders>
              <w:left w:val="single" w:sz="48" w:space="0" w:color="FFFFFF"/>
            </w:tcBorders>
            <w:shd w:val="clear" w:color="auto" w:fill="D4E9F7"/>
          </w:tcPr>
          <w:p>
            <w:pPr>
              <w:pStyle w:val="TableParagraph"/>
              <w:tabs>
                <w:tab w:pos="5715" w:val="right" w:leader="none"/>
              </w:tabs>
              <w:spacing w:line="140" w:lineRule="exact"/>
              <w:ind w:left="96"/>
              <w:rPr>
                <w:rFonts w:ascii="Stone Sans II ITC Std Sm"/>
                <w:b/>
                <w:sz w:val="20"/>
              </w:rPr>
            </w:pPr>
            <w:hyperlink w:history="true" w:anchor="_bookmark34">
              <w:r>
                <w:rPr>
                  <w:rFonts w:ascii="Stone Sans II ITC Std Sm"/>
                  <w:b/>
                  <w:w w:val="110"/>
                  <w:sz w:val="20"/>
                </w:rPr>
                <w:t>Finance</w:t>
                <w:tab/>
              </w:r>
              <w:r>
                <w:rPr>
                  <w:rFonts w:ascii="Stone Sans II ITC Std Sm"/>
                  <w:b/>
                  <w:spacing w:val="-9"/>
                  <w:w w:val="110"/>
                  <w:sz w:val="20"/>
                </w:rPr>
                <w:t>179</w:t>
              </w:r>
            </w:hyperlink>
          </w:p>
        </w:tc>
      </w:tr>
      <w:tr>
        <w:trPr>
          <w:trHeight w:val="160" w:hRule="atLeast"/>
        </w:trPr>
        <w:tc>
          <w:tcPr>
            <w:tcW w:w="1587" w:type="dxa"/>
            <w:vMerge/>
            <w:tcBorders>
              <w:top w:val="nil"/>
              <w:bottom w:val="single" w:sz="48" w:space="0" w:color="FFFFFF"/>
              <w:right w:val="single" w:sz="48" w:space="0" w:color="FFFFFF"/>
            </w:tcBorders>
          </w:tcPr>
          <w:p>
            <w:pPr>
              <w:rPr>
                <w:sz w:val="2"/>
                <w:szCs w:val="2"/>
              </w:rPr>
            </w:pPr>
          </w:p>
        </w:tc>
        <w:tc>
          <w:tcPr>
            <w:tcW w:w="5947" w:type="dxa"/>
            <w:gridSpan w:val="2"/>
            <w:tcBorders>
              <w:left w:val="single" w:sz="48" w:space="0" w:color="FFFFFF"/>
            </w:tcBorders>
            <w:shd w:val="clear" w:color="auto" w:fill="D4E9F7"/>
          </w:tcPr>
          <w:p>
            <w:pPr>
              <w:pStyle w:val="TableParagraph"/>
              <w:tabs>
                <w:tab w:pos="5716" w:val="right" w:leader="none"/>
              </w:tabs>
              <w:spacing w:line="140" w:lineRule="exact"/>
              <w:ind w:left="96"/>
              <w:rPr>
                <w:rFonts w:ascii="Stone Sans II ITC Std Sm"/>
                <w:b/>
                <w:sz w:val="20"/>
              </w:rPr>
            </w:pPr>
            <w:hyperlink w:history="true" w:anchor="_bookmark35">
              <w:r>
                <w:rPr>
                  <w:rFonts w:ascii="Stone Sans II ITC Std Sm"/>
                  <w:b/>
                  <w:w w:val="110"/>
                  <w:sz w:val="20"/>
                </w:rPr>
                <w:t>Ministries</w:t>
                <w:tab/>
              </w:r>
              <w:r>
                <w:rPr>
                  <w:rFonts w:ascii="Stone Sans II ITC Std Sm"/>
                  <w:b/>
                  <w:spacing w:val="-7"/>
                  <w:w w:val="110"/>
                  <w:sz w:val="20"/>
                </w:rPr>
                <w:t>181</w:t>
              </w:r>
            </w:hyperlink>
          </w:p>
        </w:tc>
      </w:tr>
      <w:tr>
        <w:trPr>
          <w:trHeight w:val="160" w:hRule="atLeast"/>
        </w:trPr>
        <w:tc>
          <w:tcPr>
            <w:tcW w:w="1587" w:type="dxa"/>
            <w:vMerge/>
            <w:tcBorders>
              <w:top w:val="nil"/>
              <w:bottom w:val="single" w:sz="48" w:space="0" w:color="FFFFFF"/>
              <w:right w:val="single" w:sz="48" w:space="0" w:color="FFFFFF"/>
            </w:tcBorders>
          </w:tcPr>
          <w:p>
            <w:pPr>
              <w:rPr>
                <w:sz w:val="2"/>
                <w:szCs w:val="2"/>
              </w:rPr>
            </w:pPr>
          </w:p>
        </w:tc>
        <w:tc>
          <w:tcPr>
            <w:tcW w:w="5947" w:type="dxa"/>
            <w:gridSpan w:val="2"/>
            <w:tcBorders>
              <w:left w:val="single" w:sz="48" w:space="0" w:color="FFFFFF"/>
            </w:tcBorders>
            <w:shd w:val="clear" w:color="auto" w:fill="D4E9F7"/>
          </w:tcPr>
          <w:p>
            <w:pPr>
              <w:pStyle w:val="TableParagraph"/>
              <w:tabs>
                <w:tab w:pos="5715" w:val="right" w:leader="none"/>
              </w:tabs>
              <w:spacing w:line="140" w:lineRule="exact"/>
              <w:ind w:left="435"/>
              <w:rPr>
                <w:rFonts w:ascii="Stone Sans II ITC Std Sm"/>
                <w:b/>
                <w:sz w:val="20"/>
              </w:rPr>
            </w:pPr>
            <w:hyperlink w:history="true" w:anchor="_bookmark36">
              <w:r>
                <w:rPr>
                  <w:rFonts w:ascii="Stone Sans II ITC Std Sm"/>
                  <w:b/>
                  <w:w w:val="110"/>
                  <w:sz w:val="20"/>
                </w:rPr>
                <w:t>Accreditation</w:t>
                <w:tab/>
              </w:r>
              <w:r>
                <w:rPr>
                  <w:rFonts w:ascii="Stone Sans II ITC Std Sm"/>
                  <w:b/>
                  <w:spacing w:val="-3"/>
                  <w:w w:val="110"/>
                  <w:sz w:val="20"/>
                </w:rPr>
                <w:t>184</w:t>
              </w:r>
            </w:hyperlink>
          </w:p>
        </w:tc>
      </w:tr>
      <w:tr>
        <w:trPr>
          <w:trHeight w:val="160" w:hRule="atLeast"/>
        </w:trPr>
        <w:tc>
          <w:tcPr>
            <w:tcW w:w="1587" w:type="dxa"/>
            <w:vMerge/>
            <w:tcBorders>
              <w:top w:val="nil"/>
              <w:bottom w:val="single" w:sz="48" w:space="0" w:color="FFFFFF"/>
              <w:right w:val="single" w:sz="48" w:space="0" w:color="FFFFFF"/>
            </w:tcBorders>
          </w:tcPr>
          <w:p>
            <w:pPr>
              <w:rPr>
                <w:sz w:val="2"/>
                <w:szCs w:val="2"/>
              </w:rPr>
            </w:pPr>
          </w:p>
        </w:tc>
        <w:tc>
          <w:tcPr>
            <w:tcW w:w="5947" w:type="dxa"/>
            <w:gridSpan w:val="2"/>
            <w:tcBorders>
              <w:left w:val="single" w:sz="48" w:space="0" w:color="FFFFFF"/>
            </w:tcBorders>
            <w:shd w:val="clear" w:color="auto" w:fill="D4E9F7"/>
          </w:tcPr>
          <w:p>
            <w:pPr>
              <w:pStyle w:val="TableParagraph"/>
              <w:tabs>
                <w:tab w:pos="5323" w:val="left" w:leader="none"/>
              </w:tabs>
              <w:spacing w:line="140" w:lineRule="exact"/>
              <w:ind w:left="435"/>
              <w:rPr>
                <w:rFonts w:ascii="Stone Sans II ITC Std Sm"/>
                <w:b/>
                <w:sz w:val="20"/>
              </w:rPr>
            </w:pPr>
            <w:hyperlink w:history="true" w:anchor="_bookmark37">
              <w:r>
                <w:rPr>
                  <w:rFonts w:ascii="Stone Sans II ITC Std Sm"/>
                  <w:b/>
                  <w:w w:val="110"/>
                  <w:sz w:val="20"/>
                </w:rPr>
                <w:t>Church related community</w:t>
              </w:r>
              <w:r>
                <w:rPr>
                  <w:rFonts w:ascii="Stone Sans II ITC Std Sm"/>
                  <w:b/>
                  <w:spacing w:val="-4"/>
                  <w:w w:val="110"/>
                  <w:sz w:val="20"/>
                </w:rPr>
                <w:t> </w:t>
              </w:r>
              <w:r>
                <w:rPr>
                  <w:rFonts w:ascii="Stone Sans II ITC Std Sm"/>
                  <w:b/>
                  <w:w w:val="110"/>
                  <w:sz w:val="20"/>
                </w:rPr>
                <w:t>work</w:t>
              </w:r>
              <w:r>
                <w:rPr>
                  <w:rFonts w:ascii="Stone Sans II ITC Std Sm"/>
                  <w:b/>
                  <w:spacing w:val="-1"/>
                  <w:w w:val="110"/>
                  <w:sz w:val="20"/>
                </w:rPr>
                <w:t> </w:t>
              </w:r>
              <w:r>
                <w:rPr>
                  <w:rFonts w:ascii="Stone Sans II ITC Std Sm"/>
                  <w:b/>
                  <w:w w:val="110"/>
                  <w:sz w:val="20"/>
                </w:rPr>
                <w:t>programme</w:t>
                <w:tab/>
              </w:r>
              <w:r>
                <w:rPr>
                  <w:rFonts w:ascii="Stone Sans II ITC Std Sm"/>
                  <w:b/>
                  <w:spacing w:val="-4"/>
                  <w:w w:val="110"/>
                  <w:sz w:val="20"/>
                </w:rPr>
                <w:t>186</w:t>
              </w:r>
            </w:hyperlink>
          </w:p>
        </w:tc>
      </w:tr>
      <w:tr>
        <w:trPr>
          <w:trHeight w:val="160" w:hRule="atLeast"/>
        </w:trPr>
        <w:tc>
          <w:tcPr>
            <w:tcW w:w="1587" w:type="dxa"/>
            <w:vMerge/>
            <w:tcBorders>
              <w:top w:val="nil"/>
              <w:bottom w:val="single" w:sz="48" w:space="0" w:color="FFFFFF"/>
              <w:right w:val="single" w:sz="48" w:space="0" w:color="FFFFFF"/>
            </w:tcBorders>
          </w:tcPr>
          <w:p>
            <w:pPr>
              <w:rPr>
                <w:sz w:val="2"/>
                <w:szCs w:val="2"/>
              </w:rPr>
            </w:pPr>
          </w:p>
        </w:tc>
        <w:tc>
          <w:tcPr>
            <w:tcW w:w="5947" w:type="dxa"/>
            <w:gridSpan w:val="2"/>
            <w:tcBorders>
              <w:left w:val="single" w:sz="48" w:space="0" w:color="FFFFFF"/>
            </w:tcBorders>
            <w:shd w:val="clear" w:color="auto" w:fill="D4E9F7"/>
          </w:tcPr>
          <w:p>
            <w:pPr>
              <w:pStyle w:val="TableParagraph"/>
              <w:tabs>
                <w:tab w:pos="5715" w:val="right" w:leader="none"/>
              </w:tabs>
              <w:spacing w:line="140" w:lineRule="exact"/>
              <w:ind w:left="435"/>
              <w:rPr>
                <w:rFonts w:ascii="Stone Sans II ITC Std Sm"/>
                <w:b/>
                <w:sz w:val="20"/>
              </w:rPr>
            </w:pPr>
            <w:hyperlink w:history="true" w:anchor="_bookmark38">
              <w:r>
                <w:rPr>
                  <w:rFonts w:ascii="Stone Sans II ITC Std Sm"/>
                  <w:b/>
                  <w:w w:val="110"/>
                  <w:sz w:val="20"/>
                </w:rPr>
                <w:t>Maintenance of</w:t>
              </w:r>
              <w:r>
                <w:rPr>
                  <w:rFonts w:ascii="Stone Sans II ITC Std Sm"/>
                  <w:b/>
                  <w:spacing w:val="-1"/>
                  <w:w w:val="110"/>
                  <w:sz w:val="20"/>
                </w:rPr>
                <w:t> </w:t>
              </w:r>
              <w:r>
                <w:rPr>
                  <w:rFonts w:ascii="Stone Sans II ITC Std Sm"/>
                  <w:b/>
                  <w:w w:val="110"/>
                  <w:sz w:val="20"/>
                </w:rPr>
                <w:t>the ministry</w:t>
                <w:tab/>
              </w:r>
              <w:r>
                <w:rPr>
                  <w:rFonts w:ascii="Stone Sans II ITC Std Sm"/>
                  <w:b/>
                  <w:spacing w:val="-7"/>
                  <w:w w:val="110"/>
                  <w:sz w:val="20"/>
                </w:rPr>
                <w:t>187</w:t>
              </w:r>
            </w:hyperlink>
          </w:p>
        </w:tc>
      </w:tr>
      <w:tr>
        <w:trPr>
          <w:trHeight w:val="160" w:hRule="atLeast"/>
        </w:trPr>
        <w:tc>
          <w:tcPr>
            <w:tcW w:w="1587" w:type="dxa"/>
            <w:vMerge/>
            <w:tcBorders>
              <w:top w:val="nil"/>
              <w:bottom w:val="single" w:sz="48" w:space="0" w:color="FFFFFF"/>
              <w:right w:val="single" w:sz="48" w:space="0" w:color="FFFFFF"/>
            </w:tcBorders>
          </w:tcPr>
          <w:p>
            <w:pPr>
              <w:rPr>
                <w:sz w:val="2"/>
                <w:szCs w:val="2"/>
              </w:rPr>
            </w:pPr>
          </w:p>
        </w:tc>
        <w:tc>
          <w:tcPr>
            <w:tcW w:w="5947" w:type="dxa"/>
            <w:gridSpan w:val="2"/>
            <w:tcBorders>
              <w:left w:val="single" w:sz="48" w:space="0" w:color="FFFFFF"/>
            </w:tcBorders>
            <w:shd w:val="clear" w:color="auto" w:fill="D4E9F7"/>
          </w:tcPr>
          <w:p>
            <w:pPr>
              <w:pStyle w:val="TableParagraph"/>
              <w:tabs>
                <w:tab w:pos="5716" w:val="right" w:leader="none"/>
              </w:tabs>
              <w:spacing w:line="140" w:lineRule="exact"/>
              <w:ind w:left="435"/>
              <w:rPr>
                <w:rFonts w:ascii="Stone Sans II ITC Std Sm" w:hAnsi="Stone Sans II ITC Std Sm"/>
                <w:b/>
                <w:sz w:val="20"/>
              </w:rPr>
            </w:pPr>
            <w:hyperlink w:history="true" w:anchor="_bookmark39">
              <w:r>
                <w:rPr>
                  <w:rFonts w:ascii="Stone Sans II ITC Std Sm" w:hAnsi="Stone Sans II ITC Std Sm"/>
                  <w:b/>
                  <w:w w:val="110"/>
                  <w:sz w:val="20"/>
                </w:rPr>
                <w:t>Retired</w:t>
              </w:r>
              <w:r>
                <w:rPr>
                  <w:rFonts w:ascii="Stone Sans II ITC Std Sm" w:hAnsi="Stone Sans II ITC Std Sm"/>
                  <w:b/>
                  <w:spacing w:val="-1"/>
                  <w:w w:val="110"/>
                  <w:sz w:val="20"/>
                </w:rPr>
                <w:t> </w:t>
              </w:r>
              <w:r>
                <w:rPr>
                  <w:rFonts w:ascii="Stone Sans II ITC Std Sm" w:hAnsi="Stone Sans II ITC Std Sm"/>
                  <w:b/>
                  <w:w w:val="110"/>
                  <w:sz w:val="20"/>
                </w:rPr>
                <w:t>ministers’ housing</w:t>
                <w:tab/>
              </w:r>
              <w:r>
                <w:rPr>
                  <w:rFonts w:ascii="Stone Sans II ITC Std Sm" w:hAnsi="Stone Sans II ITC Std Sm"/>
                  <w:b/>
                  <w:spacing w:val="-4"/>
                  <w:w w:val="110"/>
                  <w:sz w:val="20"/>
                </w:rPr>
                <w:t>188</w:t>
              </w:r>
            </w:hyperlink>
          </w:p>
        </w:tc>
      </w:tr>
      <w:tr>
        <w:trPr>
          <w:trHeight w:val="160" w:hRule="atLeast"/>
        </w:trPr>
        <w:tc>
          <w:tcPr>
            <w:tcW w:w="1587" w:type="dxa"/>
            <w:vMerge/>
            <w:tcBorders>
              <w:top w:val="nil"/>
              <w:bottom w:val="single" w:sz="48" w:space="0" w:color="FFFFFF"/>
              <w:right w:val="single" w:sz="48" w:space="0" w:color="FFFFFF"/>
            </w:tcBorders>
          </w:tcPr>
          <w:p>
            <w:pPr>
              <w:rPr>
                <w:sz w:val="2"/>
                <w:szCs w:val="2"/>
              </w:rPr>
            </w:pPr>
          </w:p>
        </w:tc>
        <w:tc>
          <w:tcPr>
            <w:tcW w:w="5947" w:type="dxa"/>
            <w:gridSpan w:val="2"/>
            <w:tcBorders>
              <w:left w:val="single" w:sz="48" w:space="0" w:color="FFFFFF"/>
            </w:tcBorders>
            <w:shd w:val="clear" w:color="auto" w:fill="D4E9F7"/>
          </w:tcPr>
          <w:p>
            <w:pPr>
              <w:pStyle w:val="TableParagraph"/>
              <w:tabs>
                <w:tab w:pos="5715" w:val="right" w:leader="none"/>
              </w:tabs>
              <w:spacing w:line="140" w:lineRule="exact"/>
              <w:ind w:left="96"/>
              <w:rPr>
                <w:rFonts w:ascii="Stone Sans II ITC Std Sm"/>
                <w:b/>
                <w:sz w:val="20"/>
              </w:rPr>
            </w:pPr>
            <w:hyperlink w:history="true" w:anchor="_bookmark40">
              <w:r>
                <w:rPr>
                  <w:rFonts w:ascii="Stone Sans II ITC Std Sm"/>
                  <w:b/>
                  <w:w w:val="110"/>
                  <w:sz w:val="20"/>
                </w:rPr>
                <w:t>Mission</w:t>
                <w:tab/>
              </w:r>
              <w:r>
                <w:rPr>
                  <w:rFonts w:ascii="Stone Sans II ITC Std Sm"/>
                  <w:b/>
                  <w:spacing w:val="-4"/>
                  <w:w w:val="110"/>
                  <w:sz w:val="20"/>
                </w:rPr>
                <w:t>190</w:t>
              </w:r>
            </w:hyperlink>
          </w:p>
        </w:tc>
      </w:tr>
      <w:tr>
        <w:trPr>
          <w:trHeight w:val="160" w:hRule="atLeast"/>
        </w:trPr>
        <w:tc>
          <w:tcPr>
            <w:tcW w:w="1587" w:type="dxa"/>
            <w:vMerge/>
            <w:tcBorders>
              <w:top w:val="nil"/>
              <w:bottom w:val="single" w:sz="48" w:space="0" w:color="FFFFFF"/>
              <w:right w:val="single" w:sz="48" w:space="0" w:color="FFFFFF"/>
            </w:tcBorders>
          </w:tcPr>
          <w:p>
            <w:pPr>
              <w:rPr>
                <w:sz w:val="2"/>
                <w:szCs w:val="2"/>
              </w:rPr>
            </w:pPr>
          </w:p>
        </w:tc>
        <w:tc>
          <w:tcPr>
            <w:tcW w:w="5947" w:type="dxa"/>
            <w:gridSpan w:val="2"/>
            <w:tcBorders>
              <w:left w:val="single" w:sz="48" w:space="0" w:color="FFFFFF"/>
            </w:tcBorders>
            <w:shd w:val="clear" w:color="auto" w:fill="D4E9F7"/>
          </w:tcPr>
          <w:p>
            <w:pPr>
              <w:pStyle w:val="TableParagraph"/>
              <w:tabs>
                <w:tab w:pos="5715" w:val="right" w:leader="none"/>
              </w:tabs>
              <w:spacing w:line="140" w:lineRule="exact"/>
              <w:ind w:left="96"/>
              <w:rPr>
                <w:rFonts w:ascii="Stone Sans II ITC Std Sm"/>
                <w:b/>
                <w:sz w:val="20"/>
              </w:rPr>
            </w:pPr>
            <w:hyperlink w:history="true" w:anchor="_bookmark41">
              <w:r>
                <w:rPr>
                  <w:rFonts w:ascii="Stone Sans II ITC Std Sm"/>
                  <w:b/>
                  <w:w w:val="110"/>
                  <w:sz w:val="20"/>
                </w:rPr>
                <w:t>Pastoral reference</w:t>
              </w:r>
              <w:r>
                <w:rPr>
                  <w:rFonts w:ascii="Stone Sans II ITC Std Sm"/>
                  <w:b/>
                  <w:spacing w:val="-1"/>
                  <w:w w:val="110"/>
                  <w:sz w:val="20"/>
                </w:rPr>
                <w:t> </w:t>
              </w:r>
              <w:r>
                <w:rPr>
                  <w:rFonts w:ascii="Stone Sans II ITC Std Sm"/>
                  <w:b/>
                  <w:w w:val="110"/>
                  <w:sz w:val="20"/>
                </w:rPr>
                <w:t>and welfare</w:t>
                <w:tab/>
                <w:t>205</w:t>
              </w:r>
            </w:hyperlink>
          </w:p>
        </w:tc>
      </w:tr>
      <w:tr>
        <w:trPr>
          <w:trHeight w:val="325" w:hRule="atLeast"/>
        </w:trPr>
        <w:tc>
          <w:tcPr>
            <w:tcW w:w="1587" w:type="dxa"/>
            <w:vMerge/>
            <w:tcBorders>
              <w:top w:val="nil"/>
              <w:bottom w:val="single" w:sz="48" w:space="0" w:color="FFFFFF"/>
              <w:right w:val="single" w:sz="48" w:space="0" w:color="FFFFFF"/>
            </w:tcBorders>
          </w:tcPr>
          <w:p>
            <w:pPr>
              <w:rPr>
                <w:sz w:val="2"/>
                <w:szCs w:val="2"/>
              </w:rPr>
            </w:pPr>
          </w:p>
        </w:tc>
        <w:tc>
          <w:tcPr>
            <w:tcW w:w="5947" w:type="dxa"/>
            <w:gridSpan w:val="2"/>
            <w:tcBorders>
              <w:left w:val="single" w:sz="48" w:space="0" w:color="FFFFFF"/>
              <w:bottom w:val="single" w:sz="48" w:space="0" w:color="FFFFFF"/>
            </w:tcBorders>
            <w:shd w:val="clear" w:color="auto" w:fill="D4E9F7"/>
          </w:tcPr>
          <w:p>
            <w:pPr>
              <w:pStyle w:val="TableParagraph"/>
              <w:tabs>
                <w:tab w:pos="5716" w:val="right" w:leader="none"/>
              </w:tabs>
              <w:spacing w:line="216" w:lineRule="exact"/>
              <w:ind w:left="96"/>
              <w:rPr>
                <w:rFonts w:ascii="Stone Sans II ITC Std Sm"/>
                <w:b/>
                <w:sz w:val="20"/>
              </w:rPr>
            </w:pPr>
            <w:hyperlink w:history="true" w:anchor="_bookmark42">
              <w:r>
                <w:rPr>
                  <w:rFonts w:ascii="Stone Sans II ITC Std Sm"/>
                  <w:b/>
                  <w:w w:val="110"/>
                  <w:sz w:val="20"/>
                </w:rPr>
                <w:t>Church</w:t>
              </w:r>
              <w:r>
                <w:rPr>
                  <w:rFonts w:ascii="Stone Sans II ITC Std Sm"/>
                  <w:b/>
                  <w:spacing w:val="-1"/>
                  <w:w w:val="110"/>
                  <w:sz w:val="20"/>
                </w:rPr>
                <w:t> </w:t>
              </w:r>
              <w:r>
                <w:rPr>
                  <w:rFonts w:ascii="Stone Sans II ITC Std Sm"/>
                  <w:b/>
                  <w:w w:val="110"/>
                  <w:sz w:val="20"/>
                </w:rPr>
                <w:t>changes</w:t>
                <w:tab/>
              </w:r>
              <w:r>
                <w:rPr>
                  <w:rFonts w:ascii="Stone Sans II ITC Std Sm"/>
                  <w:b/>
                  <w:spacing w:val="-3"/>
                  <w:w w:val="110"/>
                  <w:sz w:val="20"/>
                </w:rPr>
                <w:t>207</w:t>
              </w:r>
            </w:hyperlink>
          </w:p>
        </w:tc>
      </w:tr>
      <w:tr>
        <w:trPr>
          <w:trHeight w:val="268" w:hRule="atLeast"/>
        </w:trPr>
        <w:tc>
          <w:tcPr>
            <w:tcW w:w="1587" w:type="dxa"/>
            <w:tcBorders>
              <w:top w:val="single" w:sz="48" w:space="0" w:color="FFFFFF"/>
              <w:right w:val="single" w:sz="48" w:space="0" w:color="FFFFFF"/>
            </w:tcBorders>
            <w:shd w:val="clear" w:color="auto" w:fill="FBD9C9"/>
          </w:tcPr>
          <w:p>
            <w:pPr>
              <w:pStyle w:val="TableParagraph"/>
              <w:spacing w:line="217" w:lineRule="exact" w:before="30"/>
              <w:ind w:left="59"/>
              <w:rPr>
                <w:rFonts w:ascii="Stone Sans II ITC Std X Bd"/>
                <w:b/>
                <w:sz w:val="20"/>
              </w:rPr>
            </w:pPr>
            <w:r>
              <w:rPr>
                <w:rFonts w:ascii="Stone Sans II ITC Std X Bd"/>
                <w:b/>
                <w:w w:val="110"/>
                <w:sz w:val="20"/>
              </w:rPr>
              <w:t>PART THREE</w:t>
            </w:r>
          </w:p>
        </w:tc>
        <w:tc>
          <w:tcPr>
            <w:tcW w:w="4852" w:type="dxa"/>
            <w:vMerge w:val="restart"/>
            <w:tcBorders>
              <w:top w:val="single" w:sz="48" w:space="0" w:color="FFFFFF"/>
              <w:left w:val="single" w:sz="48" w:space="0" w:color="FFFFFF"/>
              <w:bottom w:val="single" w:sz="48" w:space="0" w:color="FFFFFF"/>
            </w:tcBorders>
            <w:shd w:val="clear" w:color="auto" w:fill="FBD9C9"/>
          </w:tcPr>
          <w:p>
            <w:pPr>
              <w:pStyle w:val="TableParagraph"/>
              <w:spacing w:before="140"/>
              <w:ind w:left="96"/>
              <w:rPr>
                <w:rFonts w:ascii="Stone Sans II ITC Std X Bd"/>
                <w:b/>
                <w:sz w:val="20"/>
              </w:rPr>
            </w:pPr>
            <w:hyperlink w:history="true" w:anchor="_bookmark43">
              <w:r>
                <w:rPr>
                  <w:rFonts w:ascii="Stone Sans II ITC Std X Bd"/>
                  <w:b/>
                  <w:w w:val="110"/>
                  <w:sz w:val="20"/>
                </w:rPr>
                <w:t>Information papers</w:t>
              </w:r>
            </w:hyperlink>
          </w:p>
        </w:tc>
        <w:tc>
          <w:tcPr>
            <w:tcW w:w="1095" w:type="dxa"/>
            <w:vMerge w:val="restart"/>
            <w:tcBorders>
              <w:top w:val="single" w:sz="48" w:space="0" w:color="FFFFFF"/>
              <w:bottom w:val="single" w:sz="48" w:space="0" w:color="FFFFFF"/>
            </w:tcBorders>
            <w:shd w:val="clear" w:color="auto" w:fill="FBD9C9"/>
          </w:tcPr>
          <w:p>
            <w:pPr>
              <w:pStyle w:val="TableParagraph"/>
              <w:spacing w:before="140"/>
              <w:ind w:left="506"/>
              <w:rPr>
                <w:rFonts w:ascii="Stone Sans II ITC Std X Bd"/>
                <w:b/>
                <w:sz w:val="20"/>
              </w:rPr>
            </w:pPr>
            <w:hyperlink w:history="true" w:anchor="_bookmark43">
              <w:r>
                <w:rPr>
                  <w:rFonts w:ascii="Stone Sans II ITC Std X Bd"/>
                  <w:b/>
                  <w:w w:val="110"/>
                  <w:sz w:val="20"/>
                </w:rPr>
                <w:t>215</w:t>
              </w:r>
            </w:hyperlink>
          </w:p>
        </w:tc>
      </w:tr>
      <w:tr>
        <w:trPr>
          <w:trHeight w:val="194" w:hRule="atLeast"/>
        </w:trPr>
        <w:tc>
          <w:tcPr>
            <w:tcW w:w="1587" w:type="dxa"/>
            <w:tcBorders>
              <w:bottom w:val="single" w:sz="48" w:space="0" w:color="FFFFFF"/>
              <w:right w:val="single" w:sz="48" w:space="0" w:color="FFFFFF"/>
            </w:tcBorders>
          </w:tcPr>
          <w:p>
            <w:pPr>
              <w:pStyle w:val="TableParagraph"/>
              <w:ind w:left="0"/>
              <w:rPr>
                <w:rFonts w:ascii="Times New Roman"/>
                <w:sz w:val="12"/>
              </w:rPr>
            </w:pPr>
          </w:p>
        </w:tc>
        <w:tc>
          <w:tcPr>
            <w:tcW w:w="4852" w:type="dxa"/>
            <w:vMerge/>
            <w:tcBorders>
              <w:top w:val="nil"/>
              <w:left w:val="single" w:sz="48" w:space="0" w:color="FFFFFF"/>
              <w:bottom w:val="single" w:sz="48" w:space="0" w:color="FFFFFF"/>
            </w:tcBorders>
            <w:shd w:val="clear" w:color="auto" w:fill="FBD9C9"/>
          </w:tcPr>
          <w:p>
            <w:pPr>
              <w:rPr>
                <w:sz w:val="2"/>
                <w:szCs w:val="2"/>
              </w:rPr>
            </w:pPr>
          </w:p>
        </w:tc>
        <w:tc>
          <w:tcPr>
            <w:tcW w:w="1095" w:type="dxa"/>
            <w:vMerge/>
            <w:tcBorders>
              <w:top w:val="nil"/>
              <w:bottom w:val="single" w:sz="48" w:space="0" w:color="FFFFFF"/>
            </w:tcBorders>
            <w:shd w:val="clear" w:color="auto" w:fill="FBD9C9"/>
          </w:tcPr>
          <w:p>
            <w:pPr>
              <w:rPr>
                <w:sz w:val="2"/>
                <w:szCs w:val="2"/>
              </w:rPr>
            </w:pPr>
          </w:p>
        </w:tc>
      </w:tr>
      <w:tr>
        <w:trPr>
          <w:trHeight w:val="319" w:hRule="atLeast"/>
        </w:trPr>
        <w:tc>
          <w:tcPr>
            <w:tcW w:w="1587" w:type="dxa"/>
            <w:tcBorders>
              <w:top w:val="single" w:sz="48" w:space="0" w:color="FFFFFF"/>
              <w:right w:val="single" w:sz="48" w:space="0" w:color="FFFFFF"/>
            </w:tcBorders>
            <w:shd w:val="clear" w:color="auto" w:fill="E2D9EA"/>
          </w:tcPr>
          <w:p>
            <w:pPr>
              <w:pStyle w:val="TableParagraph"/>
              <w:spacing w:before="22"/>
              <w:ind w:left="59"/>
              <w:rPr>
                <w:rFonts w:ascii="Stone Sans II ITC Std X Bd"/>
                <w:b/>
                <w:sz w:val="20"/>
              </w:rPr>
            </w:pPr>
            <w:r>
              <w:rPr>
                <w:rFonts w:ascii="Stone Sans II ITC Std X Bd"/>
                <w:b/>
                <w:w w:val="110"/>
                <w:sz w:val="20"/>
              </w:rPr>
              <w:t>PART FOUR</w:t>
            </w:r>
          </w:p>
        </w:tc>
        <w:tc>
          <w:tcPr>
            <w:tcW w:w="4852" w:type="dxa"/>
            <w:vMerge w:val="restart"/>
            <w:tcBorders>
              <w:top w:val="single" w:sz="48" w:space="0" w:color="FFFFFF"/>
              <w:left w:val="single" w:sz="48" w:space="0" w:color="FFFFFF"/>
            </w:tcBorders>
            <w:shd w:val="clear" w:color="auto" w:fill="E2D9EA"/>
          </w:tcPr>
          <w:p>
            <w:pPr>
              <w:pStyle w:val="TableParagraph"/>
              <w:spacing w:before="97"/>
              <w:ind w:left="96"/>
              <w:rPr>
                <w:rFonts w:ascii="Stone Sans II ITC Std X Bd"/>
                <w:b/>
                <w:sz w:val="20"/>
              </w:rPr>
            </w:pPr>
            <w:hyperlink w:history="true" w:anchor="_bookmark44">
              <w:r>
                <w:rPr>
                  <w:rFonts w:ascii="Stone Sans II ITC Std X Bd"/>
                  <w:b/>
                  <w:w w:val="110"/>
                  <w:sz w:val="20"/>
                </w:rPr>
                <w:t>RESOLUTIONS</w:t>
              </w:r>
            </w:hyperlink>
          </w:p>
        </w:tc>
        <w:tc>
          <w:tcPr>
            <w:tcW w:w="1095" w:type="dxa"/>
            <w:vMerge w:val="restart"/>
            <w:tcBorders>
              <w:top w:val="single" w:sz="48" w:space="0" w:color="FFFFFF"/>
            </w:tcBorders>
            <w:shd w:val="clear" w:color="auto" w:fill="E2D9EA"/>
          </w:tcPr>
          <w:p>
            <w:pPr>
              <w:pStyle w:val="TableParagraph"/>
              <w:spacing w:before="97"/>
              <w:ind w:left="484"/>
              <w:rPr>
                <w:rFonts w:ascii="Stone Sans II ITC Std X Bd"/>
                <w:b/>
                <w:sz w:val="20"/>
              </w:rPr>
            </w:pPr>
            <w:hyperlink w:history="true" w:anchor="_bookmark44">
              <w:r>
                <w:rPr>
                  <w:rFonts w:ascii="Stone Sans II ITC Std X Bd"/>
                  <w:b/>
                  <w:w w:val="110"/>
                  <w:sz w:val="20"/>
                </w:rPr>
                <w:t>229</w:t>
              </w:r>
            </w:hyperlink>
          </w:p>
        </w:tc>
      </w:tr>
      <w:tr>
        <w:trPr>
          <w:trHeight w:val="195" w:hRule="atLeast"/>
        </w:trPr>
        <w:tc>
          <w:tcPr>
            <w:tcW w:w="1587" w:type="dxa"/>
            <w:vMerge w:val="restart"/>
            <w:tcBorders>
              <w:right w:val="single" w:sz="48" w:space="0" w:color="FFFFFF"/>
            </w:tcBorders>
          </w:tcPr>
          <w:p>
            <w:pPr>
              <w:pStyle w:val="TableParagraph"/>
              <w:ind w:left="0"/>
              <w:rPr>
                <w:rFonts w:ascii="Times New Roman"/>
                <w:sz w:val="22"/>
              </w:rPr>
            </w:pPr>
          </w:p>
        </w:tc>
        <w:tc>
          <w:tcPr>
            <w:tcW w:w="4852" w:type="dxa"/>
            <w:vMerge/>
            <w:tcBorders>
              <w:top w:val="nil"/>
              <w:left w:val="single" w:sz="48" w:space="0" w:color="FFFFFF"/>
            </w:tcBorders>
            <w:shd w:val="clear" w:color="auto" w:fill="E2D9EA"/>
          </w:tcPr>
          <w:p>
            <w:pPr>
              <w:rPr>
                <w:sz w:val="2"/>
                <w:szCs w:val="2"/>
              </w:rPr>
            </w:pPr>
          </w:p>
        </w:tc>
        <w:tc>
          <w:tcPr>
            <w:tcW w:w="1095" w:type="dxa"/>
            <w:vMerge/>
            <w:tcBorders>
              <w:top w:val="nil"/>
            </w:tcBorders>
            <w:shd w:val="clear" w:color="auto" w:fill="E2D9EA"/>
          </w:tcPr>
          <w:p>
            <w:pPr>
              <w:rPr>
                <w:sz w:val="2"/>
                <w:szCs w:val="2"/>
              </w:rPr>
            </w:pPr>
          </w:p>
        </w:tc>
      </w:tr>
      <w:tr>
        <w:trPr>
          <w:trHeight w:val="360" w:hRule="atLeast"/>
        </w:trPr>
        <w:tc>
          <w:tcPr>
            <w:tcW w:w="1587" w:type="dxa"/>
            <w:vMerge/>
            <w:tcBorders>
              <w:top w:val="nil"/>
              <w:right w:val="single" w:sz="48" w:space="0" w:color="FFFFFF"/>
            </w:tcBorders>
          </w:tcPr>
          <w:p>
            <w:pPr>
              <w:rPr>
                <w:sz w:val="2"/>
                <w:szCs w:val="2"/>
              </w:rPr>
            </w:pPr>
          </w:p>
        </w:tc>
        <w:tc>
          <w:tcPr>
            <w:tcW w:w="5947" w:type="dxa"/>
            <w:gridSpan w:val="2"/>
            <w:tcBorders>
              <w:left w:val="single" w:sz="48" w:space="0" w:color="FFFFFF"/>
            </w:tcBorders>
          </w:tcPr>
          <w:p>
            <w:pPr>
              <w:pStyle w:val="TableParagraph"/>
              <w:ind w:left="0"/>
              <w:rPr>
                <w:rFonts w:ascii="Times New Roman"/>
                <w:sz w:val="22"/>
              </w:rPr>
            </w:pPr>
          </w:p>
        </w:tc>
      </w:tr>
    </w:tbl>
    <w:p>
      <w:pPr>
        <w:pStyle w:val="BodyText"/>
        <w:spacing w:before="8"/>
        <w:rPr>
          <w:rFonts w:ascii="Times New Roman"/>
          <w:sz w:val="9"/>
        </w:rPr>
      </w:pPr>
      <w:r>
        <w:rPr/>
        <w:drawing>
          <wp:anchor distT="0" distB="0" distL="0" distR="0" allowOverlap="1" layoutInCell="1" locked="0" behindDoc="1" simplePos="0" relativeHeight="235698176">
            <wp:simplePos x="0" y="0"/>
            <wp:positionH relativeFrom="page">
              <wp:posOffset>0</wp:posOffset>
            </wp:positionH>
            <wp:positionV relativeFrom="page">
              <wp:posOffset>0</wp:posOffset>
            </wp:positionV>
            <wp:extent cx="7560005" cy="10692003"/>
            <wp:effectExtent l="0" t="0" r="0" b="0"/>
            <wp:wrapNone/>
            <wp:docPr id="1" name="image1.png"/>
            <wp:cNvGraphicFramePr>
              <a:graphicFrameLocks noChangeAspect="1"/>
            </wp:cNvGraphicFramePr>
            <a:graphic>
              <a:graphicData uri="http://schemas.openxmlformats.org/drawingml/2006/picture">
                <pic:pic>
                  <pic:nvPicPr>
                    <pic:cNvPr id="2" name="image1.png"/>
                    <pic:cNvPicPr/>
                  </pic:nvPicPr>
                  <pic:blipFill>
                    <a:blip r:embed="rId5" cstate="print"/>
                    <a:stretch>
                      <a:fillRect/>
                    </a:stretch>
                  </pic:blipFill>
                  <pic:spPr>
                    <a:xfrm>
                      <a:off x="0" y="0"/>
                      <a:ext cx="7560005" cy="10692003"/>
                    </a:xfrm>
                    <a:prstGeom prst="rect">
                      <a:avLst/>
                    </a:prstGeom>
                  </pic:spPr>
                </pic:pic>
              </a:graphicData>
            </a:graphic>
          </wp:anchor>
        </w:drawing>
      </w:r>
      <w:r>
        <w:rPr/>
        <w:pict>
          <v:shapetype id="_x0000_t202" o:spt="202" coordsize="21600,21600" path="m,l,21600r21600,l21600,xe">
            <v:stroke joinstyle="miter"/>
            <v:path gradientshapeok="t" o:connecttype="rect"/>
          </v:shapetype>
          <v:shape style="position:absolute;margin-left:503.989685pt;margin-top:40.575115pt;width:42.85pt;height:160.65pt;mso-position-horizontal-relative:page;mso-position-vertical-relative:page;z-index:251659264" type="#_x0000_t202" filled="false" stroked="false">
            <v:textbox inset="0,0,0,0" style="layout-flow:vertical">
              <w:txbxContent>
                <w:p>
                  <w:pPr>
                    <w:spacing w:line="848" w:lineRule="exact" w:before="9"/>
                    <w:ind w:left="20" w:right="0" w:firstLine="0"/>
                    <w:jc w:val="left"/>
                    <w:rPr>
                      <w:rFonts w:ascii="Stone Sans II ITC Std X Bd"/>
                      <w:b/>
                      <w:sz w:val="65"/>
                    </w:rPr>
                  </w:pPr>
                  <w:r>
                    <w:rPr>
                      <w:rFonts w:ascii="Stone Sans II ITC Std X Bd"/>
                      <w:b/>
                      <w:spacing w:val="-9"/>
                      <w:w w:val="110"/>
                      <w:sz w:val="65"/>
                    </w:rPr>
                    <w:t>Content</w:t>
                  </w:r>
                  <w:hyperlink w:history="true" w:anchor="_bookmark16">
                    <w:r>
                      <w:rPr>
                        <w:rFonts w:ascii="Stone Sans II ITC Std X Bd"/>
                        <w:b/>
                        <w:spacing w:val="-9"/>
                        <w:w w:val="110"/>
                        <w:sz w:val="65"/>
                      </w:rPr>
                      <w:t>s</w:t>
                    </w:r>
                  </w:hyperlink>
                </w:p>
              </w:txbxContent>
            </v:textbox>
            <w10:wrap type="none"/>
          </v:shape>
        </w:pict>
      </w:r>
    </w:p>
    <w:p>
      <w:pPr>
        <w:pStyle w:val="Heading8"/>
        <w:spacing w:before="97"/>
        <w:ind w:left="4958"/>
        <w:rPr>
          <w:rFonts w:ascii="Stone Sans II ITC Std X Bd" w:hAnsi="Stone Sans II ITC Std X Bd"/>
          <w:b/>
          <w:sz w:val="24"/>
        </w:rPr>
      </w:pPr>
      <w:r>
        <w:rPr>
          <w:rFonts w:ascii="Stone Sans II ITC Std Sm" w:hAnsi="Stone Sans II ITC Std Sm"/>
          <w:b/>
          <w:color w:val="7EAABF"/>
          <w:w w:val="105"/>
        </w:rPr>
        <w:t>United Reformed Church </w:t>
      </w:r>
      <w:r>
        <w:rPr>
          <w:rFonts w:ascii="Symbol" w:hAnsi="Symbol"/>
          <w:color w:val="7EAABF"/>
          <w:w w:val="105"/>
        </w:rPr>
        <w:t></w:t>
      </w:r>
      <w:r>
        <w:rPr>
          <w:rFonts w:ascii="Times New Roman" w:hAnsi="Times New Roman"/>
          <w:color w:val="7EAABF"/>
          <w:w w:val="105"/>
        </w:rPr>
        <w:t> </w:t>
      </w:r>
      <w:r>
        <w:rPr>
          <w:rFonts w:ascii="Stone Sans II ITC Std Sm" w:hAnsi="Stone Sans II ITC Std Sm"/>
          <w:b/>
          <w:color w:val="7EAABF"/>
          <w:w w:val="105"/>
        </w:rPr>
        <w:t>General Assembly 2014 </w:t>
      </w:r>
      <w:r>
        <w:rPr>
          <w:rFonts w:ascii="Symbol" w:hAnsi="Symbol"/>
          <w:color w:val="7EAABF"/>
          <w:w w:val="105"/>
        </w:rPr>
        <w:t></w:t>
      </w:r>
      <w:r>
        <w:rPr>
          <w:rFonts w:ascii="Times New Roman" w:hAnsi="Times New Roman"/>
          <w:color w:val="7EAABF"/>
          <w:w w:val="105"/>
        </w:rPr>
        <w:t> </w:t>
      </w:r>
      <w:r>
        <w:rPr>
          <w:rFonts w:ascii="Stone Sans II ITC Std X Bd" w:hAnsi="Stone Sans II ITC Std X Bd"/>
          <w:b/>
          <w:w w:val="105"/>
          <w:sz w:val="24"/>
        </w:rPr>
        <w:t>1</w:t>
      </w:r>
    </w:p>
    <w:p>
      <w:pPr>
        <w:spacing w:after="0"/>
        <w:rPr>
          <w:rFonts w:ascii="Stone Sans II ITC Std X Bd" w:hAnsi="Stone Sans II ITC Std X Bd"/>
          <w:sz w:val="24"/>
        </w:rPr>
        <w:sectPr>
          <w:type w:val="continuous"/>
          <w:pgSz w:w="11910" w:h="16840"/>
          <w:pgMar w:top="680" w:bottom="280" w:left="0" w:right="0"/>
        </w:sectPr>
      </w:pPr>
    </w:p>
    <w:p>
      <w:pPr>
        <w:pStyle w:val="BodyText"/>
        <w:rPr>
          <w:rFonts w:ascii="Stone Sans II ITC Std X Bd"/>
          <w:b/>
        </w:rPr>
      </w:pPr>
      <w:r>
        <w:rPr/>
        <w:pict>
          <v:group style="position:absolute;margin-left:0pt;margin-top:0pt;width:595.3pt;height:841.9pt;mso-position-horizontal-relative:page;mso-position-vertical-relative:page;z-index:-267616256" coordorigin="0,0" coordsize="11906,16838">
            <v:shape style="position:absolute;left:0;top:0;width:11906;height:16838" type="#_x0000_t75" stroked="false">
              <v:imagedata r:id="rId6" o:title=""/>
            </v:shape>
            <v:shape style="position:absolute;left:0;top:12665;width:11906;height:3135" type="#_x0000_t75" stroked="false">
              <v:imagedata r:id="rId7" o:title=""/>
            </v:shape>
            <v:shape style="position:absolute;left:0;top:12663;width:11906;height:3135" coordorigin="0,12664" coordsize="11906,3135" path="m0,12664l11906,12664m0,15798l11906,15798e" filled="false" stroked="true" strokeweight="2pt" strokecolor="#ffffff">
              <v:path arrowok="t"/>
              <v:stroke dashstyle="solid"/>
            </v:shape>
            <v:shape style="position:absolute;left:907;top:9483;width:2576;height:2413" type="#_x0000_t75" stroked="false">
              <v:imagedata r:id="rId8" o:title=""/>
            </v:shape>
            <w10:wrap type="none"/>
          </v:group>
        </w:pict>
      </w: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spacing w:before="12"/>
        <w:rPr>
          <w:rFonts w:ascii="Stone Sans II ITC Std X Bd"/>
          <w:b/>
          <w:sz w:val="15"/>
        </w:rPr>
      </w:pPr>
    </w:p>
    <w:p>
      <w:pPr>
        <w:spacing w:before="108"/>
        <w:ind w:left="599" w:right="0" w:firstLine="0"/>
        <w:jc w:val="left"/>
        <w:rPr>
          <w:sz w:val="30"/>
        </w:rPr>
      </w:pPr>
      <w:r>
        <w:rPr>
          <w:color w:val="7EAABF"/>
          <w:w w:val="125"/>
          <w:sz w:val="30"/>
        </w:rPr>
        <w:t>United Reformed Church General Assembly, Cardiff 2014</w:t>
      </w:r>
    </w:p>
    <w:p>
      <w:pPr>
        <w:spacing w:after="0"/>
        <w:jc w:val="left"/>
        <w:rPr>
          <w:sz w:val="30"/>
        </w:rPr>
        <w:sectPr>
          <w:pgSz w:w="11910" w:h="16840"/>
          <w:pgMar w:top="1580" w:bottom="280" w:left="0" w:right="0"/>
        </w:sectPr>
      </w:pPr>
    </w:p>
    <w:p>
      <w:pPr>
        <w:pStyle w:val="BodyText"/>
        <w:spacing w:before="85"/>
        <w:ind w:left="2834"/>
      </w:pPr>
      <w:r>
        <w:rPr/>
        <w:pict>
          <v:rect style="position:absolute;margin-left:0pt;margin-top:.000015pt;width:549.207pt;height:841.89pt;mso-position-horizontal-relative:page;mso-position-vertical-relative:page;z-index:-267615232" filled="true" fillcolor="#ffedc2" stroked="false">
            <v:fill type="solid"/>
            <w10:wrap type="none"/>
          </v:rect>
        </w:pict>
      </w:r>
      <w:r>
        <w:rPr/>
        <w:pict>
          <v:group style="position:absolute;margin-left:0pt;margin-top:.000015pt;width:595.3pt;height:841.9pt;mso-position-horizontal-relative:page;mso-position-vertical-relative:page;z-index:-267614208" coordorigin="0,0" coordsize="11906,16838">
            <v:rect style="position:absolute;left:1530;top:0;width:9454;height:15789" filled="true" fillcolor="#ffffff" stroked="false">
              <v:fill type="solid"/>
            </v:rect>
            <v:shape style="position:absolute;left:10984;top:0;width:922;height:16838" type="#_x0000_t75" stroked="false">
              <v:imagedata r:id="rId10" o:title=""/>
            </v:shape>
            <v:shape style="position:absolute;left:7011;top:12681;width:4895;height:3108" type="#_x0000_t75" stroked="false">
              <v:imagedata r:id="rId11" o:title=""/>
            </v:shape>
            <v:shape style="position:absolute;left:1516;top:11170;width:1540;height:1513" coordorigin="1517,11170" coordsize="1540,1513" path="m1517,11170l1517,12683,3053,12683,2977,12681,2902,12676,2828,12667,2755,12654,2684,12638,2613,12619,2544,12597,2477,12571,2411,12543,2347,12511,2284,12477,2223,12440,2165,12400,2108,12358,2053,12313,2000,12265,1950,12216,1902,12164,1856,12110,1813,12053,1772,11995,1734,11935,1699,11873,1667,11809,1637,11744,1611,11677,1587,11608,1567,11538,1550,11467,1537,11394,1526,11321,1520,11246,1517,11170xm3056,12683l3055,12683,3054,12683,3056,12683,3056,12683xe" filled="true" fillcolor="#ffedc2" stroked="false">
              <v:path arrowok="t"/>
              <v:fill type="solid"/>
            </v:shape>
            <v:shape style="position:absolute;left:2834;top:11641;width:2103;height:492" type="#_x0000_t75" stroked="false">
              <v:imagedata r:id="rId12" o:title=""/>
            </v:shape>
            <v:shape style="position:absolute;left:0;top:12680;width:679;height:3120" type="#_x0000_t75" stroked="false">
              <v:imagedata r:id="rId13" o:title=""/>
            </v:shape>
            <v:shape style="position:absolute;left:510;top:12671;width:3663;height:3120" type="#_x0000_t75" stroked="false">
              <v:imagedata r:id="rId14" o:title=""/>
            </v:shape>
            <v:shape style="position:absolute;left:3793;top:12656;width:3484;height:3120" type="#_x0000_t75" stroked="false">
              <v:imagedata r:id="rId15" o:title=""/>
            </v:shape>
            <v:shape style="position:absolute;left:0;top:12662;width:11906;height:3135" coordorigin="0,12663" coordsize="11906,3135" path="m0,15797l11906,15797m0,12663l11906,12663e" filled="false" stroked="true" strokeweight="2pt" strokecolor="#ffffff">
              <v:path arrowok="t"/>
              <v:stroke dashstyle="solid"/>
            </v:shape>
            <w10:wrap type="none"/>
          </v:group>
        </w:pict>
      </w:r>
      <w:r>
        <w:rPr/>
        <w:pict>
          <v:shape style="position:absolute;margin-left:554.282898pt;margin-top:61.897217pt;width:25.9pt;height:129pt;mso-position-horizontal-relative:page;mso-position-vertical-relative:page;z-index:251663360" type="#_x0000_t202" filled="false" stroked="false">
            <v:textbox inset="0,0,0,0" style="layout-flow:vertical">
              <w:txbxContent>
                <w:p>
                  <w:pPr>
                    <w:spacing w:before="27"/>
                    <w:ind w:left="20" w:right="0" w:firstLine="0"/>
                    <w:jc w:val="left"/>
                    <w:rPr>
                      <w:sz w:val="39"/>
                    </w:rPr>
                  </w:pPr>
                  <w:r>
                    <w:rPr>
                      <w:color w:val="FFFFFF"/>
                      <w:w w:val="120"/>
                      <w:sz w:val="39"/>
                    </w:rPr>
                    <w:t>Introduction</w:t>
                  </w:r>
                </w:p>
              </w:txbxContent>
            </v:textbox>
            <w10:wrap type="none"/>
          </v:shape>
        </w:pict>
      </w:r>
      <w:bookmarkStart w:name="_bookmark0" w:id="1"/>
      <w:bookmarkEnd w:id="1"/>
      <w:r>
        <w:rPr/>
      </w:r>
      <w:r>
        <w:rPr>
          <w:w w:val="120"/>
        </w:rPr>
        <w:t>Dear friends,</w:t>
      </w:r>
    </w:p>
    <w:p>
      <w:pPr>
        <w:pStyle w:val="BodyText"/>
        <w:spacing w:before="7"/>
        <w:rPr>
          <w:sz w:val="19"/>
        </w:rPr>
      </w:pPr>
    </w:p>
    <w:p>
      <w:pPr>
        <w:pStyle w:val="BodyText"/>
        <w:spacing w:line="235" w:lineRule="auto"/>
        <w:ind w:left="2834" w:right="1916"/>
        <w:jc w:val="both"/>
      </w:pPr>
      <w:r>
        <w:rPr>
          <w:w w:val="120"/>
        </w:rPr>
        <w:t>General Assembly 2014 will address some very big questions: What is the Spirit saying to the United Reformed Church? Do we still embrace an ecumenical vision and vocation as our founders did? Is it time</w:t>
      </w:r>
    </w:p>
    <w:p>
      <w:pPr>
        <w:pStyle w:val="BodyText"/>
        <w:spacing w:line="235" w:lineRule="auto" w:before="3"/>
        <w:ind w:left="2834" w:right="2004"/>
      </w:pPr>
      <w:r>
        <w:rPr>
          <w:w w:val="120"/>
        </w:rPr>
        <w:t>to establish a new order of ministry? How can church meetings be revitalised so that they fulfil their purpose as a place for the believers to discern the mind of Christ for their life and mission? What is our Christian attitude and response towards mental illness?</w:t>
      </w:r>
    </w:p>
    <w:p>
      <w:pPr>
        <w:pStyle w:val="BodyText"/>
        <w:spacing w:before="7"/>
        <w:rPr>
          <w:sz w:val="19"/>
        </w:rPr>
      </w:pPr>
    </w:p>
    <w:p>
      <w:pPr>
        <w:pStyle w:val="BodyText"/>
        <w:ind w:left="2834"/>
      </w:pPr>
      <w:r>
        <w:rPr>
          <w:w w:val="120"/>
        </w:rPr>
        <w:t>And not least, what do we understand to be the nature of marriage?</w:t>
      </w:r>
    </w:p>
    <w:p>
      <w:pPr>
        <w:pStyle w:val="BodyText"/>
        <w:spacing w:before="7"/>
        <w:rPr>
          <w:sz w:val="19"/>
        </w:rPr>
      </w:pPr>
    </w:p>
    <w:p>
      <w:pPr>
        <w:pStyle w:val="BodyText"/>
        <w:spacing w:line="235" w:lineRule="auto" w:before="1"/>
        <w:ind w:left="2834" w:right="2004"/>
      </w:pPr>
      <w:r>
        <w:rPr>
          <w:w w:val="120"/>
        </w:rPr>
        <w:t>I pray that our time together in Cardiff will result in new clarity about our future direction, priorities and witness.</w:t>
      </w:r>
    </w:p>
    <w:p>
      <w:pPr>
        <w:pStyle w:val="BodyText"/>
        <w:spacing w:before="9"/>
        <w:rPr>
          <w:sz w:val="19"/>
        </w:rPr>
      </w:pPr>
    </w:p>
    <w:p>
      <w:pPr>
        <w:pStyle w:val="BodyText"/>
        <w:spacing w:line="235" w:lineRule="auto"/>
        <w:ind w:left="2834" w:right="1864"/>
      </w:pPr>
      <w:r>
        <w:rPr>
          <w:spacing w:val="2"/>
          <w:w w:val="120"/>
        </w:rPr>
        <w:t>In </w:t>
      </w:r>
      <w:r>
        <w:rPr>
          <w:spacing w:val="3"/>
          <w:w w:val="120"/>
        </w:rPr>
        <w:t>the meantime, </w:t>
      </w:r>
      <w:r>
        <w:rPr>
          <w:spacing w:val="4"/>
          <w:w w:val="120"/>
        </w:rPr>
        <w:t>there </w:t>
      </w:r>
      <w:r>
        <w:rPr>
          <w:spacing w:val="3"/>
          <w:w w:val="120"/>
        </w:rPr>
        <w:t>are some </w:t>
      </w:r>
      <w:r>
        <w:rPr>
          <w:spacing w:val="5"/>
          <w:w w:val="120"/>
        </w:rPr>
        <w:t>practical </w:t>
      </w:r>
      <w:r>
        <w:rPr>
          <w:spacing w:val="3"/>
          <w:w w:val="120"/>
        </w:rPr>
        <w:t>things </w:t>
      </w:r>
      <w:r>
        <w:rPr>
          <w:w w:val="120"/>
        </w:rPr>
        <w:t>to  </w:t>
      </w:r>
      <w:r>
        <w:rPr>
          <w:spacing w:val="2"/>
          <w:w w:val="120"/>
        </w:rPr>
        <w:t>say </w:t>
      </w:r>
      <w:r>
        <w:rPr>
          <w:spacing w:val="4"/>
          <w:w w:val="120"/>
        </w:rPr>
        <w:t>about </w:t>
      </w:r>
      <w:r>
        <w:rPr>
          <w:spacing w:val="2"/>
          <w:w w:val="120"/>
        </w:rPr>
        <w:t>this  </w:t>
      </w:r>
      <w:r>
        <w:rPr>
          <w:i/>
          <w:spacing w:val="4"/>
          <w:w w:val="120"/>
        </w:rPr>
        <w:t>Book </w:t>
      </w:r>
      <w:r>
        <w:rPr>
          <w:i/>
          <w:spacing w:val="2"/>
          <w:w w:val="120"/>
        </w:rPr>
        <w:t>of </w:t>
      </w:r>
      <w:r>
        <w:rPr>
          <w:i/>
          <w:spacing w:val="4"/>
          <w:w w:val="120"/>
        </w:rPr>
        <w:t>Reports</w:t>
      </w:r>
      <w:r>
        <w:rPr>
          <w:spacing w:val="4"/>
          <w:w w:val="120"/>
        </w:rPr>
        <w:t>. </w:t>
      </w:r>
      <w:r>
        <w:rPr>
          <w:w w:val="120"/>
        </w:rPr>
        <w:t>We </w:t>
      </w:r>
      <w:r>
        <w:rPr>
          <w:spacing w:val="3"/>
          <w:w w:val="120"/>
        </w:rPr>
        <w:t>are </w:t>
      </w:r>
      <w:r>
        <w:rPr>
          <w:spacing w:val="4"/>
          <w:w w:val="120"/>
        </w:rPr>
        <w:t>experimenting </w:t>
      </w:r>
      <w:r>
        <w:rPr>
          <w:spacing w:val="3"/>
          <w:w w:val="120"/>
        </w:rPr>
        <w:t>with </w:t>
      </w:r>
      <w:r>
        <w:rPr>
          <w:w w:val="120"/>
        </w:rPr>
        <w:t>a </w:t>
      </w:r>
      <w:r>
        <w:rPr>
          <w:spacing w:val="3"/>
          <w:w w:val="120"/>
        </w:rPr>
        <w:t>new </w:t>
      </w:r>
      <w:r>
        <w:rPr>
          <w:spacing w:val="4"/>
          <w:w w:val="120"/>
        </w:rPr>
        <w:t>format. Responding </w:t>
      </w:r>
      <w:r>
        <w:rPr>
          <w:w w:val="120"/>
        </w:rPr>
        <w:t>to </w:t>
      </w:r>
      <w:r>
        <w:rPr>
          <w:spacing w:val="3"/>
          <w:w w:val="120"/>
        </w:rPr>
        <w:t>the </w:t>
      </w:r>
      <w:r>
        <w:rPr>
          <w:spacing w:val="4"/>
          <w:w w:val="120"/>
        </w:rPr>
        <w:t>request </w:t>
      </w:r>
      <w:r>
        <w:rPr>
          <w:w w:val="120"/>
        </w:rPr>
        <w:t>we’ve </w:t>
      </w:r>
      <w:r>
        <w:rPr>
          <w:spacing w:val="3"/>
          <w:w w:val="120"/>
        </w:rPr>
        <w:t>received </w:t>
      </w:r>
      <w:r>
        <w:rPr>
          <w:spacing w:val="4"/>
          <w:w w:val="120"/>
        </w:rPr>
        <w:t>from </w:t>
      </w:r>
      <w:r>
        <w:rPr>
          <w:spacing w:val="2"/>
          <w:w w:val="120"/>
        </w:rPr>
        <w:t>many </w:t>
      </w:r>
      <w:r>
        <w:rPr>
          <w:spacing w:val="4"/>
          <w:w w:val="120"/>
        </w:rPr>
        <w:t>people </w:t>
      </w:r>
      <w:r>
        <w:rPr>
          <w:spacing w:val="3"/>
          <w:w w:val="120"/>
        </w:rPr>
        <w:t>for more reading and </w:t>
      </w:r>
      <w:r>
        <w:rPr>
          <w:spacing w:val="4"/>
          <w:w w:val="120"/>
        </w:rPr>
        <w:t>preparation</w:t>
      </w:r>
      <w:r>
        <w:rPr>
          <w:spacing w:val="11"/>
          <w:w w:val="120"/>
        </w:rPr>
        <w:t> </w:t>
      </w:r>
      <w:r>
        <w:rPr>
          <w:spacing w:val="3"/>
          <w:w w:val="120"/>
        </w:rPr>
        <w:t>time,</w:t>
      </w:r>
      <w:r>
        <w:rPr>
          <w:spacing w:val="12"/>
          <w:w w:val="120"/>
        </w:rPr>
        <w:t> </w:t>
      </w:r>
      <w:r>
        <w:rPr>
          <w:spacing w:val="2"/>
          <w:w w:val="120"/>
        </w:rPr>
        <w:t>each</w:t>
      </w:r>
      <w:r>
        <w:rPr>
          <w:spacing w:val="12"/>
          <w:w w:val="120"/>
        </w:rPr>
        <w:t> </w:t>
      </w:r>
      <w:r>
        <w:rPr>
          <w:spacing w:val="4"/>
          <w:w w:val="120"/>
        </w:rPr>
        <w:t>Assembly</w:t>
      </w:r>
      <w:r>
        <w:rPr>
          <w:spacing w:val="12"/>
          <w:w w:val="120"/>
        </w:rPr>
        <w:t> </w:t>
      </w:r>
      <w:r>
        <w:rPr>
          <w:spacing w:val="3"/>
          <w:w w:val="120"/>
        </w:rPr>
        <w:t>committee</w:t>
      </w:r>
      <w:r>
        <w:rPr>
          <w:spacing w:val="12"/>
          <w:w w:val="120"/>
        </w:rPr>
        <w:t> </w:t>
      </w:r>
      <w:r>
        <w:rPr>
          <w:spacing w:val="3"/>
          <w:w w:val="120"/>
        </w:rPr>
        <w:t>was</w:t>
      </w:r>
      <w:r>
        <w:rPr>
          <w:spacing w:val="12"/>
          <w:w w:val="120"/>
        </w:rPr>
        <w:t> </w:t>
      </w:r>
      <w:r>
        <w:rPr>
          <w:spacing w:val="3"/>
          <w:w w:val="120"/>
        </w:rPr>
        <w:t>asked</w:t>
      </w:r>
      <w:r>
        <w:rPr>
          <w:spacing w:val="12"/>
          <w:w w:val="120"/>
        </w:rPr>
        <w:t> </w:t>
      </w:r>
      <w:r>
        <w:rPr>
          <w:w w:val="120"/>
        </w:rPr>
        <w:t>to</w:t>
      </w:r>
      <w:r>
        <w:rPr>
          <w:spacing w:val="12"/>
          <w:w w:val="120"/>
        </w:rPr>
        <w:t> </w:t>
      </w:r>
      <w:r>
        <w:rPr>
          <w:spacing w:val="5"/>
          <w:w w:val="120"/>
        </w:rPr>
        <w:t>report</w:t>
      </w:r>
      <w:r>
        <w:rPr>
          <w:spacing w:val="12"/>
          <w:w w:val="120"/>
        </w:rPr>
        <w:t> </w:t>
      </w:r>
      <w:r>
        <w:rPr>
          <w:spacing w:val="2"/>
          <w:w w:val="120"/>
        </w:rPr>
        <w:t>on</w:t>
      </w:r>
    </w:p>
    <w:p>
      <w:pPr>
        <w:pStyle w:val="BodyText"/>
        <w:spacing w:line="235" w:lineRule="auto" w:before="3"/>
        <w:ind w:left="2834" w:right="2167"/>
      </w:pPr>
      <w:r>
        <w:rPr>
          <w:spacing w:val="4"/>
          <w:w w:val="120"/>
        </w:rPr>
        <w:t>its activities from </w:t>
      </w:r>
      <w:r>
        <w:rPr>
          <w:spacing w:val="3"/>
          <w:w w:val="120"/>
        </w:rPr>
        <w:t>the </w:t>
      </w:r>
      <w:r>
        <w:rPr>
          <w:spacing w:val="2"/>
          <w:w w:val="120"/>
        </w:rPr>
        <w:t>close of </w:t>
      </w:r>
      <w:r>
        <w:rPr>
          <w:spacing w:val="3"/>
          <w:w w:val="120"/>
        </w:rPr>
        <w:t>the last </w:t>
      </w:r>
      <w:r>
        <w:rPr>
          <w:spacing w:val="4"/>
          <w:w w:val="120"/>
        </w:rPr>
        <w:t>Assembly </w:t>
      </w:r>
      <w:r>
        <w:rPr>
          <w:w w:val="120"/>
        </w:rPr>
        <w:t>to </w:t>
      </w:r>
      <w:r>
        <w:rPr>
          <w:spacing w:val="4"/>
          <w:w w:val="120"/>
        </w:rPr>
        <w:t>December </w:t>
      </w:r>
      <w:r>
        <w:rPr>
          <w:spacing w:val="-4"/>
          <w:w w:val="120"/>
        </w:rPr>
        <w:t>2013, </w:t>
      </w:r>
      <w:r>
        <w:rPr>
          <w:spacing w:val="3"/>
          <w:w w:val="120"/>
        </w:rPr>
        <w:t>and that material was posted </w:t>
      </w:r>
      <w:r>
        <w:rPr>
          <w:spacing w:val="2"/>
          <w:w w:val="120"/>
        </w:rPr>
        <w:t>on </w:t>
      </w:r>
      <w:r>
        <w:rPr>
          <w:spacing w:val="3"/>
          <w:w w:val="120"/>
        </w:rPr>
        <w:t>the </w:t>
      </w:r>
      <w:r>
        <w:rPr>
          <w:spacing w:val="4"/>
          <w:w w:val="120"/>
        </w:rPr>
        <w:t>URC </w:t>
      </w:r>
      <w:r>
        <w:rPr>
          <w:spacing w:val="2"/>
          <w:w w:val="120"/>
        </w:rPr>
        <w:t>website </w:t>
      </w:r>
      <w:r>
        <w:rPr>
          <w:w w:val="120"/>
        </w:rPr>
        <w:t>at  </w:t>
      </w:r>
      <w:r>
        <w:rPr>
          <w:spacing w:val="3"/>
          <w:w w:val="120"/>
        </w:rPr>
        <w:t>the </w:t>
      </w:r>
      <w:r>
        <w:rPr>
          <w:spacing w:val="4"/>
          <w:w w:val="120"/>
        </w:rPr>
        <w:t>beginning  </w:t>
      </w:r>
      <w:r>
        <w:rPr>
          <w:spacing w:val="2"/>
          <w:w w:val="120"/>
        </w:rPr>
        <w:t>of </w:t>
      </w:r>
      <w:r>
        <w:rPr>
          <w:spacing w:val="3"/>
          <w:w w:val="120"/>
        </w:rPr>
        <w:t>March. The committees then </w:t>
      </w:r>
      <w:r>
        <w:rPr>
          <w:spacing w:val="2"/>
          <w:w w:val="120"/>
        </w:rPr>
        <w:t>wrote </w:t>
      </w:r>
      <w:r>
        <w:rPr>
          <w:w w:val="120"/>
        </w:rPr>
        <w:t>us a </w:t>
      </w:r>
      <w:r>
        <w:rPr>
          <w:spacing w:val="3"/>
          <w:w w:val="120"/>
        </w:rPr>
        <w:t>second </w:t>
      </w:r>
      <w:r>
        <w:rPr>
          <w:spacing w:val="5"/>
          <w:w w:val="120"/>
        </w:rPr>
        <w:t>report </w:t>
      </w:r>
      <w:r>
        <w:rPr>
          <w:spacing w:val="3"/>
          <w:w w:val="120"/>
        </w:rPr>
        <w:t>which </w:t>
      </w:r>
      <w:r>
        <w:rPr>
          <w:spacing w:val="4"/>
          <w:w w:val="120"/>
        </w:rPr>
        <w:t>described </w:t>
      </w:r>
      <w:r>
        <w:rPr>
          <w:spacing w:val="3"/>
          <w:w w:val="120"/>
        </w:rPr>
        <w:t>their </w:t>
      </w:r>
      <w:r>
        <w:rPr>
          <w:spacing w:val="4"/>
          <w:w w:val="120"/>
        </w:rPr>
        <w:t>current priorities </w:t>
      </w:r>
      <w:r>
        <w:rPr>
          <w:w w:val="120"/>
        </w:rPr>
        <w:t>– </w:t>
      </w:r>
      <w:r>
        <w:rPr>
          <w:spacing w:val="3"/>
          <w:w w:val="120"/>
        </w:rPr>
        <w:t>work </w:t>
      </w:r>
      <w:r>
        <w:rPr>
          <w:w w:val="120"/>
        </w:rPr>
        <w:t>in </w:t>
      </w:r>
      <w:r>
        <w:rPr>
          <w:spacing w:val="4"/>
          <w:w w:val="120"/>
        </w:rPr>
        <w:t>progress </w:t>
      </w:r>
      <w:r>
        <w:rPr>
          <w:w w:val="120"/>
        </w:rPr>
        <w:t>– </w:t>
      </w:r>
      <w:r>
        <w:rPr>
          <w:spacing w:val="3"/>
          <w:w w:val="120"/>
        </w:rPr>
        <w:t>together</w:t>
      </w:r>
      <w:r>
        <w:rPr>
          <w:spacing w:val="2"/>
          <w:w w:val="120"/>
        </w:rPr>
        <w:t> </w:t>
      </w:r>
      <w:r>
        <w:rPr>
          <w:spacing w:val="3"/>
          <w:w w:val="120"/>
        </w:rPr>
        <w:t>with</w:t>
      </w:r>
    </w:p>
    <w:p>
      <w:pPr>
        <w:pStyle w:val="BodyText"/>
        <w:spacing w:line="235" w:lineRule="auto" w:before="3"/>
        <w:ind w:left="2834" w:right="1820"/>
      </w:pPr>
      <w:r>
        <w:rPr>
          <w:spacing w:val="3"/>
          <w:w w:val="120"/>
        </w:rPr>
        <w:t>the </w:t>
      </w:r>
      <w:r>
        <w:rPr>
          <w:spacing w:val="4"/>
          <w:w w:val="120"/>
        </w:rPr>
        <w:t>resolutions </w:t>
      </w:r>
      <w:r>
        <w:rPr>
          <w:spacing w:val="3"/>
          <w:w w:val="120"/>
        </w:rPr>
        <w:t>they </w:t>
      </w:r>
      <w:r>
        <w:rPr>
          <w:spacing w:val="4"/>
          <w:w w:val="120"/>
        </w:rPr>
        <w:t>bring </w:t>
      </w:r>
      <w:r>
        <w:rPr>
          <w:spacing w:val="3"/>
          <w:w w:val="120"/>
        </w:rPr>
        <w:t>for </w:t>
      </w:r>
      <w:r>
        <w:rPr>
          <w:spacing w:val="4"/>
          <w:w w:val="120"/>
        </w:rPr>
        <w:t>Assembly </w:t>
      </w:r>
      <w:r>
        <w:rPr>
          <w:spacing w:val="3"/>
          <w:w w:val="120"/>
        </w:rPr>
        <w:t>decisions. Both </w:t>
      </w:r>
      <w:r>
        <w:rPr>
          <w:spacing w:val="4"/>
          <w:w w:val="120"/>
        </w:rPr>
        <w:t>sets </w:t>
      </w:r>
      <w:r>
        <w:rPr>
          <w:spacing w:val="2"/>
          <w:w w:val="120"/>
        </w:rPr>
        <w:t>of </w:t>
      </w:r>
      <w:r>
        <w:rPr>
          <w:spacing w:val="6"/>
          <w:w w:val="120"/>
        </w:rPr>
        <w:t>reports </w:t>
      </w:r>
      <w:r>
        <w:rPr>
          <w:spacing w:val="3"/>
          <w:w w:val="120"/>
        </w:rPr>
        <w:t>are published </w:t>
      </w:r>
      <w:r>
        <w:rPr>
          <w:w w:val="120"/>
        </w:rPr>
        <w:t>in </w:t>
      </w:r>
      <w:r>
        <w:rPr>
          <w:spacing w:val="2"/>
          <w:w w:val="120"/>
        </w:rPr>
        <w:t>this </w:t>
      </w:r>
      <w:r>
        <w:rPr>
          <w:spacing w:val="4"/>
          <w:w w:val="120"/>
        </w:rPr>
        <w:t>book. </w:t>
      </w:r>
      <w:r>
        <w:rPr>
          <w:spacing w:val="3"/>
          <w:w w:val="120"/>
        </w:rPr>
        <w:t>Each </w:t>
      </w:r>
      <w:r>
        <w:rPr>
          <w:spacing w:val="2"/>
          <w:w w:val="120"/>
        </w:rPr>
        <w:t>of </w:t>
      </w:r>
      <w:r>
        <w:rPr>
          <w:spacing w:val="3"/>
          <w:w w:val="120"/>
        </w:rPr>
        <w:t>the </w:t>
      </w:r>
      <w:r>
        <w:rPr>
          <w:spacing w:val="6"/>
          <w:w w:val="120"/>
        </w:rPr>
        <w:t>reports </w:t>
      </w:r>
      <w:r>
        <w:rPr>
          <w:w w:val="120"/>
        </w:rPr>
        <w:t>in </w:t>
      </w:r>
      <w:r>
        <w:rPr>
          <w:spacing w:val="3"/>
          <w:w w:val="120"/>
        </w:rPr>
        <w:t>the </w:t>
      </w:r>
      <w:r>
        <w:rPr>
          <w:spacing w:val="5"/>
          <w:w w:val="120"/>
        </w:rPr>
        <w:t>forward-looking </w:t>
      </w:r>
      <w:r>
        <w:rPr>
          <w:spacing w:val="4"/>
          <w:w w:val="120"/>
        </w:rPr>
        <w:t>section </w:t>
      </w:r>
      <w:r>
        <w:rPr>
          <w:spacing w:val="2"/>
          <w:w w:val="120"/>
        </w:rPr>
        <w:t>has </w:t>
      </w:r>
      <w:r>
        <w:rPr>
          <w:w w:val="120"/>
        </w:rPr>
        <w:t>a cover </w:t>
      </w:r>
      <w:r>
        <w:rPr>
          <w:spacing w:val="3"/>
          <w:w w:val="120"/>
        </w:rPr>
        <w:t>sheet which </w:t>
      </w:r>
      <w:r>
        <w:rPr>
          <w:spacing w:val="2"/>
          <w:w w:val="120"/>
        </w:rPr>
        <w:t>tells you </w:t>
      </w:r>
      <w:r>
        <w:rPr>
          <w:spacing w:val="3"/>
          <w:w w:val="120"/>
        </w:rPr>
        <w:t>whom </w:t>
      </w:r>
      <w:r>
        <w:rPr>
          <w:w w:val="120"/>
        </w:rPr>
        <w:t>to </w:t>
      </w:r>
      <w:r>
        <w:rPr>
          <w:spacing w:val="4"/>
          <w:w w:val="120"/>
        </w:rPr>
        <w:t>contact </w:t>
      </w:r>
      <w:r>
        <w:rPr>
          <w:spacing w:val="3"/>
          <w:w w:val="120"/>
        </w:rPr>
        <w:t>if </w:t>
      </w:r>
      <w:r>
        <w:rPr>
          <w:spacing w:val="2"/>
          <w:w w:val="120"/>
        </w:rPr>
        <w:t>you have </w:t>
      </w:r>
      <w:r>
        <w:rPr>
          <w:spacing w:val="4"/>
          <w:w w:val="120"/>
        </w:rPr>
        <w:t>questions, sets </w:t>
      </w:r>
      <w:r>
        <w:rPr>
          <w:spacing w:val="3"/>
          <w:w w:val="120"/>
        </w:rPr>
        <w:t>out the </w:t>
      </w:r>
      <w:r>
        <w:rPr>
          <w:w w:val="120"/>
        </w:rPr>
        <w:t>resolution(s) </w:t>
      </w:r>
      <w:r>
        <w:rPr>
          <w:spacing w:val="2"/>
          <w:w w:val="120"/>
        </w:rPr>
        <w:t>clearly, </w:t>
      </w:r>
      <w:r>
        <w:rPr>
          <w:spacing w:val="3"/>
          <w:w w:val="120"/>
        </w:rPr>
        <w:t>summarises the main  </w:t>
      </w:r>
      <w:r>
        <w:rPr>
          <w:spacing w:val="4"/>
          <w:w w:val="120"/>
        </w:rPr>
        <w:t>points, </w:t>
      </w:r>
      <w:r>
        <w:rPr>
          <w:spacing w:val="3"/>
          <w:w w:val="120"/>
        </w:rPr>
        <w:t>and </w:t>
      </w:r>
      <w:r>
        <w:rPr>
          <w:spacing w:val="4"/>
          <w:w w:val="120"/>
        </w:rPr>
        <w:t>answers </w:t>
      </w:r>
      <w:r>
        <w:rPr>
          <w:spacing w:val="3"/>
          <w:w w:val="120"/>
        </w:rPr>
        <w:t>the </w:t>
      </w:r>
      <w:r>
        <w:rPr>
          <w:spacing w:val="4"/>
          <w:w w:val="120"/>
        </w:rPr>
        <w:t>questions about </w:t>
      </w:r>
      <w:r>
        <w:rPr>
          <w:spacing w:val="3"/>
          <w:w w:val="120"/>
        </w:rPr>
        <w:t>financial </w:t>
      </w:r>
      <w:r>
        <w:rPr>
          <w:spacing w:val="4"/>
          <w:w w:val="120"/>
        </w:rPr>
        <w:t>impact </w:t>
      </w:r>
      <w:r>
        <w:rPr>
          <w:spacing w:val="3"/>
          <w:w w:val="120"/>
        </w:rPr>
        <w:t>and </w:t>
      </w:r>
      <w:r>
        <w:rPr>
          <w:spacing w:val="2"/>
          <w:w w:val="120"/>
        </w:rPr>
        <w:t>how </w:t>
      </w:r>
      <w:r>
        <w:rPr>
          <w:spacing w:val="3"/>
          <w:w w:val="120"/>
        </w:rPr>
        <w:t>the </w:t>
      </w:r>
      <w:r>
        <w:rPr>
          <w:spacing w:val="4"/>
          <w:w w:val="120"/>
        </w:rPr>
        <w:t>proposed </w:t>
      </w:r>
      <w:r>
        <w:rPr>
          <w:spacing w:val="3"/>
          <w:w w:val="120"/>
        </w:rPr>
        <w:t>work </w:t>
      </w:r>
      <w:r>
        <w:rPr>
          <w:spacing w:val="2"/>
          <w:w w:val="120"/>
        </w:rPr>
        <w:t>will </w:t>
      </w:r>
      <w:r>
        <w:rPr>
          <w:spacing w:val="4"/>
          <w:w w:val="120"/>
        </w:rPr>
        <w:t>affect </w:t>
      </w:r>
      <w:r>
        <w:rPr>
          <w:spacing w:val="3"/>
          <w:w w:val="120"/>
        </w:rPr>
        <w:t>relationships with </w:t>
      </w:r>
      <w:r>
        <w:rPr>
          <w:spacing w:val="4"/>
          <w:w w:val="120"/>
        </w:rPr>
        <w:t>external </w:t>
      </w:r>
      <w:r>
        <w:rPr>
          <w:spacing w:val="5"/>
          <w:w w:val="120"/>
        </w:rPr>
        <w:t>partners. </w:t>
      </w:r>
      <w:r>
        <w:rPr>
          <w:spacing w:val="3"/>
          <w:w w:val="120"/>
        </w:rPr>
        <w:t>The </w:t>
      </w:r>
      <w:r>
        <w:rPr>
          <w:spacing w:val="4"/>
          <w:w w:val="120"/>
        </w:rPr>
        <w:t>Assembly </w:t>
      </w:r>
      <w:r>
        <w:rPr>
          <w:spacing w:val="5"/>
          <w:w w:val="120"/>
        </w:rPr>
        <w:t>arrangements </w:t>
      </w:r>
      <w:r>
        <w:rPr>
          <w:spacing w:val="3"/>
          <w:w w:val="120"/>
        </w:rPr>
        <w:t>committee </w:t>
      </w:r>
      <w:r>
        <w:rPr>
          <w:spacing w:val="2"/>
          <w:w w:val="120"/>
        </w:rPr>
        <w:t>will </w:t>
      </w:r>
      <w:r>
        <w:rPr>
          <w:spacing w:val="3"/>
          <w:w w:val="120"/>
        </w:rPr>
        <w:t>be </w:t>
      </w:r>
      <w:r>
        <w:rPr>
          <w:spacing w:val="5"/>
          <w:w w:val="120"/>
        </w:rPr>
        <w:t>very </w:t>
      </w:r>
      <w:r>
        <w:rPr>
          <w:spacing w:val="3"/>
          <w:w w:val="120"/>
        </w:rPr>
        <w:t>interested </w:t>
      </w:r>
      <w:r>
        <w:rPr>
          <w:w w:val="120"/>
        </w:rPr>
        <w:t>to </w:t>
      </w:r>
      <w:r>
        <w:rPr>
          <w:spacing w:val="2"/>
          <w:w w:val="120"/>
        </w:rPr>
        <w:t>have your </w:t>
      </w:r>
      <w:r>
        <w:rPr>
          <w:spacing w:val="4"/>
          <w:w w:val="120"/>
        </w:rPr>
        <w:t>feedback </w:t>
      </w:r>
      <w:r>
        <w:rPr>
          <w:spacing w:val="2"/>
          <w:w w:val="120"/>
        </w:rPr>
        <w:t>on this </w:t>
      </w:r>
      <w:r>
        <w:rPr>
          <w:spacing w:val="5"/>
          <w:w w:val="120"/>
        </w:rPr>
        <w:t>style </w:t>
      </w:r>
      <w:r>
        <w:rPr>
          <w:spacing w:val="2"/>
          <w:w w:val="120"/>
        </w:rPr>
        <w:t>of</w:t>
      </w:r>
      <w:r>
        <w:rPr>
          <w:spacing w:val="41"/>
          <w:w w:val="120"/>
        </w:rPr>
        <w:t> </w:t>
      </w:r>
      <w:r>
        <w:rPr>
          <w:spacing w:val="4"/>
          <w:w w:val="120"/>
        </w:rPr>
        <w:t>presentation.</w:t>
      </w:r>
    </w:p>
    <w:p>
      <w:pPr>
        <w:pStyle w:val="BodyText"/>
        <w:spacing w:before="2"/>
      </w:pPr>
    </w:p>
    <w:p>
      <w:pPr>
        <w:pStyle w:val="BodyText"/>
        <w:spacing w:line="235" w:lineRule="auto"/>
        <w:ind w:left="2834" w:right="1853"/>
      </w:pPr>
      <w:r>
        <w:rPr>
          <w:w w:val="120"/>
        </w:rPr>
        <w:t>We </w:t>
      </w:r>
      <w:r>
        <w:rPr>
          <w:spacing w:val="3"/>
          <w:w w:val="120"/>
        </w:rPr>
        <w:t>offer </w:t>
      </w:r>
      <w:r>
        <w:rPr>
          <w:spacing w:val="2"/>
          <w:w w:val="120"/>
        </w:rPr>
        <w:t>you this </w:t>
      </w:r>
      <w:r>
        <w:rPr>
          <w:spacing w:val="4"/>
          <w:w w:val="120"/>
        </w:rPr>
        <w:t>book </w:t>
      </w:r>
      <w:r>
        <w:rPr>
          <w:w w:val="120"/>
        </w:rPr>
        <w:t>as </w:t>
      </w:r>
      <w:r>
        <w:rPr>
          <w:spacing w:val="3"/>
          <w:w w:val="120"/>
        </w:rPr>
        <w:t>the </w:t>
      </w:r>
      <w:r>
        <w:rPr>
          <w:spacing w:val="4"/>
          <w:w w:val="120"/>
        </w:rPr>
        <w:t>working </w:t>
      </w:r>
      <w:r>
        <w:rPr>
          <w:spacing w:val="3"/>
          <w:w w:val="120"/>
        </w:rPr>
        <w:t>materials for </w:t>
      </w:r>
      <w:r>
        <w:rPr>
          <w:spacing w:val="4"/>
          <w:w w:val="120"/>
        </w:rPr>
        <w:t>Assembly </w:t>
      </w:r>
      <w:r>
        <w:rPr>
          <w:w w:val="120"/>
        </w:rPr>
        <w:t>as it </w:t>
      </w:r>
      <w:r>
        <w:rPr>
          <w:spacing w:val="4"/>
          <w:w w:val="120"/>
        </w:rPr>
        <w:t>meets </w:t>
      </w:r>
      <w:r>
        <w:rPr>
          <w:w w:val="120"/>
        </w:rPr>
        <w:t>to  </w:t>
      </w:r>
      <w:r>
        <w:rPr>
          <w:spacing w:val="3"/>
          <w:w w:val="120"/>
        </w:rPr>
        <w:t>listen for the </w:t>
      </w:r>
      <w:r>
        <w:rPr>
          <w:spacing w:val="2"/>
          <w:w w:val="120"/>
        </w:rPr>
        <w:t>voice of </w:t>
      </w:r>
      <w:r>
        <w:rPr>
          <w:spacing w:val="3"/>
          <w:w w:val="120"/>
        </w:rPr>
        <w:t>the </w:t>
      </w:r>
      <w:r>
        <w:rPr>
          <w:spacing w:val="4"/>
          <w:w w:val="120"/>
        </w:rPr>
        <w:t>Spirit. </w:t>
      </w:r>
      <w:r>
        <w:rPr>
          <w:spacing w:val="3"/>
          <w:w w:val="120"/>
        </w:rPr>
        <w:t>Those </w:t>
      </w:r>
      <w:r>
        <w:rPr>
          <w:spacing w:val="2"/>
          <w:w w:val="120"/>
        </w:rPr>
        <w:t>of you </w:t>
      </w:r>
      <w:r>
        <w:rPr>
          <w:spacing w:val="3"/>
          <w:w w:val="120"/>
        </w:rPr>
        <w:t>who </w:t>
      </w:r>
      <w:r>
        <w:rPr>
          <w:spacing w:val="2"/>
          <w:w w:val="120"/>
        </w:rPr>
        <w:t>will not    </w:t>
      </w:r>
      <w:r>
        <w:rPr>
          <w:spacing w:val="3"/>
          <w:w w:val="120"/>
        </w:rPr>
        <w:t>be coming </w:t>
      </w:r>
      <w:r>
        <w:rPr>
          <w:w w:val="120"/>
        </w:rPr>
        <w:t>to </w:t>
      </w:r>
      <w:r>
        <w:rPr>
          <w:spacing w:val="3"/>
          <w:w w:val="120"/>
        </w:rPr>
        <w:t>Cardiff are welcome </w:t>
      </w:r>
      <w:r>
        <w:rPr>
          <w:w w:val="120"/>
        </w:rPr>
        <w:t>to </w:t>
      </w:r>
      <w:r>
        <w:rPr>
          <w:spacing w:val="3"/>
          <w:w w:val="120"/>
        </w:rPr>
        <w:t>join </w:t>
      </w:r>
      <w:r>
        <w:rPr>
          <w:w w:val="120"/>
        </w:rPr>
        <w:t>us </w:t>
      </w:r>
      <w:r>
        <w:rPr>
          <w:spacing w:val="3"/>
          <w:w w:val="120"/>
        </w:rPr>
        <w:t>online </w:t>
      </w:r>
      <w:r>
        <w:rPr>
          <w:w w:val="120"/>
        </w:rPr>
        <w:t>as key </w:t>
      </w:r>
      <w:r>
        <w:rPr>
          <w:spacing w:val="3"/>
          <w:w w:val="120"/>
        </w:rPr>
        <w:t>debates are </w:t>
      </w:r>
      <w:r>
        <w:rPr>
          <w:spacing w:val="4"/>
          <w:w w:val="120"/>
        </w:rPr>
        <w:t>streamed</w:t>
      </w:r>
      <w:r>
        <w:rPr>
          <w:spacing w:val="14"/>
          <w:w w:val="120"/>
        </w:rPr>
        <w:t> </w:t>
      </w:r>
      <w:r>
        <w:rPr>
          <w:spacing w:val="3"/>
          <w:w w:val="120"/>
        </w:rPr>
        <w:t>for</w:t>
      </w:r>
      <w:r>
        <w:rPr>
          <w:spacing w:val="14"/>
          <w:w w:val="120"/>
        </w:rPr>
        <w:t> </w:t>
      </w:r>
      <w:r>
        <w:rPr>
          <w:spacing w:val="2"/>
          <w:w w:val="120"/>
        </w:rPr>
        <w:t>your</w:t>
      </w:r>
      <w:r>
        <w:rPr>
          <w:spacing w:val="14"/>
          <w:w w:val="120"/>
        </w:rPr>
        <w:t> </w:t>
      </w:r>
      <w:r>
        <w:rPr>
          <w:spacing w:val="4"/>
          <w:w w:val="120"/>
        </w:rPr>
        <w:t>viewing.</w:t>
      </w:r>
      <w:r>
        <w:rPr>
          <w:spacing w:val="14"/>
          <w:w w:val="120"/>
        </w:rPr>
        <w:t> </w:t>
      </w:r>
      <w:r>
        <w:rPr>
          <w:w w:val="120"/>
        </w:rPr>
        <w:t>We</w:t>
      </w:r>
      <w:r>
        <w:rPr>
          <w:spacing w:val="14"/>
          <w:w w:val="120"/>
        </w:rPr>
        <w:t> </w:t>
      </w:r>
      <w:r>
        <w:rPr>
          <w:spacing w:val="2"/>
          <w:w w:val="120"/>
        </w:rPr>
        <w:t>ask</w:t>
      </w:r>
      <w:r>
        <w:rPr>
          <w:spacing w:val="14"/>
          <w:w w:val="120"/>
        </w:rPr>
        <w:t> </w:t>
      </w:r>
      <w:r>
        <w:rPr>
          <w:spacing w:val="3"/>
          <w:w w:val="120"/>
        </w:rPr>
        <w:t>the</w:t>
      </w:r>
      <w:r>
        <w:rPr>
          <w:spacing w:val="15"/>
          <w:w w:val="120"/>
        </w:rPr>
        <w:t> </w:t>
      </w:r>
      <w:r>
        <w:rPr>
          <w:spacing w:val="4"/>
          <w:w w:val="120"/>
        </w:rPr>
        <w:t>whole</w:t>
      </w:r>
      <w:r>
        <w:rPr>
          <w:spacing w:val="14"/>
          <w:w w:val="120"/>
        </w:rPr>
        <w:t> </w:t>
      </w:r>
      <w:r>
        <w:rPr>
          <w:spacing w:val="3"/>
          <w:w w:val="120"/>
        </w:rPr>
        <w:t>Church</w:t>
      </w:r>
      <w:r>
        <w:rPr>
          <w:spacing w:val="14"/>
          <w:w w:val="120"/>
        </w:rPr>
        <w:t> </w:t>
      </w:r>
      <w:r>
        <w:rPr>
          <w:w w:val="120"/>
        </w:rPr>
        <w:t>to</w:t>
      </w:r>
      <w:r>
        <w:rPr>
          <w:spacing w:val="14"/>
          <w:w w:val="120"/>
        </w:rPr>
        <w:t> </w:t>
      </w:r>
      <w:r>
        <w:rPr>
          <w:spacing w:val="3"/>
          <w:w w:val="120"/>
        </w:rPr>
        <w:t>join</w:t>
      </w:r>
      <w:r>
        <w:rPr>
          <w:spacing w:val="14"/>
          <w:w w:val="120"/>
        </w:rPr>
        <w:t> </w:t>
      </w:r>
      <w:r>
        <w:rPr>
          <w:spacing w:val="3"/>
          <w:w w:val="120"/>
        </w:rPr>
        <w:t>with</w:t>
      </w:r>
      <w:r>
        <w:rPr>
          <w:spacing w:val="14"/>
          <w:w w:val="120"/>
        </w:rPr>
        <w:t> </w:t>
      </w:r>
      <w:r>
        <w:rPr>
          <w:w w:val="120"/>
        </w:rPr>
        <w:t>us</w:t>
      </w:r>
      <w:r>
        <w:rPr>
          <w:spacing w:val="14"/>
          <w:w w:val="120"/>
        </w:rPr>
        <w:t> </w:t>
      </w:r>
      <w:r>
        <w:rPr>
          <w:w w:val="120"/>
        </w:rPr>
        <w:t>in</w:t>
      </w:r>
    </w:p>
    <w:p>
      <w:pPr>
        <w:pStyle w:val="BodyText"/>
        <w:spacing w:line="235" w:lineRule="auto" w:before="3"/>
        <w:ind w:left="2834" w:right="1820"/>
      </w:pPr>
      <w:r>
        <w:rPr>
          <w:w w:val="120"/>
        </w:rPr>
        <w:t>prayer. </w:t>
      </w:r>
      <w:r>
        <w:rPr>
          <w:spacing w:val="3"/>
          <w:w w:val="120"/>
        </w:rPr>
        <w:t>This </w:t>
      </w:r>
      <w:r>
        <w:rPr>
          <w:spacing w:val="2"/>
          <w:w w:val="120"/>
        </w:rPr>
        <w:t>will </w:t>
      </w:r>
      <w:r>
        <w:rPr>
          <w:spacing w:val="3"/>
          <w:w w:val="120"/>
        </w:rPr>
        <w:t>be </w:t>
      </w:r>
      <w:r>
        <w:rPr>
          <w:w w:val="120"/>
        </w:rPr>
        <w:t>my </w:t>
      </w:r>
      <w:r>
        <w:rPr>
          <w:spacing w:val="3"/>
          <w:w w:val="120"/>
        </w:rPr>
        <w:t>last </w:t>
      </w:r>
      <w:r>
        <w:rPr>
          <w:spacing w:val="4"/>
          <w:w w:val="120"/>
        </w:rPr>
        <w:t>Assembly </w:t>
      </w:r>
      <w:r>
        <w:rPr>
          <w:w w:val="120"/>
        </w:rPr>
        <w:t>as </w:t>
      </w:r>
      <w:r>
        <w:rPr>
          <w:spacing w:val="4"/>
          <w:w w:val="120"/>
        </w:rPr>
        <w:t>general </w:t>
      </w:r>
      <w:r>
        <w:rPr>
          <w:spacing w:val="5"/>
          <w:w w:val="120"/>
        </w:rPr>
        <w:t>secretary </w:t>
      </w:r>
      <w:r>
        <w:rPr>
          <w:w w:val="120"/>
        </w:rPr>
        <w:t>– let’s </w:t>
      </w:r>
      <w:r>
        <w:rPr>
          <w:spacing w:val="2"/>
          <w:w w:val="120"/>
        </w:rPr>
        <w:t>make </w:t>
      </w:r>
      <w:r>
        <w:rPr>
          <w:w w:val="120"/>
        </w:rPr>
        <w:t>it  a </w:t>
      </w:r>
      <w:r>
        <w:rPr>
          <w:spacing w:val="4"/>
          <w:w w:val="120"/>
        </w:rPr>
        <w:t>good</w:t>
      </w:r>
      <w:r>
        <w:rPr>
          <w:spacing w:val="22"/>
          <w:w w:val="120"/>
        </w:rPr>
        <w:t> </w:t>
      </w:r>
      <w:r>
        <w:rPr>
          <w:spacing w:val="3"/>
          <w:w w:val="120"/>
        </w:rPr>
        <w:t>one!</w:t>
      </w:r>
    </w:p>
    <w:p>
      <w:pPr>
        <w:pStyle w:val="BodyText"/>
        <w:rPr>
          <w:sz w:val="24"/>
        </w:rPr>
      </w:pPr>
    </w:p>
    <w:p>
      <w:pPr>
        <w:pStyle w:val="BodyText"/>
        <w:spacing w:before="185"/>
        <w:ind w:left="2834"/>
      </w:pPr>
      <w:r>
        <w:rPr>
          <w:w w:val="120"/>
        </w:rPr>
        <w:t>Yours in Christ,</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1"/>
        <w:rPr>
          <w:sz w:val="28"/>
        </w:rPr>
      </w:pPr>
    </w:p>
    <w:p>
      <w:pPr>
        <w:pStyle w:val="Heading8"/>
        <w:spacing w:before="97"/>
        <w:ind w:left="4679"/>
        <w:rPr>
          <w:rFonts w:ascii="Stone Sans II ITC Std X Bd" w:hAnsi="Stone Sans II ITC Std X Bd"/>
          <w:b/>
          <w:sz w:val="24"/>
        </w:rPr>
      </w:pP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2014 </w:t>
      </w:r>
      <w:r>
        <w:rPr>
          <w:rFonts w:ascii="Symbol" w:hAnsi="Symbol"/>
          <w:color w:val="7EAABF"/>
          <w:w w:val="110"/>
        </w:rPr>
        <w:t></w:t>
      </w:r>
      <w:r>
        <w:rPr>
          <w:rFonts w:ascii="Times New Roman" w:hAnsi="Times New Roman"/>
          <w:color w:val="7EAABF"/>
          <w:w w:val="110"/>
        </w:rPr>
        <w:t> </w:t>
      </w:r>
      <w:r>
        <w:rPr>
          <w:rFonts w:ascii="Stone Sans II ITC Std X Bd" w:hAnsi="Stone Sans II ITC Std X Bd"/>
          <w:b/>
          <w:w w:val="110"/>
          <w:sz w:val="24"/>
        </w:rPr>
        <w:t>3</w:t>
      </w:r>
    </w:p>
    <w:p>
      <w:pPr>
        <w:spacing w:after="0"/>
        <w:rPr>
          <w:rFonts w:ascii="Stone Sans II ITC Std X Bd" w:hAnsi="Stone Sans II ITC Std X Bd"/>
          <w:sz w:val="24"/>
        </w:rPr>
        <w:sectPr>
          <w:headerReference w:type="default" r:id="rId9"/>
          <w:pgSz w:w="11910" w:h="16840"/>
          <w:pgMar w:header="0" w:footer="0" w:top="1440" w:bottom="280" w:left="0" w:right="0"/>
        </w:sectPr>
      </w:pPr>
    </w:p>
    <w:p>
      <w:pPr>
        <w:pStyle w:val="BodyText"/>
        <w:rPr>
          <w:rFonts w:ascii="Stone Sans II ITC Std X Bd"/>
          <w:b/>
        </w:rPr>
      </w:pPr>
      <w:r>
        <w:rPr/>
        <w:pict>
          <v:rect style="position:absolute;margin-left:0pt;margin-top:.000015pt;width:595.275pt;height:841.89pt;mso-position-horizontal-relative:page;mso-position-vertical-relative:page;z-index:-267612160" filled="true" fillcolor="#ffedc2" stroked="false">
            <v:fill type="solid"/>
            <w10:wrap type="none"/>
          </v:rect>
        </w:pict>
      </w:r>
      <w:r>
        <w:rPr/>
        <w:pict>
          <v:group style="position:absolute;margin-left:51.023998pt;margin-top:51.732014pt;width:482.85pt;height:740.25pt;mso-position-horizontal-relative:page;mso-position-vertical-relative:page;z-index:-267611136" coordorigin="1020,1035" coordsize="9657,14805">
            <v:rect style="position:absolute;left:1050;top:1064;width:9627;height:14775" filled="true" fillcolor="#000000" stroked="false">
              <v:fill opacity="26870f" type="solid"/>
            </v:rect>
            <v:shape style="position:absolute;left:1020;top:1034;width:9406;height:14556" coordorigin="1020,1035" coordsize="9406,14556" path="m10426,1035l1020,1035,1020,14337,1020,15590,10426,15590,10426,14337,10426,1035e" filled="true" fillcolor="#ffffff" stroked="false">
              <v:path arrowok="t"/>
              <v:fill type="solid"/>
            </v:shape>
            <v:rect style="position:absolute;left:9731;top:1370;width:359;height:372" filled="true" fillcolor="#e85113" stroked="false">
              <v:fill type="solid"/>
            </v:rect>
            <v:rect style="position:absolute;left:9731;top:1865;width:359;height:359" filled="true" fillcolor="#f6af81" stroked="false">
              <v:fill type="solid"/>
            </v:rect>
            <v:rect style="position:absolute;left:9731;top:2357;width:359;height:359" filled="true" fillcolor="#fad0b4" stroked="false">
              <v:fill opacity="32768f" type="solid"/>
            </v:rect>
            <v:rect style="position:absolute;left:7923;top:12877;width:2456;height:2614" filled="true" fillcolor="#000000" stroked="false">
              <v:fill opacity="21627f" type="solid"/>
            </v:rect>
            <v:shape style="position:absolute;left:8286;top:12885;width:246;height:647" type="#_x0000_t75" stroked="false">
              <v:imagedata r:id="rId17" o:title=""/>
            </v:shape>
            <v:shape style="position:absolute;left:8590;top:13308;width:378;height:1134" type="#_x0000_t75" stroked="false">
              <v:imagedata r:id="rId18" o:title=""/>
            </v:shape>
            <v:shape style="position:absolute;left:8916;top:13011;width:737;height:1426" type="#_x0000_t75" stroked="false">
              <v:imagedata r:id="rId19" o:title=""/>
            </v:shape>
            <v:shape style="position:absolute;left:8156;top:15071;width:204;height:229" coordorigin="8157,15072" coordsize="204,229" path="m8188,15072l8157,15072,8245,15300,8275,15300,8285,15273,8260,15273,8188,15072xm8360,15072l8332,15072,8261,15273,8285,15273,8360,15072xe" filled="true" fillcolor="#e53f17" stroked="false">
              <v:path arrowok="t"/>
              <v:fill type="solid"/>
            </v:shape>
            <v:line style="position:absolute" from="8402,15072" to="8402,15300" stroked="true" strokeweight="1.396pt" strokecolor="#e53f17">
              <v:stroke dashstyle="solid"/>
            </v:line>
            <v:rect style="position:absolute;left:8388;top:14983;width:28;height:45" filled="true" fillcolor="#e53f17" stroked="false">
              <v:fill type="solid"/>
            </v:rect>
            <v:shape style="position:absolute;left:8457;top:15065;width:186;height:242" type="#_x0000_t75" stroked="false">
              <v:imagedata r:id="rId20" o:title=""/>
            </v:shape>
            <v:line style="position:absolute" from="8698,15072" to="8698,15300" stroked="true" strokeweight="1.396pt" strokecolor="#e53f17">
              <v:stroke dashstyle="solid"/>
            </v:line>
            <v:shape style="position:absolute;left:8753;top:15065;width:217;height:242" type="#_x0000_t75" stroked="false">
              <v:imagedata r:id="rId21" o:title=""/>
            </v:shape>
            <v:shape style="position:absolute;left:9011;top:15065;width:186;height:236" type="#_x0000_t75" stroked="false">
              <v:imagedata r:id="rId22" o:title=""/>
            </v:shape>
            <v:shape style="position:absolute;left:9240;top:14983;width:213;height:317" type="#_x0000_t75" stroked="false">
              <v:imagedata r:id="rId23" o:title=""/>
            </v:shape>
            <v:shape style="position:absolute;left:9485;top:14983;width:215;height:323" type="#_x0000_t75" stroked="false">
              <v:imagedata r:id="rId24" o:title=""/>
            </v:shape>
            <v:shape style="position:absolute;left:9733;top:14983;width:213;height:317" type="#_x0000_t75" stroked="false">
              <v:imagedata r:id="rId25" o:title=""/>
            </v:shape>
            <v:shape style="position:absolute;left:9978;top:14983;width:215;height:323" type="#_x0000_t75" stroked="false">
              <v:imagedata r:id="rId26" o:title=""/>
            </v:shape>
            <v:shape style="position:absolute;left:7946;top:13410;width:1529;height:1622" type="#_x0000_t75" stroked="false">
              <v:imagedata r:id="rId27" o:title=""/>
            </v:shape>
            <w10:wrap type="none"/>
          </v:group>
        </w:pict>
      </w:r>
    </w:p>
    <w:p>
      <w:pPr>
        <w:pStyle w:val="BodyText"/>
        <w:rPr>
          <w:rFonts w:ascii="Stone Sans II ITC Std X Bd"/>
          <w:b/>
        </w:rPr>
      </w:pPr>
    </w:p>
    <w:p>
      <w:pPr>
        <w:pStyle w:val="BodyText"/>
        <w:spacing w:before="9"/>
        <w:rPr>
          <w:rFonts w:ascii="Stone Sans II ITC Std X Bd"/>
          <w:b/>
        </w:rPr>
      </w:pPr>
    </w:p>
    <w:p>
      <w:pPr>
        <w:pStyle w:val="Heading9"/>
        <w:spacing w:line="240" w:lineRule="auto" w:before="94"/>
        <w:ind w:left="1978" w:firstLine="0"/>
      </w:pPr>
      <w:r>
        <w:rPr/>
        <w:pict>
          <v:shape style="position:absolute;margin-left:456.075623pt;margin-top:2.624182pt;width:53.9pt;height:513pt;mso-position-horizontal-relative:page;mso-position-vertical-relative:paragraph;z-index:-267610112" type="#_x0000_t202" filled="false" stroked="false">
            <v:textbox inset="0,0,0,0" style="layout-flow:vertical">
              <w:txbxContent>
                <w:p>
                  <w:pPr>
                    <w:spacing w:line="479" w:lineRule="exact" w:before="15"/>
                    <w:ind w:left="1169" w:right="0" w:firstLine="0"/>
                    <w:jc w:val="left"/>
                    <w:rPr>
                      <w:rFonts w:ascii="Stone Sans II ITC Std Bk"/>
                      <w:b/>
                      <w:sz w:val="39"/>
                    </w:rPr>
                  </w:pPr>
                  <w:r>
                    <w:rPr>
                      <w:rFonts w:ascii="Stone Sans II ITC Std Bk"/>
                      <w:b/>
                      <w:color w:val="E2001A"/>
                      <w:w w:val="115"/>
                      <w:sz w:val="39"/>
                    </w:rPr>
                    <w:t>Framework for Mission</w:t>
                  </w:r>
                </w:p>
                <w:p>
                  <w:pPr>
                    <w:spacing w:line="584" w:lineRule="exact" w:before="0"/>
                    <w:ind w:left="20" w:right="0" w:firstLine="0"/>
                    <w:jc w:val="left"/>
                    <w:rPr>
                      <w:rFonts w:ascii="Stone Sans II ITC Std X Bd"/>
                      <w:b/>
                      <w:sz w:val="48"/>
                    </w:rPr>
                  </w:pPr>
                  <w:r>
                    <w:rPr>
                      <w:rFonts w:ascii="Stone Sans II ITC Std X Bd"/>
                      <w:b/>
                      <w:spacing w:val="-6"/>
                      <w:w w:val="110"/>
                      <w:sz w:val="48"/>
                    </w:rPr>
                    <w:t>ten statements </w:t>
                  </w:r>
                  <w:r>
                    <w:rPr>
                      <w:rFonts w:ascii="Stone Sans II ITC Std X Bd"/>
                      <w:b/>
                      <w:spacing w:val="-3"/>
                      <w:w w:val="110"/>
                      <w:sz w:val="48"/>
                    </w:rPr>
                    <w:t>of </w:t>
                  </w:r>
                  <w:r>
                    <w:rPr>
                      <w:rFonts w:ascii="Stone Sans II ITC Std X Bd"/>
                      <w:b/>
                      <w:spacing w:val="-4"/>
                      <w:w w:val="110"/>
                      <w:sz w:val="48"/>
                    </w:rPr>
                    <w:t>our </w:t>
                  </w:r>
                  <w:r>
                    <w:rPr>
                      <w:rFonts w:ascii="Stone Sans II ITC Std X Bd"/>
                      <w:b/>
                      <w:spacing w:val="-5"/>
                      <w:w w:val="110"/>
                      <w:sz w:val="48"/>
                    </w:rPr>
                    <w:t>mission</w:t>
                  </w:r>
                  <w:r>
                    <w:rPr>
                      <w:rFonts w:ascii="Stone Sans II ITC Std X Bd"/>
                      <w:b/>
                      <w:spacing w:val="-69"/>
                      <w:w w:val="110"/>
                      <w:sz w:val="48"/>
                    </w:rPr>
                    <w:t> </w:t>
                  </w:r>
                  <w:r>
                    <w:rPr>
                      <w:rFonts w:ascii="Stone Sans II ITC Std X Bd"/>
                      <w:b/>
                      <w:spacing w:val="-4"/>
                      <w:w w:val="110"/>
                      <w:sz w:val="48"/>
                    </w:rPr>
                    <w:t>purpose</w:t>
                  </w:r>
                </w:p>
              </w:txbxContent>
            </v:textbox>
            <w10:wrap type="none"/>
          </v:shape>
        </w:pict>
      </w:r>
      <w:r>
        <w:rPr>
          <w:color w:val="E85113"/>
          <w:w w:val="110"/>
        </w:rPr>
        <w:t>Statement 1: </w:t>
      </w:r>
      <w:r>
        <w:rPr>
          <w:w w:val="110"/>
        </w:rPr>
        <w:t>Spirituality and prayer</w:t>
      </w:r>
    </w:p>
    <w:p>
      <w:pPr>
        <w:spacing w:line="249" w:lineRule="auto" w:before="169"/>
        <w:ind w:left="1978" w:right="3769" w:firstLine="0"/>
        <w:jc w:val="left"/>
        <w:rPr>
          <w:sz w:val="15"/>
        </w:rPr>
      </w:pPr>
      <w:r>
        <w:rPr>
          <w:w w:val="125"/>
          <w:sz w:val="15"/>
        </w:rPr>
        <w:t>We will grow in our practice of prayer and spirituality, nurturing strength for our witness to Jesus Christ, and developing our discernment of where God is and  what God is calling us to do by reading and studying the Bible and through the power of the Holy</w:t>
      </w:r>
      <w:r>
        <w:rPr>
          <w:spacing w:val="7"/>
          <w:w w:val="125"/>
          <w:sz w:val="15"/>
        </w:rPr>
        <w:t> </w:t>
      </w:r>
      <w:r>
        <w:rPr>
          <w:w w:val="125"/>
          <w:sz w:val="15"/>
        </w:rPr>
        <w:t>Spirit.</w:t>
      </w:r>
    </w:p>
    <w:p>
      <w:pPr>
        <w:pStyle w:val="BodyText"/>
        <w:spacing w:before="10"/>
        <w:rPr>
          <w:sz w:val="25"/>
        </w:rPr>
      </w:pPr>
    </w:p>
    <w:p>
      <w:pPr>
        <w:pStyle w:val="Heading9"/>
        <w:spacing w:line="240" w:lineRule="auto"/>
        <w:ind w:left="1978" w:firstLine="0"/>
      </w:pPr>
      <w:r>
        <w:rPr>
          <w:color w:val="E85113"/>
          <w:w w:val="110"/>
        </w:rPr>
        <w:t>Statement 2: </w:t>
      </w:r>
      <w:r>
        <w:rPr>
          <w:w w:val="110"/>
        </w:rPr>
        <w:t>Identity</w:t>
      </w:r>
    </w:p>
    <w:p>
      <w:pPr>
        <w:spacing w:line="249" w:lineRule="auto" w:before="169"/>
        <w:ind w:left="1978" w:right="3495" w:firstLine="0"/>
        <w:jc w:val="left"/>
        <w:rPr>
          <w:sz w:val="15"/>
        </w:rPr>
      </w:pPr>
      <w:r>
        <w:rPr>
          <w:w w:val="130"/>
          <w:sz w:val="15"/>
        </w:rPr>
        <w:t>The URC will be a Church where every local congregation will be able to say who they are, what they do and why they do it.</w:t>
      </w:r>
    </w:p>
    <w:p>
      <w:pPr>
        <w:pStyle w:val="BodyText"/>
        <w:rPr>
          <w:sz w:val="26"/>
        </w:rPr>
      </w:pPr>
    </w:p>
    <w:p>
      <w:pPr>
        <w:pStyle w:val="Heading9"/>
        <w:spacing w:line="240" w:lineRule="auto"/>
        <w:ind w:left="1978" w:firstLine="0"/>
      </w:pPr>
      <w:r>
        <w:rPr>
          <w:color w:val="E85113"/>
          <w:w w:val="110"/>
        </w:rPr>
        <w:t>Statement 3: </w:t>
      </w:r>
      <w:r>
        <w:rPr>
          <w:w w:val="110"/>
        </w:rPr>
        <w:t>Christian Ecumenical Partnerships</w:t>
      </w:r>
    </w:p>
    <w:p>
      <w:pPr>
        <w:spacing w:line="249" w:lineRule="auto" w:before="169"/>
        <w:ind w:left="1978" w:right="3495" w:firstLine="0"/>
        <w:jc w:val="left"/>
        <w:rPr>
          <w:sz w:val="15"/>
        </w:rPr>
      </w:pPr>
      <w:r>
        <w:rPr>
          <w:w w:val="125"/>
          <w:sz w:val="15"/>
        </w:rPr>
        <w:t>We will be more confident in our identity, valuing the treasures of our tradition, discerning when to seek ecumenical partnerships, and when and how to seek the further unity of the Church.</w:t>
      </w:r>
    </w:p>
    <w:p>
      <w:pPr>
        <w:pStyle w:val="BodyText"/>
        <w:spacing w:before="11"/>
        <w:rPr>
          <w:sz w:val="25"/>
        </w:rPr>
      </w:pPr>
    </w:p>
    <w:p>
      <w:pPr>
        <w:pStyle w:val="Heading9"/>
        <w:spacing w:line="240" w:lineRule="auto"/>
        <w:ind w:left="1978" w:firstLine="0"/>
      </w:pPr>
      <w:r>
        <w:rPr>
          <w:color w:val="E85113"/>
          <w:w w:val="110"/>
        </w:rPr>
        <w:t>Statement 4: </w:t>
      </w:r>
      <w:r>
        <w:rPr>
          <w:w w:val="110"/>
        </w:rPr>
        <w:t>Community partnerships</w:t>
      </w:r>
    </w:p>
    <w:p>
      <w:pPr>
        <w:spacing w:before="169"/>
        <w:ind w:left="1978" w:right="0" w:firstLine="0"/>
        <w:jc w:val="left"/>
        <w:rPr>
          <w:sz w:val="15"/>
        </w:rPr>
      </w:pPr>
      <w:r>
        <w:rPr>
          <w:w w:val="125"/>
          <w:sz w:val="15"/>
        </w:rPr>
        <w:t>We will be a Church that is more active in the life of local neighbourhoods.</w:t>
      </w:r>
    </w:p>
    <w:p>
      <w:pPr>
        <w:pStyle w:val="BodyText"/>
        <w:spacing w:before="8"/>
        <w:rPr>
          <w:sz w:val="26"/>
        </w:rPr>
      </w:pPr>
    </w:p>
    <w:p>
      <w:pPr>
        <w:pStyle w:val="Heading9"/>
        <w:spacing w:line="240" w:lineRule="auto" w:before="1"/>
        <w:ind w:left="1978" w:firstLine="0"/>
      </w:pPr>
      <w:r>
        <w:rPr>
          <w:color w:val="E85113"/>
          <w:w w:val="110"/>
        </w:rPr>
        <w:t>Statement 5: </w:t>
      </w:r>
      <w:r>
        <w:rPr>
          <w:w w:val="110"/>
        </w:rPr>
        <w:t>Hospitality and diversity</w:t>
      </w:r>
    </w:p>
    <w:p>
      <w:pPr>
        <w:spacing w:line="249" w:lineRule="auto" w:before="169"/>
        <w:ind w:left="1978" w:right="3769" w:firstLine="0"/>
        <w:jc w:val="left"/>
        <w:rPr>
          <w:sz w:val="15"/>
        </w:rPr>
      </w:pPr>
      <w:r>
        <w:rPr>
          <w:w w:val="130"/>
          <w:sz w:val="15"/>
        </w:rPr>
        <w:t>We will be a Church committed to becoming even more welcoming and hospitable, and embracing all people equally.</w:t>
      </w:r>
    </w:p>
    <w:p>
      <w:pPr>
        <w:pStyle w:val="BodyText"/>
        <w:spacing w:before="12"/>
        <w:rPr>
          <w:sz w:val="25"/>
        </w:rPr>
      </w:pPr>
    </w:p>
    <w:p>
      <w:pPr>
        <w:pStyle w:val="Heading9"/>
        <w:spacing w:line="240" w:lineRule="auto"/>
        <w:ind w:left="1978" w:firstLine="0"/>
      </w:pPr>
      <w:r>
        <w:rPr>
          <w:color w:val="E85113"/>
          <w:w w:val="110"/>
        </w:rPr>
        <w:t>Statement 6: </w:t>
      </w:r>
      <w:r>
        <w:rPr>
          <w:w w:val="110"/>
        </w:rPr>
        <w:t>Evangelism</w:t>
      </w:r>
    </w:p>
    <w:p>
      <w:pPr>
        <w:spacing w:line="249" w:lineRule="auto" w:before="169"/>
        <w:ind w:left="1978" w:right="3678" w:firstLine="0"/>
        <w:jc w:val="left"/>
        <w:rPr>
          <w:sz w:val="15"/>
        </w:rPr>
      </w:pPr>
      <w:r>
        <w:rPr>
          <w:w w:val="130"/>
          <w:sz w:val="15"/>
        </w:rPr>
        <w:t>We will be more confident to engage in evangelism, proclaiming the good news of the kingdom of God with friends, families and strangers, through story and action.</w:t>
      </w:r>
    </w:p>
    <w:p>
      <w:pPr>
        <w:pStyle w:val="BodyText"/>
        <w:spacing w:before="11"/>
        <w:rPr>
          <w:sz w:val="25"/>
        </w:rPr>
      </w:pPr>
    </w:p>
    <w:p>
      <w:pPr>
        <w:pStyle w:val="Heading9"/>
        <w:spacing w:line="240" w:lineRule="auto"/>
        <w:ind w:left="1978" w:firstLine="0"/>
      </w:pPr>
      <w:r>
        <w:rPr>
          <w:color w:val="E85113"/>
          <w:w w:val="110"/>
        </w:rPr>
        <w:t>Statement 7: </w:t>
      </w:r>
      <w:r>
        <w:rPr>
          <w:w w:val="110"/>
        </w:rPr>
        <w:t>Church growth</w:t>
      </w:r>
    </w:p>
    <w:p>
      <w:pPr>
        <w:spacing w:before="169"/>
        <w:ind w:left="1978" w:right="0" w:firstLine="0"/>
        <w:jc w:val="left"/>
        <w:rPr>
          <w:sz w:val="15"/>
        </w:rPr>
      </w:pPr>
      <w:r>
        <w:rPr>
          <w:w w:val="125"/>
          <w:sz w:val="15"/>
        </w:rPr>
        <w:t>We will be a growing Church with an increasing membership.</w:t>
      </w:r>
    </w:p>
    <w:p>
      <w:pPr>
        <w:pStyle w:val="BodyText"/>
        <w:spacing w:before="8"/>
        <w:rPr>
          <w:sz w:val="26"/>
        </w:rPr>
      </w:pPr>
    </w:p>
    <w:p>
      <w:pPr>
        <w:pStyle w:val="Heading9"/>
        <w:spacing w:line="240" w:lineRule="auto"/>
        <w:ind w:left="1978" w:firstLine="0"/>
      </w:pPr>
      <w:r>
        <w:rPr>
          <w:color w:val="E85113"/>
          <w:w w:val="110"/>
        </w:rPr>
        <w:t>Statement 8: </w:t>
      </w:r>
      <w:r>
        <w:rPr>
          <w:w w:val="110"/>
        </w:rPr>
        <w:t>Global partnerships</w:t>
      </w:r>
    </w:p>
    <w:p>
      <w:pPr>
        <w:spacing w:line="249" w:lineRule="auto" w:before="169"/>
        <w:ind w:left="1978" w:right="3769" w:firstLine="0"/>
        <w:jc w:val="left"/>
        <w:rPr>
          <w:sz w:val="15"/>
        </w:rPr>
      </w:pPr>
      <w:r>
        <w:rPr>
          <w:w w:val="130"/>
          <w:sz w:val="15"/>
        </w:rPr>
        <w:t>We</w:t>
      </w:r>
      <w:r>
        <w:rPr>
          <w:spacing w:val="-9"/>
          <w:w w:val="130"/>
          <w:sz w:val="15"/>
        </w:rPr>
        <w:t> </w:t>
      </w:r>
      <w:r>
        <w:rPr>
          <w:w w:val="130"/>
          <w:sz w:val="15"/>
        </w:rPr>
        <w:t>will</w:t>
      </w:r>
      <w:r>
        <w:rPr>
          <w:spacing w:val="-8"/>
          <w:w w:val="130"/>
          <w:sz w:val="15"/>
        </w:rPr>
        <w:t> </w:t>
      </w:r>
      <w:r>
        <w:rPr>
          <w:w w:val="130"/>
          <w:sz w:val="15"/>
        </w:rPr>
        <w:t>be</w:t>
      </w:r>
      <w:r>
        <w:rPr>
          <w:spacing w:val="-8"/>
          <w:w w:val="130"/>
          <w:sz w:val="15"/>
        </w:rPr>
        <w:t> </w:t>
      </w:r>
      <w:r>
        <w:rPr>
          <w:w w:val="130"/>
          <w:sz w:val="15"/>
        </w:rPr>
        <w:t>a</w:t>
      </w:r>
      <w:r>
        <w:rPr>
          <w:spacing w:val="-9"/>
          <w:w w:val="130"/>
          <w:sz w:val="15"/>
        </w:rPr>
        <w:t> </w:t>
      </w:r>
      <w:r>
        <w:rPr>
          <w:w w:val="130"/>
          <w:sz w:val="15"/>
        </w:rPr>
        <w:t>Church</w:t>
      </w:r>
      <w:r>
        <w:rPr>
          <w:spacing w:val="-8"/>
          <w:w w:val="130"/>
          <w:sz w:val="15"/>
        </w:rPr>
        <w:t> </w:t>
      </w:r>
      <w:r>
        <w:rPr>
          <w:w w:val="130"/>
          <w:sz w:val="15"/>
        </w:rPr>
        <w:t>that</w:t>
      </w:r>
      <w:r>
        <w:rPr>
          <w:spacing w:val="-8"/>
          <w:w w:val="130"/>
          <w:sz w:val="15"/>
        </w:rPr>
        <w:t> </w:t>
      </w:r>
      <w:r>
        <w:rPr>
          <w:w w:val="130"/>
          <w:sz w:val="15"/>
        </w:rPr>
        <w:t>is</w:t>
      </w:r>
      <w:r>
        <w:rPr>
          <w:spacing w:val="-9"/>
          <w:w w:val="130"/>
          <w:sz w:val="15"/>
        </w:rPr>
        <w:t> </w:t>
      </w:r>
      <w:r>
        <w:rPr>
          <w:w w:val="130"/>
          <w:sz w:val="15"/>
        </w:rPr>
        <w:t>an</w:t>
      </w:r>
      <w:r>
        <w:rPr>
          <w:spacing w:val="-8"/>
          <w:w w:val="130"/>
          <w:sz w:val="15"/>
        </w:rPr>
        <w:t> </w:t>
      </w:r>
      <w:r>
        <w:rPr>
          <w:w w:val="130"/>
          <w:sz w:val="15"/>
        </w:rPr>
        <w:t>active</w:t>
      </w:r>
      <w:r>
        <w:rPr>
          <w:spacing w:val="-8"/>
          <w:w w:val="130"/>
          <w:sz w:val="15"/>
        </w:rPr>
        <w:t> </w:t>
      </w:r>
      <w:r>
        <w:rPr>
          <w:w w:val="130"/>
          <w:sz w:val="15"/>
        </w:rPr>
        <w:t>partner</w:t>
      </w:r>
      <w:r>
        <w:rPr>
          <w:spacing w:val="-9"/>
          <w:w w:val="130"/>
          <w:sz w:val="15"/>
        </w:rPr>
        <w:t> </w:t>
      </w:r>
      <w:r>
        <w:rPr>
          <w:w w:val="130"/>
          <w:sz w:val="15"/>
        </w:rPr>
        <w:t>in</w:t>
      </w:r>
      <w:r>
        <w:rPr>
          <w:spacing w:val="-8"/>
          <w:w w:val="130"/>
          <w:sz w:val="15"/>
        </w:rPr>
        <w:t> </w:t>
      </w:r>
      <w:r>
        <w:rPr>
          <w:w w:val="130"/>
          <w:sz w:val="15"/>
        </w:rPr>
        <w:t>God’s</w:t>
      </w:r>
      <w:r>
        <w:rPr>
          <w:spacing w:val="-8"/>
          <w:w w:val="130"/>
          <w:sz w:val="15"/>
        </w:rPr>
        <w:t> </w:t>
      </w:r>
      <w:r>
        <w:rPr>
          <w:w w:val="130"/>
          <w:sz w:val="15"/>
        </w:rPr>
        <w:t>global</w:t>
      </w:r>
      <w:r>
        <w:rPr>
          <w:spacing w:val="-9"/>
          <w:w w:val="130"/>
          <w:sz w:val="15"/>
        </w:rPr>
        <w:t> </w:t>
      </w:r>
      <w:r>
        <w:rPr>
          <w:w w:val="130"/>
          <w:sz w:val="15"/>
        </w:rPr>
        <w:t>mission</w:t>
      </w:r>
      <w:r>
        <w:rPr>
          <w:spacing w:val="-8"/>
          <w:w w:val="130"/>
          <w:sz w:val="15"/>
        </w:rPr>
        <w:t> </w:t>
      </w:r>
      <w:r>
        <w:rPr>
          <w:w w:val="130"/>
          <w:sz w:val="15"/>
        </w:rPr>
        <w:t>with</w:t>
      </w:r>
      <w:r>
        <w:rPr>
          <w:spacing w:val="-8"/>
          <w:w w:val="130"/>
          <w:sz w:val="15"/>
        </w:rPr>
        <w:t> </w:t>
      </w:r>
      <w:r>
        <w:rPr>
          <w:w w:val="130"/>
          <w:sz w:val="15"/>
        </w:rPr>
        <w:t>other Churches around the</w:t>
      </w:r>
      <w:r>
        <w:rPr>
          <w:spacing w:val="-2"/>
          <w:w w:val="130"/>
          <w:sz w:val="15"/>
        </w:rPr>
        <w:t> </w:t>
      </w:r>
      <w:r>
        <w:rPr>
          <w:w w:val="130"/>
          <w:sz w:val="15"/>
        </w:rPr>
        <w:t>world.</w:t>
      </w:r>
    </w:p>
    <w:p>
      <w:pPr>
        <w:pStyle w:val="BodyText"/>
        <w:rPr>
          <w:sz w:val="26"/>
        </w:rPr>
      </w:pPr>
    </w:p>
    <w:p>
      <w:pPr>
        <w:pStyle w:val="Heading9"/>
        <w:spacing w:line="240" w:lineRule="auto"/>
        <w:ind w:left="1978" w:firstLine="0"/>
      </w:pPr>
      <w:r>
        <w:rPr>
          <w:color w:val="E85113"/>
          <w:w w:val="110"/>
        </w:rPr>
        <w:t>Statement 9: </w:t>
      </w:r>
      <w:r>
        <w:rPr>
          <w:w w:val="110"/>
        </w:rPr>
        <w:t>Justice and peace</w:t>
      </w:r>
    </w:p>
    <w:p>
      <w:pPr>
        <w:spacing w:line="249" w:lineRule="auto" w:before="169"/>
        <w:ind w:left="1978" w:right="3769" w:firstLine="0"/>
        <w:jc w:val="left"/>
        <w:rPr>
          <w:sz w:val="15"/>
        </w:rPr>
      </w:pPr>
      <w:r>
        <w:rPr>
          <w:w w:val="125"/>
          <w:sz w:val="15"/>
        </w:rPr>
        <w:t>We will be a Church committed to peacemaking and reconciliation that keeps faith with the poor and challenges injustice.</w:t>
      </w:r>
    </w:p>
    <w:p>
      <w:pPr>
        <w:pStyle w:val="BodyText"/>
        <w:rPr>
          <w:sz w:val="26"/>
        </w:rPr>
      </w:pPr>
    </w:p>
    <w:p>
      <w:pPr>
        <w:pStyle w:val="Heading9"/>
        <w:spacing w:line="240" w:lineRule="auto"/>
        <w:ind w:left="1978" w:firstLine="0"/>
      </w:pPr>
      <w:r>
        <w:rPr>
          <w:color w:val="E85113"/>
          <w:w w:val="110"/>
        </w:rPr>
        <w:t>Statement 10: </w:t>
      </w:r>
      <w:r>
        <w:rPr>
          <w:w w:val="110"/>
        </w:rPr>
        <w:t>The integrity of creation</w:t>
      </w:r>
    </w:p>
    <w:p>
      <w:pPr>
        <w:spacing w:line="249" w:lineRule="auto" w:before="169"/>
        <w:ind w:left="1978" w:right="3769" w:firstLine="0"/>
        <w:jc w:val="left"/>
        <w:rPr>
          <w:sz w:val="15"/>
        </w:rPr>
      </w:pPr>
      <w:r>
        <w:rPr>
          <w:w w:val="125"/>
          <w:sz w:val="15"/>
        </w:rPr>
        <w:t>We will be a Church that has taken significant steps to safeguard the integrity of creation, to sustain and renew the life of the earth.</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1"/>
        <w:rPr>
          <w:sz w:val="24"/>
        </w:rPr>
      </w:pPr>
    </w:p>
    <w:p>
      <w:pPr>
        <w:pStyle w:val="Heading8"/>
        <w:spacing w:before="96"/>
        <w:ind w:left="1077"/>
      </w:pPr>
      <w:r>
        <w:rPr>
          <w:rFonts w:ascii="Stone Sans II ITC Std X Bd" w:hAnsi="Stone Sans II ITC Std X Bd"/>
          <w:b/>
          <w:w w:val="110"/>
          <w:sz w:val="24"/>
        </w:rPr>
        <w:t>4 </w:t>
      </w:r>
      <w:r>
        <w:rPr>
          <w:rFonts w:ascii="Symbol" w:hAnsi="Symbol"/>
          <w:color w:val="7EAABF"/>
          <w:w w:val="110"/>
        </w:rPr>
        <w:t></w:t>
      </w:r>
      <w:r>
        <w:rPr>
          <w:rFonts w:ascii="Times New Roman" w:hAnsi="Times New Roman"/>
          <w:color w:val="7EAABF"/>
          <w:w w:val="110"/>
        </w:rPr>
        <w:t> </w:t>
      </w: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2014</w:t>
      </w:r>
    </w:p>
    <w:p>
      <w:pPr>
        <w:spacing w:after="0"/>
        <w:sectPr>
          <w:headerReference w:type="even" r:id="rId16"/>
          <w:pgSz w:w="11910" w:h="16840"/>
          <w:pgMar w:header="0" w:footer="0" w:top="1020" w:bottom="280" w:left="0" w:right="0"/>
        </w:sectPr>
      </w:pPr>
    </w:p>
    <w:p>
      <w:pPr>
        <w:pStyle w:val="BodyText"/>
      </w:pPr>
      <w:r>
        <w:rPr/>
        <w:pict>
          <v:rect style="position:absolute;margin-left:0pt;margin-top:.000015pt;width:549.207pt;height:841.89pt;mso-position-horizontal-relative:page;mso-position-vertical-relative:page;z-index:-267609088" filled="true" fillcolor="#ffedc2" stroked="false">
            <v:fill type="solid"/>
            <w10:wrap type="none"/>
          </v:rect>
        </w:pict>
      </w:r>
      <w:r>
        <w:rPr/>
        <w:drawing>
          <wp:anchor distT="0" distB="0" distL="0" distR="0" allowOverlap="1" layoutInCell="1" locked="0" behindDoc="0" simplePos="0" relativeHeight="251668480">
            <wp:simplePos x="0" y="0"/>
            <wp:positionH relativeFrom="page">
              <wp:posOffset>6974928</wp:posOffset>
            </wp:positionH>
            <wp:positionV relativeFrom="page">
              <wp:posOffset>0</wp:posOffset>
            </wp:positionV>
            <wp:extent cx="585063" cy="10692003"/>
            <wp:effectExtent l="0" t="0" r="0" b="0"/>
            <wp:wrapNone/>
            <wp:docPr id="3" name="image5.png"/>
            <wp:cNvGraphicFramePr>
              <a:graphicFrameLocks noChangeAspect="1"/>
            </wp:cNvGraphicFramePr>
            <a:graphic>
              <a:graphicData uri="http://schemas.openxmlformats.org/drawingml/2006/picture">
                <pic:pic>
                  <pic:nvPicPr>
                    <pic:cNvPr id="4" name="image5.png"/>
                    <pic:cNvPicPr/>
                  </pic:nvPicPr>
                  <pic:blipFill>
                    <a:blip r:embed="rId10"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5"/>
        <w:rPr>
          <w:sz w:val="28"/>
        </w:rPr>
      </w:pPr>
    </w:p>
    <w:p>
      <w:pPr>
        <w:spacing w:line="213" w:lineRule="auto" w:before="153"/>
        <w:ind w:left="1955" w:right="3495" w:firstLine="0"/>
        <w:jc w:val="left"/>
        <w:rPr>
          <w:rFonts w:ascii="Stone Sans II ITC Std X Bd"/>
          <w:b/>
          <w:sz w:val="50"/>
        </w:rPr>
      </w:pPr>
      <w:r>
        <w:rPr/>
        <w:pict>
          <v:shape style="position:absolute;margin-left:554.141174pt;margin-top:-5.989334pt;width:25.9pt;height:163.2pt;mso-position-horizontal-relative:page;mso-position-vertical-relative:paragraph;z-index:251669504" type="#_x0000_t202" filled="false" stroked="false">
            <v:textbox inset="0,0,0,0" style="layout-flow:vertical">
              <w:txbxContent>
                <w:p>
                  <w:pPr>
                    <w:spacing w:before="27"/>
                    <w:ind w:left="20" w:right="0" w:firstLine="0"/>
                    <w:jc w:val="left"/>
                    <w:rPr>
                      <w:sz w:val="39"/>
                    </w:rPr>
                  </w:pPr>
                  <w:r>
                    <w:rPr>
                      <w:color w:val="FFFFFF"/>
                      <w:w w:val="125"/>
                      <w:sz w:val="39"/>
                    </w:rPr>
                    <w:t>Mission Council</w:t>
                  </w:r>
                </w:p>
              </w:txbxContent>
            </v:textbox>
            <w10:wrap type="none"/>
          </v:shape>
        </w:pict>
      </w:r>
      <w:bookmarkStart w:name="_bookmark1" w:id="2"/>
      <w:bookmarkEnd w:id="2"/>
      <w:r>
        <w:rPr/>
      </w:r>
      <w:r>
        <w:rPr>
          <w:rFonts w:ascii="Stone Sans II ITC Std X Bd"/>
          <w:b/>
          <w:color w:val="FCC400"/>
          <w:spacing w:val="-4"/>
          <w:w w:val="110"/>
          <w:sz w:val="50"/>
        </w:rPr>
        <w:t>Mission </w:t>
      </w:r>
      <w:r>
        <w:rPr>
          <w:rFonts w:ascii="Stone Sans II ITC Std X Bd"/>
          <w:b/>
          <w:color w:val="FCC400"/>
          <w:spacing w:val="-6"/>
          <w:w w:val="110"/>
          <w:sz w:val="50"/>
        </w:rPr>
        <w:t>Council: </w:t>
      </w:r>
      <w:r>
        <w:rPr>
          <w:rFonts w:ascii="Stone Sans II ITC Std X Bd"/>
          <w:b/>
          <w:spacing w:val="-4"/>
          <w:w w:val="110"/>
          <w:sz w:val="50"/>
        </w:rPr>
        <w:t>General </w:t>
      </w:r>
      <w:r>
        <w:rPr>
          <w:rFonts w:ascii="Stone Sans II ITC Std X Bd"/>
          <w:b/>
          <w:w w:val="110"/>
          <w:sz w:val="50"/>
        </w:rPr>
        <w:t>report</w:t>
      </w:r>
      <w:r>
        <w:rPr>
          <w:rFonts w:ascii="Stone Sans II ITC Std X Bd"/>
          <w:b/>
          <w:spacing w:val="-22"/>
          <w:w w:val="110"/>
          <w:sz w:val="50"/>
        </w:rPr>
        <w:t> </w:t>
      </w:r>
      <w:r>
        <w:rPr>
          <w:rFonts w:ascii="Stone Sans II ITC Std X Bd"/>
          <w:b/>
          <w:spacing w:val="-26"/>
          <w:w w:val="110"/>
          <w:sz w:val="50"/>
        </w:rPr>
        <w:t>2012-14</w:t>
      </w:r>
    </w:p>
    <w:p>
      <w:pPr>
        <w:pStyle w:val="BodyText"/>
        <w:spacing w:before="378" w:after="27"/>
        <w:ind w:left="1955"/>
      </w:pPr>
      <w:r>
        <w:rPr>
          <w:w w:val="120"/>
        </w:rPr>
        <w:t>Basic Information</w:t>
      </w:r>
    </w:p>
    <w:tbl>
      <w:tblPr>
        <w:tblW w:w="0" w:type="auto"/>
        <w:jc w:val="left"/>
        <w:tblInd w:w="19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363"/>
      </w:tblGrid>
      <w:tr>
        <w:trPr>
          <w:trHeight w:val="680" w:hRule="atLeast"/>
        </w:trPr>
        <w:tc>
          <w:tcPr>
            <w:tcW w:w="2660" w:type="dxa"/>
            <w:shd w:val="clear" w:color="auto" w:fill="FFFFFF"/>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363" w:type="dxa"/>
            <w:tcBorders>
              <w:right w:val="nil"/>
            </w:tcBorders>
            <w:shd w:val="clear" w:color="auto" w:fill="FFFFFF"/>
          </w:tcPr>
          <w:p>
            <w:pPr>
              <w:pStyle w:val="TableParagraph"/>
              <w:spacing w:line="235" w:lineRule="auto" w:before="145"/>
              <w:ind w:right="1616"/>
              <w:rPr>
                <w:sz w:val="20"/>
              </w:rPr>
            </w:pPr>
            <w:r>
              <w:rPr>
                <w:w w:val="120"/>
                <w:sz w:val="20"/>
              </w:rPr>
              <w:t>Roberta Rominger </w:t>
            </w:r>
            <w:hyperlink r:id="rId29">
              <w:r>
                <w:rPr>
                  <w:w w:val="120"/>
                  <w:sz w:val="20"/>
                </w:rPr>
                <w:t>roberta.rominger@urc.org.uk</w:t>
              </w:r>
            </w:hyperlink>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Action required</w:t>
            </w:r>
          </w:p>
        </w:tc>
        <w:tc>
          <w:tcPr>
            <w:tcW w:w="6363" w:type="dxa"/>
            <w:tcBorders>
              <w:right w:val="nil"/>
            </w:tcBorders>
            <w:shd w:val="clear" w:color="auto" w:fill="FFFFFF"/>
          </w:tcPr>
          <w:p>
            <w:pPr>
              <w:pStyle w:val="TableParagraph"/>
              <w:spacing w:before="141"/>
              <w:rPr>
                <w:sz w:val="20"/>
              </w:rPr>
            </w:pPr>
            <w:r>
              <w:rPr>
                <w:w w:val="115"/>
                <w:sz w:val="20"/>
              </w:rPr>
              <w:t>For information</w:t>
            </w:r>
          </w:p>
        </w:tc>
      </w:tr>
      <w:tr>
        <w:trPr>
          <w:trHeight w:val="92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Draft resolution(s)</w:t>
            </w:r>
          </w:p>
        </w:tc>
        <w:tc>
          <w:tcPr>
            <w:tcW w:w="6363" w:type="dxa"/>
            <w:tcBorders>
              <w:right w:val="nil"/>
            </w:tcBorders>
            <w:shd w:val="clear" w:color="auto" w:fill="FFFFFF"/>
          </w:tcPr>
          <w:p>
            <w:pPr>
              <w:pStyle w:val="TableParagraph"/>
              <w:spacing w:line="213" w:lineRule="auto" w:before="151"/>
              <w:ind w:right="510"/>
              <w:rPr>
                <w:rFonts w:ascii="Stone Sans II ITC Std Bk"/>
                <w:b/>
                <w:sz w:val="20"/>
              </w:rPr>
            </w:pPr>
            <w:r>
              <w:rPr>
                <w:rFonts w:ascii="Stone Sans II ITC Std Bk"/>
                <w:b/>
                <w:w w:val="110"/>
                <w:sz w:val="20"/>
              </w:rPr>
              <w:t>Matters subject to resolution are presented in separate papers.</w:t>
            </w:r>
          </w:p>
        </w:tc>
      </w:tr>
    </w:tbl>
    <w:p>
      <w:pPr>
        <w:pStyle w:val="BodyText"/>
        <w:rPr>
          <w:sz w:val="24"/>
        </w:rPr>
      </w:pPr>
    </w:p>
    <w:p>
      <w:pPr>
        <w:pStyle w:val="BodyText"/>
        <w:spacing w:before="156" w:after="27"/>
        <w:ind w:left="1955"/>
      </w:pPr>
      <w:r>
        <w:rPr>
          <w:w w:val="120"/>
        </w:rPr>
        <w:t>Summary of Content</w:t>
      </w:r>
    </w:p>
    <w:tbl>
      <w:tblPr>
        <w:tblW w:w="0" w:type="auto"/>
        <w:jc w:val="left"/>
        <w:tblInd w:w="19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363"/>
      </w:tblGrid>
      <w:tr>
        <w:trPr>
          <w:trHeight w:val="68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Subject and aim(s)</w:t>
            </w:r>
          </w:p>
        </w:tc>
        <w:tc>
          <w:tcPr>
            <w:tcW w:w="6363" w:type="dxa"/>
            <w:tcBorders>
              <w:right w:val="nil"/>
            </w:tcBorders>
            <w:shd w:val="clear" w:color="auto" w:fill="FFFFFF"/>
          </w:tcPr>
          <w:p>
            <w:pPr>
              <w:pStyle w:val="TableParagraph"/>
              <w:spacing w:line="235" w:lineRule="auto" w:before="145"/>
              <w:ind w:right="152"/>
              <w:rPr>
                <w:sz w:val="20"/>
              </w:rPr>
            </w:pPr>
            <w:r>
              <w:rPr>
                <w:w w:val="120"/>
                <w:sz w:val="20"/>
              </w:rPr>
              <w:t>To report to General Assembly on the work of Mission Council 2012-14.</w:t>
            </w:r>
          </w:p>
        </w:tc>
      </w:tr>
      <w:tr>
        <w:trPr>
          <w:trHeight w:val="116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Main points</w:t>
            </w:r>
          </w:p>
        </w:tc>
        <w:tc>
          <w:tcPr>
            <w:tcW w:w="6363" w:type="dxa"/>
            <w:tcBorders>
              <w:right w:val="nil"/>
            </w:tcBorders>
            <w:shd w:val="clear" w:color="auto" w:fill="FFFFFF"/>
          </w:tcPr>
          <w:p>
            <w:pPr>
              <w:pStyle w:val="TableParagraph"/>
              <w:spacing w:line="235" w:lineRule="auto" w:before="145"/>
              <w:rPr>
                <w:sz w:val="20"/>
              </w:rPr>
            </w:pPr>
            <w:r>
              <w:rPr>
                <w:w w:val="120"/>
                <w:sz w:val="20"/>
              </w:rPr>
              <w:t>Key Mission Council discussions and decisions are reported, together with actions taken on behalf of General Assembly (sections 4 and 5) and implementation of previous Assembly decisions (section 6).</w:t>
            </w:r>
          </w:p>
        </w:tc>
      </w:tr>
      <w:tr>
        <w:trPr>
          <w:trHeight w:val="680" w:hRule="atLeast"/>
        </w:trPr>
        <w:tc>
          <w:tcPr>
            <w:tcW w:w="2660" w:type="dxa"/>
            <w:shd w:val="clear" w:color="auto" w:fill="FFFFFF"/>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363" w:type="dxa"/>
            <w:tcBorders>
              <w:right w:val="nil"/>
            </w:tcBorders>
            <w:shd w:val="clear" w:color="auto" w:fill="FFFFFF"/>
          </w:tcPr>
          <w:p>
            <w:pPr>
              <w:pStyle w:val="TableParagraph"/>
              <w:spacing w:before="141"/>
              <w:rPr>
                <w:sz w:val="20"/>
              </w:rPr>
            </w:pPr>
            <w:r>
              <w:rPr>
                <w:w w:val="120"/>
                <w:sz w:val="20"/>
              </w:rPr>
              <w:t>Cited within the paper as appropriate</w:t>
            </w:r>
          </w:p>
        </w:tc>
      </w:tr>
      <w:tr>
        <w:trPr>
          <w:trHeight w:val="680" w:hRule="atLeast"/>
        </w:trPr>
        <w:tc>
          <w:tcPr>
            <w:tcW w:w="2660" w:type="dxa"/>
            <w:shd w:val="clear" w:color="auto" w:fill="FFFFFF"/>
          </w:tcPr>
          <w:p>
            <w:pPr>
              <w:pStyle w:val="TableParagraph"/>
              <w:spacing w:line="213" w:lineRule="auto" w:before="151"/>
              <w:ind w:right="104"/>
              <w:rPr>
                <w:rFonts w:ascii="Stone Sans II ITC Std Bk"/>
                <w:b/>
                <w:sz w:val="20"/>
              </w:rPr>
            </w:pPr>
            <w:r>
              <w:rPr>
                <w:rFonts w:ascii="Stone Sans II ITC Std Bk"/>
                <w:b/>
                <w:w w:val="110"/>
                <w:sz w:val="20"/>
              </w:rPr>
              <w:t>Consultation has taken place with...</w:t>
            </w:r>
          </w:p>
        </w:tc>
        <w:tc>
          <w:tcPr>
            <w:tcW w:w="6363" w:type="dxa"/>
            <w:tcBorders>
              <w:right w:val="nil"/>
            </w:tcBorders>
            <w:shd w:val="clear" w:color="auto" w:fill="FFFFFF"/>
          </w:tcPr>
          <w:p>
            <w:pPr>
              <w:pStyle w:val="TableParagraph"/>
              <w:spacing w:before="141"/>
              <w:rPr>
                <w:sz w:val="20"/>
              </w:rPr>
            </w:pPr>
            <w:r>
              <w:rPr>
                <w:w w:val="120"/>
                <w:sz w:val="20"/>
              </w:rPr>
              <w:t>Not applicable</w:t>
            </w:r>
          </w:p>
        </w:tc>
      </w:tr>
    </w:tbl>
    <w:p>
      <w:pPr>
        <w:pStyle w:val="BodyText"/>
        <w:rPr>
          <w:sz w:val="24"/>
        </w:rPr>
      </w:pPr>
    </w:p>
    <w:p>
      <w:pPr>
        <w:pStyle w:val="BodyText"/>
        <w:spacing w:before="156" w:after="27"/>
        <w:ind w:left="1955"/>
      </w:pPr>
      <w:r>
        <w:rPr>
          <w:w w:val="120"/>
        </w:rPr>
        <w:t>Summary of Impact</w:t>
      </w:r>
    </w:p>
    <w:tbl>
      <w:tblPr>
        <w:tblW w:w="0" w:type="auto"/>
        <w:jc w:val="left"/>
        <w:tblInd w:w="19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363"/>
      </w:tblGrid>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363" w:type="dxa"/>
            <w:tcBorders>
              <w:right w:val="nil"/>
            </w:tcBorders>
            <w:shd w:val="clear" w:color="auto" w:fill="FFFFFF"/>
          </w:tcPr>
          <w:p>
            <w:pPr>
              <w:pStyle w:val="TableParagraph"/>
              <w:spacing w:before="141"/>
              <w:rPr>
                <w:sz w:val="20"/>
              </w:rPr>
            </w:pPr>
            <w:r>
              <w:rPr>
                <w:w w:val="120"/>
                <w:sz w:val="20"/>
              </w:rPr>
              <w:t>Not applicable.</w:t>
            </w:r>
          </w:p>
        </w:tc>
      </w:tr>
      <w:tr>
        <w:trPr>
          <w:trHeight w:val="68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363" w:type="dxa"/>
            <w:tcBorders>
              <w:right w:val="nil"/>
            </w:tcBorders>
            <w:shd w:val="clear" w:color="auto" w:fill="FFFFFF"/>
          </w:tcPr>
          <w:p>
            <w:pPr>
              <w:pStyle w:val="TableParagraph"/>
              <w:spacing w:before="141"/>
              <w:rPr>
                <w:sz w:val="20"/>
              </w:rPr>
            </w:pPr>
            <w:r>
              <w:rPr>
                <w:w w:val="120"/>
                <w:sz w:val="20"/>
              </w:rPr>
              <w:t>Not applicable.</w:t>
            </w:r>
          </w:p>
        </w:tc>
      </w:tr>
    </w:tbl>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8"/>
        <w:rPr>
          <w:sz w:val="22"/>
        </w:rPr>
      </w:pPr>
    </w:p>
    <w:p>
      <w:pPr>
        <w:pStyle w:val="Heading8"/>
        <w:spacing w:before="0"/>
        <w:ind w:left="4679"/>
        <w:rPr>
          <w:rFonts w:ascii="Stone Sans II ITC Std X Bd" w:hAnsi="Stone Sans II ITC Std X Bd"/>
          <w:b/>
          <w:sz w:val="24"/>
        </w:rPr>
      </w:pP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2014 </w:t>
      </w:r>
      <w:r>
        <w:rPr>
          <w:rFonts w:ascii="Symbol" w:hAnsi="Symbol"/>
          <w:color w:val="7EAABF"/>
          <w:w w:val="110"/>
        </w:rPr>
        <w:t></w:t>
      </w:r>
      <w:r>
        <w:rPr>
          <w:rFonts w:ascii="Times New Roman" w:hAnsi="Times New Roman"/>
          <w:color w:val="7EAABF"/>
          <w:w w:val="110"/>
        </w:rPr>
        <w:t> </w:t>
      </w:r>
      <w:r>
        <w:rPr>
          <w:rFonts w:ascii="Stone Sans II ITC Std X Bd" w:hAnsi="Stone Sans II ITC Std X Bd"/>
          <w:b/>
          <w:w w:val="110"/>
          <w:sz w:val="24"/>
        </w:rPr>
        <w:t>5</w:t>
      </w:r>
    </w:p>
    <w:p>
      <w:pPr>
        <w:spacing w:after="0"/>
        <w:rPr>
          <w:rFonts w:ascii="Stone Sans II ITC Std X Bd" w:hAnsi="Stone Sans II ITC Std X Bd"/>
          <w:sz w:val="24"/>
        </w:rPr>
        <w:sectPr>
          <w:headerReference w:type="default" r:id="rId28"/>
          <w:pgSz w:w="11910" w:h="16840"/>
          <w:pgMar w:header="0" w:footer="0" w:top="0" w:bottom="0" w:left="0" w:right="0"/>
        </w:sectPr>
      </w:pPr>
    </w:p>
    <w:p>
      <w:pPr>
        <w:pStyle w:val="BodyText"/>
        <w:rPr>
          <w:rFonts w:ascii="Stone Sans II ITC Std X Bd"/>
          <w:b/>
        </w:rPr>
      </w:pPr>
      <w:r>
        <w:rPr/>
        <w:drawing>
          <wp:anchor distT="0" distB="0" distL="0" distR="0" allowOverlap="1" layoutInCell="1" locked="0" behindDoc="0" simplePos="0" relativeHeight="251670528">
            <wp:simplePos x="0" y="0"/>
            <wp:positionH relativeFrom="page">
              <wp:posOffset>0</wp:posOffset>
            </wp:positionH>
            <wp:positionV relativeFrom="page">
              <wp:posOffset>0</wp:posOffset>
            </wp:positionV>
            <wp:extent cx="594067" cy="10692003"/>
            <wp:effectExtent l="0" t="0" r="0" b="0"/>
            <wp:wrapNone/>
            <wp:docPr id="5" name="image22.png"/>
            <wp:cNvGraphicFramePr>
              <a:graphicFrameLocks noChangeAspect="1"/>
            </wp:cNvGraphicFramePr>
            <a:graphic>
              <a:graphicData uri="http://schemas.openxmlformats.org/drawingml/2006/picture">
                <pic:pic>
                  <pic:nvPicPr>
                    <pic:cNvPr id="6" name="image22.png"/>
                    <pic:cNvPicPr/>
                  </pic:nvPicPr>
                  <pic:blipFill>
                    <a:blip r:embed="rId33" cstate="print"/>
                    <a:stretch>
                      <a:fillRect/>
                    </a:stretch>
                  </pic:blipFill>
                  <pic:spPr>
                    <a:xfrm>
                      <a:off x="0" y="0"/>
                      <a:ext cx="594067" cy="10692003"/>
                    </a:xfrm>
                    <a:prstGeom prst="rect">
                      <a:avLst/>
                    </a:prstGeom>
                  </pic:spPr>
                </pic:pic>
              </a:graphicData>
            </a:graphic>
          </wp:anchor>
        </w:drawing>
      </w:r>
    </w:p>
    <w:p>
      <w:pPr>
        <w:pStyle w:val="BodyText"/>
        <w:spacing w:before="7"/>
        <w:rPr>
          <w:rFonts w:ascii="Stone Sans II ITC Std X Bd"/>
          <w:b/>
          <w:sz w:val="17"/>
        </w:rPr>
      </w:pPr>
    </w:p>
    <w:p>
      <w:pPr>
        <w:spacing w:before="107"/>
        <w:ind w:left="1247" w:right="0" w:firstLine="0"/>
        <w:jc w:val="both"/>
        <w:rPr>
          <w:sz w:val="26"/>
        </w:rPr>
      </w:pPr>
      <w:r>
        <w:rPr/>
        <w:pict>
          <v:shape style="position:absolute;margin-left:20.519100pt;margin-top:22.643946pt;width:25.9pt;height:163.2pt;mso-position-horizontal-relative:page;mso-position-vertical-relative:paragraph;z-index:251671552" type="#_x0000_t202" filled="false" stroked="false">
            <v:textbox inset="0,0,0,0" style="layout-flow:vertical">
              <w:txbxContent>
                <w:p>
                  <w:pPr>
                    <w:spacing w:before="27"/>
                    <w:ind w:left="20" w:right="0" w:firstLine="0"/>
                    <w:jc w:val="left"/>
                    <w:rPr>
                      <w:sz w:val="39"/>
                    </w:rPr>
                  </w:pPr>
                  <w:r>
                    <w:rPr>
                      <w:color w:val="FFFFFF"/>
                      <w:w w:val="125"/>
                      <w:sz w:val="39"/>
                    </w:rPr>
                    <w:t>Mission Council</w:t>
                  </w:r>
                </w:p>
              </w:txbxContent>
            </v:textbox>
            <w10:wrap type="none"/>
          </v:shape>
        </w:pict>
      </w:r>
      <w:r>
        <w:rPr>
          <w:color w:val="7EAABF"/>
          <w:w w:val="120"/>
          <w:sz w:val="26"/>
        </w:rPr>
        <w:t>Mission Council</w:t>
      </w:r>
    </w:p>
    <w:p>
      <w:pPr>
        <w:spacing w:before="245"/>
        <w:ind w:left="1247" w:right="0" w:firstLine="0"/>
        <w:jc w:val="both"/>
        <w:rPr>
          <w:rFonts w:ascii="Stone Sans II ITC Std X Bd"/>
          <w:b/>
          <w:sz w:val="50"/>
        </w:rPr>
      </w:pPr>
      <w:r>
        <w:rPr>
          <w:rFonts w:ascii="Stone Sans II ITC Std X Bd"/>
          <w:b/>
          <w:w w:val="110"/>
          <w:sz w:val="50"/>
        </w:rPr>
        <w:t>Mission Council report 2012-14</w:t>
      </w:r>
    </w:p>
    <w:p>
      <w:pPr>
        <w:pStyle w:val="ListParagraph"/>
        <w:numPr>
          <w:ilvl w:val="0"/>
          <w:numId w:val="1"/>
        </w:numPr>
        <w:tabs>
          <w:tab w:pos="2018" w:val="left" w:leader="none"/>
          <w:tab w:pos="2019" w:val="left" w:leader="none"/>
        </w:tabs>
        <w:spacing w:line="240" w:lineRule="auto" w:before="337" w:after="0"/>
        <w:ind w:left="2018" w:right="0" w:hanging="772"/>
        <w:jc w:val="left"/>
        <w:rPr>
          <w:rFonts w:ascii="Stone Sans II ITC Std Bk"/>
          <w:b/>
          <w:sz w:val="29"/>
        </w:rPr>
      </w:pPr>
      <w:r>
        <w:rPr>
          <w:rFonts w:ascii="Stone Sans II ITC Std Bk"/>
          <w:b/>
          <w:spacing w:val="4"/>
          <w:w w:val="110"/>
          <w:sz w:val="29"/>
        </w:rPr>
        <w:t>Introduction</w:t>
      </w:r>
    </w:p>
    <w:p>
      <w:pPr>
        <w:pStyle w:val="ListParagraph"/>
        <w:numPr>
          <w:ilvl w:val="1"/>
          <w:numId w:val="1"/>
        </w:numPr>
        <w:tabs>
          <w:tab w:pos="1927" w:val="left" w:leader="none"/>
          <w:tab w:pos="1928" w:val="left" w:leader="none"/>
        </w:tabs>
        <w:spacing w:line="235" w:lineRule="auto" w:before="69" w:after="0"/>
        <w:ind w:left="1247" w:right="2015" w:firstLine="0"/>
        <w:jc w:val="left"/>
        <w:rPr>
          <w:sz w:val="20"/>
        </w:rPr>
      </w:pPr>
      <w:r>
        <w:rPr>
          <w:w w:val="115"/>
          <w:sz w:val="20"/>
        </w:rPr>
        <w:t>Mission </w:t>
      </w:r>
      <w:r>
        <w:rPr>
          <w:spacing w:val="-3"/>
          <w:w w:val="115"/>
          <w:sz w:val="20"/>
        </w:rPr>
        <w:t>Council </w:t>
      </w:r>
      <w:r>
        <w:rPr>
          <w:w w:val="115"/>
          <w:sz w:val="20"/>
        </w:rPr>
        <w:t>supports and furthers the work of the </w:t>
      </w:r>
      <w:r>
        <w:rPr>
          <w:spacing w:val="-3"/>
          <w:w w:val="115"/>
          <w:sz w:val="20"/>
        </w:rPr>
        <w:t>United </w:t>
      </w:r>
      <w:r>
        <w:rPr>
          <w:w w:val="115"/>
          <w:sz w:val="20"/>
        </w:rPr>
        <w:t>Reformed </w:t>
      </w:r>
      <w:r>
        <w:rPr>
          <w:spacing w:val="-3"/>
          <w:w w:val="115"/>
          <w:sz w:val="20"/>
        </w:rPr>
        <w:t>Church </w:t>
      </w:r>
      <w:r>
        <w:rPr>
          <w:w w:val="115"/>
          <w:sz w:val="20"/>
        </w:rPr>
        <w:t>between meetings of the General </w:t>
      </w:r>
      <w:r>
        <w:rPr>
          <w:spacing w:val="-3"/>
          <w:w w:val="115"/>
          <w:sz w:val="20"/>
        </w:rPr>
        <w:t>Assembly. </w:t>
      </w:r>
      <w:r>
        <w:rPr>
          <w:w w:val="115"/>
          <w:sz w:val="20"/>
        </w:rPr>
        <w:t>It </w:t>
      </w:r>
      <w:r>
        <w:rPr>
          <w:spacing w:val="-3"/>
          <w:w w:val="115"/>
          <w:sz w:val="20"/>
        </w:rPr>
        <w:t>consists </w:t>
      </w:r>
      <w:r>
        <w:rPr>
          <w:w w:val="115"/>
          <w:sz w:val="20"/>
        </w:rPr>
        <w:t>of the officers of </w:t>
      </w:r>
      <w:r>
        <w:rPr>
          <w:spacing w:val="-3"/>
          <w:w w:val="115"/>
          <w:sz w:val="20"/>
        </w:rPr>
        <w:t>Assembly, </w:t>
      </w:r>
      <w:r>
        <w:rPr>
          <w:w w:val="115"/>
          <w:sz w:val="20"/>
        </w:rPr>
        <w:t>the  synod moderators and three representatives from each synod, together with the </w:t>
      </w:r>
      <w:r>
        <w:rPr>
          <w:spacing w:val="-3"/>
          <w:w w:val="115"/>
          <w:sz w:val="20"/>
        </w:rPr>
        <w:t>conveners </w:t>
      </w:r>
      <w:r>
        <w:rPr>
          <w:w w:val="115"/>
          <w:sz w:val="20"/>
        </w:rPr>
        <w:t>of Assembly </w:t>
      </w:r>
      <w:r>
        <w:rPr>
          <w:spacing w:val="-3"/>
          <w:w w:val="115"/>
          <w:sz w:val="20"/>
        </w:rPr>
        <w:t>committees, </w:t>
      </w:r>
      <w:r>
        <w:rPr>
          <w:w w:val="115"/>
          <w:sz w:val="20"/>
        </w:rPr>
        <w:t>the </w:t>
      </w:r>
      <w:r>
        <w:rPr>
          <w:spacing w:val="-3"/>
          <w:w w:val="115"/>
          <w:sz w:val="20"/>
        </w:rPr>
        <w:t>chair </w:t>
      </w:r>
      <w:r>
        <w:rPr>
          <w:w w:val="115"/>
          <w:sz w:val="20"/>
        </w:rPr>
        <w:t>of the </w:t>
      </w:r>
      <w:r>
        <w:rPr>
          <w:spacing w:val="-3"/>
          <w:w w:val="115"/>
          <w:sz w:val="20"/>
        </w:rPr>
        <w:t>United </w:t>
      </w:r>
      <w:r>
        <w:rPr>
          <w:w w:val="115"/>
          <w:sz w:val="20"/>
        </w:rPr>
        <w:t>Reformed </w:t>
      </w:r>
      <w:r>
        <w:rPr>
          <w:spacing w:val="-3"/>
          <w:w w:val="115"/>
          <w:sz w:val="20"/>
        </w:rPr>
        <w:t>Church </w:t>
      </w:r>
      <w:r>
        <w:rPr>
          <w:spacing w:val="-4"/>
          <w:w w:val="115"/>
          <w:sz w:val="20"/>
        </w:rPr>
        <w:t>Trust </w:t>
      </w:r>
      <w:r>
        <w:rPr>
          <w:w w:val="115"/>
          <w:sz w:val="20"/>
        </w:rPr>
        <w:t>and three  </w:t>
      </w:r>
      <w:r>
        <w:rPr>
          <w:spacing w:val="-3"/>
          <w:w w:val="115"/>
          <w:sz w:val="20"/>
        </w:rPr>
        <w:t>Fellowship </w:t>
      </w:r>
      <w:r>
        <w:rPr>
          <w:w w:val="115"/>
          <w:sz w:val="20"/>
        </w:rPr>
        <w:t>of </w:t>
      </w:r>
      <w:r>
        <w:rPr>
          <w:spacing w:val="-3"/>
          <w:w w:val="115"/>
          <w:sz w:val="20"/>
        </w:rPr>
        <w:t>United </w:t>
      </w:r>
      <w:r>
        <w:rPr>
          <w:w w:val="115"/>
          <w:sz w:val="20"/>
        </w:rPr>
        <w:t>Reformed </w:t>
      </w:r>
      <w:r>
        <w:rPr>
          <w:spacing w:val="-3"/>
          <w:w w:val="115"/>
          <w:sz w:val="20"/>
        </w:rPr>
        <w:t>youth </w:t>
      </w:r>
      <w:r>
        <w:rPr>
          <w:w w:val="115"/>
          <w:sz w:val="20"/>
        </w:rPr>
        <w:t>(FURY) members, </w:t>
      </w:r>
      <w:r>
        <w:rPr>
          <w:spacing w:val="-3"/>
          <w:w w:val="115"/>
          <w:sz w:val="20"/>
        </w:rPr>
        <w:t>including </w:t>
      </w:r>
      <w:r>
        <w:rPr>
          <w:w w:val="115"/>
          <w:sz w:val="20"/>
        </w:rPr>
        <w:t>the FURY </w:t>
      </w:r>
      <w:r>
        <w:rPr>
          <w:spacing w:val="-3"/>
          <w:w w:val="115"/>
          <w:sz w:val="20"/>
        </w:rPr>
        <w:t>moderator. </w:t>
      </w:r>
      <w:r>
        <w:rPr>
          <w:w w:val="115"/>
          <w:sz w:val="20"/>
        </w:rPr>
        <w:t>Its task is </w:t>
      </w:r>
      <w:r>
        <w:rPr>
          <w:spacing w:val="-3"/>
          <w:w w:val="115"/>
          <w:sz w:val="20"/>
        </w:rPr>
        <w:t>to </w:t>
      </w:r>
      <w:r>
        <w:rPr>
          <w:w w:val="115"/>
          <w:sz w:val="20"/>
        </w:rPr>
        <w:t>take a </w:t>
      </w:r>
      <w:r>
        <w:rPr>
          <w:spacing w:val="-3"/>
          <w:w w:val="115"/>
          <w:sz w:val="20"/>
        </w:rPr>
        <w:t>comprehensive </w:t>
      </w:r>
      <w:r>
        <w:rPr>
          <w:w w:val="115"/>
          <w:sz w:val="20"/>
        </w:rPr>
        <w:t>view of the work of the </w:t>
      </w:r>
      <w:r>
        <w:rPr>
          <w:spacing w:val="-3"/>
          <w:w w:val="115"/>
          <w:sz w:val="20"/>
        </w:rPr>
        <w:t>United </w:t>
      </w:r>
      <w:r>
        <w:rPr>
          <w:w w:val="115"/>
          <w:sz w:val="20"/>
        </w:rPr>
        <w:t>Reformed </w:t>
      </w:r>
      <w:r>
        <w:rPr>
          <w:spacing w:val="-3"/>
          <w:w w:val="115"/>
          <w:sz w:val="20"/>
        </w:rPr>
        <w:t>Church, to </w:t>
      </w:r>
      <w:r>
        <w:rPr>
          <w:w w:val="115"/>
          <w:sz w:val="20"/>
        </w:rPr>
        <w:t>decide on priorities, and </w:t>
      </w:r>
      <w:r>
        <w:rPr>
          <w:spacing w:val="-3"/>
          <w:w w:val="115"/>
          <w:sz w:val="20"/>
        </w:rPr>
        <w:t>to </w:t>
      </w:r>
      <w:r>
        <w:rPr>
          <w:w w:val="115"/>
          <w:sz w:val="20"/>
        </w:rPr>
        <w:t>encourage the </w:t>
      </w:r>
      <w:r>
        <w:rPr>
          <w:spacing w:val="-3"/>
          <w:w w:val="115"/>
          <w:sz w:val="20"/>
        </w:rPr>
        <w:t>Church </w:t>
      </w:r>
      <w:r>
        <w:rPr>
          <w:w w:val="115"/>
          <w:sz w:val="20"/>
        </w:rPr>
        <w:t>at all </w:t>
      </w:r>
      <w:r>
        <w:rPr>
          <w:spacing w:val="-3"/>
          <w:w w:val="115"/>
          <w:sz w:val="20"/>
        </w:rPr>
        <w:t>levels </w:t>
      </w:r>
      <w:r>
        <w:rPr>
          <w:w w:val="115"/>
          <w:sz w:val="20"/>
        </w:rPr>
        <w:t>in its engagement with the world.  The </w:t>
      </w:r>
      <w:r>
        <w:rPr>
          <w:spacing w:val="-3"/>
          <w:w w:val="115"/>
          <w:sz w:val="20"/>
        </w:rPr>
        <w:t>scope </w:t>
      </w:r>
      <w:r>
        <w:rPr>
          <w:w w:val="115"/>
          <w:sz w:val="20"/>
        </w:rPr>
        <w:t>of </w:t>
      </w:r>
      <w:r>
        <w:rPr>
          <w:spacing w:val="-3"/>
          <w:w w:val="115"/>
          <w:sz w:val="20"/>
        </w:rPr>
        <w:t>this </w:t>
      </w:r>
      <w:r>
        <w:rPr>
          <w:w w:val="115"/>
          <w:sz w:val="20"/>
        </w:rPr>
        <w:t>engagement ranges from the local </w:t>
      </w:r>
      <w:r>
        <w:rPr>
          <w:spacing w:val="-3"/>
          <w:w w:val="115"/>
          <w:sz w:val="20"/>
        </w:rPr>
        <w:t>to </w:t>
      </w:r>
      <w:r>
        <w:rPr>
          <w:w w:val="115"/>
          <w:sz w:val="20"/>
        </w:rPr>
        <w:t>the </w:t>
      </w:r>
      <w:r>
        <w:rPr>
          <w:spacing w:val="-3"/>
          <w:w w:val="115"/>
          <w:sz w:val="20"/>
        </w:rPr>
        <w:t>international </w:t>
      </w:r>
      <w:r>
        <w:rPr>
          <w:w w:val="115"/>
          <w:sz w:val="20"/>
        </w:rPr>
        <w:t>arena and </w:t>
      </w:r>
      <w:r>
        <w:rPr>
          <w:spacing w:val="-3"/>
          <w:w w:val="115"/>
          <w:sz w:val="20"/>
        </w:rPr>
        <w:t>includes relationships </w:t>
      </w:r>
      <w:r>
        <w:rPr>
          <w:w w:val="115"/>
          <w:sz w:val="20"/>
        </w:rPr>
        <w:t>with ecumenical partners in the UK and</w:t>
      </w:r>
      <w:r>
        <w:rPr>
          <w:spacing w:val="8"/>
          <w:w w:val="115"/>
          <w:sz w:val="20"/>
        </w:rPr>
        <w:t> </w:t>
      </w:r>
      <w:r>
        <w:rPr>
          <w:spacing w:val="-3"/>
          <w:w w:val="115"/>
          <w:sz w:val="20"/>
        </w:rPr>
        <w:t>overseas.</w:t>
      </w:r>
    </w:p>
    <w:p>
      <w:pPr>
        <w:pStyle w:val="BodyText"/>
        <w:spacing w:before="3"/>
      </w:pPr>
    </w:p>
    <w:p>
      <w:pPr>
        <w:pStyle w:val="ListParagraph"/>
        <w:numPr>
          <w:ilvl w:val="1"/>
          <w:numId w:val="1"/>
        </w:numPr>
        <w:tabs>
          <w:tab w:pos="1927" w:val="left" w:leader="none"/>
          <w:tab w:pos="1928" w:val="left" w:leader="none"/>
        </w:tabs>
        <w:spacing w:line="235" w:lineRule="auto" w:before="0" w:after="0"/>
        <w:ind w:left="1247" w:right="2334" w:firstLine="0"/>
        <w:jc w:val="left"/>
        <w:rPr>
          <w:sz w:val="20"/>
        </w:rPr>
      </w:pPr>
      <w:r>
        <w:rPr>
          <w:w w:val="120"/>
          <w:sz w:val="20"/>
        </w:rPr>
        <w:t>Mission Council </w:t>
      </w:r>
      <w:r>
        <w:rPr>
          <w:spacing w:val="2"/>
          <w:w w:val="120"/>
          <w:sz w:val="20"/>
        </w:rPr>
        <w:t>acts </w:t>
      </w:r>
      <w:r>
        <w:rPr>
          <w:i/>
          <w:w w:val="120"/>
          <w:sz w:val="20"/>
        </w:rPr>
        <w:t>on behalf of General Assembly </w:t>
      </w:r>
      <w:r>
        <w:rPr>
          <w:w w:val="120"/>
          <w:sz w:val="20"/>
        </w:rPr>
        <w:t>on matters which require action between meetings of the Assembly. Some of this work arises from decisions  of the Assembly which are referred to Mission Council for implementation. Section</w:t>
      </w:r>
      <w:r>
        <w:rPr>
          <w:spacing w:val="45"/>
          <w:w w:val="120"/>
          <w:sz w:val="20"/>
        </w:rPr>
        <w:t> </w:t>
      </w:r>
      <w:r>
        <w:rPr>
          <w:w w:val="120"/>
          <w:sz w:val="20"/>
        </w:rPr>
        <w:t>4</w:t>
      </w:r>
    </w:p>
    <w:p>
      <w:pPr>
        <w:pStyle w:val="BodyText"/>
        <w:spacing w:line="235" w:lineRule="auto" w:before="2"/>
        <w:ind w:left="1247" w:right="2227"/>
        <w:jc w:val="both"/>
      </w:pPr>
      <w:r>
        <w:rPr>
          <w:w w:val="120"/>
        </w:rPr>
        <w:t>records this activity. Sometimes there are matters requiring a decision which must be taken before the General Assembly is due to meet. Such decisions are reported to the following Assembly and are contained in section 5 of this report.</w:t>
      </w:r>
    </w:p>
    <w:p>
      <w:pPr>
        <w:pStyle w:val="BodyText"/>
        <w:spacing w:before="10"/>
        <w:rPr>
          <w:sz w:val="19"/>
        </w:rPr>
      </w:pPr>
    </w:p>
    <w:p>
      <w:pPr>
        <w:pStyle w:val="ListParagraph"/>
        <w:numPr>
          <w:ilvl w:val="1"/>
          <w:numId w:val="1"/>
        </w:numPr>
        <w:tabs>
          <w:tab w:pos="1927" w:val="left" w:leader="none"/>
          <w:tab w:pos="1928" w:val="left" w:leader="none"/>
        </w:tabs>
        <w:spacing w:line="235" w:lineRule="auto" w:before="0" w:after="0"/>
        <w:ind w:left="1247" w:right="2059" w:firstLine="0"/>
        <w:jc w:val="left"/>
        <w:rPr>
          <w:sz w:val="20"/>
        </w:rPr>
      </w:pPr>
      <w:r>
        <w:rPr>
          <w:w w:val="120"/>
          <w:sz w:val="20"/>
        </w:rPr>
        <w:t>Mission</w:t>
      </w:r>
      <w:r>
        <w:rPr>
          <w:spacing w:val="-5"/>
          <w:w w:val="120"/>
          <w:sz w:val="20"/>
        </w:rPr>
        <w:t> </w:t>
      </w:r>
      <w:r>
        <w:rPr>
          <w:w w:val="120"/>
          <w:sz w:val="20"/>
        </w:rPr>
        <w:t>Council</w:t>
      </w:r>
      <w:r>
        <w:rPr>
          <w:spacing w:val="-4"/>
          <w:w w:val="120"/>
          <w:sz w:val="20"/>
        </w:rPr>
        <w:t> </w:t>
      </w:r>
      <w:r>
        <w:rPr>
          <w:w w:val="120"/>
          <w:sz w:val="20"/>
        </w:rPr>
        <w:t>also</w:t>
      </w:r>
      <w:r>
        <w:rPr>
          <w:spacing w:val="-4"/>
          <w:w w:val="120"/>
          <w:sz w:val="20"/>
        </w:rPr>
        <w:t> </w:t>
      </w:r>
      <w:r>
        <w:rPr>
          <w:i/>
          <w:spacing w:val="2"/>
          <w:w w:val="120"/>
          <w:sz w:val="20"/>
        </w:rPr>
        <w:t>acts</w:t>
      </w:r>
      <w:r>
        <w:rPr>
          <w:i/>
          <w:spacing w:val="-6"/>
          <w:w w:val="120"/>
          <w:sz w:val="20"/>
        </w:rPr>
        <w:t> </w:t>
      </w:r>
      <w:r>
        <w:rPr>
          <w:i/>
          <w:w w:val="120"/>
          <w:sz w:val="20"/>
        </w:rPr>
        <w:t>on</w:t>
      </w:r>
      <w:r>
        <w:rPr>
          <w:i/>
          <w:spacing w:val="-7"/>
          <w:w w:val="120"/>
          <w:sz w:val="20"/>
        </w:rPr>
        <w:t> </w:t>
      </w:r>
      <w:r>
        <w:rPr>
          <w:i/>
          <w:w w:val="120"/>
          <w:sz w:val="20"/>
        </w:rPr>
        <w:t>its</w:t>
      </w:r>
      <w:r>
        <w:rPr>
          <w:i/>
          <w:spacing w:val="-7"/>
          <w:w w:val="120"/>
          <w:sz w:val="20"/>
        </w:rPr>
        <w:t> </w:t>
      </w:r>
      <w:r>
        <w:rPr>
          <w:i/>
          <w:w w:val="120"/>
          <w:sz w:val="20"/>
        </w:rPr>
        <w:t>own</w:t>
      </w:r>
      <w:r>
        <w:rPr>
          <w:i/>
          <w:spacing w:val="-7"/>
          <w:w w:val="120"/>
          <w:sz w:val="20"/>
        </w:rPr>
        <w:t> </w:t>
      </w:r>
      <w:r>
        <w:rPr>
          <w:i/>
          <w:w w:val="120"/>
          <w:sz w:val="20"/>
        </w:rPr>
        <w:t>behalf</w:t>
      </w:r>
      <w:r>
        <w:rPr>
          <w:w w:val="120"/>
          <w:sz w:val="20"/>
        </w:rPr>
        <w:t>,</w:t>
      </w:r>
      <w:r>
        <w:rPr>
          <w:spacing w:val="-4"/>
          <w:w w:val="120"/>
          <w:sz w:val="20"/>
        </w:rPr>
        <w:t> </w:t>
      </w:r>
      <w:r>
        <w:rPr>
          <w:w w:val="120"/>
          <w:sz w:val="20"/>
        </w:rPr>
        <w:t>taking</w:t>
      </w:r>
      <w:r>
        <w:rPr>
          <w:spacing w:val="-4"/>
          <w:w w:val="120"/>
          <w:sz w:val="20"/>
        </w:rPr>
        <w:t> </w:t>
      </w:r>
      <w:r>
        <w:rPr>
          <w:w w:val="120"/>
          <w:sz w:val="20"/>
        </w:rPr>
        <w:t>advice</w:t>
      </w:r>
      <w:r>
        <w:rPr>
          <w:spacing w:val="-4"/>
          <w:w w:val="120"/>
          <w:sz w:val="20"/>
        </w:rPr>
        <w:t> </w:t>
      </w:r>
      <w:r>
        <w:rPr>
          <w:w w:val="120"/>
          <w:sz w:val="20"/>
        </w:rPr>
        <w:t>from</w:t>
      </w:r>
      <w:r>
        <w:rPr>
          <w:spacing w:val="-4"/>
          <w:w w:val="120"/>
          <w:sz w:val="20"/>
        </w:rPr>
        <w:t> </w:t>
      </w:r>
      <w:r>
        <w:rPr>
          <w:w w:val="120"/>
          <w:sz w:val="20"/>
        </w:rPr>
        <w:t>its</w:t>
      </w:r>
      <w:r>
        <w:rPr>
          <w:spacing w:val="-4"/>
          <w:w w:val="120"/>
          <w:sz w:val="20"/>
        </w:rPr>
        <w:t> </w:t>
      </w:r>
      <w:r>
        <w:rPr>
          <w:w w:val="120"/>
          <w:sz w:val="20"/>
        </w:rPr>
        <w:t>advisory</w:t>
      </w:r>
      <w:r>
        <w:rPr>
          <w:spacing w:val="-4"/>
          <w:w w:val="120"/>
          <w:sz w:val="20"/>
        </w:rPr>
        <w:t> </w:t>
      </w:r>
      <w:r>
        <w:rPr>
          <w:w w:val="120"/>
          <w:sz w:val="20"/>
        </w:rPr>
        <w:t>groups </w:t>
      </w:r>
      <w:r>
        <w:rPr>
          <w:spacing w:val="-5"/>
          <w:w w:val="120"/>
          <w:sz w:val="20"/>
        </w:rPr>
        <w:t>(e.g. </w:t>
      </w:r>
      <w:r>
        <w:rPr>
          <w:w w:val="120"/>
          <w:sz w:val="20"/>
        </w:rPr>
        <w:t>human resources advisory group, ministerial incapacity and discipline advisory </w:t>
      </w:r>
      <w:r>
        <w:rPr>
          <w:spacing w:val="-3"/>
          <w:w w:val="120"/>
          <w:sz w:val="20"/>
        </w:rPr>
        <w:t>group) </w:t>
      </w:r>
      <w:r>
        <w:rPr>
          <w:w w:val="120"/>
          <w:sz w:val="20"/>
        </w:rPr>
        <w:t>which </w:t>
      </w:r>
      <w:r>
        <w:rPr>
          <w:spacing w:val="2"/>
          <w:w w:val="120"/>
          <w:sz w:val="20"/>
        </w:rPr>
        <w:t>report </w:t>
      </w:r>
      <w:r>
        <w:rPr>
          <w:w w:val="120"/>
          <w:sz w:val="20"/>
        </w:rPr>
        <w:t>to its meetings and which may bring resolutions. It may also instigate work, appointing a special task group or asking several Assembly committees to cooperate in undertaking a piece of work on its behalf. It is often asked to be a sounding board for committees as they shape new policies for the approval of General Assembly. These actions and discussions are reported in the remaining</w:t>
      </w:r>
      <w:r>
        <w:rPr>
          <w:spacing w:val="30"/>
          <w:w w:val="120"/>
          <w:sz w:val="20"/>
        </w:rPr>
        <w:t> </w:t>
      </w:r>
      <w:r>
        <w:rPr>
          <w:w w:val="120"/>
          <w:sz w:val="20"/>
        </w:rPr>
        <w:t>sections.</w:t>
      </w:r>
    </w:p>
    <w:p>
      <w:pPr>
        <w:pStyle w:val="BodyText"/>
        <w:spacing w:before="10"/>
        <w:rPr>
          <w:sz w:val="17"/>
        </w:rPr>
      </w:pPr>
    </w:p>
    <w:p>
      <w:pPr>
        <w:pStyle w:val="Heading4"/>
        <w:numPr>
          <w:ilvl w:val="0"/>
          <w:numId w:val="1"/>
        </w:numPr>
        <w:tabs>
          <w:tab w:pos="1927" w:val="left" w:leader="none"/>
          <w:tab w:pos="1928" w:val="left" w:leader="none"/>
        </w:tabs>
        <w:spacing w:line="240" w:lineRule="auto" w:before="0" w:after="0"/>
        <w:ind w:left="1927" w:right="0" w:hanging="681"/>
        <w:jc w:val="left"/>
      </w:pPr>
      <w:r>
        <w:rPr>
          <w:spacing w:val="5"/>
          <w:w w:val="110"/>
        </w:rPr>
        <w:t>Overview </w:t>
      </w:r>
      <w:r>
        <w:rPr>
          <w:w w:val="110"/>
        </w:rPr>
        <w:t>of </w:t>
      </w:r>
      <w:r>
        <w:rPr>
          <w:spacing w:val="2"/>
          <w:w w:val="110"/>
        </w:rPr>
        <w:t>the </w:t>
      </w:r>
      <w:r>
        <w:rPr>
          <w:spacing w:val="4"/>
          <w:w w:val="110"/>
        </w:rPr>
        <w:t>period </w:t>
      </w:r>
      <w:r>
        <w:rPr>
          <w:spacing w:val="3"/>
          <w:w w:val="110"/>
        </w:rPr>
        <w:t>July </w:t>
      </w:r>
      <w:r>
        <w:rPr>
          <w:spacing w:val="-7"/>
          <w:w w:val="110"/>
        </w:rPr>
        <w:t>2012 </w:t>
      </w:r>
      <w:r>
        <w:rPr>
          <w:w w:val="110"/>
        </w:rPr>
        <w:t>to </w:t>
      </w:r>
      <w:r>
        <w:rPr>
          <w:spacing w:val="3"/>
          <w:w w:val="110"/>
        </w:rPr>
        <w:t>March</w:t>
      </w:r>
      <w:r>
        <w:rPr>
          <w:spacing w:val="13"/>
          <w:w w:val="110"/>
        </w:rPr>
        <w:t> </w:t>
      </w:r>
      <w:r>
        <w:rPr>
          <w:spacing w:val="-6"/>
          <w:w w:val="110"/>
        </w:rPr>
        <w:t>2014</w:t>
      </w:r>
    </w:p>
    <w:p>
      <w:pPr>
        <w:pStyle w:val="ListParagraph"/>
        <w:numPr>
          <w:ilvl w:val="1"/>
          <w:numId w:val="1"/>
        </w:numPr>
        <w:tabs>
          <w:tab w:pos="1984" w:val="left" w:leader="none"/>
          <w:tab w:pos="1985" w:val="left" w:leader="none"/>
        </w:tabs>
        <w:spacing w:line="235" w:lineRule="auto" w:before="69" w:after="0"/>
        <w:ind w:left="1247" w:right="2090" w:firstLine="0"/>
        <w:jc w:val="left"/>
        <w:rPr>
          <w:sz w:val="20"/>
        </w:rPr>
      </w:pPr>
      <w:r>
        <w:rPr>
          <w:w w:val="120"/>
          <w:sz w:val="20"/>
        </w:rPr>
        <w:t>Since the last General Assembly, Mission Council has met on four occasions.  The theme of the Assembly moderators, ‘Living Conversations’, has set the tone for searching discussion of the </w:t>
      </w:r>
      <w:r>
        <w:rPr>
          <w:spacing w:val="-3"/>
          <w:w w:val="120"/>
          <w:sz w:val="20"/>
        </w:rPr>
        <w:t>Church’s </w:t>
      </w:r>
      <w:r>
        <w:rPr>
          <w:w w:val="120"/>
          <w:sz w:val="20"/>
        </w:rPr>
        <w:t>future and the host of issues challenging its common life. The faith and order committee has played a key role in posing questions about possible future scenarios and which distinctive elements of the United Reformed </w:t>
      </w:r>
      <w:r>
        <w:rPr>
          <w:spacing w:val="-3"/>
          <w:w w:val="120"/>
          <w:sz w:val="20"/>
        </w:rPr>
        <w:t>Church’s </w:t>
      </w:r>
      <w:r>
        <w:rPr>
          <w:w w:val="120"/>
          <w:sz w:val="20"/>
        </w:rPr>
        <w:t>life and witness remain </w:t>
      </w:r>
      <w:r>
        <w:rPr>
          <w:spacing w:val="2"/>
          <w:w w:val="120"/>
          <w:sz w:val="20"/>
        </w:rPr>
        <w:t>part </w:t>
      </w:r>
      <w:r>
        <w:rPr>
          <w:w w:val="120"/>
          <w:sz w:val="20"/>
        </w:rPr>
        <w:t>of God’s calling to us. If this </w:t>
      </w:r>
      <w:r>
        <w:rPr>
          <w:spacing w:val="2"/>
          <w:w w:val="120"/>
          <w:sz w:val="20"/>
        </w:rPr>
        <w:t>report </w:t>
      </w:r>
      <w:r>
        <w:rPr>
          <w:w w:val="120"/>
          <w:sz w:val="20"/>
        </w:rPr>
        <w:t>records</w:t>
      </w:r>
      <w:r>
        <w:rPr>
          <w:spacing w:val="31"/>
          <w:w w:val="120"/>
          <w:sz w:val="20"/>
        </w:rPr>
        <w:t> </w:t>
      </w:r>
      <w:r>
        <w:rPr>
          <w:w w:val="120"/>
          <w:sz w:val="20"/>
        </w:rPr>
        <w:t>fewer</w:t>
      </w:r>
    </w:p>
    <w:p>
      <w:pPr>
        <w:pStyle w:val="BodyText"/>
        <w:spacing w:line="235" w:lineRule="auto" w:before="5"/>
        <w:ind w:left="1247" w:right="2004"/>
      </w:pPr>
      <w:r>
        <w:rPr>
          <w:w w:val="120"/>
        </w:rPr>
        <w:t>decisions than usual, it is because Mission Council spent much of its time in discernment mode grappling with enormous questions and seeking the guidance of the Spirit.</w:t>
      </w:r>
    </w:p>
    <w:p>
      <w:pPr>
        <w:pStyle w:val="BodyText"/>
        <w:spacing w:before="9"/>
        <w:rPr>
          <w:sz w:val="19"/>
        </w:rPr>
      </w:pPr>
    </w:p>
    <w:p>
      <w:pPr>
        <w:pStyle w:val="ListParagraph"/>
        <w:numPr>
          <w:ilvl w:val="1"/>
          <w:numId w:val="1"/>
        </w:numPr>
        <w:tabs>
          <w:tab w:pos="1927" w:val="left" w:leader="none"/>
          <w:tab w:pos="1928" w:val="left" w:leader="none"/>
        </w:tabs>
        <w:spacing w:line="235" w:lineRule="auto" w:before="0" w:after="0"/>
        <w:ind w:left="1247" w:right="2215" w:firstLine="0"/>
        <w:jc w:val="left"/>
        <w:rPr>
          <w:sz w:val="20"/>
        </w:rPr>
      </w:pPr>
      <w:r>
        <w:rPr>
          <w:w w:val="120"/>
          <w:sz w:val="20"/>
        </w:rPr>
        <w:t>The October </w:t>
      </w:r>
      <w:r>
        <w:rPr>
          <w:spacing w:val="-7"/>
          <w:w w:val="120"/>
          <w:sz w:val="20"/>
        </w:rPr>
        <w:t>2012 </w:t>
      </w:r>
      <w:r>
        <w:rPr>
          <w:w w:val="120"/>
          <w:sz w:val="20"/>
        </w:rPr>
        <w:t>meeting received a </w:t>
      </w:r>
      <w:r>
        <w:rPr>
          <w:spacing w:val="2"/>
          <w:w w:val="120"/>
          <w:sz w:val="20"/>
        </w:rPr>
        <w:t>report </w:t>
      </w:r>
      <w:r>
        <w:rPr>
          <w:w w:val="120"/>
          <w:sz w:val="20"/>
        </w:rPr>
        <w:t>from the general secretary which brought together the issues raised in a host of reviews undertaken in the previous </w:t>
      </w:r>
      <w:r>
        <w:rPr>
          <w:spacing w:val="-7"/>
          <w:w w:val="120"/>
          <w:sz w:val="20"/>
        </w:rPr>
        <w:t>18 </w:t>
      </w:r>
      <w:r>
        <w:rPr>
          <w:w w:val="120"/>
          <w:sz w:val="20"/>
        </w:rPr>
        <w:t>months. Noting that each group had begun with a focussed task and that each had identified larger issues requiring attention, she presented a list which allocated work to various Assembly committees. She also proposed the formation of a medium term strategy group to oversee and coordinate the responses from the committees and to take forward outstanding proposals from the reviews, significantly the review of the role of the synod moderator which had been remaindered at the close of the General Assembly. This was</w:t>
      </w:r>
      <w:r>
        <w:rPr>
          <w:spacing w:val="6"/>
          <w:w w:val="120"/>
          <w:sz w:val="20"/>
        </w:rPr>
        <w:t> </w:t>
      </w:r>
      <w:r>
        <w:rPr>
          <w:w w:val="120"/>
          <w:sz w:val="20"/>
        </w:rPr>
        <w:t>agreed.</w:t>
      </w:r>
    </w:p>
    <w:p>
      <w:pPr>
        <w:pStyle w:val="BodyText"/>
        <w:spacing w:before="3"/>
      </w:pPr>
    </w:p>
    <w:p>
      <w:pPr>
        <w:pStyle w:val="ListParagraph"/>
        <w:numPr>
          <w:ilvl w:val="2"/>
          <w:numId w:val="1"/>
        </w:numPr>
        <w:tabs>
          <w:tab w:pos="1928" w:val="left" w:leader="none"/>
        </w:tabs>
        <w:spacing w:line="235" w:lineRule="auto" w:before="0" w:after="0"/>
        <w:ind w:left="1247" w:right="1986" w:firstLine="0"/>
        <w:jc w:val="left"/>
        <w:rPr>
          <w:sz w:val="20"/>
        </w:rPr>
      </w:pPr>
      <w:r>
        <w:rPr>
          <w:w w:val="120"/>
          <w:sz w:val="20"/>
        </w:rPr>
        <w:t>The medium term strategy group has kept a strong link with the faith and order committee throughout the </w:t>
      </w:r>
      <w:r>
        <w:rPr>
          <w:spacing w:val="-7"/>
          <w:w w:val="120"/>
          <w:sz w:val="20"/>
        </w:rPr>
        <w:t>18 </w:t>
      </w:r>
      <w:r>
        <w:rPr>
          <w:w w:val="120"/>
          <w:sz w:val="20"/>
        </w:rPr>
        <w:t>months of its life. The faith and order committee has repeatedly challenged Mission Council to distinguish between first and second order issues, each requiring a different kind of approach. Under their leadership, new clarity is emerging around the first order issues of the theological vision, values and ethos of the United Reformed Church, the distinctive contribution which the URC makes to Christian life and witness, and the work of the Holy Spirit through the councils of the Church. By their nature, these are questions which require continuous reflection. They will never have once-and-for-all</w:t>
      </w:r>
      <w:r>
        <w:rPr>
          <w:spacing w:val="3"/>
          <w:w w:val="120"/>
          <w:sz w:val="20"/>
        </w:rPr>
        <w:t> </w:t>
      </w:r>
      <w:r>
        <w:rPr>
          <w:w w:val="120"/>
          <w:sz w:val="20"/>
        </w:rPr>
        <w:t>answers.</w:t>
      </w:r>
    </w:p>
    <w:p>
      <w:pPr>
        <w:spacing w:after="0" w:line="235" w:lineRule="auto"/>
        <w:jc w:val="left"/>
        <w:rPr>
          <w:sz w:val="20"/>
        </w:rPr>
        <w:sectPr>
          <w:headerReference w:type="even" r:id="rId30"/>
          <w:footerReference w:type="even" r:id="rId31"/>
          <w:footerReference w:type="default" r:id="rId32"/>
          <w:pgSz w:w="11910" w:h="16840"/>
          <w:pgMar w:header="0" w:footer="647" w:top="0" w:bottom="840" w:left="0" w:right="0"/>
          <w:pgNumType w:start="6"/>
        </w:sectPr>
      </w:pPr>
    </w:p>
    <w:p>
      <w:pPr>
        <w:pStyle w:val="BodyText"/>
      </w:pPr>
      <w:r>
        <w:rPr/>
        <w:drawing>
          <wp:anchor distT="0" distB="0" distL="0" distR="0" allowOverlap="1" layoutInCell="1" locked="0" behindDoc="0" simplePos="0" relativeHeight="251672576">
            <wp:simplePos x="0" y="0"/>
            <wp:positionH relativeFrom="page">
              <wp:posOffset>6974928</wp:posOffset>
            </wp:positionH>
            <wp:positionV relativeFrom="page">
              <wp:posOffset>0</wp:posOffset>
            </wp:positionV>
            <wp:extent cx="585076" cy="10692003"/>
            <wp:effectExtent l="0" t="0" r="0" b="0"/>
            <wp:wrapNone/>
            <wp:docPr id="7" name="image23.png"/>
            <wp:cNvGraphicFramePr>
              <a:graphicFrameLocks noChangeAspect="1"/>
            </wp:cNvGraphicFramePr>
            <a:graphic>
              <a:graphicData uri="http://schemas.openxmlformats.org/drawingml/2006/picture">
                <pic:pic>
                  <pic:nvPicPr>
                    <pic:cNvPr id="8" name="image23.png"/>
                    <pic:cNvPicPr/>
                  </pic:nvPicPr>
                  <pic:blipFill>
                    <a:blip r:embed="rId35" cstate="print"/>
                    <a:stretch>
                      <a:fillRect/>
                    </a:stretch>
                  </pic:blipFill>
                  <pic:spPr>
                    <a:xfrm>
                      <a:off x="0" y="0"/>
                      <a:ext cx="585076" cy="10692003"/>
                    </a:xfrm>
                    <a:prstGeom prst="rect">
                      <a:avLst/>
                    </a:prstGeom>
                  </pic:spPr>
                </pic:pic>
              </a:graphicData>
            </a:graphic>
          </wp:anchor>
        </w:drawing>
      </w:r>
    </w:p>
    <w:p>
      <w:pPr>
        <w:pStyle w:val="BodyText"/>
        <w:spacing w:before="7"/>
        <w:rPr>
          <w:sz w:val="21"/>
        </w:rPr>
      </w:pPr>
    </w:p>
    <w:p>
      <w:pPr>
        <w:pStyle w:val="Heading5"/>
        <w:ind w:left="0" w:right="1245"/>
        <w:jc w:val="right"/>
      </w:pPr>
      <w:r>
        <w:rPr/>
        <w:pict>
          <v:shape style="position:absolute;margin-left:554.141174pt;margin-top:22.593945pt;width:25.9pt;height:163.2pt;mso-position-horizontal-relative:page;mso-position-vertical-relative:paragraph;z-index:251673600" type="#_x0000_t202" filled="false" stroked="false">
            <v:textbox inset="0,0,0,0" style="layout-flow:vertical">
              <w:txbxContent>
                <w:p>
                  <w:pPr>
                    <w:spacing w:before="27"/>
                    <w:ind w:left="20" w:right="0" w:firstLine="0"/>
                    <w:jc w:val="left"/>
                    <w:rPr>
                      <w:sz w:val="39"/>
                    </w:rPr>
                  </w:pPr>
                  <w:r>
                    <w:rPr>
                      <w:color w:val="FFFFFF"/>
                      <w:w w:val="125"/>
                      <w:sz w:val="39"/>
                    </w:rPr>
                    <w:t>Mission Council</w:t>
                  </w:r>
                </w:p>
              </w:txbxContent>
            </v:textbox>
            <w10:wrap type="none"/>
          </v:shape>
        </w:pict>
      </w:r>
      <w:r>
        <w:rPr>
          <w:color w:val="7EAABF"/>
          <w:w w:val="120"/>
        </w:rPr>
        <w:t>Mission Council</w:t>
      </w:r>
    </w:p>
    <w:p>
      <w:pPr>
        <w:pStyle w:val="ListParagraph"/>
        <w:numPr>
          <w:ilvl w:val="2"/>
          <w:numId w:val="1"/>
        </w:numPr>
        <w:tabs>
          <w:tab w:pos="2665" w:val="left" w:leader="none"/>
        </w:tabs>
        <w:spacing w:line="235" w:lineRule="auto" w:before="222" w:after="0"/>
        <w:ind w:left="1984" w:right="1262" w:firstLine="0"/>
        <w:jc w:val="left"/>
        <w:rPr>
          <w:sz w:val="20"/>
        </w:rPr>
      </w:pPr>
      <w:r>
        <w:rPr>
          <w:w w:val="120"/>
          <w:sz w:val="20"/>
        </w:rPr>
        <w:t>It has been the medium term strategy </w:t>
      </w:r>
      <w:r>
        <w:rPr>
          <w:spacing w:val="-3"/>
          <w:w w:val="120"/>
          <w:sz w:val="20"/>
        </w:rPr>
        <w:t>group’s </w:t>
      </w:r>
      <w:r>
        <w:rPr>
          <w:w w:val="120"/>
          <w:sz w:val="20"/>
        </w:rPr>
        <w:t>role to address the second order issues in which we translate our understanding of the nature and purpose of the United Reformed Church into structural solutions to a host of pressing concerns. ‘Successful’ solutions, the group said, would be sustainable (meeting foreseeable needs for the next five to </w:t>
      </w:r>
      <w:r>
        <w:rPr>
          <w:spacing w:val="-6"/>
          <w:w w:val="120"/>
          <w:sz w:val="20"/>
        </w:rPr>
        <w:t>10 </w:t>
      </w:r>
      <w:r>
        <w:rPr>
          <w:spacing w:val="-4"/>
          <w:w w:val="120"/>
          <w:sz w:val="20"/>
        </w:rPr>
        <w:t>years), </w:t>
      </w:r>
      <w:r>
        <w:rPr>
          <w:w w:val="120"/>
          <w:sz w:val="20"/>
        </w:rPr>
        <w:t>scalable (capable of expansion or contraction as the </w:t>
      </w:r>
      <w:r>
        <w:rPr>
          <w:spacing w:val="-3"/>
          <w:w w:val="120"/>
          <w:sz w:val="20"/>
        </w:rPr>
        <w:t>Church’s </w:t>
      </w:r>
      <w:r>
        <w:rPr>
          <w:w w:val="120"/>
          <w:sz w:val="20"/>
        </w:rPr>
        <w:t>resources grow or </w:t>
      </w:r>
      <w:r>
        <w:rPr>
          <w:spacing w:val="-4"/>
          <w:w w:val="120"/>
          <w:sz w:val="20"/>
        </w:rPr>
        <w:t>diminish), </w:t>
      </w:r>
      <w:r>
        <w:rPr>
          <w:w w:val="120"/>
          <w:sz w:val="20"/>
        </w:rPr>
        <w:t>and flexible (providing a common framework which can be adapted  to suit the different needs and practices of each synod or local </w:t>
      </w:r>
      <w:r>
        <w:rPr>
          <w:spacing w:val="-4"/>
          <w:w w:val="120"/>
          <w:sz w:val="20"/>
        </w:rPr>
        <w:t>church). </w:t>
      </w:r>
      <w:r>
        <w:rPr>
          <w:w w:val="120"/>
          <w:sz w:val="20"/>
        </w:rPr>
        <w:t>The group has enabled discussion of major issues concerning the role and shape of the synods, synod administration, revisions to the practice of inter-synod resource sharing, and the role of the synod</w:t>
      </w:r>
      <w:r>
        <w:rPr>
          <w:spacing w:val="4"/>
          <w:w w:val="120"/>
          <w:sz w:val="20"/>
        </w:rPr>
        <w:t> </w:t>
      </w:r>
      <w:r>
        <w:rPr>
          <w:w w:val="120"/>
          <w:sz w:val="20"/>
        </w:rPr>
        <w:t>moderator.</w:t>
      </w:r>
    </w:p>
    <w:p>
      <w:pPr>
        <w:pStyle w:val="BodyText"/>
        <w:spacing w:before="3"/>
      </w:pPr>
    </w:p>
    <w:p>
      <w:pPr>
        <w:pStyle w:val="BodyText"/>
        <w:spacing w:line="235" w:lineRule="auto"/>
        <w:ind w:left="1984" w:right="1409"/>
      </w:pPr>
      <w:r>
        <w:rPr>
          <w:w w:val="120"/>
        </w:rPr>
        <w:t>2.2.4   In March </w:t>
      </w:r>
      <w:r>
        <w:rPr>
          <w:spacing w:val="-7"/>
          <w:w w:val="120"/>
        </w:rPr>
        <w:t>2014 </w:t>
      </w:r>
      <w:r>
        <w:rPr>
          <w:w w:val="120"/>
        </w:rPr>
        <w:t>it was agreed that the group should continue until Mission  Council or Assembly put alternative strategic planning measures in place. Issues agreed for the next phase of work</w:t>
      </w:r>
      <w:r>
        <w:rPr>
          <w:spacing w:val="10"/>
          <w:w w:val="120"/>
        </w:rPr>
        <w:t> </w:t>
      </w:r>
      <w:r>
        <w:rPr>
          <w:w w:val="120"/>
        </w:rPr>
        <w:t>were:</w:t>
      </w:r>
    </w:p>
    <w:p>
      <w:pPr>
        <w:pStyle w:val="BodyText"/>
        <w:spacing w:before="10"/>
        <w:rPr>
          <w:sz w:val="19"/>
        </w:rPr>
      </w:pPr>
    </w:p>
    <w:p>
      <w:pPr>
        <w:pStyle w:val="ListParagraph"/>
        <w:numPr>
          <w:ilvl w:val="0"/>
          <w:numId w:val="2"/>
        </w:numPr>
        <w:tabs>
          <w:tab w:pos="2664" w:val="left" w:leader="none"/>
          <w:tab w:pos="2665" w:val="left" w:leader="none"/>
        </w:tabs>
        <w:spacing w:line="235" w:lineRule="auto" w:before="0" w:after="0"/>
        <w:ind w:left="2664" w:right="1337" w:hanging="681"/>
        <w:jc w:val="left"/>
        <w:rPr>
          <w:sz w:val="20"/>
        </w:rPr>
      </w:pPr>
      <w:r>
        <w:rPr>
          <w:w w:val="120"/>
          <w:sz w:val="20"/>
        </w:rPr>
        <w:t>‘Right sizing’ the central operations of the Church </w:t>
      </w:r>
      <w:r>
        <w:rPr>
          <w:spacing w:val="-5"/>
          <w:w w:val="120"/>
          <w:sz w:val="20"/>
        </w:rPr>
        <w:t>(nb: </w:t>
      </w:r>
      <w:r>
        <w:rPr>
          <w:w w:val="120"/>
          <w:sz w:val="20"/>
        </w:rPr>
        <w:t>The aim of this is to make things work better, not to save money, although the effective use of scarce resources would also be</w:t>
      </w:r>
      <w:r>
        <w:rPr>
          <w:spacing w:val="8"/>
          <w:w w:val="120"/>
          <w:sz w:val="20"/>
        </w:rPr>
        <w:t> </w:t>
      </w:r>
      <w:r>
        <w:rPr>
          <w:w w:val="120"/>
          <w:sz w:val="20"/>
        </w:rPr>
        <w:t>considered.)</w:t>
      </w:r>
    </w:p>
    <w:p>
      <w:pPr>
        <w:pStyle w:val="ListParagraph"/>
        <w:numPr>
          <w:ilvl w:val="1"/>
          <w:numId w:val="2"/>
        </w:numPr>
        <w:tabs>
          <w:tab w:pos="3458" w:val="left" w:leader="none"/>
          <w:tab w:pos="3459" w:val="left" w:leader="none"/>
        </w:tabs>
        <w:spacing w:line="240" w:lineRule="exact" w:before="0" w:after="0"/>
        <w:ind w:left="3458" w:right="0" w:hanging="795"/>
        <w:jc w:val="left"/>
        <w:rPr>
          <w:sz w:val="20"/>
        </w:rPr>
      </w:pPr>
      <w:r>
        <w:rPr>
          <w:w w:val="120"/>
          <w:sz w:val="20"/>
        </w:rPr>
        <w:t>Evaluate the effectiveness of ongoing Assembly-level programme</w:t>
      </w:r>
      <w:r>
        <w:rPr>
          <w:spacing w:val="20"/>
          <w:w w:val="120"/>
          <w:sz w:val="20"/>
        </w:rPr>
        <w:t> </w:t>
      </w:r>
      <w:r>
        <w:rPr>
          <w:w w:val="120"/>
          <w:sz w:val="20"/>
        </w:rPr>
        <w:t>work</w:t>
      </w:r>
    </w:p>
    <w:p>
      <w:pPr>
        <w:pStyle w:val="ListParagraph"/>
        <w:numPr>
          <w:ilvl w:val="1"/>
          <w:numId w:val="2"/>
        </w:numPr>
        <w:tabs>
          <w:tab w:pos="3458" w:val="left" w:leader="none"/>
          <w:tab w:pos="3459" w:val="left" w:leader="none"/>
        </w:tabs>
        <w:spacing w:line="235" w:lineRule="auto" w:before="2" w:after="0"/>
        <w:ind w:left="3458" w:right="1740" w:hanging="794"/>
        <w:jc w:val="left"/>
        <w:rPr>
          <w:sz w:val="20"/>
        </w:rPr>
      </w:pPr>
      <w:r>
        <w:rPr>
          <w:w w:val="120"/>
          <w:sz w:val="20"/>
        </w:rPr>
        <w:t>Scope of Church House provision, including use of premises, central staffing, based on research into the needs of the</w:t>
      </w:r>
      <w:r>
        <w:rPr>
          <w:spacing w:val="14"/>
          <w:w w:val="120"/>
          <w:sz w:val="20"/>
        </w:rPr>
        <w:t> </w:t>
      </w:r>
      <w:r>
        <w:rPr>
          <w:w w:val="120"/>
          <w:sz w:val="20"/>
        </w:rPr>
        <w:t>churches</w:t>
      </w:r>
    </w:p>
    <w:p>
      <w:pPr>
        <w:pStyle w:val="ListParagraph"/>
        <w:numPr>
          <w:ilvl w:val="1"/>
          <w:numId w:val="2"/>
        </w:numPr>
        <w:tabs>
          <w:tab w:pos="3458" w:val="left" w:leader="none"/>
          <w:tab w:pos="3459" w:val="left" w:leader="none"/>
        </w:tabs>
        <w:spacing w:line="242" w:lineRule="exact" w:before="0" w:after="0"/>
        <w:ind w:left="3458" w:right="0" w:hanging="795"/>
        <w:jc w:val="left"/>
        <w:rPr>
          <w:sz w:val="20"/>
        </w:rPr>
      </w:pPr>
      <w:r>
        <w:rPr>
          <w:w w:val="125"/>
          <w:sz w:val="20"/>
        </w:rPr>
        <w:t>Long term financial</w:t>
      </w:r>
      <w:r>
        <w:rPr>
          <w:spacing w:val="-3"/>
          <w:w w:val="125"/>
          <w:sz w:val="20"/>
        </w:rPr>
        <w:t> </w:t>
      </w:r>
      <w:r>
        <w:rPr>
          <w:w w:val="125"/>
          <w:sz w:val="20"/>
        </w:rPr>
        <w:t>planning</w:t>
      </w:r>
    </w:p>
    <w:p>
      <w:pPr>
        <w:pStyle w:val="BodyText"/>
        <w:spacing w:before="4"/>
        <w:rPr>
          <w:sz w:val="19"/>
        </w:rPr>
      </w:pPr>
    </w:p>
    <w:p>
      <w:pPr>
        <w:pStyle w:val="ListParagraph"/>
        <w:numPr>
          <w:ilvl w:val="0"/>
          <w:numId w:val="2"/>
        </w:numPr>
        <w:tabs>
          <w:tab w:pos="2664" w:val="left" w:leader="none"/>
          <w:tab w:pos="2665" w:val="left" w:leader="none"/>
        </w:tabs>
        <w:spacing w:line="242" w:lineRule="exact" w:before="0" w:after="0"/>
        <w:ind w:left="2664" w:right="0" w:hanging="681"/>
        <w:jc w:val="left"/>
        <w:rPr>
          <w:sz w:val="20"/>
        </w:rPr>
      </w:pPr>
      <w:r>
        <w:rPr>
          <w:w w:val="125"/>
          <w:sz w:val="20"/>
        </w:rPr>
        <w:t>Good</w:t>
      </w:r>
      <w:r>
        <w:rPr>
          <w:spacing w:val="-1"/>
          <w:w w:val="125"/>
          <w:sz w:val="20"/>
        </w:rPr>
        <w:t> </w:t>
      </w:r>
      <w:r>
        <w:rPr>
          <w:w w:val="125"/>
          <w:sz w:val="20"/>
        </w:rPr>
        <w:t>governance</w:t>
      </w:r>
    </w:p>
    <w:p>
      <w:pPr>
        <w:pStyle w:val="ListParagraph"/>
        <w:numPr>
          <w:ilvl w:val="1"/>
          <w:numId w:val="2"/>
        </w:numPr>
        <w:tabs>
          <w:tab w:pos="3458" w:val="left" w:leader="none"/>
          <w:tab w:pos="3459" w:val="left" w:leader="none"/>
        </w:tabs>
        <w:spacing w:line="240" w:lineRule="exact" w:before="0" w:after="0"/>
        <w:ind w:left="3458" w:right="0" w:hanging="795"/>
        <w:jc w:val="left"/>
        <w:rPr>
          <w:sz w:val="20"/>
        </w:rPr>
      </w:pPr>
      <w:r>
        <w:rPr>
          <w:w w:val="120"/>
          <w:sz w:val="20"/>
        </w:rPr>
        <w:t>The effectiveness of governance by</w:t>
      </w:r>
      <w:r>
        <w:rPr>
          <w:spacing w:val="9"/>
          <w:w w:val="120"/>
          <w:sz w:val="20"/>
        </w:rPr>
        <w:t> </w:t>
      </w:r>
      <w:r>
        <w:rPr>
          <w:w w:val="120"/>
          <w:sz w:val="20"/>
        </w:rPr>
        <w:t>committees</w:t>
      </w:r>
    </w:p>
    <w:p>
      <w:pPr>
        <w:pStyle w:val="ListParagraph"/>
        <w:numPr>
          <w:ilvl w:val="1"/>
          <w:numId w:val="2"/>
        </w:numPr>
        <w:tabs>
          <w:tab w:pos="3458" w:val="left" w:leader="none"/>
          <w:tab w:pos="3459" w:val="left" w:leader="none"/>
        </w:tabs>
        <w:spacing w:line="235" w:lineRule="auto" w:before="2" w:after="0"/>
        <w:ind w:left="3458" w:right="2138" w:hanging="794"/>
        <w:jc w:val="left"/>
        <w:rPr>
          <w:sz w:val="20"/>
        </w:rPr>
      </w:pPr>
      <w:r>
        <w:rPr>
          <w:w w:val="120"/>
          <w:sz w:val="20"/>
        </w:rPr>
        <w:t>The respective roles of committee conveners and Church House line managers in relation to the new general</w:t>
      </w:r>
      <w:r>
        <w:rPr>
          <w:spacing w:val="11"/>
          <w:w w:val="120"/>
          <w:sz w:val="20"/>
        </w:rPr>
        <w:t> </w:t>
      </w:r>
      <w:r>
        <w:rPr>
          <w:w w:val="120"/>
          <w:sz w:val="20"/>
        </w:rPr>
        <w:t>secretariat</w:t>
      </w:r>
    </w:p>
    <w:p>
      <w:pPr>
        <w:pStyle w:val="ListParagraph"/>
        <w:numPr>
          <w:ilvl w:val="1"/>
          <w:numId w:val="2"/>
        </w:numPr>
        <w:tabs>
          <w:tab w:pos="3458" w:val="left" w:leader="none"/>
          <w:tab w:pos="3459" w:val="left" w:leader="none"/>
        </w:tabs>
        <w:spacing w:line="240" w:lineRule="exact" w:before="0" w:after="0"/>
        <w:ind w:left="3458" w:right="0" w:hanging="795"/>
        <w:jc w:val="left"/>
        <w:rPr>
          <w:sz w:val="20"/>
        </w:rPr>
      </w:pPr>
      <w:r>
        <w:rPr>
          <w:w w:val="120"/>
          <w:sz w:val="20"/>
        </w:rPr>
        <w:t>Size and frequency of General</w:t>
      </w:r>
      <w:r>
        <w:rPr>
          <w:spacing w:val="11"/>
          <w:w w:val="120"/>
          <w:sz w:val="20"/>
        </w:rPr>
        <w:t> </w:t>
      </w:r>
      <w:r>
        <w:rPr>
          <w:w w:val="120"/>
          <w:sz w:val="20"/>
        </w:rPr>
        <w:t>Assembly</w:t>
      </w:r>
    </w:p>
    <w:p>
      <w:pPr>
        <w:pStyle w:val="ListParagraph"/>
        <w:numPr>
          <w:ilvl w:val="1"/>
          <w:numId w:val="2"/>
        </w:numPr>
        <w:tabs>
          <w:tab w:pos="3458" w:val="left" w:leader="none"/>
          <w:tab w:pos="3459" w:val="left" w:leader="none"/>
        </w:tabs>
        <w:spacing w:line="235" w:lineRule="auto" w:before="1" w:after="0"/>
        <w:ind w:left="3458" w:right="2381" w:hanging="794"/>
        <w:jc w:val="left"/>
        <w:rPr>
          <w:sz w:val="20"/>
        </w:rPr>
      </w:pPr>
      <w:r>
        <w:rPr>
          <w:w w:val="120"/>
          <w:sz w:val="20"/>
        </w:rPr>
        <w:t>The relationship between the trust bodies and the councils of the</w:t>
      </w:r>
      <w:r>
        <w:rPr>
          <w:spacing w:val="2"/>
          <w:w w:val="120"/>
          <w:sz w:val="20"/>
        </w:rPr>
        <w:t> </w:t>
      </w:r>
      <w:r>
        <w:rPr>
          <w:w w:val="120"/>
          <w:sz w:val="20"/>
        </w:rPr>
        <w:t>Church</w:t>
      </w:r>
    </w:p>
    <w:p>
      <w:pPr>
        <w:pStyle w:val="ListParagraph"/>
        <w:numPr>
          <w:ilvl w:val="1"/>
          <w:numId w:val="2"/>
        </w:numPr>
        <w:tabs>
          <w:tab w:pos="3458" w:val="left" w:leader="none"/>
          <w:tab w:pos="3459" w:val="left" w:leader="none"/>
        </w:tabs>
        <w:spacing w:line="235" w:lineRule="auto" w:before="2" w:after="0"/>
        <w:ind w:left="3458" w:right="2213" w:hanging="794"/>
        <w:jc w:val="left"/>
        <w:rPr>
          <w:sz w:val="20"/>
        </w:rPr>
      </w:pPr>
      <w:r>
        <w:rPr>
          <w:w w:val="120"/>
          <w:sz w:val="20"/>
        </w:rPr>
        <w:t>The possibility of appointing one group of trustees to serve the trust bodies of several</w:t>
      </w:r>
      <w:r>
        <w:rPr>
          <w:spacing w:val="7"/>
          <w:w w:val="120"/>
          <w:sz w:val="20"/>
        </w:rPr>
        <w:t> </w:t>
      </w:r>
      <w:r>
        <w:rPr>
          <w:w w:val="120"/>
          <w:sz w:val="20"/>
        </w:rPr>
        <w:t>synods.</w:t>
      </w:r>
    </w:p>
    <w:p>
      <w:pPr>
        <w:pStyle w:val="BodyText"/>
        <w:spacing w:before="9"/>
        <w:rPr>
          <w:sz w:val="19"/>
        </w:rPr>
      </w:pPr>
    </w:p>
    <w:p>
      <w:pPr>
        <w:pStyle w:val="ListParagraph"/>
        <w:numPr>
          <w:ilvl w:val="1"/>
          <w:numId w:val="1"/>
        </w:numPr>
        <w:tabs>
          <w:tab w:pos="2664" w:val="left" w:leader="none"/>
          <w:tab w:pos="2665" w:val="left" w:leader="none"/>
        </w:tabs>
        <w:spacing w:line="235" w:lineRule="auto" w:before="0" w:after="0"/>
        <w:ind w:left="1984" w:right="1604" w:firstLine="0"/>
        <w:jc w:val="left"/>
        <w:rPr>
          <w:sz w:val="20"/>
        </w:rPr>
      </w:pPr>
      <w:r>
        <w:rPr>
          <w:w w:val="120"/>
          <w:sz w:val="20"/>
        </w:rPr>
        <w:t>The October </w:t>
      </w:r>
      <w:r>
        <w:rPr>
          <w:spacing w:val="-7"/>
          <w:w w:val="120"/>
          <w:sz w:val="20"/>
        </w:rPr>
        <w:t>2012 </w:t>
      </w:r>
      <w:r>
        <w:rPr>
          <w:w w:val="120"/>
          <w:sz w:val="20"/>
        </w:rPr>
        <w:t>Mission Council meeting received a proposal from the staffing advisory group regarding the restructuring of the  general  secretariat  to offer improved oversight and management at Church House. They held consultation meetings</w:t>
      </w:r>
      <w:r>
        <w:rPr>
          <w:spacing w:val="7"/>
          <w:w w:val="120"/>
          <w:sz w:val="20"/>
        </w:rPr>
        <w:t> </w:t>
      </w:r>
      <w:r>
        <w:rPr>
          <w:w w:val="120"/>
          <w:sz w:val="20"/>
        </w:rPr>
        <w:t>with</w:t>
      </w:r>
      <w:r>
        <w:rPr>
          <w:spacing w:val="8"/>
          <w:w w:val="120"/>
          <w:sz w:val="20"/>
        </w:rPr>
        <w:t> </w:t>
      </w:r>
      <w:r>
        <w:rPr>
          <w:w w:val="120"/>
          <w:sz w:val="20"/>
        </w:rPr>
        <w:t>a</w:t>
      </w:r>
      <w:r>
        <w:rPr>
          <w:spacing w:val="8"/>
          <w:w w:val="120"/>
          <w:sz w:val="20"/>
        </w:rPr>
        <w:t> </w:t>
      </w:r>
      <w:r>
        <w:rPr>
          <w:w w:val="120"/>
          <w:sz w:val="20"/>
        </w:rPr>
        <w:t>wide</w:t>
      </w:r>
      <w:r>
        <w:rPr>
          <w:spacing w:val="8"/>
          <w:w w:val="120"/>
          <w:sz w:val="20"/>
        </w:rPr>
        <w:t> </w:t>
      </w:r>
      <w:r>
        <w:rPr>
          <w:w w:val="120"/>
          <w:sz w:val="20"/>
        </w:rPr>
        <w:t>group</w:t>
      </w:r>
      <w:r>
        <w:rPr>
          <w:spacing w:val="8"/>
          <w:w w:val="120"/>
          <w:sz w:val="20"/>
        </w:rPr>
        <w:t> </w:t>
      </w:r>
      <w:r>
        <w:rPr>
          <w:w w:val="120"/>
          <w:sz w:val="20"/>
        </w:rPr>
        <w:t>of</w:t>
      </w:r>
      <w:r>
        <w:rPr>
          <w:spacing w:val="8"/>
          <w:w w:val="120"/>
          <w:sz w:val="20"/>
        </w:rPr>
        <w:t> </w:t>
      </w:r>
      <w:r>
        <w:rPr>
          <w:w w:val="120"/>
          <w:sz w:val="20"/>
        </w:rPr>
        <w:t>stakeholders</w:t>
      </w:r>
      <w:r>
        <w:rPr>
          <w:spacing w:val="8"/>
          <w:w w:val="120"/>
          <w:sz w:val="20"/>
        </w:rPr>
        <w:t> </w:t>
      </w:r>
      <w:r>
        <w:rPr>
          <w:w w:val="120"/>
          <w:sz w:val="20"/>
        </w:rPr>
        <w:t>and</w:t>
      </w:r>
      <w:r>
        <w:rPr>
          <w:spacing w:val="8"/>
          <w:w w:val="120"/>
          <w:sz w:val="20"/>
        </w:rPr>
        <w:t> </w:t>
      </w:r>
      <w:r>
        <w:rPr>
          <w:w w:val="120"/>
          <w:sz w:val="20"/>
        </w:rPr>
        <w:t>developed</w:t>
      </w:r>
      <w:r>
        <w:rPr>
          <w:spacing w:val="8"/>
          <w:w w:val="120"/>
          <w:sz w:val="20"/>
        </w:rPr>
        <w:t> </w:t>
      </w:r>
      <w:r>
        <w:rPr>
          <w:w w:val="120"/>
          <w:sz w:val="20"/>
        </w:rPr>
        <w:t>proposals</w:t>
      </w:r>
      <w:r>
        <w:rPr>
          <w:spacing w:val="8"/>
          <w:w w:val="120"/>
          <w:sz w:val="20"/>
        </w:rPr>
        <w:t> </w:t>
      </w:r>
      <w:r>
        <w:rPr>
          <w:w w:val="120"/>
          <w:sz w:val="20"/>
        </w:rPr>
        <w:t>leading</w:t>
      </w:r>
      <w:r>
        <w:rPr>
          <w:spacing w:val="8"/>
          <w:w w:val="120"/>
          <w:sz w:val="20"/>
        </w:rPr>
        <w:t> </w:t>
      </w:r>
      <w:r>
        <w:rPr>
          <w:w w:val="120"/>
          <w:sz w:val="20"/>
        </w:rPr>
        <w:t>to</w:t>
      </w:r>
      <w:r>
        <w:rPr>
          <w:spacing w:val="7"/>
          <w:w w:val="120"/>
          <w:sz w:val="20"/>
        </w:rPr>
        <w:t> </w:t>
      </w:r>
      <w:r>
        <w:rPr>
          <w:w w:val="120"/>
          <w:sz w:val="20"/>
        </w:rPr>
        <w:t>a</w:t>
      </w:r>
    </w:p>
    <w:p>
      <w:pPr>
        <w:pStyle w:val="BodyText"/>
        <w:spacing w:line="235" w:lineRule="auto" w:before="3"/>
        <w:ind w:left="1984" w:right="1352"/>
      </w:pPr>
      <w:r>
        <w:rPr>
          <w:w w:val="120"/>
        </w:rPr>
        <w:t>new job description for the general secretary and three new deputy general secretary posts. The new deputy general secretaries will be heads of department for the areas of mission, discipleship, and administration and resources, encompassing the full range of Assembly work.</w:t>
      </w:r>
    </w:p>
    <w:p>
      <w:pPr>
        <w:pStyle w:val="BodyText"/>
        <w:spacing w:before="11"/>
        <w:rPr>
          <w:sz w:val="19"/>
        </w:rPr>
      </w:pPr>
    </w:p>
    <w:p>
      <w:pPr>
        <w:pStyle w:val="ListParagraph"/>
        <w:numPr>
          <w:ilvl w:val="1"/>
          <w:numId w:val="1"/>
        </w:numPr>
        <w:tabs>
          <w:tab w:pos="2664" w:val="left" w:leader="none"/>
          <w:tab w:pos="2665" w:val="left" w:leader="none"/>
        </w:tabs>
        <w:spacing w:line="235" w:lineRule="auto" w:before="0" w:after="0"/>
        <w:ind w:left="1984" w:right="1548" w:firstLine="0"/>
        <w:jc w:val="left"/>
        <w:rPr>
          <w:sz w:val="20"/>
        </w:rPr>
      </w:pPr>
      <w:r>
        <w:rPr>
          <w:w w:val="120"/>
          <w:sz w:val="20"/>
        </w:rPr>
        <w:t>Mission Council welcomed the news that the Synod of Scotland and the four northern English synods (Mersey, </w:t>
      </w:r>
      <w:r>
        <w:rPr>
          <w:spacing w:val="2"/>
          <w:w w:val="120"/>
          <w:sz w:val="20"/>
        </w:rPr>
        <w:t>North </w:t>
      </w:r>
      <w:r>
        <w:rPr>
          <w:w w:val="120"/>
          <w:sz w:val="20"/>
        </w:rPr>
        <w:t>Western, </w:t>
      </w:r>
      <w:r>
        <w:rPr>
          <w:spacing w:val="2"/>
          <w:w w:val="120"/>
          <w:sz w:val="20"/>
        </w:rPr>
        <w:t>Northern </w:t>
      </w:r>
      <w:r>
        <w:rPr>
          <w:w w:val="120"/>
          <w:sz w:val="20"/>
        </w:rPr>
        <w:t>and </w:t>
      </w:r>
      <w:r>
        <w:rPr>
          <w:spacing w:val="-3"/>
          <w:w w:val="120"/>
          <w:sz w:val="20"/>
        </w:rPr>
        <w:t>Yorkshire) </w:t>
      </w:r>
      <w:r>
        <w:rPr>
          <w:w w:val="120"/>
          <w:sz w:val="20"/>
        </w:rPr>
        <w:t>were engaged in conversations about how they might collaborate across their boundaries, sharing resources of people, programmes and support</w:t>
      </w:r>
      <w:r>
        <w:rPr>
          <w:spacing w:val="23"/>
          <w:w w:val="120"/>
          <w:sz w:val="20"/>
        </w:rPr>
        <w:t> </w:t>
      </w:r>
      <w:r>
        <w:rPr>
          <w:w w:val="120"/>
          <w:sz w:val="20"/>
        </w:rPr>
        <w:t>services.</w:t>
      </w:r>
    </w:p>
    <w:p>
      <w:pPr>
        <w:pStyle w:val="BodyText"/>
        <w:spacing w:before="11"/>
        <w:rPr>
          <w:sz w:val="19"/>
        </w:rPr>
      </w:pPr>
    </w:p>
    <w:p>
      <w:pPr>
        <w:pStyle w:val="ListParagraph"/>
        <w:numPr>
          <w:ilvl w:val="1"/>
          <w:numId w:val="1"/>
        </w:numPr>
        <w:tabs>
          <w:tab w:pos="2664" w:val="left" w:leader="none"/>
          <w:tab w:pos="2665" w:val="left" w:leader="none"/>
        </w:tabs>
        <w:spacing w:line="235" w:lineRule="auto" w:before="0" w:after="0"/>
        <w:ind w:left="1984" w:right="1472" w:firstLine="0"/>
        <w:jc w:val="left"/>
        <w:rPr>
          <w:sz w:val="20"/>
        </w:rPr>
      </w:pPr>
      <w:r>
        <w:rPr>
          <w:w w:val="120"/>
          <w:sz w:val="20"/>
        </w:rPr>
        <w:t>A new task group was appointed to consider the relationship of the national synods of Scotland and Wales to the wider United Reformed Church. In particular, clarity was needed as to what it means for the national synods to ‘speak and act in the name of the United Reformed Church’ within their</w:t>
      </w:r>
      <w:r>
        <w:rPr>
          <w:spacing w:val="16"/>
          <w:w w:val="120"/>
          <w:sz w:val="20"/>
        </w:rPr>
        <w:t> </w:t>
      </w:r>
      <w:r>
        <w:rPr>
          <w:w w:val="120"/>
          <w:sz w:val="20"/>
        </w:rPr>
        <w:t>nations.</w:t>
      </w:r>
    </w:p>
    <w:p>
      <w:pPr>
        <w:pStyle w:val="BodyText"/>
        <w:spacing w:before="7"/>
        <w:rPr>
          <w:sz w:val="18"/>
        </w:rPr>
      </w:pPr>
    </w:p>
    <w:p>
      <w:pPr>
        <w:pStyle w:val="Heading9"/>
        <w:numPr>
          <w:ilvl w:val="1"/>
          <w:numId w:val="1"/>
        </w:numPr>
        <w:tabs>
          <w:tab w:pos="2664" w:val="left" w:leader="none"/>
          <w:tab w:pos="2665" w:val="left" w:leader="none"/>
        </w:tabs>
        <w:spacing w:line="261" w:lineRule="exact" w:before="0" w:after="0"/>
        <w:ind w:left="2664" w:right="0" w:hanging="681"/>
        <w:jc w:val="left"/>
      </w:pPr>
      <w:r>
        <w:rPr>
          <w:w w:val="110"/>
        </w:rPr>
        <w:t>New</w:t>
      </w:r>
      <w:r>
        <w:rPr>
          <w:spacing w:val="-1"/>
          <w:w w:val="110"/>
        </w:rPr>
        <w:t> </w:t>
      </w:r>
      <w:r>
        <w:rPr>
          <w:w w:val="110"/>
        </w:rPr>
        <w:t>names</w:t>
      </w:r>
    </w:p>
    <w:p>
      <w:pPr>
        <w:pStyle w:val="ListParagraph"/>
        <w:numPr>
          <w:ilvl w:val="2"/>
          <w:numId w:val="1"/>
        </w:numPr>
        <w:tabs>
          <w:tab w:pos="2665" w:val="left" w:leader="none"/>
        </w:tabs>
        <w:spacing w:line="235" w:lineRule="auto" w:before="0" w:after="0"/>
        <w:ind w:left="1984" w:right="1244" w:firstLine="0"/>
        <w:jc w:val="left"/>
        <w:rPr>
          <w:sz w:val="20"/>
        </w:rPr>
      </w:pPr>
      <w:r>
        <w:rPr>
          <w:spacing w:val="-7"/>
          <w:w w:val="120"/>
          <w:sz w:val="20"/>
        </w:rPr>
        <w:t>To </w:t>
      </w:r>
      <w:r>
        <w:rPr>
          <w:w w:val="120"/>
          <w:sz w:val="20"/>
        </w:rPr>
        <w:t>facilitate the transition to new structures, the staffing advisory group was renamed the human resources advisory group and given responsibility for the full range of people employed by the Church at Assembly level, overriding a previous distinction between Assembly-appointed staff and support staff. </w:t>
      </w:r>
      <w:r>
        <w:rPr>
          <w:spacing w:val="-5"/>
          <w:w w:val="120"/>
          <w:sz w:val="20"/>
        </w:rPr>
        <w:t>(nb: </w:t>
      </w:r>
      <w:r>
        <w:rPr>
          <w:w w:val="120"/>
          <w:sz w:val="20"/>
        </w:rPr>
        <w:t>They do not oversee the  terms and conditions of ministers of Word and sacrament, who are office holders rather than</w:t>
      </w:r>
      <w:r>
        <w:rPr>
          <w:spacing w:val="2"/>
          <w:w w:val="120"/>
          <w:sz w:val="20"/>
        </w:rPr>
        <w:t> </w:t>
      </w:r>
      <w:r>
        <w:rPr>
          <w:spacing w:val="-3"/>
          <w:w w:val="120"/>
          <w:sz w:val="20"/>
        </w:rPr>
        <w:t>employees).</w:t>
      </w:r>
    </w:p>
    <w:p>
      <w:pPr>
        <w:spacing w:after="0" w:line="235" w:lineRule="auto"/>
        <w:jc w:val="left"/>
        <w:rPr>
          <w:sz w:val="20"/>
        </w:rPr>
        <w:sectPr>
          <w:headerReference w:type="default" r:id="rId34"/>
          <w:pgSz w:w="11910" w:h="16840"/>
          <w:pgMar w:header="0" w:footer="647" w:top="0" w:bottom="840" w:left="0" w:right="0"/>
        </w:sectPr>
      </w:pPr>
    </w:p>
    <w:p>
      <w:pPr>
        <w:pStyle w:val="BodyText"/>
      </w:pPr>
      <w:r>
        <w:rPr/>
        <w:drawing>
          <wp:anchor distT="0" distB="0" distL="0" distR="0" allowOverlap="1" layoutInCell="1" locked="0" behindDoc="0" simplePos="0" relativeHeight="251674624">
            <wp:simplePos x="0" y="0"/>
            <wp:positionH relativeFrom="page">
              <wp:posOffset>0</wp:posOffset>
            </wp:positionH>
            <wp:positionV relativeFrom="page">
              <wp:posOffset>0</wp:posOffset>
            </wp:positionV>
            <wp:extent cx="594067" cy="10692003"/>
            <wp:effectExtent l="0" t="0" r="0" b="0"/>
            <wp:wrapNone/>
            <wp:docPr id="9" name="image22.png"/>
            <wp:cNvGraphicFramePr>
              <a:graphicFrameLocks noChangeAspect="1"/>
            </wp:cNvGraphicFramePr>
            <a:graphic>
              <a:graphicData uri="http://schemas.openxmlformats.org/drawingml/2006/picture">
                <pic:pic>
                  <pic:nvPicPr>
                    <pic:cNvPr id="10" name="image22.png"/>
                    <pic:cNvPicPr/>
                  </pic:nvPicPr>
                  <pic:blipFill>
                    <a:blip r:embed="rId33"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shape style="position:absolute;margin-left:20.519100pt;margin-top:22.593945pt;width:25.9pt;height:163.2pt;mso-position-horizontal-relative:page;mso-position-vertical-relative:paragraph;z-index:251675648" type="#_x0000_t202" filled="false" stroked="false">
            <v:textbox inset="0,0,0,0" style="layout-flow:vertical">
              <w:txbxContent>
                <w:p>
                  <w:pPr>
                    <w:spacing w:before="27"/>
                    <w:ind w:left="20" w:right="0" w:firstLine="0"/>
                    <w:jc w:val="left"/>
                    <w:rPr>
                      <w:sz w:val="39"/>
                    </w:rPr>
                  </w:pPr>
                  <w:r>
                    <w:rPr>
                      <w:color w:val="FFFFFF"/>
                      <w:w w:val="125"/>
                      <w:sz w:val="39"/>
                    </w:rPr>
                    <w:t>Mission Council</w:t>
                  </w:r>
                </w:p>
              </w:txbxContent>
            </v:textbox>
            <w10:wrap type="none"/>
          </v:shape>
        </w:pict>
      </w:r>
      <w:r>
        <w:rPr>
          <w:color w:val="7EAABF"/>
          <w:w w:val="120"/>
        </w:rPr>
        <w:t>Mission Council</w:t>
      </w:r>
    </w:p>
    <w:p>
      <w:pPr>
        <w:pStyle w:val="ListParagraph"/>
        <w:numPr>
          <w:ilvl w:val="2"/>
          <w:numId w:val="1"/>
        </w:numPr>
        <w:tabs>
          <w:tab w:pos="1928" w:val="left" w:leader="none"/>
        </w:tabs>
        <w:spacing w:line="235" w:lineRule="auto" w:before="222" w:after="0"/>
        <w:ind w:left="1247" w:right="2460" w:firstLine="0"/>
        <w:jc w:val="left"/>
        <w:rPr>
          <w:sz w:val="20"/>
        </w:rPr>
      </w:pPr>
      <w:r>
        <w:rPr>
          <w:w w:val="120"/>
          <w:sz w:val="20"/>
        </w:rPr>
        <w:t>Mission Council agreed the name ‘discipleship department’ for the group comprising education and learning, ministries, church related community work, </w:t>
      </w:r>
      <w:r>
        <w:rPr>
          <w:spacing w:val="-3"/>
          <w:w w:val="120"/>
          <w:sz w:val="20"/>
        </w:rPr>
        <w:t>children’s </w:t>
      </w:r>
      <w:r>
        <w:rPr>
          <w:w w:val="120"/>
          <w:sz w:val="20"/>
        </w:rPr>
        <w:t>and youth work, and safeguarding. This name makes explicit the support of the Assembly for the spiritual nurture and support of all members of the Church, whatever their age or</w:t>
      </w:r>
      <w:r>
        <w:rPr>
          <w:spacing w:val="8"/>
          <w:w w:val="120"/>
          <w:sz w:val="20"/>
        </w:rPr>
        <w:t> </w:t>
      </w:r>
      <w:r>
        <w:rPr>
          <w:w w:val="120"/>
          <w:sz w:val="20"/>
        </w:rPr>
        <w:t>calling.</w:t>
      </w:r>
    </w:p>
    <w:p>
      <w:pPr>
        <w:pStyle w:val="BodyText"/>
        <w:spacing w:before="11"/>
        <w:rPr>
          <w:sz w:val="19"/>
        </w:rPr>
      </w:pPr>
    </w:p>
    <w:p>
      <w:pPr>
        <w:pStyle w:val="ListParagraph"/>
        <w:numPr>
          <w:ilvl w:val="2"/>
          <w:numId w:val="1"/>
        </w:numPr>
        <w:tabs>
          <w:tab w:pos="1928" w:val="left" w:leader="none"/>
        </w:tabs>
        <w:spacing w:line="235" w:lineRule="auto" w:before="0" w:after="0"/>
        <w:ind w:left="1247" w:right="2169" w:firstLine="0"/>
        <w:jc w:val="left"/>
        <w:rPr>
          <w:sz w:val="20"/>
        </w:rPr>
      </w:pPr>
      <w:r>
        <w:rPr>
          <w:w w:val="120"/>
          <w:sz w:val="20"/>
        </w:rPr>
        <w:t>Mission Council agreed to rename the ‘equal opportunities Committee’ the ‘equalities </w:t>
      </w:r>
      <w:r>
        <w:rPr>
          <w:spacing w:val="-3"/>
          <w:w w:val="120"/>
          <w:sz w:val="20"/>
        </w:rPr>
        <w:t>committee’, </w:t>
      </w:r>
      <w:r>
        <w:rPr>
          <w:w w:val="120"/>
          <w:sz w:val="20"/>
        </w:rPr>
        <w:t>noting that various groups were still under-represented in URC appointments and wider church life despite apparent equality of</w:t>
      </w:r>
      <w:r>
        <w:rPr>
          <w:spacing w:val="39"/>
          <w:w w:val="120"/>
          <w:sz w:val="20"/>
        </w:rPr>
        <w:t> </w:t>
      </w:r>
      <w:r>
        <w:rPr>
          <w:w w:val="120"/>
          <w:sz w:val="20"/>
        </w:rPr>
        <w:t>opportunity.</w:t>
      </w:r>
    </w:p>
    <w:p>
      <w:pPr>
        <w:pStyle w:val="BodyText"/>
        <w:spacing w:before="10"/>
        <w:rPr>
          <w:sz w:val="19"/>
        </w:rPr>
      </w:pPr>
    </w:p>
    <w:p>
      <w:pPr>
        <w:pStyle w:val="ListParagraph"/>
        <w:numPr>
          <w:ilvl w:val="2"/>
          <w:numId w:val="1"/>
        </w:numPr>
        <w:tabs>
          <w:tab w:pos="1928" w:val="left" w:leader="none"/>
        </w:tabs>
        <w:spacing w:line="235" w:lineRule="auto" w:before="1" w:after="0"/>
        <w:ind w:left="1247" w:right="2457" w:firstLine="0"/>
        <w:jc w:val="left"/>
        <w:rPr>
          <w:sz w:val="20"/>
        </w:rPr>
      </w:pPr>
      <w:r>
        <w:rPr>
          <w:w w:val="120"/>
          <w:sz w:val="20"/>
        </w:rPr>
        <w:t>Mission Council agreed to change of name of the ‘youth and </w:t>
      </w:r>
      <w:r>
        <w:rPr>
          <w:spacing w:val="-3"/>
          <w:w w:val="120"/>
          <w:sz w:val="20"/>
        </w:rPr>
        <w:t>children’s </w:t>
      </w:r>
      <w:r>
        <w:rPr>
          <w:w w:val="120"/>
          <w:sz w:val="20"/>
        </w:rPr>
        <w:t>work committee’ to </w:t>
      </w:r>
      <w:r>
        <w:rPr>
          <w:spacing w:val="-3"/>
          <w:w w:val="120"/>
          <w:sz w:val="20"/>
        </w:rPr>
        <w:t>‘children’s </w:t>
      </w:r>
      <w:r>
        <w:rPr>
          <w:w w:val="120"/>
          <w:sz w:val="20"/>
        </w:rPr>
        <w:t>and youth work</w:t>
      </w:r>
      <w:r>
        <w:rPr>
          <w:spacing w:val="19"/>
          <w:w w:val="120"/>
          <w:sz w:val="20"/>
        </w:rPr>
        <w:t> </w:t>
      </w:r>
      <w:r>
        <w:rPr>
          <w:spacing w:val="-3"/>
          <w:w w:val="120"/>
          <w:sz w:val="20"/>
        </w:rPr>
        <w:t>committee’.</w:t>
      </w:r>
    </w:p>
    <w:p>
      <w:pPr>
        <w:pStyle w:val="BodyText"/>
        <w:spacing w:before="5"/>
        <w:rPr>
          <w:sz w:val="18"/>
        </w:rPr>
      </w:pPr>
    </w:p>
    <w:p>
      <w:pPr>
        <w:pStyle w:val="Heading9"/>
        <w:numPr>
          <w:ilvl w:val="1"/>
          <w:numId w:val="1"/>
        </w:numPr>
        <w:tabs>
          <w:tab w:pos="1927" w:val="left" w:leader="none"/>
          <w:tab w:pos="1928" w:val="left" w:leader="none"/>
        </w:tabs>
        <w:spacing w:line="261" w:lineRule="exact" w:before="0" w:after="0"/>
        <w:ind w:left="1927" w:right="0" w:hanging="681"/>
        <w:jc w:val="left"/>
      </w:pPr>
      <w:r>
        <w:rPr>
          <w:w w:val="110"/>
        </w:rPr>
        <w:t>Methodist/United Reformed Church</w:t>
      </w:r>
      <w:r>
        <w:rPr>
          <w:spacing w:val="-1"/>
          <w:w w:val="110"/>
        </w:rPr>
        <w:t> </w:t>
      </w:r>
      <w:r>
        <w:rPr>
          <w:w w:val="110"/>
        </w:rPr>
        <w:t>relations</w:t>
      </w:r>
    </w:p>
    <w:p>
      <w:pPr>
        <w:pStyle w:val="ListParagraph"/>
        <w:numPr>
          <w:ilvl w:val="2"/>
          <w:numId w:val="1"/>
        </w:numPr>
        <w:tabs>
          <w:tab w:pos="1927" w:val="left" w:leader="none"/>
          <w:tab w:pos="1928" w:val="left" w:leader="none"/>
        </w:tabs>
        <w:spacing w:line="235" w:lineRule="auto" w:before="0" w:after="0"/>
        <w:ind w:left="1247" w:right="2034" w:firstLine="0"/>
        <w:jc w:val="left"/>
        <w:rPr>
          <w:sz w:val="20"/>
        </w:rPr>
      </w:pPr>
      <w:r>
        <w:rPr>
          <w:w w:val="120"/>
          <w:sz w:val="20"/>
        </w:rPr>
        <w:t>The October </w:t>
      </w:r>
      <w:r>
        <w:rPr>
          <w:spacing w:val="-7"/>
          <w:w w:val="120"/>
          <w:sz w:val="20"/>
        </w:rPr>
        <w:t>2012 </w:t>
      </w:r>
      <w:r>
        <w:rPr>
          <w:w w:val="120"/>
          <w:sz w:val="20"/>
        </w:rPr>
        <w:t>Mission Council meeting included a joint session with the Methodist Council. The Revd Dr David Cornick, general secretary of Churches Together in England, delivered a keynote address which charted the separate histories of the two Churches and explained some of their differences in outlook </w:t>
      </w:r>
      <w:r>
        <w:rPr>
          <w:spacing w:val="-3"/>
          <w:w w:val="120"/>
          <w:sz w:val="20"/>
        </w:rPr>
        <w:t>today. </w:t>
      </w:r>
      <w:r>
        <w:rPr>
          <w:w w:val="120"/>
          <w:sz w:val="20"/>
        </w:rPr>
        <w:t>This was followed  by a series of presentations on local ecumenism, including life in local ecumenical partnerships and united areas and the establishment of Cumbria as an ecumenical county. Small groups discussed the challenges in local ecumenical partnerships. The meeting called for faith and order conversations to be held focussing on the different understandings of ministry and denominational structure which cause difficulties for ecumenical partnership on the</w:t>
      </w:r>
      <w:r>
        <w:rPr>
          <w:spacing w:val="10"/>
          <w:w w:val="120"/>
          <w:sz w:val="20"/>
        </w:rPr>
        <w:t> </w:t>
      </w:r>
      <w:r>
        <w:rPr>
          <w:w w:val="120"/>
          <w:sz w:val="20"/>
        </w:rPr>
        <w:t>ground.</w:t>
      </w:r>
    </w:p>
    <w:p>
      <w:pPr>
        <w:pStyle w:val="BodyText"/>
        <w:spacing w:before="10"/>
        <w:rPr>
          <w:sz w:val="19"/>
        </w:rPr>
      </w:pPr>
    </w:p>
    <w:p>
      <w:pPr>
        <w:pStyle w:val="ListParagraph"/>
        <w:numPr>
          <w:ilvl w:val="2"/>
          <w:numId w:val="1"/>
        </w:numPr>
        <w:tabs>
          <w:tab w:pos="1927" w:val="left" w:leader="none"/>
          <w:tab w:pos="1928" w:val="left" w:leader="none"/>
        </w:tabs>
        <w:spacing w:line="235" w:lineRule="auto" w:before="0" w:after="0"/>
        <w:ind w:left="1247" w:right="2333" w:firstLine="0"/>
        <w:jc w:val="left"/>
        <w:rPr>
          <w:sz w:val="20"/>
        </w:rPr>
      </w:pPr>
      <w:r>
        <w:rPr>
          <w:w w:val="120"/>
          <w:sz w:val="20"/>
        </w:rPr>
        <w:t>A strategic oversight group comprising senior officers of the URC Assembly and the Methodist Conference monitors progress on joint working between the two Churches including a joint </w:t>
      </w:r>
      <w:r>
        <w:rPr>
          <w:spacing w:val="2"/>
          <w:w w:val="120"/>
          <w:sz w:val="20"/>
        </w:rPr>
        <w:t>property </w:t>
      </w:r>
      <w:r>
        <w:rPr>
          <w:w w:val="120"/>
          <w:sz w:val="20"/>
        </w:rPr>
        <w:t>strategy group established to encourage local churches in adapting their buildings for effective mission. The strategic oversight group works in partnership with the Methodist/URC liaison group whose primary responsibility is for local ecumenical</w:t>
      </w:r>
      <w:r>
        <w:rPr>
          <w:spacing w:val="9"/>
          <w:w w:val="120"/>
          <w:sz w:val="20"/>
        </w:rPr>
        <w:t> </w:t>
      </w:r>
      <w:r>
        <w:rPr>
          <w:w w:val="120"/>
          <w:sz w:val="20"/>
        </w:rPr>
        <w:t>relations.</w:t>
      </w:r>
    </w:p>
    <w:p>
      <w:pPr>
        <w:pStyle w:val="BodyText"/>
        <w:spacing w:before="1"/>
      </w:pPr>
    </w:p>
    <w:p>
      <w:pPr>
        <w:pStyle w:val="ListParagraph"/>
        <w:numPr>
          <w:ilvl w:val="2"/>
          <w:numId w:val="1"/>
        </w:numPr>
        <w:tabs>
          <w:tab w:pos="1927" w:val="left" w:leader="none"/>
          <w:tab w:pos="1928" w:val="left" w:leader="none"/>
        </w:tabs>
        <w:spacing w:line="235" w:lineRule="auto" w:before="0" w:after="0"/>
        <w:ind w:left="1247" w:right="2164" w:firstLine="0"/>
        <w:jc w:val="left"/>
        <w:rPr>
          <w:sz w:val="20"/>
        </w:rPr>
      </w:pPr>
      <w:r>
        <w:rPr>
          <w:w w:val="120"/>
          <w:sz w:val="20"/>
        </w:rPr>
        <w:t>In January </w:t>
      </w:r>
      <w:r>
        <w:rPr>
          <w:spacing w:val="-8"/>
          <w:w w:val="120"/>
          <w:sz w:val="20"/>
        </w:rPr>
        <w:t>2013 </w:t>
      </w:r>
      <w:r>
        <w:rPr>
          <w:w w:val="120"/>
          <w:sz w:val="20"/>
        </w:rPr>
        <w:t>the synod moderators and selected Church House staff members were guests at the Methodist connexional leaders’ forum and continued the conversation about areas for shared</w:t>
      </w:r>
      <w:r>
        <w:rPr>
          <w:spacing w:val="7"/>
          <w:w w:val="120"/>
          <w:sz w:val="20"/>
        </w:rPr>
        <w:t> </w:t>
      </w:r>
      <w:r>
        <w:rPr>
          <w:w w:val="120"/>
          <w:sz w:val="20"/>
        </w:rPr>
        <w:t>work.</w:t>
      </w:r>
    </w:p>
    <w:p>
      <w:pPr>
        <w:pStyle w:val="BodyText"/>
        <w:spacing w:before="10"/>
        <w:rPr>
          <w:sz w:val="19"/>
        </w:rPr>
      </w:pPr>
    </w:p>
    <w:p>
      <w:pPr>
        <w:pStyle w:val="ListParagraph"/>
        <w:numPr>
          <w:ilvl w:val="2"/>
          <w:numId w:val="1"/>
        </w:numPr>
        <w:tabs>
          <w:tab w:pos="1927" w:val="left" w:leader="none"/>
          <w:tab w:pos="1928" w:val="left" w:leader="none"/>
        </w:tabs>
        <w:spacing w:line="235" w:lineRule="auto" w:before="0" w:after="0"/>
        <w:ind w:left="1247" w:right="2114" w:firstLine="0"/>
        <w:jc w:val="left"/>
        <w:rPr>
          <w:sz w:val="20"/>
        </w:rPr>
      </w:pPr>
      <w:r>
        <w:rPr>
          <w:spacing w:val="-3"/>
          <w:w w:val="120"/>
          <w:sz w:val="20"/>
        </w:rPr>
        <w:t>Terms </w:t>
      </w:r>
      <w:r>
        <w:rPr>
          <w:w w:val="120"/>
          <w:sz w:val="20"/>
        </w:rPr>
        <w:t>of reference have been agreed for faith and order conversations between the two Churches as envisioned by the October </w:t>
      </w:r>
      <w:r>
        <w:rPr>
          <w:spacing w:val="-7"/>
          <w:w w:val="120"/>
          <w:sz w:val="20"/>
        </w:rPr>
        <w:t>2012 </w:t>
      </w:r>
      <w:r>
        <w:rPr>
          <w:w w:val="120"/>
          <w:sz w:val="20"/>
        </w:rPr>
        <w:t>meeting of the two councils. Revised terms of reference were agreed for the Methodist/URC liaison</w:t>
      </w:r>
      <w:r>
        <w:rPr>
          <w:spacing w:val="14"/>
          <w:w w:val="120"/>
          <w:sz w:val="20"/>
        </w:rPr>
        <w:t> </w:t>
      </w:r>
      <w:r>
        <w:rPr>
          <w:w w:val="120"/>
          <w:sz w:val="20"/>
        </w:rPr>
        <w:t>group.</w:t>
      </w:r>
    </w:p>
    <w:p>
      <w:pPr>
        <w:pStyle w:val="BodyText"/>
        <w:spacing w:before="6"/>
        <w:rPr>
          <w:sz w:val="18"/>
        </w:rPr>
      </w:pPr>
    </w:p>
    <w:p>
      <w:pPr>
        <w:pStyle w:val="Heading9"/>
        <w:numPr>
          <w:ilvl w:val="1"/>
          <w:numId w:val="1"/>
        </w:numPr>
        <w:tabs>
          <w:tab w:pos="1927" w:val="left" w:leader="none"/>
          <w:tab w:pos="1928" w:val="left" w:leader="none"/>
        </w:tabs>
        <w:spacing w:line="261" w:lineRule="exact" w:before="0" w:after="0"/>
        <w:ind w:left="1927" w:right="0" w:hanging="681"/>
        <w:jc w:val="left"/>
      </w:pPr>
      <w:r>
        <w:rPr>
          <w:w w:val="110"/>
        </w:rPr>
        <w:t>Review of General</w:t>
      </w:r>
      <w:r>
        <w:rPr>
          <w:spacing w:val="-1"/>
          <w:w w:val="110"/>
        </w:rPr>
        <w:t> </w:t>
      </w:r>
      <w:r>
        <w:rPr>
          <w:w w:val="110"/>
        </w:rPr>
        <w:t>Assembly</w:t>
      </w:r>
    </w:p>
    <w:p>
      <w:pPr>
        <w:pStyle w:val="ListParagraph"/>
        <w:numPr>
          <w:ilvl w:val="2"/>
          <w:numId w:val="1"/>
        </w:numPr>
        <w:tabs>
          <w:tab w:pos="1928" w:val="left" w:leader="none"/>
        </w:tabs>
        <w:spacing w:line="235" w:lineRule="auto" w:before="0" w:after="0"/>
        <w:ind w:left="1247" w:right="2337" w:firstLine="0"/>
        <w:jc w:val="left"/>
        <w:rPr>
          <w:sz w:val="20"/>
        </w:rPr>
      </w:pPr>
      <w:r>
        <w:rPr>
          <w:w w:val="120"/>
          <w:sz w:val="20"/>
        </w:rPr>
        <w:t>In March </w:t>
      </w:r>
      <w:r>
        <w:rPr>
          <w:spacing w:val="-7"/>
          <w:w w:val="120"/>
          <w:sz w:val="20"/>
        </w:rPr>
        <w:t>2014 </w:t>
      </w:r>
      <w:r>
        <w:rPr>
          <w:w w:val="120"/>
          <w:sz w:val="20"/>
        </w:rPr>
        <w:t>Mission Council debated two synod resolutions regarding General Assembly. The first was from Wessex Synod asking for exploration of ways in which the United Reformed Church could return to a pattern of annual Assemblies. The second was from the National Synod of Wales lamenting the termination of the </w:t>
      </w:r>
      <w:r>
        <w:rPr>
          <w:spacing w:val="-3"/>
          <w:w w:val="120"/>
          <w:sz w:val="20"/>
        </w:rPr>
        <w:t>children’s </w:t>
      </w:r>
      <w:r>
        <w:rPr>
          <w:w w:val="120"/>
          <w:sz w:val="20"/>
        </w:rPr>
        <w:t>assembly and, while recognising budgetary restraints, asking that the </w:t>
      </w:r>
      <w:r>
        <w:rPr>
          <w:spacing w:val="-3"/>
          <w:w w:val="120"/>
          <w:sz w:val="20"/>
        </w:rPr>
        <w:t>children’s </w:t>
      </w:r>
      <w:r>
        <w:rPr>
          <w:w w:val="120"/>
          <w:sz w:val="20"/>
        </w:rPr>
        <w:t>assembly be reinstated alongside future General</w:t>
      </w:r>
      <w:r>
        <w:rPr>
          <w:spacing w:val="24"/>
          <w:w w:val="120"/>
          <w:sz w:val="20"/>
        </w:rPr>
        <w:t> </w:t>
      </w:r>
      <w:r>
        <w:rPr>
          <w:w w:val="120"/>
          <w:sz w:val="20"/>
        </w:rPr>
        <w:t>Assemblies.</w:t>
      </w:r>
    </w:p>
    <w:p>
      <w:pPr>
        <w:pStyle w:val="BodyText"/>
        <w:spacing w:before="4"/>
        <w:rPr>
          <w:sz w:val="19"/>
        </w:rPr>
      </w:pPr>
    </w:p>
    <w:p>
      <w:pPr>
        <w:pStyle w:val="ListParagraph"/>
        <w:numPr>
          <w:ilvl w:val="2"/>
          <w:numId w:val="1"/>
        </w:numPr>
        <w:tabs>
          <w:tab w:pos="1928" w:val="left" w:leader="none"/>
        </w:tabs>
        <w:spacing w:line="242" w:lineRule="exact" w:before="0" w:after="0"/>
        <w:ind w:left="1927" w:right="0" w:hanging="681"/>
        <w:jc w:val="left"/>
        <w:rPr>
          <w:sz w:val="20"/>
        </w:rPr>
      </w:pPr>
      <w:r>
        <w:rPr>
          <w:w w:val="120"/>
          <w:sz w:val="20"/>
        </w:rPr>
        <w:t>The following resolution was agreed by</w:t>
      </w:r>
      <w:r>
        <w:rPr>
          <w:spacing w:val="14"/>
          <w:w w:val="120"/>
          <w:sz w:val="20"/>
        </w:rPr>
        <w:t> </w:t>
      </w:r>
      <w:r>
        <w:rPr>
          <w:w w:val="120"/>
          <w:sz w:val="20"/>
        </w:rPr>
        <w:t>consensus:</w:t>
      </w:r>
    </w:p>
    <w:p>
      <w:pPr>
        <w:pStyle w:val="BodyText"/>
        <w:spacing w:line="235" w:lineRule="auto" w:before="1"/>
        <w:ind w:left="1247" w:right="2004"/>
      </w:pPr>
      <w:r>
        <w:rPr>
          <w:w w:val="120"/>
        </w:rPr>
        <w:t>Mission Council requests the medium term strategy group and its successor and the Assembly arrangements committee to work both together and separately, consulting widely, on the governance, representation and accountability structures of the United Reformed Church.</w:t>
      </w:r>
    </w:p>
    <w:p>
      <w:pPr>
        <w:pStyle w:val="BodyText"/>
        <w:spacing w:before="8"/>
        <w:rPr>
          <w:sz w:val="19"/>
        </w:rPr>
      </w:pPr>
    </w:p>
    <w:p>
      <w:pPr>
        <w:pStyle w:val="BodyText"/>
        <w:spacing w:line="242" w:lineRule="exact"/>
        <w:ind w:left="1247"/>
      </w:pPr>
      <w:r>
        <w:rPr>
          <w:w w:val="120"/>
        </w:rPr>
        <w:t>This consultation should include:</w:t>
      </w:r>
    </w:p>
    <w:p>
      <w:pPr>
        <w:pStyle w:val="ListParagraph"/>
        <w:numPr>
          <w:ilvl w:val="0"/>
          <w:numId w:val="3"/>
        </w:numPr>
        <w:tabs>
          <w:tab w:pos="1927" w:val="left" w:leader="none"/>
          <w:tab w:pos="1928" w:val="left" w:leader="none"/>
        </w:tabs>
        <w:spacing w:line="235" w:lineRule="auto" w:before="1" w:after="0"/>
        <w:ind w:left="1927" w:right="2449" w:hanging="681"/>
        <w:jc w:val="left"/>
        <w:rPr>
          <w:sz w:val="20"/>
        </w:rPr>
      </w:pPr>
      <w:r>
        <w:rPr>
          <w:w w:val="120"/>
          <w:sz w:val="20"/>
        </w:rPr>
        <w:t>How children, young people, and other minority voices can be listened to in decision</w:t>
      </w:r>
      <w:r>
        <w:rPr>
          <w:spacing w:val="2"/>
          <w:w w:val="120"/>
          <w:sz w:val="20"/>
        </w:rPr>
        <w:t> </w:t>
      </w:r>
      <w:r>
        <w:rPr>
          <w:w w:val="120"/>
          <w:sz w:val="20"/>
        </w:rPr>
        <w:t>making</w:t>
      </w:r>
    </w:p>
    <w:p>
      <w:pPr>
        <w:pStyle w:val="ListParagraph"/>
        <w:numPr>
          <w:ilvl w:val="0"/>
          <w:numId w:val="3"/>
        </w:numPr>
        <w:tabs>
          <w:tab w:pos="1927" w:val="left" w:leader="none"/>
          <w:tab w:pos="1928" w:val="left" w:leader="none"/>
        </w:tabs>
        <w:spacing w:line="240" w:lineRule="exact" w:before="0" w:after="0"/>
        <w:ind w:left="1927" w:right="0" w:hanging="681"/>
        <w:jc w:val="left"/>
        <w:rPr>
          <w:sz w:val="20"/>
        </w:rPr>
      </w:pPr>
      <w:r>
        <w:rPr>
          <w:w w:val="120"/>
          <w:sz w:val="20"/>
        </w:rPr>
        <w:t>The balance between inspiration and other business at General</w:t>
      </w:r>
      <w:r>
        <w:rPr>
          <w:spacing w:val="20"/>
          <w:w w:val="120"/>
          <w:sz w:val="20"/>
        </w:rPr>
        <w:t> </w:t>
      </w:r>
      <w:r>
        <w:rPr>
          <w:w w:val="120"/>
          <w:sz w:val="20"/>
        </w:rPr>
        <w:t>Assembly</w:t>
      </w:r>
    </w:p>
    <w:p>
      <w:pPr>
        <w:pStyle w:val="ListParagraph"/>
        <w:numPr>
          <w:ilvl w:val="0"/>
          <w:numId w:val="3"/>
        </w:numPr>
        <w:tabs>
          <w:tab w:pos="1927" w:val="left" w:leader="none"/>
          <w:tab w:pos="1928" w:val="left" w:leader="none"/>
        </w:tabs>
        <w:spacing w:line="240" w:lineRule="exact" w:before="0" w:after="0"/>
        <w:ind w:left="1927" w:right="0" w:hanging="681"/>
        <w:jc w:val="left"/>
        <w:rPr>
          <w:sz w:val="20"/>
        </w:rPr>
      </w:pPr>
      <w:r>
        <w:rPr>
          <w:w w:val="120"/>
          <w:sz w:val="20"/>
        </w:rPr>
        <w:t>The frequency and size of Assemblies and Mission Council</w:t>
      </w:r>
      <w:r>
        <w:rPr>
          <w:spacing w:val="24"/>
          <w:w w:val="120"/>
          <w:sz w:val="20"/>
        </w:rPr>
        <w:t> </w:t>
      </w:r>
      <w:r>
        <w:rPr>
          <w:w w:val="120"/>
          <w:sz w:val="20"/>
        </w:rPr>
        <w:t>meetings</w:t>
      </w:r>
    </w:p>
    <w:p>
      <w:pPr>
        <w:pStyle w:val="ListParagraph"/>
        <w:numPr>
          <w:ilvl w:val="0"/>
          <w:numId w:val="3"/>
        </w:numPr>
        <w:tabs>
          <w:tab w:pos="1927" w:val="left" w:leader="none"/>
          <w:tab w:pos="1928" w:val="left" w:leader="none"/>
        </w:tabs>
        <w:spacing w:line="235" w:lineRule="auto" w:before="2" w:after="0"/>
        <w:ind w:left="1927" w:right="2019" w:hanging="681"/>
        <w:jc w:val="left"/>
        <w:rPr>
          <w:sz w:val="20"/>
        </w:rPr>
      </w:pPr>
      <w:r>
        <w:rPr>
          <w:w w:val="120"/>
          <w:sz w:val="20"/>
        </w:rPr>
        <w:t>The pattern of Assembly committees and synods in contributing and responding to General</w:t>
      </w:r>
      <w:r>
        <w:rPr>
          <w:spacing w:val="4"/>
          <w:w w:val="120"/>
          <w:sz w:val="20"/>
        </w:rPr>
        <w:t> </w:t>
      </w:r>
      <w:r>
        <w:rPr>
          <w:w w:val="120"/>
          <w:sz w:val="20"/>
        </w:rPr>
        <w:t>Assembly</w:t>
      </w:r>
    </w:p>
    <w:p>
      <w:pPr>
        <w:spacing w:after="0" w:line="235" w:lineRule="auto"/>
        <w:jc w:val="left"/>
        <w:rPr>
          <w:sz w:val="20"/>
        </w:rPr>
        <w:sectPr>
          <w:headerReference w:type="even" r:id="rId36"/>
          <w:footerReference w:type="even" r:id="rId37"/>
          <w:footerReference w:type="default" r:id="rId38"/>
          <w:pgSz w:w="11910" w:h="16840"/>
          <w:pgMar w:header="0" w:footer="647" w:top="0" w:bottom="840" w:left="0" w:right="0"/>
          <w:pgNumType w:start="8"/>
        </w:sectPr>
      </w:pPr>
    </w:p>
    <w:p>
      <w:pPr>
        <w:pStyle w:val="BodyText"/>
      </w:pPr>
      <w:r>
        <w:rPr/>
        <w:drawing>
          <wp:anchor distT="0" distB="0" distL="0" distR="0" allowOverlap="1" layoutInCell="1" locked="0" behindDoc="0" simplePos="0" relativeHeight="251676672">
            <wp:simplePos x="0" y="0"/>
            <wp:positionH relativeFrom="page">
              <wp:posOffset>6974928</wp:posOffset>
            </wp:positionH>
            <wp:positionV relativeFrom="page">
              <wp:posOffset>0</wp:posOffset>
            </wp:positionV>
            <wp:extent cx="585076" cy="10692003"/>
            <wp:effectExtent l="0" t="0" r="0" b="0"/>
            <wp:wrapNone/>
            <wp:docPr id="11" name="image23.png"/>
            <wp:cNvGraphicFramePr>
              <a:graphicFrameLocks noChangeAspect="1"/>
            </wp:cNvGraphicFramePr>
            <a:graphic>
              <a:graphicData uri="http://schemas.openxmlformats.org/drawingml/2006/picture">
                <pic:pic>
                  <pic:nvPicPr>
                    <pic:cNvPr id="12" name="image23.png"/>
                    <pic:cNvPicPr/>
                  </pic:nvPicPr>
                  <pic:blipFill>
                    <a:blip r:embed="rId35" cstate="print"/>
                    <a:stretch>
                      <a:fillRect/>
                    </a:stretch>
                  </pic:blipFill>
                  <pic:spPr>
                    <a:xfrm>
                      <a:off x="0" y="0"/>
                      <a:ext cx="585076" cy="10692003"/>
                    </a:xfrm>
                    <a:prstGeom prst="rect">
                      <a:avLst/>
                    </a:prstGeom>
                  </pic:spPr>
                </pic:pic>
              </a:graphicData>
            </a:graphic>
          </wp:anchor>
        </w:drawing>
      </w:r>
    </w:p>
    <w:p>
      <w:pPr>
        <w:pStyle w:val="BodyText"/>
        <w:spacing w:before="7"/>
        <w:rPr>
          <w:sz w:val="21"/>
        </w:rPr>
      </w:pPr>
    </w:p>
    <w:p>
      <w:pPr>
        <w:pStyle w:val="Heading5"/>
        <w:ind w:left="0" w:right="1245"/>
        <w:jc w:val="right"/>
      </w:pPr>
      <w:r>
        <w:rPr/>
        <w:pict>
          <v:shape style="position:absolute;margin-left:554.141174pt;margin-top:22.593945pt;width:25.9pt;height:163.2pt;mso-position-horizontal-relative:page;mso-position-vertical-relative:paragraph;z-index:251677696" type="#_x0000_t202" filled="false" stroked="false">
            <v:textbox inset="0,0,0,0" style="layout-flow:vertical">
              <w:txbxContent>
                <w:p>
                  <w:pPr>
                    <w:spacing w:before="27"/>
                    <w:ind w:left="20" w:right="0" w:firstLine="0"/>
                    <w:jc w:val="left"/>
                    <w:rPr>
                      <w:sz w:val="39"/>
                    </w:rPr>
                  </w:pPr>
                  <w:r>
                    <w:rPr>
                      <w:color w:val="FFFFFF"/>
                      <w:w w:val="125"/>
                      <w:sz w:val="39"/>
                    </w:rPr>
                    <w:t>Mission Council</w:t>
                  </w:r>
                </w:p>
              </w:txbxContent>
            </v:textbox>
            <w10:wrap type="none"/>
          </v:shape>
        </w:pict>
      </w:r>
      <w:r>
        <w:rPr>
          <w:color w:val="7EAABF"/>
          <w:w w:val="120"/>
        </w:rPr>
        <w:t>Mission Council</w:t>
      </w:r>
    </w:p>
    <w:p>
      <w:pPr>
        <w:pStyle w:val="ListParagraph"/>
        <w:numPr>
          <w:ilvl w:val="0"/>
          <w:numId w:val="3"/>
        </w:numPr>
        <w:tabs>
          <w:tab w:pos="2664" w:val="left" w:leader="none"/>
          <w:tab w:pos="2665" w:val="left" w:leader="none"/>
        </w:tabs>
        <w:spacing w:line="242" w:lineRule="exact" w:before="218" w:after="0"/>
        <w:ind w:left="2664" w:right="0" w:hanging="681"/>
        <w:jc w:val="left"/>
        <w:rPr>
          <w:sz w:val="20"/>
        </w:rPr>
      </w:pPr>
      <w:r>
        <w:rPr>
          <w:w w:val="120"/>
          <w:sz w:val="20"/>
        </w:rPr>
        <w:t>Length of service of General Assembly</w:t>
      </w:r>
      <w:r>
        <w:rPr>
          <w:spacing w:val="13"/>
          <w:w w:val="120"/>
          <w:sz w:val="20"/>
        </w:rPr>
        <w:t> </w:t>
      </w:r>
      <w:r>
        <w:rPr>
          <w:w w:val="120"/>
          <w:sz w:val="20"/>
        </w:rPr>
        <w:t>moderators</w:t>
      </w:r>
    </w:p>
    <w:p>
      <w:pPr>
        <w:pStyle w:val="ListParagraph"/>
        <w:numPr>
          <w:ilvl w:val="0"/>
          <w:numId w:val="3"/>
        </w:numPr>
        <w:tabs>
          <w:tab w:pos="2664" w:val="left" w:leader="none"/>
          <w:tab w:pos="2665" w:val="left" w:leader="none"/>
        </w:tabs>
        <w:spacing w:line="238" w:lineRule="exact" w:before="0" w:after="0"/>
        <w:ind w:left="2664" w:right="0" w:hanging="681"/>
        <w:jc w:val="left"/>
        <w:rPr>
          <w:sz w:val="20"/>
        </w:rPr>
      </w:pPr>
      <w:r>
        <w:rPr>
          <w:w w:val="120"/>
          <w:sz w:val="20"/>
        </w:rPr>
        <w:t>The experiences of the </w:t>
      </w:r>
      <w:r>
        <w:rPr>
          <w:spacing w:val="-5"/>
          <w:w w:val="120"/>
          <w:sz w:val="20"/>
        </w:rPr>
        <w:t>2010, </w:t>
      </w:r>
      <w:r>
        <w:rPr>
          <w:spacing w:val="-7"/>
          <w:w w:val="120"/>
          <w:sz w:val="20"/>
        </w:rPr>
        <w:t>2012 </w:t>
      </w:r>
      <w:r>
        <w:rPr>
          <w:w w:val="120"/>
          <w:sz w:val="20"/>
        </w:rPr>
        <w:t>and </w:t>
      </w:r>
      <w:r>
        <w:rPr>
          <w:spacing w:val="-7"/>
          <w:w w:val="120"/>
          <w:sz w:val="20"/>
        </w:rPr>
        <w:t>2014</w:t>
      </w:r>
      <w:r>
        <w:rPr>
          <w:spacing w:val="35"/>
          <w:w w:val="120"/>
          <w:sz w:val="20"/>
        </w:rPr>
        <w:t> </w:t>
      </w:r>
      <w:r>
        <w:rPr>
          <w:w w:val="120"/>
          <w:sz w:val="20"/>
        </w:rPr>
        <w:t>Assemblies</w:t>
      </w:r>
    </w:p>
    <w:p>
      <w:pPr>
        <w:pStyle w:val="ListParagraph"/>
        <w:numPr>
          <w:ilvl w:val="0"/>
          <w:numId w:val="3"/>
        </w:numPr>
        <w:tabs>
          <w:tab w:pos="2664" w:val="left" w:leader="none"/>
          <w:tab w:pos="2665" w:val="left" w:leader="none"/>
        </w:tabs>
        <w:spacing w:line="240" w:lineRule="auto" w:before="0" w:after="0"/>
        <w:ind w:left="2664" w:right="0" w:hanging="681"/>
        <w:jc w:val="left"/>
        <w:rPr>
          <w:sz w:val="20"/>
        </w:rPr>
      </w:pPr>
      <w:r>
        <w:rPr>
          <w:w w:val="120"/>
          <w:sz w:val="20"/>
        </w:rPr>
        <w:t>Ensuring that this work is coordinated with other relevant</w:t>
      </w:r>
      <w:r>
        <w:rPr>
          <w:spacing w:val="14"/>
          <w:w w:val="120"/>
          <w:sz w:val="20"/>
        </w:rPr>
        <w:t> </w:t>
      </w:r>
      <w:r>
        <w:rPr>
          <w:w w:val="120"/>
          <w:sz w:val="20"/>
        </w:rPr>
        <w:t>reviews.</w:t>
      </w:r>
    </w:p>
    <w:p>
      <w:pPr>
        <w:pStyle w:val="BodyText"/>
        <w:spacing w:before="7"/>
        <w:rPr>
          <w:sz w:val="19"/>
        </w:rPr>
      </w:pPr>
    </w:p>
    <w:p>
      <w:pPr>
        <w:pStyle w:val="BodyText"/>
        <w:spacing w:line="235" w:lineRule="auto"/>
        <w:ind w:left="1984" w:right="1820"/>
      </w:pPr>
      <w:r>
        <w:rPr>
          <w:w w:val="120"/>
        </w:rPr>
        <w:t>The outcomes of this consultation, with costed options, are to be reported to the May 2015 Mission Council with a view to decisions at the 2016 General Assembly.</w:t>
      </w:r>
    </w:p>
    <w:p>
      <w:pPr>
        <w:pStyle w:val="BodyText"/>
        <w:spacing w:before="10"/>
        <w:rPr>
          <w:sz w:val="19"/>
        </w:rPr>
      </w:pPr>
    </w:p>
    <w:p>
      <w:pPr>
        <w:pStyle w:val="ListParagraph"/>
        <w:numPr>
          <w:ilvl w:val="1"/>
          <w:numId w:val="1"/>
        </w:numPr>
        <w:tabs>
          <w:tab w:pos="2664" w:val="left" w:leader="none"/>
          <w:tab w:pos="2665" w:val="left" w:leader="none"/>
        </w:tabs>
        <w:spacing w:line="235" w:lineRule="auto" w:before="0" w:after="0"/>
        <w:ind w:left="1984" w:right="1461" w:firstLine="0"/>
        <w:jc w:val="left"/>
        <w:rPr>
          <w:sz w:val="20"/>
        </w:rPr>
      </w:pPr>
      <w:r>
        <w:rPr>
          <w:w w:val="120"/>
          <w:sz w:val="20"/>
        </w:rPr>
        <w:t>In </w:t>
      </w:r>
      <w:r>
        <w:rPr>
          <w:spacing w:val="-8"/>
          <w:w w:val="120"/>
          <w:sz w:val="20"/>
        </w:rPr>
        <w:t>2013 </w:t>
      </w:r>
      <w:r>
        <w:rPr>
          <w:w w:val="120"/>
          <w:sz w:val="20"/>
        </w:rPr>
        <w:t>Mission </w:t>
      </w:r>
      <w:r>
        <w:rPr>
          <w:spacing w:val="-3"/>
          <w:w w:val="120"/>
          <w:sz w:val="20"/>
        </w:rPr>
        <w:t>Council’s </w:t>
      </w:r>
      <w:r>
        <w:rPr>
          <w:w w:val="120"/>
          <w:sz w:val="20"/>
        </w:rPr>
        <w:t>law and polity advisory group took </w:t>
      </w:r>
      <w:r>
        <w:rPr>
          <w:spacing w:val="-3"/>
          <w:w w:val="120"/>
          <w:sz w:val="20"/>
        </w:rPr>
        <w:t>counsel’s </w:t>
      </w:r>
      <w:r>
        <w:rPr>
          <w:w w:val="120"/>
          <w:sz w:val="20"/>
        </w:rPr>
        <w:t>opinion on a question of trusteeship and subsequently offered briefing sessions in Manchester and London which were attended by synod trust officers, legal advisers, </w:t>
      </w:r>
      <w:r>
        <w:rPr>
          <w:spacing w:val="2"/>
          <w:w w:val="120"/>
          <w:sz w:val="20"/>
        </w:rPr>
        <w:t>property </w:t>
      </w:r>
      <w:r>
        <w:rPr>
          <w:w w:val="120"/>
          <w:sz w:val="20"/>
        </w:rPr>
        <w:t>secretaries, moderators and clerks. A code of good practice for synod trusts would be prepared and</w:t>
      </w:r>
      <w:r>
        <w:rPr>
          <w:spacing w:val="4"/>
          <w:w w:val="120"/>
          <w:sz w:val="20"/>
        </w:rPr>
        <w:t> </w:t>
      </w:r>
      <w:r>
        <w:rPr>
          <w:w w:val="120"/>
          <w:sz w:val="20"/>
        </w:rPr>
        <w:t>disseminated.</w:t>
      </w:r>
    </w:p>
    <w:p>
      <w:pPr>
        <w:pStyle w:val="BodyText"/>
        <w:spacing w:before="11"/>
        <w:rPr>
          <w:sz w:val="19"/>
        </w:rPr>
      </w:pPr>
    </w:p>
    <w:p>
      <w:pPr>
        <w:pStyle w:val="ListParagraph"/>
        <w:numPr>
          <w:ilvl w:val="1"/>
          <w:numId w:val="1"/>
        </w:numPr>
        <w:tabs>
          <w:tab w:pos="2664" w:val="left" w:leader="none"/>
          <w:tab w:pos="2665" w:val="left" w:leader="none"/>
        </w:tabs>
        <w:spacing w:line="235" w:lineRule="auto" w:before="1" w:after="0"/>
        <w:ind w:left="1984" w:right="1245" w:firstLine="0"/>
        <w:jc w:val="left"/>
        <w:rPr>
          <w:sz w:val="20"/>
        </w:rPr>
      </w:pPr>
      <w:r>
        <w:rPr>
          <w:w w:val="120"/>
          <w:sz w:val="20"/>
        </w:rPr>
        <w:t>An investigation group established in </w:t>
      </w:r>
      <w:r>
        <w:rPr>
          <w:spacing w:val="-6"/>
          <w:w w:val="120"/>
          <w:sz w:val="20"/>
        </w:rPr>
        <w:t>2010 </w:t>
      </w:r>
      <w:r>
        <w:rPr>
          <w:w w:val="120"/>
          <w:sz w:val="20"/>
        </w:rPr>
        <w:t>in response to the resignation of two members of staff at Church House completed its work, presenting recommendations for the strengthening of oversight practices at Church</w:t>
      </w:r>
      <w:r>
        <w:rPr>
          <w:spacing w:val="22"/>
          <w:w w:val="120"/>
          <w:sz w:val="20"/>
        </w:rPr>
        <w:t> </w:t>
      </w:r>
      <w:r>
        <w:rPr>
          <w:w w:val="120"/>
          <w:sz w:val="20"/>
        </w:rPr>
        <w:t>House.</w:t>
      </w:r>
    </w:p>
    <w:p>
      <w:pPr>
        <w:pStyle w:val="BodyText"/>
        <w:spacing w:before="10"/>
        <w:rPr>
          <w:sz w:val="19"/>
        </w:rPr>
      </w:pPr>
    </w:p>
    <w:p>
      <w:pPr>
        <w:pStyle w:val="ListParagraph"/>
        <w:numPr>
          <w:ilvl w:val="1"/>
          <w:numId w:val="1"/>
        </w:numPr>
        <w:tabs>
          <w:tab w:pos="2664" w:val="left" w:leader="none"/>
          <w:tab w:pos="2665" w:val="left" w:leader="none"/>
        </w:tabs>
        <w:spacing w:line="235" w:lineRule="auto" w:before="0" w:after="0"/>
        <w:ind w:left="1984" w:right="1319" w:firstLine="0"/>
        <w:jc w:val="left"/>
        <w:rPr>
          <w:sz w:val="20"/>
        </w:rPr>
      </w:pPr>
      <w:r>
        <w:rPr>
          <w:w w:val="120"/>
          <w:sz w:val="20"/>
        </w:rPr>
        <w:t>The theme of radical welcome was commended to the synods and churches for their continuing exploration. However, it was decided that the Zero Intolerance project should be terminated, that the advertising materials produced for the project should not be released to synods or local churches, and that no external body should be allowed to use</w:t>
      </w:r>
      <w:r>
        <w:rPr>
          <w:spacing w:val="5"/>
          <w:w w:val="120"/>
          <w:sz w:val="20"/>
        </w:rPr>
        <w:t> </w:t>
      </w:r>
      <w:r>
        <w:rPr>
          <w:w w:val="120"/>
          <w:sz w:val="20"/>
        </w:rPr>
        <w:t>them.</w:t>
      </w:r>
    </w:p>
    <w:p>
      <w:pPr>
        <w:pStyle w:val="BodyText"/>
        <w:spacing w:before="12"/>
        <w:rPr>
          <w:sz w:val="19"/>
        </w:rPr>
      </w:pPr>
    </w:p>
    <w:p>
      <w:pPr>
        <w:pStyle w:val="ListParagraph"/>
        <w:numPr>
          <w:ilvl w:val="1"/>
          <w:numId w:val="1"/>
        </w:numPr>
        <w:tabs>
          <w:tab w:pos="2664" w:val="left" w:leader="none"/>
          <w:tab w:pos="2665" w:val="left" w:leader="none"/>
        </w:tabs>
        <w:spacing w:line="235" w:lineRule="auto" w:before="0" w:after="0"/>
        <w:ind w:left="1984" w:right="1268" w:firstLine="0"/>
        <w:jc w:val="left"/>
        <w:rPr>
          <w:sz w:val="20"/>
        </w:rPr>
      </w:pPr>
      <w:r>
        <w:rPr>
          <w:spacing w:val="-3"/>
          <w:w w:val="120"/>
          <w:sz w:val="20"/>
        </w:rPr>
        <w:t>Terms </w:t>
      </w:r>
      <w:r>
        <w:rPr>
          <w:w w:val="120"/>
          <w:sz w:val="20"/>
        </w:rPr>
        <w:t>of reference were agreed for a new human sexuality task group, chaired  by the Revd Elizabeth Caswell. They were given responsibility for guiding the United Reformed Church in its consideration of the government’s proposals for same-sex marriage. The group has reported to each subsequent meeting and Mission Council has given advice on the strategy to be followed in enabling discussion across the Church   and at General Assembly</w:t>
      </w:r>
      <w:r>
        <w:rPr>
          <w:spacing w:val="9"/>
          <w:w w:val="120"/>
          <w:sz w:val="20"/>
        </w:rPr>
        <w:t> </w:t>
      </w:r>
      <w:r>
        <w:rPr>
          <w:spacing w:val="-6"/>
          <w:w w:val="120"/>
          <w:sz w:val="20"/>
        </w:rPr>
        <w:t>2014.</w:t>
      </w:r>
    </w:p>
    <w:p>
      <w:pPr>
        <w:pStyle w:val="BodyText"/>
        <w:spacing w:before="9"/>
        <w:rPr>
          <w:sz w:val="17"/>
        </w:rPr>
      </w:pPr>
    </w:p>
    <w:p>
      <w:pPr>
        <w:pStyle w:val="Heading4"/>
        <w:numPr>
          <w:ilvl w:val="0"/>
          <w:numId w:val="1"/>
        </w:numPr>
        <w:tabs>
          <w:tab w:pos="2664" w:val="left" w:leader="none"/>
          <w:tab w:pos="2665" w:val="left" w:leader="none"/>
        </w:tabs>
        <w:spacing w:line="240" w:lineRule="auto" w:before="0" w:after="0"/>
        <w:ind w:left="2664" w:right="0" w:hanging="681"/>
        <w:jc w:val="left"/>
      </w:pPr>
      <w:r>
        <w:rPr>
          <w:spacing w:val="4"/>
          <w:w w:val="110"/>
        </w:rPr>
        <w:t>Actions </w:t>
      </w:r>
      <w:r>
        <w:rPr>
          <w:spacing w:val="3"/>
          <w:w w:val="110"/>
        </w:rPr>
        <w:t>arising from committee</w:t>
      </w:r>
      <w:r>
        <w:rPr>
          <w:spacing w:val="43"/>
          <w:w w:val="110"/>
        </w:rPr>
        <w:t> </w:t>
      </w:r>
      <w:r>
        <w:rPr>
          <w:spacing w:val="2"/>
          <w:w w:val="110"/>
        </w:rPr>
        <w:t>work</w:t>
      </w:r>
    </w:p>
    <w:p>
      <w:pPr>
        <w:pStyle w:val="Heading9"/>
        <w:numPr>
          <w:ilvl w:val="1"/>
          <w:numId w:val="1"/>
        </w:numPr>
        <w:tabs>
          <w:tab w:pos="2664" w:val="left" w:leader="none"/>
          <w:tab w:pos="2665" w:val="left" w:leader="none"/>
        </w:tabs>
        <w:spacing w:line="261" w:lineRule="exact" w:before="53" w:after="0"/>
        <w:ind w:left="2664" w:right="0" w:hanging="681"/>
        <w:jc w:val="left"/>
      </w:pPr>
      <w:r>
        <w:rPr>
          <w:w w:val="110"/>
        </w:rPr>
        <w:t>Children’s and youth</w:t>
      </w:r>
      <w:r>
        <w:rPr>
          <w:spacing w:val="-2"/>
          <w:w w:val="110"/>
        </w:rPr>
        <w:t> </w:t>
      </w:r>
      <w:r>
        <w:rPr>
          <w:w w:val="110"/>
        </w:rPr>
        <w:t>work</w:t>
      </w:r>
    </w:p>
    <w:p>
      <w:pPr>
        <w:pStyle w:val="BodyText"/>
        <w:spacing w:line="235" w:lineRule="auto"/>
        <w:ind w:left="1984" w:right="1690"/>
      </w:pPr>
      <w:r>
        <w:rPr>
          <w:w w:val="120"/>
        </w:rPr>
        <w:t>Discussion on the employment status of the </w:t>
      </w:r>
      <w:r>
        <w:rPr>
          <w:spacing w:val="-3"/>
          <w:w w:val="120"/>
        </w:rPr>
        <w:t>children’s </w:t>
      </w:r>
      <w:r>
        <w:rPr>
          <w:w w:val="120"/>
        </w:rPr>
        <w:t>and youth development officers </w:t>
      </w:r>
      <w:r>
        <w:rPr>
          <w:spacing w:val="-3"/>
          <w:w w:val="120"/>
        </w:rPr>
        <w:t>(CYDOs) </w:t>
      </w:r>
      <w:r>
        <w:rPr>
          <w:w w:val="120"/>
        </w:rPr>
        <w:t>led to a decision that they should be employed by the synods and that the Assembly programme of </w:t>
      </w:r>
      <w:r>
        <w:rPr>
          <w:spacing w:val="-3"/>
          <w:w w:val="120"/>
        </w:rPr>
        <w:t>children’s </w:t>
      </w:r>
      <w:r>
        <w:rPr>
          <w:w w:val="120"/>
        </w:rPr>
        <w:t>and youth development should continue through their participation in a network supported by the committee and the staff   at Church</w:t>
      </w:r>
      <w:r>
        <w:rPr>
          <w:spacing w:val="4"/>
          <w:w w:val="120"/>
        </w:rPr>
        <w:t> </w:t>
      </w:r>
      <w:r>
        <w:rPr>
          <w:w w:val="120"/>
        </w:rPr>
        <w:t>House.</w:t>
      </w:r>
    </w:p>
    <w:p>
      <w:pPr>
        <w:pStyle w:val="BodyText"/>
        <w:spacing w:before="2"/>
        <w:rPr>
          <w:sz w:val="18"/>
        </w:rPr>
      </w:pPr>
    </w:p>
    <w:p>
      <w:pPr>
        <w:pStyle w:val="Heading9"/>
        <w:numPr>
          <w:ilvl w:val="1"/>
          <w:numId w:val="1"/>
        </w:numPr>
        <w:tabs>
          <w:tab w:pos="2664" w:val="left" w:leader="none"/>
          <w:tab w:pos="2665" w:val="left" w:leader="none"/>
        </w:tabs>
        <w:spacing w:line="261" w:lineRule="exact" w:before="0" w:after="0"/>
        <w:ind w:left="2664" w:right="0" w:hanging="681"/>
        <w:jc w:val="left"/>
      </w:pPr>
      <w:r>
        <w:rPr>
          <w:w w:val="110"/>
        </w:rPr>
        <w:t>Education and</w:t>
      </w:r>
      <w:r>
        <w:rPr>
          <w:spacing w:val="6"/>
          <w:w w:val="110"/>
        </w:rPr>
        <w:t> </w:t>
      </w:r>
      <w:r>
        <w:rPr>
          <w:w w:val="110"/>
        </w:rPr>
        <w:t>learning</w:t>
      </w:r>
    </w:p>
    <w:p>
      <w:pPr>
        <w:pStyle w:val="BodyText"/>
        <w:spacing w:line="235" w:lineRule="auto"/>
        <w:ind w:left="1984" w:right="1614"/>
        <w:jc w:val="both"/>
      </w:pPr>
      <w:r>
        <w:rPr>
          <w:w w:val="120"/>
        </w:rPr>
        <w:t>The education and learning committee brought discussion topics to Mission Council including student fees, mandatory ‘safer sacred space’ training, and progress on the major review entitled </w:t>
      </w:r>
      <w:r>
        <w:rPr>
          <w:i/>
          <w:w w:val="120"/>
        </w:rPr>
        <w:t>The Learning Church: The Next</w:t>
      </w:r>
      <w:r>
        <w:rPr>
          <w:i/>
          <w:spacing w:val="-26"/>
          <w:w w:val="120"/>
        </w:rPr>
        <w:t> </w:t>
      </w:r>
      <w:r>
        <w:rPr>
          <w:i/>
          <w:spacing w:val="-3"/>
          <w:w w:val="120"/>
        </w:rPr>
        <w:t>Chapter</w:t>
      </w:r>
      <w:r>
        <w:rPr>
          <w:spacing w:val="-3"/>
          <w:w w:val="120"/>
        </w:rPr>
        <w:t>.</w:t>
      </w:r>
    </w:p>
    <w:p>
      <w:pPr>
        <w:pStyle w:val="BodyText"/>
        <w:spacing w:before="1"/>
        <w:rPr>
          <w:sz w:val="18"/>
        </w:rPr>
      </w:pPr>
    </w:p>
    <w:p>
      <w:pPr>
        <w:pStyle w:val="Heading9"/>
        <w:numPr>
          <w:ilvl w:val="1"/>
          <w:numId w:val="1"/>
        </w:numPr>
        <w:tabs>
          <w:tab w:pos="2664" w:val="left" w:leader="none"/>
          <w:tab w:pos="2665" w:val="left" w:leader="none"/>
        </w:tabs>
        <w:spacing w:line="261" w:lineRule="exact" w:before="0" w:after="0"/>
        <w:ind w:left="2664" w:right="0" w:hanging="681"/>
        <w:jc w:val="left"/>
      </w:pPr>
      <w:r>
        <w:rPr>
          <w:w w:val="110"/>
        </w:rPr>
        <w:t>Equalities</w:t>
      </w:r>
    </w:p>
    <w:p>
      <w:pPr>
        <w:pStyle w:val="ListParagraph"/>
        <w:numPr>
          <w:ilvl w:val="2"/>
          <w:numId w:val="1"/>
        </w:numPr>
        <w:tabs>
          <w:tab w:pos="2664" w:val="left" w:leader="none"/>
          <w:tab w:pos="2665" w:val="left" w:leader="none"/>
        </w:tabs>
        <w:spacing w:line="235" w:lineRule="auto" w:before="0" w:after="0"/>
        <w:ind w:left="1984" w:right="1298" w:firstLine="0"/>
        <w:jc w:val="left"/>
        <w:rPr>
          <w:sz w:val="20"/>
        </w:rPr>
      </w:pPr>
      <w:r>
        <w:rPr>
          <w:w w:val="120"/>
          <w:sz w:val="20"/>
        </w:rPr>
        <w:t>The committee called Mission Council’s attention to the lack of women, young people and minority groups on various URC committees and groups, in particular the URC trust and pension fund trust. Mission Council pledged itself to ensuring that this situation would be rectified as new trustees were appointed. The synods were urged to take similar</w:t>
      </w:r>
      <w:r>
        <w:rPr>
          <w:spacing w:val="3"/>
          <w:w w:val="120"/>
          <w:sz w:val="20"/>
        </w:rPr>
        <w:t> </w:t>
      </w:r>
      <w:r>
        <w:rPr>
          <w:w w:val="120"/>
          <w:sz w:val="20"/>
        </w:rPr>
        <w:t>action.</w:t>
      </w:r>
    </w:p>
    <w:p>
      <w:pPr>
        <w:pStyle w:val="BodyText"/>
        <w:spacing w:before="7"/>
        <w:rPr>
          <w:sz w:val="19"/>
        </w:rPr>
      </w:pPr>
    </w:p>
    <w:p>
      <w:pPr>
        <w:pStyle w:val="ListParagraph"/>
        <w:numPr>
          <w:ilvl w:val="2"/>
          <w:numId w:val="1"/>
        </w:numPr>
        <w:tabs>
          <w:tab w:pos="2665" w:val="left" w:leader="none"/>
        </w:tabs>
        <w:spacing w:line="235" w:lineRule="auto" w:before="0" w:after="0"/>
        <w:ind w:left="1984" w:right="1385" w:firstLine="0"/>
        <w:jc w:val="left"/>
        <w:rPr>
          <w:sz w:val="20"/>
        </w:rPr>
      </w:pPr>
      <w:r>
        <w:rPr>
          <w:w w:val="120"/>
          <w:sz w:val="20"/>
        </w:rPr>
        <w:t>The committee also initiated a discussion on ‘inclusive and expansive language’, encouraging members to consider images which speak positively to all people within the diverse community of the</w:t>
      </w:r>
      <w:r>
        <w:rPr>
          <w:spacing w:val="11"/>
          <w:w w:val="120"/>
          <w:sz w:val="20"/>
        </w:rPr>
        <w:t> </w:t>
      </w:r>
      <w:r>
        <w:rPr>
          <w:w w:val="120"/>
          <w:sz w:val="20"/>
        </w:rPr>
        <w:t>Church.</w:t>
      </w:r>
    </w:p>
    <w:p>
      <w:pPr>
        <w:pStyle w:val="BodyText"/>
        <w:spacing w:before="6"/>
        <w:rPr>
          <w:sz w:val="19"/>
        </w:rPr>
      </w:pPr>
    </w:p>
    <w:p>
      <w:pPr>
        <w:pStyle w:val="ListParagraph"/>
        <w:numPr>
          <w:ilvl w:val="2"/>
          <w:numId w:val="1"/>
        </w:numPr>
        <w:tabs>
          <w:tab w:pos="2665" w:val="left" w:leader="none"/>
        </w:tabs>
        <w:spacing w:line="242" w:lineRule="exact" w:before="0" w:after="0"/>
        <w:ind w:left="2664" w:right="0" w:hanging="681"/>
        <w:jc w:val="left"/>
        <w:rPr>
          <w:i/>
          <w:sz w:val="20"/>
        </w:rPr>
      </w:pPr>
      <w:r>
        <w:rPr>
          <w:w w:val="110"/>
          <w:sz w:val="20"/>
        </w:rPr>
        <w:t>A</w:t>
      </w:r>
      <w:r>
        <w:rPr>
          <w:spacing w:val="11"/>
          <w:w w:val="110"/>
          <w:sz w:val="20"/>
        </w:rPr>
        <w:t> </w:t>
      </w:r>
      <w:r>
        <w:rPr>
          <w:w w:val="110"/>
          <w:sz w:val="20"/>
        </w:rPr>
        <w:t>paper</w:t>
      </w:r>
      <w:r>
        <w:rPr>
          <w:spacing w:val="12"/>
          <w:w w:val="110"/>
          <w:sz w:val="20"/>
        </w:rPr>
        <w:t> </w:t>
      </w:r>
      <w:r>
        <w:rPr>
          <w:w w:val="110"/>
          <w:sz w:val="20"/>
        </w:rPr>
        <w:t>entitled</w:t>
      </w:r>
      <w:r>
        <w:rPr>
          <w:spacing w:val="12"/>
          <w:w w:val="110"/>
          <w:sz w:val="20"/>
        </w:rPr>
        <w:t> </w:t>
      </w:r>
      <w:r>
        <w:rPr>
          <w:i/>
          <w:w w:val="110"/>
          <w:sz w:val="20"/>
        </w:rPr>
        <w:t>United</w:t>
      </w:r>
      <w:r>
        <w:rPr>
          <w:i/>
          <w:spacing w:val="8"/>
          <w:w w:val="110"/>
          <w:sz w:val="20"/>
        </w:rPr>
        <w:t> </w:t>
      </w:r>
      <w:r>
        <w:rPr>
          <w:i/>
          <w:w w:val="110"/>
          <w:sz w:val="20"/>
        </w:rPr>
        <w:t>Reformed</w:t>
      </w:r>
      <w:r>
        <w:rPr>
          <w:i/>
          <w:spacing w:val="9"/>
          <w:w w:val="110"/>
          <w:sz w:val="20"/>
        </w:rPr>
        <w:t> </w:t>
      </w:r>
      <w:r>
        <w:rPr>
          <w:i/>
          <w:w w:val="110"/>
          <w:sz w:val="20"/>
        </w:rPr>
        <w:t>Church</w:t>
      </w:r>
      <w:r>
        <w:rPr>
          <w:i/>
          <w:spacing w:val="8"/>
          <w:w w:val="110"/>
          <w:sz w:val="20"/>
        </w:rPr>
        <w:t> </w:t>
      </w:r>
      <w:r>
        <w:rPr>
          <w:i/>
          <w:w w:val="110"/>
          <w:sz w:val="20"/>
        </w:rPr>
        <w:t>policy</w:t>
      </w:r>
      <w:r>
        <w:rPr>
          <w:i/>
          <w:spacing w:val="9"/>
          <w:w w:val="110"/>
          <w:sz w:val="20"/>
        </w:rPr>
        <w:t> </w:t>
      </w:r>
      <w:r>
        <w:rPr>
          <w:i/>
          <w:w w:val="110"/>
          <w:sz w:val="20"/>
        </w:rPr>
        <w:t>in</w:t>
      </w:r>
      <w:r>
        <w:rPr>
          <w:i/>
          <w:spacing w:val="8"/>
          <w:w w:val="110"/>
          <w:sz w:val="20"/>
        </w:rPr>
        <w:t> </w:t>
      </w:r>
      <w:r>
        <w:rPr>
          <w:i/>
          <w:w w:val="110"/>
          <w:sz w:val="20"/>
        </w:rPr>
        <w:t>relation</w:t>
      </w:r>
      <w:r>
        <w:rPr>
          <w:i/>
          <w:spacing w:val="8"/>
          <w:w w:val="110"/>
          <w:sz w:val="20"/>
        </w:rPr>
        <w:t> </w:t>
      </w:r>
      <w:r>
        <w:rPr>
          <w:i/>
          <w:w w:val="110"/>
          <w:sz w:val="20"/>
        </w:rPr>
        <w:t>to</w:t>
      </w:r>
      <w:r>
        <w:rPr>
          <w:i/>
          <w:spacing w:val="9"/>
          <w:w w:val="110"/>
          <w:sz w:val="20"/>
        </w:rPr>
        <w:t> </w:t>
      </w:r>
      <w:r>
        <w:rPr>
          <w:i/>
          <w:w w:val="110"/>
          <w:sz w:val="20"/>
        </w:rPr>
        <w:t>the</w:t>
      </w:r>
      <w:r>
        <w:rPr>
          <w:i/>
          <w:spacing w:val="8"/>
          <w:w w:val="110"/>
          <w:sz w:val="20"/>
        </w:rPr>
        <w:t> </w:t>
      </w:r>
      <w:r>
        <w:rPr>
          <w:i/>
          <w:w w:val="110"/>
          <w:sz w:val="20"/>
        </w:rPr>
        <w:t>Equality</w:t>
      </w:r>
      <w:r>
        <w:rPr>
          <w:i/>
          <w:spacing w:val="9"/>
          <w:w w:val="110"/>
          <w:sz w:val="20"/>
        </w:rPr>
        <w:t> </w:t>
      </w:r>
      <w:r>
        <w:rPr>
          <w:i/>
          <w:w w:val="110"/>
          <w:sz w:val="20"/>
        </w:rPr>
        <w:t>Act</w:t>
      </w:r>
      <w:r>
        <w:rPr>
          <w:i/>
          <w:spacing w:val="8"/>
          <w:w w:val="110"/>
          <w:sz w:val="20"/>
        </w:rPr>
        <w:t> </w:t>
      </w:r>
      <w:r>
        <w:rPr>
          <w:i/>
          <w:spacing w:val="-5"/>
          <w:w w:val="110"/>
          <w:sz w:val="20"/>
        </w:rPr>
        <w:t>2010</w:t>
      </w:r>
    </w:p>
    <w:p>
      <w:pPr>
        <w:pStyle w:val="BodyText"/>
        <w:spacing w:line="242" w:lineRule="exact"/>
        <w:ind w:left="1984"/>
        <w:jc w:val="both"/>
      </w:pPr>
      <w:r>
        <w:rPr>
          <w:w w:val="120"/>
        </w:rPr>
        <w:t>was accepted and commended for use throughout the Church.</w:t>
      </w:r>
    </w:p>
    <w:p>
      <w:pPr>
        <w:spacing w:after="0" w:line="242" w:lineRule="exact"/>
        <w:jc w:val="both"/>
        <w:sectPr>
          <w:headerReference w:type="default" r:id="rId39"/>
          <w:pgSz w:w="11910" w:h="16840"/>
          <w:pgMar w:header="0" w:footer="647" w:top="0" w:bottom="840" w:left="0" w:right="0"/>
        </w:sectPr>
      </w:pPr>
    </w:p>
    <w:p>
      <w:pPr>
        <w:pStyle w:val="BodyText"/>
      </w:pPr>
      <w:r>
        <w:rPr/>
        <w:drawing>
          <wp:anchor distT="0" distB="0" distL="0" distR="0" allowOverlap="1" layoutInCell="1" locked="0" behindDoc="0" simplePos="0" relativeHeight="251678720">
            <wp:simplePos x="0" y="0"/>
            <wp:positionH relativeFrom="page">
              <wp:posOffset>0</wp:posOffset>
            </wp:positionH>
            <wp:positionV relativeFrom="page">
              <wp:posOffset>0</wp:posOffset>
            </wp:positionV>
            <wp:extent cx="594067" cy="10692003"/>
            <wp:effectExtent l="0" t="0" r="0" b="0"/>
            <wp:wrapNone/>
            <wp:docPr id="13" name="image22.png"/>
            <wp:cNvGraphicFramePr>
              <a:graphicFrameLocks noChangeAspect="1"/>
            </wp:cNvGraphicFramePr>
            <a:graphic>
              <a:graphicData uri="http://schemas.openxmlformats.org/drawingml/2006/picture">
                <pic:pic>
                  <pic:nvPicPr>
                    <pic:cNvPr id="14" name="image22.png"/>
                    <pic:cNvPicPr/>
                  </pic:nvPicPr>
                  <pic:blipFill>
                    <a:blip r:embed="rId33"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spacing w:before="106"/>
        <w:ind w:left="1247" w:right="0" w:firstLine="0"/>
        <w:jc w:val="left"/>
        <w:rPr>
          <w:sz w:val="26"/>
        </w:rPr>
      </w:pPr>
      <w:r>
        <w:rPr/>
        <w:pict>
          <v:shape style="position:absolute;margin-left:20.519100pt;margin-top:22.593945pt;width:25.9pt;height:163.2pt;mso-position-horizontal-relative:page;mso-position-vertical-relative:paragraph;z-index:251679744" type="#_x0000_t202" filled="false" stroked="false">
            <v:textbox inset="0,0,0,0" style="layout-flow:vertical">
              <w:txbxContent>
                <w:p>
                  <w:pPr>
                    <w:spacing w:before="27"/>
                    <w:ind w:left="20" w:right="0" w:firstLine="0"/>
                    <w:jc w:val="left"/>
                    <w:rPr>
                      <w:sz w:val="39"/>
                    </w:rPr>
                  </w:pPr>
                  <w:r>
                    <w:rPr>
                      <w:color w:val="FFFFFF"/>
                      <w:w w:val="125"/>
                      <w:sz w:val="39"/>
                    </w:rPr>
                    <w:t>Mission Council</w:t>
                  </w:r>
                </w:p>
              </w:txbxContent>
            </v:textbox>
            <w10:wrap type="none"/>
          </v:shape>
        </w:pict>
      </w:r>
      <w:r>
        <w:rPr>
          <w:color w:val="7EAABF"/>
          <w:w w:val="120"/>
          <w:sz w:val="26"/>
        </w:rPr>
        <w:t>Mission Council</w:t>
      </w:r>
    </w:p>
    <w:p>
      <w:pPr>
        <w:pStyle w:val="Heading9"/>
        <w:numPr>
          <w:ilvl w:val="1"/>
          <w:numId w:val="1"/>
        </w:numPr>
        <w:tabs>
          <w:tab w:pos="1927" w:val="left" w:leader="none"/>
          <w:tab w:pos="1928" w:val="left" w:leader="none"/>
        </w:tabs>
        <w:spacing w:line="261" w:lineRule="exact" w:before="205" w:after="0"/>
        <w:ind w:left="1927" w:right="0" w:hanging="681"/>
        <w:jc w:val="left"/>
      </w:pPr>
      <w:r>
        <w:rPr>
          <w:w w:val="110"/>
        </w:rPr>
        <w:t>Finance</w:t>
      </w:r>
    </w:p>
    <w:p>
      <w:pPr>
        <w:pStyle w:val="ListParagraph"/>
        <w:numPr>
          <w:ilvl w:val="2"/>
          <w:numId w:val="1"/>
        </w:numPr>
        <w:tabs>
          <w:tab w:pos="1927" w:val="left" w:leader="none"/>
          <w:tab w:pos="1928" w:val="left" w:leader="none"/>
        </w:tabs>
        <w:spacing w:line="235" w:lineRule="auto" w:before="0" w:after="0"/>
        <w:ind w:left="1247" w:right="2285" w:firstLine="0"/>
        <w:jc w:val="left"/>
        <w:rPr>
          <w:sz w:val="20"/>
        </w:rPr>
      </w:pPr>
      <w:r>
        <w:rPr>
          <w:w w:val="120"/>
          <w:sz w:val="20"/>
        </w:rPr>
        <w:t>Gratitude was expressed to the synods for the contributions they had made   to the ministers’ pension fund in the period </w:t>
      </w:r>
      <w:r>
        <w:rPr>
          <w:spacing w:val="-6"/>
          <w:w w:val="120"/>
          <w:sz w:val="20"/>
        </w:rPr>
        <w:t>2010-12, </w:t>
      </w:r>
      <w:r>
        <w:rPr>
          <w:w w:val="120"/>
          <w:sz w:val="20"/>
        </w:rPr>
        <w:t>in which they had achieved a total of £2.5 million. A reduced contribution of £600,000 was requested for </w:t>
      </w:r>
      <w:r>
        <w:rPr>
          <w:spacing w:val="-8"/>
          <w:w w:val="120"/>
          <w:sz w:val="20"/>
        </w:rPr>
        <w:t>2013    </w:t>
      </w:r>
      <w:r>
        <w:rPr>
          <w:w w:val="120"/>
          <w:sz w:val="20"/>
        </w:rPr>
        <w:t>and £300,000 for </w:t>
      </w:r>
      <w:r>
        <w:rPr>
          <w:spacing w:val="-6"/>
          <w:w w:val="120"/>
          <w:sz w:val="20"/>
        </w:rPr>
        <w:t>2014. </w:t>
      </w:r>
      <w:r>
        <w:rPr>
          <w:w w:val="120"/>
          <w:sz w:val="20"/>
        </w:rPr>
        <w:t>This was in line with an earlier resolution mandating that this subsidy from the synods should be phased out by the end of the</w:t>
      </w:r>
      <w:r>
        <w:rPr>
          <w:spacing w:val="3"/>
          <w:w w:val="120"/>
          <w:sz w:val="20"/>
        </w:rPr>
        <w:t> </w:t>
      </w:r>
      <w:r>
        <w:rPr>
          <w:spacing w:val="-8"/>
          <w:w w:val="120"/>
          <w:sz w:val="20"/>
        </w:rPr>
        <w:t>2013-16 </w:t>
      </w:r>
      <w:r>
        <w:rPr>
          <w:w w:val="120"/>
          <w:sz w:val="20"/>
        </w:rPr>
        <w:t>triennium.</w:t>
      </w:r>
    </w:p>
    <w:p>
      <w:pPr>
        <w:pStyle w:val="BodyText"/>
        <w:spacing w:before="7"/>
        <w:rPr>
          <w:sz w:val="19"/>
        </w:rPr>
      </w:pPr>
    </w:p>
    <w:p>
      <w:pPr>
        <w:pStyle w:val="ListParagraph"/>
        <w:numPr>
          <w:ilvl w:val="2"/>
          <w:numId w:val="1"/>
        </w:numPr>
        <w:tabs>
          <w:tab w:pos="1928" w:val="left" w:leader="none"/>
        </w:tabs>
        <w:spacing w:line="235" w:lineRule="auto" w:before="0" w:after="0"/>
        <w:ind w:left="1247" w:right="2372" w:firstLine="0"/>
        <w:jc w:val="both"/>
        <w:rPr>
          <w:sz w:val="20"/>
        </w:rPr>
      </w:pPr>
      <w:r>
        <w:rPr>
          <w:w w:val="120"/>
          <w:sz w:val="20"/>
        </w:rPr>
        <w:t>The</w:t>
      </w:r>
      <w:r>
        <w:rPr>
          <w:spacing w:val="-15"/>
          <w:w w:val="120"/>
          <w:sz w:val="20"/>
        </w:rPr>
        <w:t> </w:t>
      </w:r>
      <w:r>
        <w:rPr>
          <w:spacing w:val="-3"/>
          <w:w w:val="120"/>
          <w:sz w:val="20"/>
        </w:rPr>
        <w:t>Church’s</w:t>
      </w:r>
      <w:r>
        <w:rPr>
          <w:spacing w:val="-15"/>
          <w:w w:val="120"/>
          <w:sz w:val="20"/>
        </w:rPr>
        <w:t> </w:t>
      </w:r>
      <w:r>
        <w:rPr>
          <w:w w:val="120"/>
          <w:sz w:val="20"/>
        </w:rPr>
        <w:t>document</w:t>
      </w:r>
      <w:r>
        <w:rPr>
          <w:spacing w:val="-14"/>
          <w:w w:val="120"/>
          <w:sz w:val="20"/>
        </w:rPr>
        <w:t> </w:t>
      </w:r>
      <w:r>
        <w:rPr>
          <w:i/>
          <w:w w:val="120"/>
          <w:sz w:val="20"/>
        </w:rPr>
        <w:t>Recommended</w:t>
      </w:r>
      <w:r>
        <w:rPr>
          <w:i/>
          <w:spacing w:val="-17"/>
          <w:w w:val="120"/>
          <w:sz w:val="20"/>
        </w:rPr>
        <w:t> </w:t>
      </w:r>
      <w:r>
        <w:rPr>
          <w:i/>
          <w:w w:val="120"/>
          <w:sz w:val="20"/>
        </w:rPr>
        <w:t>mandate</w:t>
      </w:r>
      <w:r>
        <w:rPr>
          <w:i/>
          <w:spacing w:val="-17"/>
          <w:w w:val="120"/>
          <w:sz w:val="20"/>
        </w:rPr>
        <w:t> </w:t>
      </w:r>
      <w:r>
        <w:rPr>
          <w:i/>
          <w:w w:val="120"/>
          <w:sz w:val="20"/>
        </w:rPr>
        <w:t>for</w:t>
      </w:r>
      <w:r>
        <w:rPr>
          <w:i/>
          <w:spacing w:val="-16"/>
          <w:w w:val="120"/>
          <w:sz w:val="20"/>
        </w:rPr>
        <w:t> </w:t>
      </w:r>
      <w:r>
        <w:rPr>
          <w:i/>
          <w:w w:val="120"/>
          <w:sz w:val="20"/>
        </w:rPr>
        <w:t>investors</w:t>
      </w:r>
      <w:r>
        <w:rPr>
          <w:i/>
          <w:spacing w:val="-15"/>
          <w:w w:val="120"/>
          <w:sz w:val="20"/>
        </w:rPr>
        <w:t> </w:t>
      </w:r>
      <w:r>
        <w:rPr>
          <w:w w:val="120"/>
          <w:sz w:val="20"/>
        </w:rPr>
        <w:t>was</w:t>
      </w:r>
      <w:r>
        <w:rPr>
          <w:spacing w:val="-14"/>
          <w:w w:val="120"/>
          <w:sz w:val="20"/>
        </w:rPr>
        <w:t> </w:t>
      </w:r>
      <w:r>
        <w:rPr>
          <w:w w:val="120"/>
          <w:sz w:val="20"/>
        </w:rPr>
        <w:t>amended</w:t>
      </w:r>
      <w:r>
        <w:rPr>
          <w:spacing w:val="-15"/>
          <w:w w:val="120"/>
          <w:sz w:val="20"/>
        </w:rPr>
        <w:t> </w:t>
      </w:r>
      <w:r>
        <w:rPr>
          <w:w w:val="120"/>
          <w:sz w:val="20"/>
        </w:rPr>
        <w:t>to include avoidance of companies which benefit by offering credit at usurious rates of interest to those who do not have access to funds through normal lending</w:t>
      </w:r>
      <w:r>
        <w:rPr>
          <w:spacing w:val="52"/>
          <w:w w:val="120"/>
          <w:sz w:val="20"/>
        </w:rPr>
        <w:t> </w:t>
      </w:r>
      <w:r>
        <w:rPr>
          <w:w w:val="120"/>
          <w:sz w:val="20"/>
        </w:rPr>
        <w:t>channels.</w:t>
      </w:r>
    </w:p>
    <w:p>
      <w:pPr>
        <w:pStyle w:val="BodyText"/>
        <w:spacing w:before="6"/>
        <w:rPr>
          <w:sz w:val="18"/>
        </w:rPr>
      </w:pPr>
    </w:p>
    <w:p>
      <w:pPr>
        <w:pStyle w:val="Heading9"/>
        <w:numPr>
          <w:ilvl w:val="1"/>
          <w:numId w:val="1"/>
        </w:numPr>
        <w:tabs>
          <w:tab w:pos="1927" w:val="left" w:leader="none"/>
          <w:tab w:pos="1928" w:val="left" w:leader="none"/>
        </w:tabs>
        <w:spacing w:line="261" w:lineRule="exact" w:before="0" w:after="0"/>
        <w:ind w:left="1927" w:right="0" w:hanging="681"/>
        <w:jc w:val="left"/>
      </w:pPr>
      <w:r>
        <w:rPr>
          <w:w w:val="110"/>
        </w:rPr>
        <w:t>Ministries</w:t>
      </w:r>
    </w:p>
    <w:p>
      <w:pPr>
        <w:pStyle w:val="BodyText"/>
        <w:spacing w:line="235" w:lineRule="auto"/>
        <w:ind w:left="1247" w:right="2004"/>
      </w:pPr>
      <w:r>
        <w:rPr>
          <w:w w:val="120"/>
        </w:rPr>
        <w:t>It was agreed that the number of special category ministry posts (full-time equivalent) should not exceed eight percent of the total number of stipendiary ministers available.</w:t>
      </w:r>
    </w:p>
    <w:p>
      <w:pPr>
        <w:pStyle w:val="BodyText"/>
        <w:rPr>
          <w:sz w:val="18"/>
        </w:rPr>
      </w:pPr>
    </w:p>
    <w:p>
      <w:pPr>
        <w:pStyle w:val="Heading9"/>
        <w:numPr>
          <w:ilvl w:val="1"/>
          <w:numId w:val="1"/>
        </w:numPr>
        <w:tabs>
          <w:tab w:pos="1927" w:val="left" w:leader="none"/>
          <w:tab w:pos="1928" w:val="left" w:leader="none"/>
        </w:tabs>
        <w:spacing w:line="261" w:lineRule="exact" w:before="0" w:after="0"/>
        <w:ind w:left="1927" w:right="0" w:hanging="681"/>
        <w:jc w:val="left"/>
      </w:pPr>
      <w:r>
        <w:rPr>
          <w:w w:val="110"/>
        </w:rPr>
        <w:t>Mission</w:t>
      </w:r>
    </w:p>
    <w:p>
      <w:pPr>
        <w:pStyle w:val="ListParagraph"/>
        <w:numPr>
          <w:ilvl w:val="2"/>
          <w:numId w:val="1"/>
        </w:numPr>
        <w:tabs>
          <w:tab w:pos="1928" w:val="left" w:leader="none"/>
        </w:tabs>
        <w:spacing w:line="233" w:lineRule="exact" w:before="0" w:after="0"/>
        <w:ind w:left="1927" w:right="0" w:hanging="681"/>
        <w:jc w:val="left"/>
        <w:rPr>
          <w:sz w:val="20"/>
        </w:rPr>
      </w:pPr>
      <w:r>
        <w:rPr>
          <w:w w:val="120"/>
          <w:sz w:val="20"/>
        </w:rPr>
        <w:t>Multicultural Church, intercultural</w:t>
      </w:r>
      <w:r>
        <w:rPr>
          <w:spacing w:val="5"/>
          <w:w w:val="120"/>
          <w:sz w:val="20"/>
        </w:rPr>
        <w:t> </w:t>
      </w:r>
      <w:r>
        <w:rPr>
          <w:w w:val="120"/>
          <w:sz w:val="20"/>
        </w:rPr>
        <w:t>habit</w:t>
      </w:r>
    </w:p>
    <w:p>
      <w:pPr>
        <w:pStyle w:val="BodyText"/>
        <w:spacing w:line="235" w:lineRule="auto" w:before="2"/>
        <w:ind w:left="1247" w:right="2030"/>
      </w:pPr>
      <w:r>
        <w:rPr>
          <w:w w:val="120"/>
        </w:rPr>
        <w:t>Among the items remaindered from General Assembly </w:t>
      </w:r>
      <w:r>
        <w:rPr>
          <w:spacing w:val="-7"/>
          <w:w w:val="120"/>
        </w:rPr>
        <w:t>2012 </w:t>
      </w:r>
      <w:r>
        <w:rPr>
          <w:w w:val="120"/>
        </w:rPr>
        <w:t>was a </w:t>
      </w:r>
      <w:r>
        <w:rPr>
          <w:spacing w:val="2"/>
          <w:w w:val="120"/>
        </w:rPr>
        <w:t>report </w:t>
      </w:r>
      <w:r>
        <w:rPr>
          <w:w w:val="120"/>
        </w:rPr>
        <w:t>entitled </w:t>
      </w:r>
      <w:r>
        <w:rPr>
          <w:i/>
          <w:w w:val="120"/>
        </w:rPr>
        <w:t>multicultural</w:t>
      </w:r>
      <w:r>
        <w:rPr>
          <w:i/>
          <w:spacing w:val="-19"/>
          <w:w w:val="120"/>
        </w:rPr>
        <w:t> </w:t>
      </w:r>
      <w:r>
        <w:rPr>
          <w:i/>
          <w:w w:val="120"/>
        </w:rPr>
        <w:t>church,</w:t>
      </w:r>
      <w:r>
        <w:rPr>
          <w:i/>
          <w:spacing w:val="-19"/>
          <w:w w:val="120"/>
        </w:rPr>
        <w:t> </w:t>
      </w:r>
      <w:r>
        <w:rPr>
          <w:i/>
          <w:w w:val="120"/>
        </w:rPr>
        <w:t>intercultural</w:t>
      </w:r>
      <w:r>
        <w:rPr>
          <w:i/>
          <w:spacing w:val="-18"/>
          <w:w w:val="120"/>
        </w:rPr>
        <w:t> </w:t>
      </w:r>
      <w:r>
        <w:rPr>
          <w:i/>
          <w:w w:val="120"/>
        </w:rPr>
        <w:t>habit</w:t>
      </w:r>
      <w:r>
        <w:rPr>
          <w:i/>
          <w:spacing w:val="-19"/>
          <w:w w:val="120"/>
        </w:rPr>
        <w:t> </w:t>
      </w:r>
      <w:r>
        <w:rPr>
          <w:spacing w:val="-4"/>
          <w:w w:val="120"/>
        </w:rPr>
        <w:t>(see</w:t>
      </w:r>
      <w:r>
        <w:rPr>
          <w:spacing w:val="-17"/>
          <w:w w:val="120"/>
        </w:rPr>
        <w:t> </w:t>
      </w:r>
      <w:r>
        <w:rPr>
          <w:i/>
          <w:w w:val="120"/>
        </w:rPr>
        <w:t>Book</w:t>
      </w:r>
      <w:r>
        <w:rPr>
          <w:i/>
          <w:spacing w:val="-18"/>
          <w:w w:val="120"/>
        </w:rPr>
        <w:t> </w:t>
      </w:r>
      <w:r>
        <w:rPr>
          <w:i/>
          <w:w w:val="120"/>
        </w:rPr>
        <w:t>of</w:t>
      </w:r>
      <w:r>
        <w:rPr>
          <w:i/>
          <w:spacing w:val="-19"/>
          <w:w w:val="120"/>
        </w:rPr>
        <w:t> </w:t>
      </w:r>
      <w:r>
        <w:rPr>
          <w:i/>
          <w:w w:val="120"/>
        </w:rPr>
        <w:t>Reports</w:t>
      </w:r>
      <w:r>
        <w:rPr>
          <w:i/>
          <w:spacing w:val="-19"/>
          <w:w w:val="120"/>
        </w:rPr>
        <w:t> </w:t>
      </w:r>
      <w:r>
        <w:rPr>
          <w:i/>
          <w:spacing w:val="-7"/>
          <w:w w:val="120"/>
        </w:rPr>
        <w:t>2012</w:t>
      </w:r>
      <w:r>
        <w:rPr>
          <w:i/>
          <w:spacing w:val="-16"/>
          <w:w w:val="120"/>
        </w:rPr>
        <w:t> </w:t>
      </w:r>
      <w:r>
        <w:rPr>
          <w:w w:val="120"/>
        </w:rPr>
        <w:t>pp.</w:t>
      </w:r>
      <w:r>
        <w:rPr>
          <w:spacing w:val="-17"/>
          <w:w w:val="120"/>
        </w:rPr>
        <w:t> </w:t>
      </w:r>
      <w:r>
        <w:rPr>
          <w:spacing w:val="-3"/>
          <w:w w:val="120"/>
        </w:rPr>
        <w:t>200-203).</w:t>
      </w:r>
      <w:r>
        <w:rPr>
          <w:spacing w:val="-17"/>
          <w:w w:val="120"/>
        </w:rPr>
        <w:t> </w:t>
      </w:r>
      <w:r>
        <w:rPr>
          <w:w w:val="120"/>
        </w:rPr>
        <w:t>On</w:t>
      </w:r>
      <w:r>
        <w:rPr>
          <w:spacing w:val="-16"/>
          <w:w w:val="120"/>
        </w:rPr>
        <w:t> </w:t>
      </w:r>
      <w:r>
        <w:rPr>
          <w:w w:val="120"/>
        </w:rPr>
        <w:t>behalf of Assembly, Mission Council celebrated the 2005 declaration that the United Reformed Church was a multicultural Church, noting how the landscape had continued to change in the intervening years. It committed the Church to a renewed focus towards an inclusive Church, gave enthusiastic support to the charter contained in that</w:t>
      </w:r>
      <w:r>
        <w:rPr>
          <w:spacing w:val="40"/>
          <w:w w:val="120"/>
        </w:rPr>
        <w:t> </w:t>
      </w:r>
      <w:r>
        <w:rPr>
          <w:spacing w:val="2"/>
          <w:w w:val="120"/>
        </w:rPr>
        <w:t>report</w:t>
      </w:r>
    </w:p>
    <w:p>
      <w:pPr>
        <w:pStyle w:val="BodyText"/>
        <w:spacing w:line="235" w:lineRule="auto" w:before="4"/>
        <w:ind w:left="1247" w:right="2004"/>
      </w:pPr>
      <w:r>
        <w:rPr>
          <w:w w:val="120"/>
        </w:rPr>
        <w:t>(see appendix 1), and commended it to local churches, synods and the resource centres for learning.</w:t>
      </w:r>
    </w:p>
    <w:p>
      <w:pPr>
        <w:pStyle w:val="BodyText"/>
        <w:spacing w:before="10"/>
        <w:rPr>
          <w:sz w:val="19"/>
        </w:rPr>
      </w:pPr>
    </w:p>
    <w:p>
      <w:pPr>
        <w:pStyle w:val="ListParagraph"/>
        <w:numPr>
          <w:ilvl w:val="2"/>
          <w:numId w:val="1"/>
        </w:numPr>
        <w:tabs>
          <w:tab w:pos="1928" w:val="left" w:leader="none"/>
        </w:tabs>
        <w:spacing w:line="235" w:lineRule="auto" w:before="0" w:after="0"/>
        <w:ind w:left="1247" w:right="2382" w:firstLine="0"/>
        <w:jc w:val="left"/>
        <w:rPr>
          <w:sz w:val="20"/>
        </w:rPr>
      </w:pPr>
      <w:r>
        <w:rPr>
          <w:w w:val="120"/>
          <w:sz w:val="20"/>
        </w:rPr>
        <w:t>The Mission Committee included Mission Council in a consultation exercise around a proposal for an evangelism project which would be funded by the Council for World </w:t>
      </w:r>
      <w:r>
        <w:rPr>
          <w:spacing w:val="-3"/>
          <w:w w:val="120"/>
          <w:sz w:val="20"/>
        </w:rPr>
        <w:t>Mission’s </w:t>
      </w:r>
      <w:r>
        <w:rPr>
          <w:w w:val="120"/>
          <w:sz w:val="20"/>
        </w:rPr>
        <w:t>mission support programme. After discussion the proposal was withdrawn for further</w:t>
      </w:r>
      <w:r>
        <w:rPr>
          <w:spacing w:val="5"/>
          <w:w w:val="120"/>
          <w:sz w:val="20"/>
        </w:rPr>
        <w:t> </w:t>
      </w:r>
      <w:r>
        <w:rPr>
          <w:w w:val="120"/>
          <w:sz w:val="20"/>
        </w:rPr>
        <w:t>work.</w:t>
      </w:r>
    </w:p>
    <w:p>
      <w:pPr>
        <w:pStyle w:val="BodyText"/>
        <w:spacing w:before="11"/>
        <w:rPr>
          <w:sz w:val="19"/>
        </w:rPr>
      </w:pPr>
    </w:p>
    <w:p>
      <w:pPr>
        <w:pStyle w:val="ListParagraph"/>
        <w:numPr>
          <w:ilvl w:val="2"/>
          <w:numId w:val="1"/>
        </w:numPr>
        <w:tabs>
          <w:tab w:pos="1928" w:val="left" w:leader="none"/>
        </w:tabs>
        <w:spacing w:line="235" w:lineRule="auto" w:before="0" w:after="0"/>
        <w:ind w:left="1247" w:right="2002" w:firstLine="0"/>
        <w:jc w:val="left"/>
        <w:rPr>
          <w:sz w:val="20"/>
        </w:rPr>
      </w:pPr>
      <w:r>
        <w:rPr>
          <w:w w:val="120"/>
          <w:sz w:val="20"/>
        </w:rPr>
        <w:t>The National Synod of Wales presented a preliminary </w:t>
      </w:r>
      <w:r>
        <w:rPr>
          <w:spacing w:val="2"/>
          <w:w w:val="120"/>
          <w:sz w:val="20"/>
        </w:rPr>
        <w:t>report </w:t>
      </w:r>
      <w:r>
        <w:rPr>
          <w:w w:val="120"/>
          <w:sz w:val="20"/>
        </w:rPr>
        <w:t>of its proposed contribution to the Commission of Covenanted Churches’ consultation process, called ‘The Gathering’. The process did not suggest a full scheme of union. Instead, it offered   a future in which the partners would agree to interchangeability of ministry as a step on the journey towards a united Church in Wales, the form of which was not yet</w:t>
      </w:r>
      <w:r>
        <w:rPr>
          <w:spacing w:val="27"/>
          <w:w w:val="120"/>
          <w:sz w:val="20"/>
        </w:rPr>
        <w:t> </w:t>
      </w:r>
      <w:r>
        <w:rPr>
          <w:w w:val="120"/>
          <w:sz w:val="20"/>
        </w:rPr>
        <w:t>known.</w:t>
      </w:r>
    </w:p>
    <w:p>
      <w:pPr>
        <w:pStyle w:val="BodyText"/>
        <w:spacing w:before="7"/>
        <w:rPr>
          <w:sz w:val="18"/>
        </w:rPr>
      </w:pPr>
    </w:p>
    <w:p>
      <w:pPr>
        <w:pStyle w:val="Heading9"/>
        <w:numPr>
          <w:ilvl w:val="1"/>
          <w:numId w:val="1"/>
        </w:numPr>
        <w:tabs>
          <w:tab w:pos="1927" w:val="left" w:leader="none"/>
          <w:tab w:pos="1928" w:val="left" w:leader="none"/>
        </w:tabs>
        <w:spacing w:line="261" w:lineRule="exact" w:before="1" w:after="0"/>
        <w:ind w:left="1927" w:right="0" w:hanging="681"/>
        <w:jc w:val="left"/>
      </w:pPr>
      <w:r>
        <w:rPr>
          <w:w w:val="110"/>
        </w:rPr>
        <w:t>Safeguarding</w:t>
      </w:r>
    </w:p>
    <w:p>
      <w:pPr>
        <w:pStyle w:val="BodyText"/>
        <w:spacing w:line="235" w:lineRule="auto"/>
        <w:ind w:left="1247" w:right="2328"/>
      </w:pPr>
      <w:r>
        <w:rPr>
          <w:w w:val="120"/>
        </w:rPr>
        <w:t>Work continued on the production of new guidance materials on the safeguarding of children and adults in need of protection. A new safeguarding officer, Amy Slennett, was welcomed. She is employed jointly by the URC and the Baptist Union and is supported by a reconstituted safeguarding reference group which includes staff from the ministries and </w:t>
      </w:r>
      <w:r>
        <w:rPr>
          <w:spacing w:val="-3"/>
          <w:w w:val="120"/>
        </w:rPr>
        <w:t>children’s </w:t>
      </w:r>
      <w:r>
        <w:rPr>
          <w:w w:val="120"/>
        </w:rPr>
        <w:t>and youth work departments. The two departments  have also been working together to implement the new system of Disclosure</w:t>
      </w:r>
      <w:r>
        <w:rPr>
          <w:spacing w:val="42"/>
          <w:w w:val="120"/>
        </w:rPr>
        <w:t> </w:t>
      </w:r>
      <w:r>
        <w:rPr>
          <w:w w:val="120"/>
        </w:rPr>
        <w:t>and</w:t>
      </w:r>
    </w:p>
    <w:p>
      <w:pPr>
        <w:pStyle w:val="BodyText"/>
        <w:spacing w:line="235" w:lineRule="auto"/>
        <w:ind w:left="1247" w:right="2004"/>
      </w:pPr>
      <w:r>
        <w:rPr>
          <w:w w:val="120"/>
        </w:rPr>
        <w:t>Barring Service checks, incorporating the work of the Criminal Records Bureau and the Independent Safeguarding Authority.</w:t>
      </w:r>
    </w:p>
    <w:p>
      <w:pPr>
        <w:pStyle w:val="BodyText"/>
        <w:spacing w:before="4"/>
        <w:rPr>
          <w:sz w:val="18"/>
        </w:rPr>
      </w:pPr>
    </w:p>
    <w:p>
      <w:pPr>
        <w:pStyle w:val="Heading9"/>
        <w:numPr>
          <w:ilvl w:val="1"/>
          <w:numId w:val="1"/>
        </w:numPr>
        <w:tabs>
          <w:tab w:pos="1927" w:val="left" w:leader="none"/>
          <w:tab w:pos="1928" w:val="left" w:leader="none"/>
        </w:tabs>
        <w:spacing w:line="261" w:lineRule="exact" w:before="0" w:after="0"/>
        <w:ind w:left="1927" w:right="0" w:hanging="681"/>
        <w:jc w:val="left"/>
      </w:pPr>
      <w:r>
        <w:rPr>
          <w:w w:val="110"/>
        </w:rPr>
        <w:t>United Reformed Church</w:t>
      </w:r>
      <w:r>
        <w:rPr>
          <w:spacing w:val="-1"/>
          <w:w w:val="110"/>
        </w:rPr>
        <w:t> </w:t>
      </w:r>
      <w:r>
        <w:rPr>
          <w:w w:val="110"/>
        </w:rPr>
        <w:t>Trust</w:t>
      </w:r>
    </w:p>
    <w:p>
      <w:pPr>
        <w:pStyle w:val="ListParagraph"/>
        <w:numPr>
          <w:ilvl w:val="2"/>
          <w:numId w:val="1"/>
        </w:numPr>
        <w:tabs>
          <w:tab w:pos="1928" w:val="left" w:leader="none"/>
        </w:tabs>
        <w:spacing w:line="235" w:lineRule="auto" w:before="0" w:after="0"/>
        <w:ind w:left="1247" w:right="2202" w:firstLine="0"/>
        <w:jc w:val="left"/>
        <w:rPr>
          <w:sz w:val="20"/>
        </w:rPr>
      </w:pPr>
      <w:r>
        <w:rPr>
          <w:w w:val="120"/>
          <w:sz w:val="20"/>
        </w:rPr>
        <w:t>The chair of the United Reformed Church trust reported on an invitation which had been received from the Baptist Union to consider sharing their office premises in Didcot. After preliminary consideration this option was not pursued. However, the trust continued to explore possibilities for redevelopment of URC Church</w:t>
      </w:r>
      <w:r>
        <w:rPr>
          <w:spacing w:val="49"/>
          <w:w w:val="120"/>
          <w:sz w:val="20"/>
        </w:rPr>
        <w:t> </w:t>
      </w:r>
      <w:r>
        <w:rPr>
          <w:w w:val="120"/>
          <w:sz w:val="20"/>
        </w:rPr>
        <w:t>House</w:t>
      </w:r>
    </w:p>
    <w:p>
      <w:pPr>
        <w:pStyle w:val="BodyText"/>
        <w:spacing w:line="235" w:lineRule="auto"/>
        <w:ind w:left="1247" w:right="2412"/>
      </w:pPr>
      <w:r>
        <w:rPr>
          <w:w w:val="120"/>
        </w:rPr>
        <w:t>(86 Tavistock Place, London) to make it better fit for purpose and to create space for rent-paying tenants, and in March 2014 Mission Council agreed the funding for a feasibility study.</w:t>
      </w:r>
    </w:p>
    <w:p>
      <w:pPr>
        <w:pStyle w:val="BodyText"/>
        <w:spacing w:before="5"/>
        <w:rPr>
          <w:sz w:val="19"/>
        </w:rPr>
      </w:pPr>
    </w:p>
    <w:p>
      <w:pPr>
        <w:pStyle w:val="ListParagraph"/>
        <w:numPr>
          <w:ilvl w:val="2"/>
          <w:numId w:val="1"/>
        </w:numPr>
        <w:tabs>
          <w:tab w:pos="1928" w:val="left" w:leader="none"/>
        </w:tabs>
        <w:spacing w:line="242" w:lineRule="exact" w:before="0" w:after="0"/>
        <w:ind w:left="1927" w:right="0" w:hanging="681"/>
        <w:jc w:val="left"/>
        <w:rPr>
          <w:sz w:val="20"/>
        </w:rPr>
      </w:pPr>
      <w:r>
        <w:rPr>
          <w:w w:val="120"/>
          <w:sz w:val="20"/>
        </w:rPr>
        <w:t>A progress </w:t>
      </w:r>
      <w:r>
        <w:rPr>
          <w:spacing w:val="2"/>
          <w:w w:val="120"/>
          <w:sz w:val="20"/>
        </w:rPr>
        <w:t>report </w:t>
      </w:r>
      <w:r>
        <w:rPr>
          <w:w w:val="120"/>
          <w:sz w:val="20"/>
        </w:rPr>
        <w:t>was given on the regeneration agency One Church 100</w:t>
      </w:r>
      <w:r>
        <w:rPr>
          <w:spacing w:val="49"/>
          <w:w w:val="120"/>
          <w:sz w:val="20"/>
        </w:rPr>
        <w:t> </w:t>
      </w:r>
      <w:r>
        <w:rPr>
          <w:w w:val="120"/>
          <w:sz w:val="20"/>
        </w:rPr>
        <w:t>Uses.</w:t>
      </w:r>
    </w:p>
    <w:p>
      <w:pPr>
        <w:pStyle w:val="BodyText"/>
        <w:spacing w:line="235" w:lineRule="auto" w:before="1"/>
        <w:ind w:left="1247" w:right="2412"/>
      </w:pPr>
      <w:r>
        <w:rPr>
          <w:w w:val="120"/>
        </w:rPr>
        <w:t>In 2007 Mission Council had passed a resolution giving thanks for work undertaken by the agency and encouraging further cooperation. Some successful projects</w:t>
      </w:r>
    </w:p>
    <w:p>
      <w:pPr>
        <w:pStyle w:val="BodyText"/>
        <w:spacing w:line="235" w:lineRule="auto" w:before="2"/>
        <w:ind w:left="1247" w:right="2004"/>
      </w:pPr>
      <w:r>
        <w:rPr>
          <w:w w:val="120"/>
        </w:rPr>
        <w:t>had followed, together with some difficulties. The agency remained available for partnership in church redevelopment along with other companies.</w:t>
      </w:r>
    </w:p>
    <w:p>
      <w:pPr>
        <w:spacing w:after="0" w:line="235" w:lineRule="auto"/>
        <w:sectPr>
          <w:headerReference w:type="even" r:id="rId40"/>
          <w:footerReference w:type="even" r:id="rId41"/>
          <w:footerReference w:type="default" r:id="rId42"/>
          <w:pgSz w:w="11910" w:h="16840"/>
          <w:pgMar w:header="0" w:footer="647" w:top="0" w:bottom="840" w:left="0" w:right="0"/>
          <w:pgNumType w:start="10"/>
        </w:sectPr>
      </w:pPr>
    </w:p>
    <w:p>
      <w:pPr>
        <w:pStyle w:val="BodyText"/>
      </w:pPr>
      <w:r>
        <w:rPr/>
        <w:drawing>
          <wp:anchor distT="0" distB="0" distL="0" distR="0" allowOverlap="1" layoutInCell="1" locked="0" behindDoc="0" simplePos="0" relativeHeight="251680768">
            <wp:simplePos x="0" y="0"/>
            <wp:positionH relativeFrom="page">
              <wp:posOffset>6974928</wp:posOffset>
            </wp:positionH>
            <wp:positionV relativeFrom="page">
              <wp:posOffset>0</wp:posOffset>
            </wp:positionV>
            <wp:extent cx="585076" cy="10692003"/>
            <wp:effectExtent l="0" t="0" r="0" b="0"/>
            <wp:wrapNone/>
            <wp:docPr id="15" name="image23.png"/>
            <wp:cNvGraphicFramePr>
              <a:graphicFrameLocks noChangeAspect="1"/>
            </wp:cNvGraphicFramePr>
            <a:graphic>
              <a:graphicData uri="http://schemas.openxmlformats.org/drawingml/2006/picture">
                <pic:pic>
                  <pic:nvPicPr>
                    <pic:cNvPr id="16" name="image23.png"/>
                    <pic:cNvPicPr/>
                  </pic:nvPicPr>
                  <pic:blipFill>
                    <a:blip r:embed="rId35" cstate="print"/>
                    <a:stretch>
                      <a:fillRect/>
                    </a:stretch>
                  </pic:blipFill>
                  <pic:spPr>
                    <a:xfrm>
                      <a:off x="0" y="0"/>
                      <a:ext cx="585076" cy="10692003"/>
                    </a:xfrm>
                    <a:prstGeom prst="rect">
                      <a:avLst/>
                    </a:prstGeom>
                  </pic:spPr>
                </pic:pic>
              </a:graphicData>
            </a:graphic>
          </wp:anchor>
        </w:drawing>
      </w:r>
    </w:p>
    <w:p>
      <w:pPr>
        <w:pStyle w:val="BodyText"/>
        <w:spacing w:before="7"/>
        <w:rPr>
          <w:sz w:val="21"/>
        </w:rPr>
      </w:pPr>
    </w:p>
    <w:p>
      <w:pPr>
        <w:pStyle w:val="Heading5"/>
        <w:ind w:left="0" w:right="1245"/>
        <w:jc w:val="right"/>
      </w:pPr>
      <w:r>
        <w:rPr/>
        <w:pict>
          <v:shape style="position:absolute;margin-left:554.141174pt;margin-top:22.593945pt;width:25.9pt;height:163.2pt;mso-position-horizontal-relative:page;mso-position-vertical-relative:paragraph;z-index:251681792" type="#_x0000_t202" filled="false" stroked="false">
            <v:textbox inset="0,0,0,0" style="layout-flow:vertical">
              <w:txbxContent>
                <w:p>
                  <w:pPr>
                    <w:spacing w:before="27"/>
                    <w:ind w:left="20" w:right="0" w:firstLine="0"/>
                    <w:jc w:val="left"/>
                    <w:rPr>
                      <w:sz w:val="39"/>
                    </w:rPr>
                  </w:pPr>
                  <w:r>
                    <w:rPr>
                      <w:color w:val="FFFFFF"/>
                      <w:w w:val="125"/>
                      <w:sz w:val="39"/>
                    </w:rPr>
                    <w:t>Mission Council</w:t>
                  </w:r>
                </w:p>
              </w:txbxContent>
            </v:textbox>
            <w10:wrap type="none"/>
          </v:shape>
        </w:pict>
      </w:r>
      <w:r>
        <w:rPr>
          <w:color w:val="7EAABF"/>
          <w:w w:val="120"/>
        </w:rPr>
        <w:t>Mission Council</w:t>
      </w:r>
    </w:p>
    <w:p>
      <w:pPr>
        <w:pStyle w:val="ListParagraph"/>
        <w:numPr>
          <w:ilvl w:val="0"/>
          <w:numId w:val="1"/>
        </w:numPr>
        <w:tabs>
          <w:tab w:pos="2664" w:val="left" w:leader="none"/>
          <w:tab w:pos="2665" w:val="left" w:leader="none"/>
        </w:tabs>
        <w:spacing w:line="240" w:lineRule="auto" w:before="215" w:after="0"/>
        <w:ind w:left="2664" w:right="0" w:hanging="681"/>
        <w:jc w:val="left"/>
        <w:rPr>
          <w:rFonts w:ascii="Stone Sans II ITC Std Bk"/>
          <w:b/>
          <w:sz w:val="29"/>
        </w:rPr>
      </w:pPr>
      <w:r>
        <w:rPr>
          <w:rFonts w:ascii="Stone Sans II ITC Std Bk"/>
          <w:b/>
          <w:spacing w:val="4"/>
          <w:w w:val="110"/>
          <w:sz w:val="29"/>
        </w:rPr>
        <w:t>Actions </w:t>
      </w:r>
      <w:r>
        <w:rPr>
          <w:rFonts w:ascii="Stone Sans II ITC Std Bk"/>
          <w:b/>
          <w:spacing w:val="2"/>
          <w:w w:val="110"/>
          <w:sz w:val="29"/>
        </w:rPr>
        <w:t>taken on </w:t>
      </w:r>
      <w:r>
        <w:rPr>
          <w:rFonts w:ascii="Stone Sans II ITC Std Bk"/>
          <w:b/>
          <w:spacing w:val="3"/>
          <w:w w:val="110"/>
          <w:sz w:val="29"/>
        </w:rPr>
        <w:t>previous </w:t>
      </w:r>
      <w:r>
        <w:rPr>
          <w:rFonts w:ascii="Stone Sans II ITC Std Bk"/>
          <w:b/>
          <w:spacing w:val="4"/>
          <w:w w:val="110"/>
          <w:sz w:val="29"/>
        </w:rPr>
        <w:t>Assembly</w:t>
      </w:r>
      <w:r>
        <w:rPr>
          <w:rFonts w:ascii="Stone Sans II ITC Std Bk"/>
          <w:b/>
          <w:spacing w:val="60"/>
          <w:w w:val="110"/>
          <w:sz w:val="29"/>
        </w:rPr>
        <w:t> </w:t>
      </w:r>
      <w:r>
        <w:rPr>
          <w:rFonts w:ascii="Stone Sans II ITC Std Bk"/>
          <w:b/>
          <w:spacing w:val="3"/>
          <w:w w:val="110"/>
          <w:sz w:val="29"/>
        </w:rPr>
        <w:t>resolutions</w:t>
      </w:r>
    </w:p>
    <w:p>
      <w:pPr>
        <w:pStyle w:val="ListParagraph"/>
        <w:numPr>
          <w:ilvl w:val="1"/>
          <w:numId w:val="1"/>
        </w:numPr>
        <w:tabs>
          <w:tab w:pos="2664" w:val="left" w:leader="none"/>
          <w:tab w:pos="2665" w:val="left" w:leader="none"/>
        </w:tabs>
        <w:spacing w:line="235" w:lineRule="auto" w:before="69" w:after="0"/>
        <w:ind w:left="1984" w:right="1397" w:firstLine="0"/>
        <w:jc w:val="left"/>
        <w:rPr>
          <w:sz w:val="20"/>
        </w:rPr>
      </w:pPr>
      <w:r>
        <w:rPr>
          <w:w w:val="120"/>
          <w:sz w:val="20"/>
        </w:rPr>
        <w:t>Mission Council ratified resolution </w:t>
      </w:r>
      <w:r>
        <w:rPr>
          <w:spacing w:val="-9"/>
          <w:w w:val="120"/>
          <w:sz w:val="20"/>
        </w:rPr>
        <w:t>15 </w:t>
      </w:r>
      <w:r>
        <w:rPr>
          <w:w w:val="120"/>
          <w:sz w:val="20"/>
        </w:rPr>
        <w:t>of Assembly </w:t>
      </w:r>
      <w:r>
        <w:rPr>
          <w:spacing w:val="-7"/>
          <w:w w:val="120"/>
          <w:sz w:val="20"/>
        </w:rPr>
        <w:t>2012 </w:t>
      </w:r>
      <w:r>
        <w:rPr>
          <w:w w:val="120"/>
          <w:sz w:val="20"/>
        </w:rPr>
        <w:t>which made changes to the Structure of the United Reformed Church </w:t>
      </w:r>
      <w:r>
        <w:rPr>
          <w:spacing w:val="-4"/>
          <w:w w:val="120"/>
          <w:sz w:val="20"/>
        </w:rPr>
        <w:t>(see </w:t>
      </w:r>
      <w:r>
        <w:rPr>
          <w:w w:val="120"/>
          <w:sz w:val="20"/>
        </w:rPr>
        <w:t>appendix</w:t>
      </w:r>
      <w:r>
        <w:rPr>
          <w:spacing w:val="34"/>
          <w:w w:val="120"/>
          <w:sz w:val="20"/>
        </w:rPr>
        <w:t> </w:t>
      </w:r>
      <w:r>
        <w:rPr>
          <w:spacing w:val="-6"/>
          <w:w w:val="120"/>
          <w:sz w:val="20"/>
        </w:rPr>
        <w:t>2).</w:t>
      </w:r>
    </w:p>
    <w:p>
      <w:pPr>
        <w:pStyle w:val="BodyText"/>
        <w:spacing w:before="10"/>
        <w:rPr>
          <w:sz w:val="19"/>
        </w:rPr>
      </w:pPr>
    </w:p>
    <w:p>
      <w:pPr>
        <w:pStyle w:val="ListParagraph"/>
        <w:numPr>
          <w:ilvl w:val="1"/>
          <w:numId w:val="1"/>
        </w:numPr>
        <w:tabs>
          <w:tab w:pos="2664" w:val="left" w:leader="none"/>
          <w:tab w:pos="2665" w:val="left" w:leader="none"/>
        </w:tabs>
        <w:spacing w:line="235" w:lineRule="auto" w:before="0" w:after="0"/>
        <w:ind w:left="1984" w:right="1410" w:firstLine="0"/>
        <w:jc w:val="left"/>
        <w:rPr>
          <w:sz w:val="20"/>
        </w:rPr>
      </w:pPr>
      <w:r>
        <w:rPr>
          <w:w w:val="120"/>
          <w:sz w:val="20"/>
        </w:rPr>
        <w:t>Resolution </w:t>
      </w:r>
      <w:r>
        <w:rPr>
          <w:spacing w:val="-8"/>
          <w:w w:val="120"/>
          <w:sz w:val="20"/>
        </w:rPr>
        <w:t>16 </w:t>
      </w:r>
      <w:r>
        <w:rPr>
          <w:w w:val="120"/>
          <w:sz w:val="20"/>
        </w:rPr>
        <w:t>of Assembly </w:t>
      </w:r>
      <w:r>
        <w:rPr>
          <w:spacing w:val="-7"/>
          <w:w w:val="120"/>
          <w:sz w:val="20"/>
        </w:rPr>
        <w:t>2012 </w:t>
      </w:r>
      <w:r>
        <w:rPr>
          <w:w w:val="120"/>
          <w:sz w:val="20"/>
        </w:rPr>
        <w:t>established the principle of mandatory training for ministers of Word and sacraments and church related community workers. Mission Council agreed that ‘safer sacred space’ training to raise the awareness of ministers/ CRCWs to appropriate boundaries in their interpersonal relationships should be mandatory and approved an implementation</w:t>
      </w:r>
      <w:r>
        <w:rPr>
          <w:spacing w:val="13"/>
          <w:w w:val="120"/>
          <w:sz w:val="20"/>
        </w:rPr>
        <w:t> </w:t>
      </w:r>
      <w:r>
        <w:rPr>
          <w:w w:val="120"/>
          <w:sz w:val="20"/>
        </w:rPr>
        <w:t>plan.</w:t>
      </w:r>
    </w:p>
    <w:p>
      <w:pPr>
        <w:pStyle w:val="BodyText"/>
        <w:spacing w:before="12"/>
        <w:rPr>
          <w:sz w:val="19"/>
        </w:rPr>
      </w:pPr>
    </w:p>
    <w:p>
      <w:pPr>
        <w:pStyle w:val="ListParagraph"/>
        <w:numPr>
          <w:ilvl w:val="1"/>
          <w:numId w:val="1"/>
        </w:numPr>
        <w:tabs>
          <w:tab w:pos="2664" w:val="left" w:leader="none"/>
          <w:tab w:pos="2665" w:val="left" w:leader="none"/>
        </w:tabs>
        <w:spacing w:line="235" w:lineRule="auto" w:before="0" w:after="0"/>
        <w:ind w:left="1984" w:right="1421" w:firstLine="0"/>
        <w:jc w:val="left"/>
        <w:rPr>
          <w:sz w:val="20"/>
        </w:rPr>
      </w:pPr>
      <w:r>
        <w:rPr>
          <w:w w:val="120"/>
          <w:sz w:val="20"/>
        </w:rPr>
        <w:t>Resolution 20 of Assembly </w:t>
      </w:r>
      <w:r>
        <w:rPr>
          <w:spacing w:val="-7"/>
          <w:w w:val="120"/>
          <w:sz w:val="20"/>
        </w:rPr>
        <w:t>2012 </w:t>
      </w:r>
      <w:r>
        <w:rPr>
          <w:w w:val="120"/>
          <w:sz w:val="20"/>
        </w:rPr>
        <w:t>concerned the </w:t>
      </w:r>
      <w:r>
        <w:rPr>
          <w:spacing w:val="-8"/>
          <w:w w:val="120"/>
          <w:sz w:val="20"/>
        </w:rPr>
        <w:t>2013 </w:t>
      </w:r>
      <w:r>
        <w:rPr>
          <w:w w:val="120"/>
          <w:sz w:val="20"/>
        </w:rPr>
        <w:t>budget. Significant reductions were achieved following a process of consultation with the Assembly committees. Some budget cuts will take effect in </w:t>
      </w:r>
      <w:r>
        <w:rPr>
          <w:spacing w:val="-6"/>
          <w:w w:val="120"/>
          <w:sz w:val="20"/>
        </w:rPr>
        <w:t>2014. </w:t>
      </w:r>
      <w:r>
        <w:rPr>
          <w:w w:val="120"/>
          <w:sz w:val="20"/>
        </w:rPr>
        <w:t>Others require a longer period of transition and will be monitored by the finance committee and its</w:t>
      </w:r>
      <w:r>
        <w:rPr>
          <w:spacing w:val="19"/>
          <w:w w:val="120"/>
          <w:sz w:val="20"/>
        </w:rPr>
        <w:t> </w:t>
      </w:r>
      <w:r>
        <w:rPr>
          <w:w w:val="120"/>
          <w:sz w:val="20"/>
        </w:rPr>
        <w:t>officers.</w:t>
      </w:r>
    </w:p>
    <w:p>
      <w:pPr>
        <w:pStyle w:val="BodyText"/>
        <w:spacing w:before="11"/>
        <w:rPr>
          <w:sz w:val="19"/>
        </w:rPr>
      </w:pPr>
    </w:p>
    <w:p>
      <w:pPr>
        <w:pStyle w:val="ListParagraph"/>
        <w:numPr>
          <w:ilvl w:val="1"/>
          <w:numId w:val="1"/>
        </w:numPr>
        <w:tabs>
          <w:tab w:pos="2664" w:val="left" w:leader="none"/>
          <w:tab w:pos="2665" w:val="left" w:leader="none"/>
        </w:tabs>
        <w:spacing w:line="235" w:lineRule="auto" w:before="0" w:after="0"/>
        <w:ind w:left="1984" w:right="1709" w:firstLine="0"/>
        <w:jc w:val="left"/>
        <w:rPr>
          <w:sz w:val="20"/>
        </w:rPr>
      </w:pPr>
      <w:r>
        <w:rPr>
          <w:w w:val="120"/>
          <w:sz w:val="20"/>
        </w:rPr>
        <w:t>Acting on resolution </w:t>
      </w:r>
      <w:r>
        <w:rPr>
          <w:spacing w:val="-6"/>
          <w:w w:val="120"/>
          <w:sz w:val="20"/>
        </w:rPr>
        <w:t>33 </w:t>
      </w:r>
      <w:r>
        <w:rPr>
          <w:w w:val="120"/>
          <w:sz w:val="20"/>
        </w:rPr>
        <w:t>of Assembly </w:t>
      </w:r>
      <w:r>
        <w:rPr>
          <w:spacing w:val="-7"/>
          <w:w w:val="120"/>
          <w:sz w:val="20"/>
        </w:rPr>
        <w:t>2012, </w:t>
      </w:r>
      <w:r>
        <w:rPr>
          <w:w w:val="120"/>
          <w:sz w:val="20"/>
        </w:rPr>
        <w:t>Mission Council agreed terms of reference for a task group on the </w:t>
      </w:r>
      <w:r>
        <w:rPr>
          <w:spacing w:val="-3"/>
          <w:w w:val="120"/>
          <w:sz w:val="20"/>
        </w:rPr>
        <w:t>Church’s </w:t>
      </w:r>
      <w:r>
        <w:rPr>
          <w:w w:val="120"/>
          <w:sz w:val="20"/>
        </w:rPr>
        <w:t>engagement with 20 to 40 year olds and appointed people to</w:t>
      </w:r>
      <w:r>
        <w:rPr>
          <w:spacing w:val="6"/>
          <w:w w:val="120"/>
          <w:sz w:val="20"/>
        </w:rPr>
        <w:t> </w:t>
      </w:r>
      <w:r>
        <w:rPr>
          <w:w w:val="120"/>
          <w:sz w:val="20"/>
        </w:rPr>
        <w:t>serve.</w:t>
      </w:r>
    </w:p>
    <w:p>
      <w:pPr>
        <w:pStyle w:val="BodyText"/>
        <w:spacing w:before="10"/>
        <w:rPr>
          <w:sz w:val="19"/>
        </w:rPr>
      </w:pPr>
    </w:p>
    <w:p>
      <w:pPr>
        <w:pStyle w:val="ListParagraph"/>
        <w:numPr>
          <w:ilvl w:val="1"/>
          <w:numId w:val="1"/>
        </w:numPr>
        <w:tabs>
          <w:tab w:pos="2664" w:val="left" w:leader="none"/>
          <w:tab w:pos="2665" w:val="left" w:leader="none"/>
        </w:tabs>
        <w:spacing w:line="235" w:lineRule="auto" w:before="0" w:after="0"/>
        <w:ind w:left="1984" w:right="1412" w:firstLine="0"/>
        <w:jc w:val="left"/>
        <w:rPr>
          <w:sz w:val="20"/>
        </w:rPr>
      </w:pPr>
      <w:r>
        <w:rPr>
          <w:w w:val="120"/>
          <w:sz w:val="20"/>
        </w:rPr>
        <w:t>The Assembly commission established by resolution 38 of the </w:t>
      </w:r>
      <w:r>
        <w:rPr>
          <w:spacing w:val="-7"/>
          <w:w w:val="120"/>
          <w:sz w:val="20"/>
        </w:rPr>
        <w:t>2012 </w:t>
      </w:r>
      <w:r>
        <w:rPr>
          <w:w w:val="120"/>
          <w:sz w:val="20"/>
        </w:rPr>
        <w:t>Assembly identified issues underlying the resignation of a moderator-elect of Assembly in March </w:t>
      </w:r>
      <w:r>
        <w:rPr>
          <w:spacing w:val="-6"/>
          <w:w w:val="120"/>
          <w:sz w:val="20"/>
        </w:rPr>
        <w:t>2012. </w:t>
      </w:r>
      <w:r>
        <w:rPr>
          <w:w w:val="120"/>
          <w:sz w:val="20"/>
        </w:rPr>
        <w:t>These were referred to the law and polity advisory group and the pastoral reference and welfare committee to be resolved. The commission completed its work with a final </w:t>
      </w:r>
      <w:r>
        <w:rPr>
          <w:spacing w:val="2"/>
          <w:w w:val="120"/>
          <w:sz w:val="20"/>
        </w:rPr>
        <w:t>report </w:t>
      </w:r>
      <w:r>
        <w:rPr>
          <w:w w:val="120"/>
          <w:sz w:val="20"/>
        </w:rPr>
        <w:t>to Mission Council in May </w:t>
      </w:r>
      <w:r>
        <w:rPr>
          <w:spacing w:val="-7"/>
          <w:w w:val="120"/>
          <w:sz w:val="20"/>
        </w:rPr>
        <w:t>2013. </w:t>
      </w:r>
      <w:r>
        <w:rPr>
          <w:w w:val="120"/>
          <w:sz w:val="20"/>
        </w:rPr>
        <w:t>The pastoral reference and welfare committee offered statements to the November </w:t>
      </w:r>
      <w:r>
        <w:rPr>
          <w:spacing w:val="-8"/>
          <w:w w:val="120"/>
          <w:sz w:val="20"/>
        </w:rPr>
        <w:t>2013 </w:t>
      </w:r>
      <w:r>
        <w:rPr>
          <w:w w:val="120"/>
          <w:sz w:val="20"/>
        </w:rPr>
        <w:t>and March </w:t>
      </w:r>
      <w:r>
        <w:rPr>
          <w:spacing w:val="-7"/>
          <w:w w:val="120"/>
          <w:sz w:val="20"/>
        </w:rPr>
        <w:t>2014 </w:t>
      </w:r>
      <w:r>
        <w:rPr>
          <w:w w:val="120"/>
          <w:sz w:val="20"/>
        </w:rPr>
        <w:t>meetings regarding a reconciliation process which has now come to</w:t>
      </w:r>
      <w:r>
        <w:rPr>
          <w:spacing w:val="35"/>
          <w:w w:val="120"/>
          <w:sz w:val="20"/>
        </w:rPr>
        <w:t> </w:t>
      </w:r>
      <w:r>
        <w:rPr>
          <w:w w:val="120"/>
          <w:sz w:val="20"/>
        </w:rPr>
        <w:t>completion.</w:t>
      </w:r>
    </w:p>
    <w:p>
      <w:pPr>
        <w:pStyle w:val="BodyText"/>
        <w:spacing w:before="1"/>
      </w:pPr>
    </w:p>
    <w:p>
      <w:pPr>
        <w:pStyle w:val="ListParagraph"/>
        <w:numPr>
          <w:ilvl w:val="1"/>
          <w:numId w:val="1"/>
        </w:numPr>
        <w:tabs>
          <w:tab w:pos="2664" w:val="left" w:leader="none"/>
          <w:tab w:pos="2665" w:val="left" w:leader="none"/>
        </w:tabs>
        <w:spacing w:line="235" w:lineRule="auto" w:before="0" w:after="0"/>
        <w:ind w:left="1984" w:right="1433" w:firstLine="0"/>
        <w:jc w:val="left"/>
        <w:rPr>
          <w:sz w:val="20"/>
        </w:rPr>
      </w:pPr>
      <w:r>
        <w:rPr>
          <w:w w:val="120"/>
          <w:sz w:val="20"/>
        </w:rPr>
        <w:t>A new role description for role of the synod moderator was approved for recommendation to General Assembly, bringing to completion the work of the review submitted to the </w:t>
      </w:r>
      <w:r>
        <w:rPr>
          <w:spacing w:val="-7"/>
          <w:w w:val="120"/>
          <w:sz w:val="20"/>
        </w:rPr>
        <w:t>2012 </w:t>
      </w:r>
      <w:r>
        <w:rPr>
          <w:w w:val="120"/>
          <w:sz w:val="20"/>
        </w:rPr>
        <w:t>Assembly which was remaindered due to lack of</w:t>
      </w:r>
      <w:r>
        <w:rPr>
          <w:spacing w:val="46"/>
          <w:w w:val="120"/>
          <w:sz w:val="20"/>
        </w:rPr>
        <w:t> </w:t>
      </w:r>
      <w:r>
        <w:rPr>
          <w:w w:val="120"/>
          <w:sz w:val="20"/>
        </w:rPr>
        <w:t>time.</w:t>
      </w:r>
    </w:p>
    <w:p>
      <w:pPr>
        <w:pStyle w:val="Heading4"/>
        <w:numPr>
          <w:ilvl w:val="0"/>
          <w:numId w:val="1"/>
        </w:numPr>
        <w:tabs>
          <w:tab w:pos="2664" w:val="left" w:leader="none"/>
          <w:tab w:pos="2665" w:val="left" w:leader="none"/>
        </w:tabs>
        <w:spacing w:line="240" w:lineRule="auto" w:before="215" w:after="0"/>
        <w:ind w:left="2664" w:right="0" w:hanging="681"/>
        <w:jc w:val="left"/>
      </w:pPr>
      <w:r>
        <w:rPr>
          <w:spacing w:val="4"/>
          <w:w w:val="110"/>
        </w:rPr>
        <w:t>Actions </w:t>
      </w:r>
      <w:r>
        <w:rPr>
          <w:spacing w:val="2"/>
          <w:w w:val="110"/>
        </w:rPr>
        <w:t>taken on </w:t>
      </w:r>
      <w:r>
        <w:rPr>
          <w:spacing w:val="4"/>
          <w:w w:val="110"/>
        </w:rPr>
        <w:t>behalf </w:t>
      </w:r>
      <w:r>
        <w:rPr>
          <w:w w:val="110"/>
        </w:rPr>
        <w:t>of </w:t>
      </w:r>
      <w:r>
        <w:rPr>
          <w:spacing w:val="4"/>
          <w:w w:val="110"/>
        </w:rPr>
        <w:t>General</w:t>
      </w:r>
      <w:r>
        <w:rPr>
          <w:spacing w:val="71"/>
          <w:w w:val="110"/>
        </w:rPr>
        <w:t> </w:t>
      </w:r>
      <w:r>
        <w:rPr>
          <w:spacing w:val="4"/>
          <w:w w:val="110"/>
        </w:rPr>
        <w:t>Assembly</w:t>
      </w:r>
    </w:p>
    <w:p>
      <w:pPr>
        <w:pStyle w:val="ListParagraph"/>
        <w:numPr>
          <w:ilvl w:val="1"/>
          <w:numId w:val="1"/>
        </w:numPr>
        <w:tabs>
          <w:tab w:pos="2664" w:val="left" w:leader="none"/>
          <w:tab w:pos="2665" w:val="left" w:leader="none"/>
        </w:tabs>
        <w:spacing w:line="240" w:lineRule="auto" w:before="65" w:after="0"/>
        <w:ind w:left="2664" w:right="0" w:hanging="681"/>
        <w:jc w:val="left"/>
        <w:rPr>
          <w:sz w:val="20"/>
        </w:rPr>
      </w:pPr>
      <w:r>
        <w:rPr>
          <w:w w:val="120"/>
          <w:sz w:val="20"/>
        </w:rPr>
        <w:t>The dates and venue for the </w:t>
      </w:r>
      <w:r>
        <w:rPr>
          <w:spacing w:val="-7"/>
          <w:w w:val="120"/>
          <w:sz w:val="20"/>
        </w:rPr>
        <w:t>2014 </w:t>
      </w:r>
      <w:r>
        <w:rPr>
          <w:w w:val="120"/>
          <w:sz w:val="20"/>
        </w:rPr>
        <w:t>General Assembly were</w:t>
      </w:r>
      <w:r>
        <w:rPr>
          <w:spacing w:val="34"/>
          <w:w w:val="120"/>
          <w:sz w:val="20"/>
        </w:rPr>
        <w:t> </w:t>
      </w:r>
      <w:r>
        <w:rPr>
          <w:w w:val="120"/>
          <w:sz w:val="20"/>
        </w:rPr>
        <w:t>agreed.</w:t>
      </w:r>
    </w:p>
    <w:p>
      <w:pPr>
        <w:pStyle w:val="BodyText"/>
        <w:spacing w:before="4"/>
        <w:rPr>
          <w:sz w:val="19"/>
        </w:rPr>
      </w:pPr>
    </w:p>
    <w:p>
      <w:pPr>
        <w:pStyle w:val="ListParagraph"/>
        <w:numPr>
          <w:ilvl w:val="1"/>
          <w:numId w:val="1"/>
        </w:numPr>
        <w:tabs>
          <w:tab w:pos="2664" w:val="left" w:leader="none"/>
          <w:tab w:pos="2665" w:val="left" w:leader="none"/>
        </w:tabs>
        <w:spacing w:line="240" w:lineRule="auto" w:before="0" w:after="0"/>
        <w:ind w:left="2664" w:right="0" w:hanging="681"/>
        <w:jc w:val="left"/>
        <w:rPr>
          <w:sz w:val="20"/>
        </w:rPr>
      </w:pPr>
      <w:r>
        <w:rPr>
          <w:w w:val="125"/>
          <w:sz w:val="20"/>
        </w:rPr>
        <w:t>The budgets for </w:t>
      </w:r>
      <w:r>
        <w:rPr>
          <w:spacing w:val="-8"/>
          <w:w w:val="125"/>
          <w:sz w:val="20"/>
        </w:rPr>
        <w:t>2013 </w:t>
      </w:r>
      <w:r>
        <w:rPr>
          <w:w w:val="125"/>
          <w:sz w:val="20"/>
        </w:rPr>
        <w:t>and </w:t>
      </w:r>
      <w:r>
        <w:rPr>
          <w:spacing w:val="-7"/>
          <w:w w:val="125"/>
          <w:sz w:val="20"/>
        </w:rPr>
        <w:t>2014 </w:t>
      </w:r>
      <w:r>
        <w:rPr>
          <w:w w:val="125"/>
          <w:sz w:val="20"/>
        </w:rPr>
        <w:t>were</w:t>
      </w:r>
      <w:r>
        <w:rPr>
          <w:spacing w:val="8"/>
          <w:w w:val="125"/>
          <w:sz w:val="20"/>
        </w:rPr>
        <w:t> </w:t>
      </w:r>
      <w:r>
        <w:rPr>
          <w:w w:val="125"/>
          <w:sz w:val="20"/>
        </w:rPr>
        <w:t>agreed.</w:t>
      </w:r>
    </w:p>
    <w:p>
      <w:pPr>
        <w:pStyle w:val="BodyText"/>
        <w:spacing w:before="7"/>
        <w:rPr>
          <w:sz w:val="19"/>
        </w:rPr>
      </w:pPr>
    </w:p>
    <w:p>
      <w:pPr>
        <w:pStyle w:val="ListParagraph"/>
        <w:numPr>
          <w:ilvl w:val="1"/>
          <w:numId w:val="1"/>
        </w:numPr>
        <w:tabs>
          <w:tab w:pos="2664" w:val="left" w:leader="none"/>
          <w:tab w:pos="2665" w:val="left" w:leader="none"/>
        </w:tabs>
        <w:spacing w:line="235" w:lineRule="auto" w:before="0" w:after="0"/>
        <w:ind w:left="1984" w:right="1506" w:firstLine="0"/>
        <w:jc w:val="left"/>
        <w:rPr>
          <w:sz w:val="20"/>
        </w:rPr>
      </w:pPr>
      <w:r>
        <w:rPr>
          <w:w w:val="120"/>
          <w:sz w:val="20"/>
        </w:rPr>
        <w:t>Given the changes soon to be implemented in the general secretariat, Mission Council determined that the officers of Assembly would be the serving moderators    of General Assembly, the general secretary, the clerk, the treasurer, and the convener of the Assembly arrangements committee. They further agreed that the three deputy general secretaries and the deputy treasurer would not be members of the Mission Council advisory</w:t>
      </w:r>
      <w:r>
        <w:rPr>
          <w:spacing w:val="5"/>
          <w:w w:val="120"/>
          <w:sz w:val="20"/>
        </w:rPr>
        <w:t> </w:t>
      </w:r>
      <w:r>
        <w:rPr>
          <w:w w:val="120"/>
          <w:sz w:val="20"/>
        </w:rPr>
        <w:t>group.</w:t>
      </w:r>
    </w:p>
    <w:p>
      <w:pPr>
        <w:pStyle w:val="BodyText"/>
        <w:spacing w:before="9"/>
        <w:rPr>
          <w:sz w:val="18"/>
        </w:rPr>
      </w:pPr>
    </w:p>
    <w:p>
      <w:pPr>
        <w:pStyle w:val="Heading9"/>
        <w:numPr>
          <w:ilvl w:val="1"/>
          <w:numId w:val="1"/>
        </w:numPr>
        <w:tabs>
          <w:tab w:pos="2664" w:val="left" w:leader="none"/>
          <w:tab w:pos="2665" w:val="left" w:leader="none"/>
        </w:tabs>
        <w:spacing w:line="255" w:lineRule="exact" w:before="0" w:after="0"/>
        <w:ind w:left="2664" w:right="0" w:hanging="681"/>
        <w:jc w:val="left"/>
      </w:pPr>
      <w:r>
        <w:rPr>
          <w:w w:val="110"/>
        </w:rPr>
        <w:t>Appointments and</w:t>
      </w:r>
      <w:r>
        <w:rPr>
          <w:spacing w:val="-1"/>
          <w:w w:val="110"/>
        </w:rPr>
        <w:t> </w:t>
      </w:r>
      <w:r>
        <w:rPr>
          <w:w w:val="110"/>
        </w:rPr>
        <w:t>re-appointments</w:t>
      </w:r>
    </w:p>
    <w:p>
      <w:pPr>
        <w:pStyle w:val="ListParagraph"/>
        <w:numPr>
          <w:ilvl w:val="2"/>
          <w:numId w:val="1"/>
        </w:numPr>
        <w:tabs>
          <w:tab w:pos="2665" w:val="left" w:leader="none"/>
        </w:tabs>
        <w:spacing w:line="246" w:lineRule="exact" w:before="0" w:after="0"/>
        <w:ind w:left="2664" w:right="0" w:hanging="681"/>
        <w:jc w:val="left"/>
        <w:rPr>
          <w:rFonts w:ascii="Stone Sans II ITC Std Bk"/>
          <w:b/>
          <w:sz w:val="20"/>
        </w:rPr>
      </w:pPr>
      <w:r>
        <w:rPr>
          <w:rFonts w:ascii="Stone Sans II ITC Std Bk"/>
          <w:b/>
          <w:w w:val="110"/>
          <w:sz w:val="20"/>
        </w:rPr>
        <w:t>Appointments</w:t>
      </w:r>
    </w:p>
    <w:p>
      <w:pPr>
        <w:pStyle w:val="BodyText"/>
        <w:spacing w:line="235" w:lineRule="auto"/>
        <w:ind w:left="1984" w:right="1352"/>
      </w:pPr>
      <w:r>
        <w:rPr>
          <w:w w:val="120"/>
        </w:rPr>
        <w:t>Acting on behalf of General Assembly, Mission Council appointed the full list of committee members and representatives as presented by the nominations committee in the year in which Assembly did not meet. Other appointments to Assembly work were as follows:</w:t>
      </w:r>
    </w:p>
    <w:p>
      <w:pPr>
        <w:pStyle w:val="BodyText"/>
        <w:spacing w:before="6"/>
        <w:rPr>
          <w:sz w:val="19"/>
        </w:rPr>
      </w:pPr>
    </w:p>
    <w:p>
      <w:pPr>
        <w:pStyle w:val="ListParagraph"/>
        <w:numPr>
          <w:ilvl w:val="0"/>
          <w:numId w:val="4"/>
        </w:numPr>
        <w:tabs>
          <w:tab w:pos="2664" w:val="left" w:leader="none"/>
          <w:tab w:pos="2665" w:val="left" w:leader="none"/>
        </w:tabs>
        <w:spacing w:line="235" w:lineRule="auto" w:before="0" w:after="0"/>
        <w:ind w:left="2664" w:right="1972" w:hanging="681"/>
        <w:jc w:val="left"/>
        <w:rPr>
          <w:sz w:val="20"/>
        </w:rPr>
      </w:pPr>
      <w:r>
        <w:rPr>
          <w:w w:val="120"/>
          <w:sz w:val="20"/>
        </w:rPr>
        <w:t>The Revd Ruth Whitehead as moderator of the South Western Synod from July </w:t>
      </w:r>
      <w:r>
        <w:rPr>
          <w:spacing w:val="-8"/>
          <w:w w:val="120"/>
          <w:sz w:val="20"/>
        </w:rPr>
        <w:t>2013 </w:t>
      </w:r>
      <w:r>
        <w:rPr>
          <w:w w:val="120"/>
          <w:sz w:val="20"/>
        </w:rPr>
        <w:t>to June</w:t>
      </w:r>
      <w:r>
        <w:rPr>
          <w:spacing w:val="15"/>
          <w:w w:val="120"/>
          <w:sz w:val="20"/>
        </w:rPr>
        <w:t> </w:t>
      </w:r>
      <w:r>
        <w:rPr>
          <w:w w:val="120"/>
          <w:sz w:val="20"/>
        </w:rPr>
        <w:t>2020;</w:t>
      </w:r>
    </w:p>
    <w:p>
      <w:pPr>
        <w:pStyle w:val="BodyText"/>
        <w:spacing w:before="9"/>
        <w:rPr>
          <w:sz w:val="19"/>
        </w:rPr>
      </w:pPr>
    </w:p>
    <w:p>
      <w:pPr>
        <w:pStyle w:val="ListParagraph"/>
        <w:numPr>
          <w:ilvl w:val="0"/>
          <w:numId w:val="4"/>
        </w:numPr>
        <w:tabs>
          <w:tab w:pos="2664" w:val="left" w:leader="none"/>
          <w:tab w:pos="2665" w:val="left" w:leader="none"/>
        </w:tabs>
        <w:spacing w:line="235" w:lineRule="auto" w:before="0" w:after="0"/>
        <w:ind w:left="2664" w:right="2305" w:hanging="681"/>
        <w:jc w:val="left"/>
        <w:rPr>
          <w:sz w:val="20"/>
        </w:rPr>
      </w:pPr>
      <w:r>
        <w:rPr>
          <w:w w:val="120"/>
          <w:sz w:val="20"/>
        </w:rPr>
        <w:t>The Revd Pamela Ward as convener of the maintenance of the</w:t>
      </w:r>
      <w:r>
        <w:rPr>
          <w:spacing w:val="-35"/>
          <w:w w:val="120"/>
          <w:sz w:val="20"/>
        </w:rPr>
        <w:t> </w:t>
      </w:r>
      <w:r>
        <w:rPr>
          <w:w w:val="120"/>
          <w:sz w:val="20"/>
        </w:rPr>
        <w:t>ministry sub-committee until July</w:t>
      </w:r>
      <w:r>
        <w:rPr>
          <w:spacing w:val="6"/>
          <w:w w:val="120"/>
          <w:sz w:val="20"/>
        </w:rPr>
        <w:t> </w:t>
      </w:r>
      <w:r>
        <w:rPr>
          <w:spacing w:val="-9"/>
          <w:w w:val="120"/>
          <w:sz w:val="20"/>
        </w:rPr>
        <w:t>2017;</w:t>
      </w:r>
    </w:p>
    <w:p>
      <w:pPr>
        <w:pStyle w:val="BodyText"/>
        <w:spacing w:before="10"/>
        <w:rPr>
          <w:sz w:val="19"/>
        </w:rPr>
      </w:pPr>
    </w:p>
    <w:p>
      <w:pPr>
        <w:pStyle w:val="ListParagraph"/>
        <w:numPr>
          <w:ilvl w:val="0"/>
          <w:numId w:val="4"/>
        </w:numPr>
        <w:tabs>
          <w:tab w:pos="2664" w:val="left" w:leader="none"/>
          <w:tab w:pos="2665" w:val="left" w:leader="none"/>
        </w:tabs>
        <w:spacing w:line="235" w:lineRule="auto" w:before="0" w:after="0"/>
        <w:ind w:left="2664" w:right="1687" w:hanging="681"/>
        <w:jc w:val="left"/>
        <w:rPr>
          <w:sz w:val="20"/>
        </w:rPr>
      </w:pPr>
      <w:r>
        <w:rPr>
          <w:w w:val="120"/>
          <w:sz w:val="20"/>
        </w:rPr>
        <w:t>Dr Chris Evans as convener of the pensions executive from January </w:t>
      </w:r>
      <w:r>
        <w:rPr>
          <w:spacing w:val="-8"/>
          <w:w w:val="120"/>
          <w:sz w:val="20"/>
        </w:rPr>
        <w:t>2013 </w:t>
      </w:r>
      <w:r>
        <w:rPr>
          <w:w w:val="120"/>
          <w:sz w:val="20"/>
        </w:rPr>
        <w:t>until June</w:t>
      </w:r>
      <w:r>
        <w:rPr>
          <w:spacing w:val="2"/>
          <w:w w:val="120"/>
          <w:sz w:val="20"/>
        </w:rPr>
        <w:t> </w:t>
      </w:r>
      <w:r>
        <w:rPr>
          <w:spacing w:val="-9"/>
          <w:w w:val="120"/>
          <w:sz w:val="20"/>
        </w:rPr>
        <w:t>2017;</w:t>
      </w:r>
    </w:p>
    <w:p>
      <w:pPr>
        <w:spacing w:after="0" w:line="235" w:lineRule="auto"/>
        <w:jc w:val="left"/>
        <w:rPr>
          <w:sz w:val="20"/>
        </w:rPr>
        <w:sectPr>
          <w:headerReference w:type="default" r:id="rId43"/>
          <w:pgSz w:w="11910" w:h="16840"/>
          <w:pgMar w:header="0" w:footer="647" w:top="0" w:bottom="840" w:left="0" w:right="0"/>
        </w:sectPr>
      </w:pPr>
    </w:p>
    <w:p>
      <w:pPr>
        <w:pStyle w:val="BodyText"/>
      </w:pPr>
      <w:r>
        <w:rPr/>
        <w:drawing>
          <wp:anchor distT="0" distB="0" distL="0" distR="0" allowOverlap="1" layoutInCell="1" locked="0" behindDoc="0" simplePos="0" relativeHeight="251682816">
            <wp:simplePos x="0" y="0"/>
            <wp:positionH relativeFrom="page">
              <wp:posOffset>0</wp:posOffset>
            </wp:positionH>
            <wp:positionV relativeFrom="page">
              <wp:posOffset>0</wp:posOffset>
            </wp:positionV>
            <wp:extent cx="594067" cy="10692003"/>
            <wp:effectExtent l="0" t="0" r="0" b="0"/>
            <wp:wrapNone/>
            <wp:docPr id="17" name="image22.png"/>
            <wp:cNvGraphicFramePr>
              <a:graphicFrameLocks noChangeAspect="1"/>
            </wp:cNvGraphicFramePr>
            <a:graphic>
              <a:graphicData uri="http://schemas.openxmlformats.org/drawingml/2006/picture">
                <pic:pic>
                  <pic:nvPicPr>
                    <pic:cNvPr id="18" name="image22.png"/>
                    <pic:cNvPicPr/>
                  </pic:nvPicPr>
                  <pic:blipFill>
                    <a:blip r:embed="rId33"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spacing w:before="106"/>
        <w:ind w:left="1247" w:right="0" w:firstLine="0"/>
        <w:jc w:val="left"/>
        <w:rPr>
          <w:sz w:val="26"/>
        </w:rPr>
      </w:pPr>
      <w:r>
        <w:rPr/>
        <w:pict>
          <v:shape style="position:absolute;margin-left:20.519100pt;margin-top:22.593945pt;width:25.9pt;height:163.2pt;mso-position-horizontal-relative:page;mso-position-vertical-relative:paragraph;z-index:251683840" type="#_x0000_t202" filled="false" stroked="false">
            <v:textbox inset="0,0,0,0" style="layout-flow:vertical">
              <w:txbxContent>
                <w:p>
                  <w:pPr>
                    <w:spacing w:before="27"/>
                    <w:ind w:left="20" w:right="0" w:firstLine="0"/>
                    <w:jc w:val="left"/>
                    <w:rPr>
                      <w:sz w:val="39"/>
                    </w:rPr>
                  </w:pPr>
                  <w:r>
                    <w:rPr>
                      <w:color w:val="FFFFFF"/>
                      <w:w w:val="125"/>
                      <w:sz w:val="39"/>
                    </w:rPr>
                    <w:t>Mission Council</w:t>
                  </w:r>
                </w:p>
              </w:txbxContent>
            </v:textbox>
            <w10:wrap type="none"/>
          </v:shape>
        </w:pict>
      </w:r>
      <w:r>
        <w:rPr>
          <w:color w:val="7EAABF"/>
          <w:w w:val="120"/>
          <w:sz w:val="26"/>
        </w:rPr>
        <w:t>Mission Council</w:t>
      </w:r>
    </w:p>
    <w:p>
      <w:pPr>
        <w:pStyle w:val="ListParagraph"/>
        <w:numPr>
          <w:ilvl w:val="0"/>
          <w:numId w:val="4"/>
        </w:numPr>
        <w:tabs>
          <w:tab w:pos="1927" w:val="left" w:leader="none"/>
          <w:tab w:pos="1928" w:val="left" w:leader="none"/>
        </w:tabs>
        <w:spacing w:line="240" w:lineRule="auto" w:before="218" w:after="0"/>
        <w:ind w:left="1927" w:right="0" w:hanging="681"/>
        <w:jc w:val="left"/>
        <w:rPr>
          <w:sz w:val="20"/>
        </w:rPr>
      </w:pPr>
      <w:r>
        <w:rPr>
          <w:w w:val="120"/>
          <w:sz w:val="20"/>
        </w:rPr>
        <w:t>Dr Ian Harrison as a member of the United Reformed Church trust until July</w:t>
      </w:r>
      <w:r>
        <w:rPr>
          <w:spacing w:val="31"/>
          <w:w w:val="120"/>
          <w:sz w:val="20"/>
        </w:rPr>
        <w:t> </w:t>
      </w:r>
      <w:r>
        <w:rPr>
          <w:spacing w:val="-7"/>
          <w:w w:val="120"/>
          <w:sz w:val="20"/>
        </w:rPr>
        <w:t>2014;</w:t>
      </w:r>
    </w:p>
    <w:p>
      <w:pPr>
        <w:pStyle w:val="BodyText"/>
        <w:spacing w:before="7"/>
        <w:rPr>
          <w:sz w:val="19"/>
        </w:rPr>
      </w:pPr>
    </w:p>
    <w:p>
      <w:pPr>
        <w:pStyle w:val="ListParagraph"/>
        <w:numPr>
          <w:ilvl w:val="0"/>
          <w:numId w:val="4"/>
        </w:numPr>
        <w:tabs>
          <w:tab w:pos="1927" w:val="left" w:leader="none"/>
          <w:tab w:pos="1928" w:val="left" w:leader="none"/>
        </w:tabs>
        <w:spacing w:line="235" w:lineRule="auto" w:before="0" w:after="0"/>
        <w:ind w:left="1927" w:right="3121" w:hanging="681"/>
        <w:jc w:val="left"/>
        <w:rPr>
          <w:sz w:val="20"/>
        </w:rPr>
      </w:pPr>
      <w:r>
        <w:rPr>
          <w:w w:val="120"/>
          <w:sz w:val="20"/>
        </w:rPr>
        <w:t>The Revd </w:t>
      </w:r>
      <w:r>
        <w:rPr>
          <w:spacing w:val="2"/>
          <w:w w:val="120"/>
          <w:sz w:val="20"/>
        </w:rPr>
        <w:t>Nigel Uden </w:t>
      </w:r>
      <w:r>
        <w:rPr>
          <w:w w:val="120"/>
          <w:sz w:val="20"/>
        </w:rPr>
        <w:t>as convener-elect of the </w:t>
      </w:r>
      <w:r>
        <w:rPr>
          <w:spacing w:val="2"/>
          <w:w w:val="120"/>
          <w:sz w:val="20"/>
        </w:rPr>
        <w:t>board </w:t>
      </w:r>
      <w:r>
        <w:rPr>
          <w:w w:val="120"/>
          <w:sz w:val="20"/>
        </w:rPr>
        <w:t>of </w:t>
      </w:r>
      <w:r>
        <w:rPr>
          <w:spacing w:val="2"/>
          <w:w w:val="120"/>
          <w:sz w:val="20"/>
        </w:rPr>
        <w:t>governors </w:t>
      </w:r>
      <w:r>
        <w:rPr>
          <w:w w:val="120"/>
          <w:sz w:val="20"/>
        </w:rPr>
        <w:t>of Westminster</w:t>
      </w:r>
      <w:r>
        <w:rPr>
          <w:spacing w:val="6"/>
          <w:w w:val="120"/>
          <w:sz w:val="20"/>
        </w:rPr>
        <w:t> </w:t>
      </w:r>
      <w:r>
        <w:rPr>
          <w:w w:val="120"/>
          <w:sz w:val="20"/>
        </w:rPr>
        <w:t>College;</w:t>
      </w:r>
    </w:p>
    <w:p>
      <w:pPr>
        <w:pStyle w:val="BodyText"/>
        <w:spacing w:before="6"/>
        <w:rPr>
          <w:sz w:val="19"/>
        </w:rPr>
      </w:pPr>
    </w:p>
    <w:p>
      <w:pPr>
        <w:pStyle w:val="ListParagraph"/>
        <w:numPr>
          <w:ilvl w:val="0"/>
          <w:numId w:val="4"/>
        </w:numPr>
        <w:tabs>
          <w:tab w:pos="1927" w:val="left" w:leader="none"/>
          <w:tab w:pos="1928" w:val="left" w:leader="none"/>
        </w:tabs>
        <w:spacing w:line="240" w:lineRule="auto" w:before="0" w:after="0"/>
        <w:ind w:left="1927" w:right="0" w:hanging="681"/>
        <w:jc w:val="left"/>
        <w:rPr>
          <w:sz w:val="20"/>
        </w:rPr>
      </w:pPr>
      <w:r>
        <w:rPr>
          <w:w w:val="120"/>
          <w:sz w:val="20"/>
        </w:rPr>
        <w:t>Chris Wright as clerk to the board of governors at Westminster</w:t>
      </w:r>
      <w:r>
        <w:rPr>
          <w:spacing w:val="25"/>
          <w:w w:val="120"/>
          <w:sz w:val="20"/>
        </w:rPr>
        <w:t> </w:t>
      </w:r>
      <w:r>
        <w:rPr>
          <w:w w:val="120"/>
          <w:sz w:val="20"/>
        </w:rPr>
        <w:t>College;</w:t>
      </w:r>
    </w:p>
    <w:p>
      <w:pPr>
        <w:pStyle w:val="BodyText"/>
        <w:spacing w:before="4"/>
        <w:rPr>
          <w:sz w:val="19"/>
        </w:rPr>
      </w:pPr>
    </w:p>
    <w:p>
      <w:pPr>
        <w:pStyle w:val="ListParagraph"/>
        <w:numPr>
          <w:ilvl w:val="0"/>
          <w:numId w:val="4"/>
        </w:numPr>
        <w:tabs>
          <w:tab w:pos="1927" w:val="left" w:leader="none"/>
          <w:tab w:pos="1928" w:val="left" w:leader="none"/>
        </w:tabs>
        <w:spacing w:line="240" w:lineRule="auto" w:before="0" w:after="0"/>
        <w:ind w:left="1927" w:right="0" w:hanging="681"/>
        <w:jc w:val="left"/>
        <w:rPr>
          <w:sz w:val="20"/>
        </w:rPr>
      </w:pPr>
      <w:r>
        <w:rPr>
          <w:w w:val="120"/>
          <w:sz w:val="20"/>
        </w:rPr>
        <w:t>Richard Nunn as chair of the URC pensions</w:t>
      </w:r>
      <w:r>
        <w:rPr>
          <w:spacing w:val="15"/>
          <w:w w:val="120"/>
          <w:sz w:val="20"/>
        </w:rPr>
        <w:t> </w:t>
      </w:r>
      <w:r>
        <w:rPr>
          <w:w w:val="120"/>
          <w:sz w:val="20"/>
        </w:rPr>
        <w:t>trust;</w:t>
      </w:r>
    </w:p>
    <w:p>
      <w:pPr>
        <w:pStyle w:val="BodyText"/>
        <w:spacing w:before="4"/>
        <w:rPr>
          <w:sz w:val="19"/>
        </w:rPr>
      </w:pPr>
    </w:p>
    <w:p>
      <w:pPr>
        <w:pStyle w:val="ListParagraph"/>
        <w:numPr>
          <w:ilvl w:val="0"/>
          <w:numId w:val="4"/>
        </w:numPr>
        <w:tabs>
          <w:tab w:pos="1927" w:val="left" w:leader="none"/>
          <w:tab w:pos="1928" w:val="left" w:leader="none"/>
        </w:tabs>
        <w:spacing w:line="240" w:lineRule="auto" w:before="0" w:after="0"/>
        <w:ind w:left="1927" w:right="0" w:hanging="681"/>
        <w:jc w:val="left"/>
        <w:rPr>
          <w:sz w:val="20"/>
        </w:rPr>
      </w:pPr>
      <w:r>
        <w:rPr>
          <w:w w:val="120"/>
          <w:sz w:val="20"/>
        </w:rPr>
        <w:t>The Revd Dick Gray as deputy</w:t>
      </w:r>
      <w:r>
        <w:rPr>
          <w:spacing w:val="12"/>
          <w:w w:val="120"/>
          <w:sz w:val="20"/>
        </w:rPr>
        <w:t> </w:t>
      </w:r>
      <w:r>
        <w:rPr>
          <w:w w:val="120"/>
          <w:sz w:val="20"/>
        </w:rPr>
        <w:t>treasurer;</w:t>
      </w:r>
    </w:p>
    <w:p>
      <w:pPr>
        <w:pStyle w:val="BodyText"/>
        <w:spacing w:before="8"/>
        <w:rPr>
          <w:sz w:val="19"/>
        </w:rPr>
      </w:pPr>
    </w:p>
    <w:p>
      <w:pPr>
        <w:pStyle w:val="ListParagraph"/>
        <w:numPr>
          <w:ilvl w:val="0"/>
          <w:numId w:val="4"/>
        </w:numPr>
        <w:tabs>
          <w:tab w:pos="1927" w:val="left" w:leader="none"/>
          <w:tab w:pos="1928" w:val="left" w:leader="none"/>
        </w:tabs>
        <w:spacing w:line="235" w:lineRule="auto" w:before="0" w:after="0"/>
        <w:ind w:left="1927" w:right="3507" w:hanging="681"/>
        <w:jc w:val="left"/>
        <w:rPr>
          <w:sz w:val="20"/>
        </w:rPr>
      </w:pPr>
      <w:r>
        <w:rPr>
          <w:w w:val="120"/>
          <w:sz w:val="20"/>
        </w:rPr>
        <w:t>The Revd Kate Gray and the Revd Ashley Evans as members of the communications and editorial</w:t>
      </w:r>
      <w:r>
        <w:rPr>
          <w:spacing w:val="6"/>
          <w:w w:val="120"/>
          <w:sz w:val="20"/>
        </w:rPr>
        <w:t> </w:t>
      </w:r>
      <w:r>
        <w:rPr>
          <w:w w:val="120"/>
          <w:sz w:val="20"/>
        </w:rPr>
        <w:t>committee.</w:t>
      </w:r>
    </w:p>
    <w:p>
      <w:pPr>
        <w:pStyle w:val="BodyText"/>
        <w:spacing w:before="9"/>
        <w:rPr>
          <w:sz w:val="19"/>
        </w:rPr>
      </w:pPr>
    </w:p>
    <w:p>
      <w:pPr>
        <w:pStyle w:val="ListParagraph"/>
        <w:numPr>
          <w:ilvl w:val="0"/>
          <w:numId w:val="4"/>
        </w:numPr>
        <w:tabs>
          <w:tab w:pos="1927" w:val="left" w:leader="none"/>
          <w:tab w:pos="1928" w:val="left" w:leader="none"/>
        </w:tabs>
        <w:spacing w:line="235" w:lineRule="auto" w:before="0" w:after="0"/>
        <w:ind w:left="1927" w:right="2100" w:hanging="681"/>
        <w:jc w:val="left"/>
        <w:rPr>
          <w:sz w:val="20"/>
        </w:rPr>
      </w:pPr>
      <w:r>
        <w:rPr>
          <w:spacing w:val="2"/>
          <w:w w:val="120"/>
          <w:sz w:val="20"/>
        </w:rPr>
        <w:t>The </w:t>
      </w:r>
      <w:r>
        <w:rPr>
          <w:w w:val="120"/>
          <w:sz w:val="20"/>
        </w:rPr>
        <w:t>Revd Rowena Francis completed her </w:t>
      </w:r>
      <w:r>
        <w:rPr>
          <w:spacing w:val="2"/>
          <w:w w:val="120"/>
          <w:sz w:val="20"/>
        </w:rPr>
        <w:t>service </w:t>
      </w:r>
      <w:r>
        <w:rPr>
          <w:w w:val="120"/>
          <w:sz w:val="20"/>
        </w:rPr>
        <w:t>as </w:t>
      </w:r>
      <w:r>
        <w:rPr>
          <w:spacing w:val="2"/>
          <w:w w:val="120"/>
          <w:sz w:val="20"/>
        </w:rPr>
        <w:t>moderator </w:t>
      </w:r>
      <w:r>
        <w:rPr>
          <w:w w:val="120"/>
          <w:sz w:val="20"/>
        </w:rPr>
        <w:t>of the </w:t>
      </w:r>
      <w:r>
        <w:rPr>
          <w:spacing w:val="4"/>
          <w:w w:val="120"/>
          <w:sz w:val="20"/>
        </w:rPr>
        <w:t>Northern </w:t>
      </w:r>
      <w:r>
        <w:rPr>
          <w:w w:val="120"/>
          <w:sz w:val="20"/>
        </w:rPr>
        <w:t>Synod in July </w:t>
      </w:r>
      <w:r>
        <w:rPr>
          <w:spacing w:val="-6"/>
          <w:w w:val="120"/>
          <w:sz w:val="20"/>
        </w:rPr>
        <w:t>2013. </w:t>
      </w:r>
      <w:r>
        <w:rPr>
          <w:spacing w:val="2"/>
          <w:w w:val="120"/>
          <w:sz w:val="20"/>
        </w:rPr>
        <w:t>The </w:t>
      </w:r>
      <w:r>
        <w:rPr>
          <w:w w:val="120"/>
          <w:sz w:val="20"/>
        </w:rPr>
        <w:t>Revd Lis Mullen was appointed interim </w:t>
      </w:r>
      <w:r>
        <w:rPr>
          <w:spacing w:val="3"/>
          <w:w w:val="120"/>
          <w:sz w:val="20"/>
        </w:rPr>
        <w:t>synod  </w:t>
      </w:r>
      <w:r>
        <w:rPr>
          <w:spacing w:val="2"/>
          <w:w w:val="120"/>
          <w:sz w:val="20"/>
        </w:rPr>
        <w:t>moderator</w:t>
      </w:r>
      <w:r>
        <w:rPr>
          <w:spacing w:val="8"/>
          <w:w w:val="120"/>
          <w:sz w:val="20"/>
        </w:rPr>
        <w:t> </w:t>
      </w:r>
      <w:r>
        <w:rPr>
          <w:w w:val="120"/>
          <w:sz w:val="20"/>
        </w:rPr>
        <w:t>with</w:t>
      </w:r>
      <w:r>
        <w:rPr>
          <w:spacing w:val="8"/>
          <w:w w:val="120"/>
          <w:sz w:val="20"/>
        </w:rPr>
        <w:t> </w:t>
      </w:r>
      <w:r>
        <w:rPr>
          <w:w w:val="120"/>
          <w:sz w:val="20"/>
        </w:rPr>
        <w:t>a</w:t>
      </w:r>
      <w:r>
        <w:rPr>
          <w:spacing w:val="8"/>
          <w:w w:val="120"/>
          <w:sz w:val="20"/>
        </w:rPr>
        <w:t> </w:t>
      </w:r>
      <w:r>
        <w:rPr>
          <w:spacing w:val="2"/>
          <w:w w:val="120"/>
          <w:sz w:val="20"/>
        </w:rPr>
        <w:t>transitional</w:t>
      </w:r>
      <w:r>
        <w:rPr>
          <w:spacing w:val="8"/>
          <w:w w:val="120"/>
          <w:sz w:val="20"/>
        </w:rPr>
        <w:t> </w:t>
      </w:r>
      <w:r>
        <w:rPr>
          <w:spacing w:val="2"/>
          <w:w w:val="120"/>
          <w:sz w:val="20"/>
        </w:rPr>
        <w:t>brief</w:t>
      </w:r>
      <w:r>
        <w:rPr>
          <w:spacing w:val="8"/>
          <w:w w:val="120"/>
          <w:sz w:val="20"/>
        </w:rPr>
        <w:t> </w:t>
      </w:r>
      <w:r>
        <w:rPr>
          <w:w w:val="120"/>
          <w:sz w:val="20"/>
        </w:rPr>
        <w:t>within</w:t>
      </w:r>
      <w:r>
        <w:rPr>
          <w:spacing w:val="8"/>
          <w:w w:val="120"/>
          <w:sz w:val="20"/>
        </w:rPr>
        <w:t> </w:t>
      </w:r>
      <w:r>
        <w:rPr>
          <w:w w:val="120"/>
          <w:sz w:val="20"/>
        </w:rPr>
        <w:t>the</w:t>
      </w:r>
      <w:r>
        <w:rPr>
          <w:spacing w:val="8"/>
          <w:w w:val="120"/>
          <w:sz w:val="20"/>
        </w:rPr>
        <w:t> </w:t>
      </w:r>
      <w:r>
        <w:rPr>
          <w:w w:val="120"/>
          <w:sz w:val="20"/>
        </w:rPr>
        <w:t>larger</w:t>
      </w:r>
      <w:r>
        <w:rPr>
          <w:spacing w:val="8"/>
          <w:w w:val="120"/>
          <w:sz w:val="20"/>
        </w:rPr>
        <w:t> </w:t>
      </w:r>
      <w:r>
        <w:rPr>
          <w:w w:val="120"/>
          <w:sz w:val="20"/>
        </w:rPr>
        <w:t>discussions</w:t>
      </w:r>
      <w:r>
        <w:rPr>
          <w:spacing w:val="8"/>
          <w:w w:val="120"/>
          <w:sz w:val="20"/>
        </w:rPr>
        <w:t> </w:t>
      </w:r>
      <w:r>
        <w:rPr>
          <w:w w:val="120"/>
          <w:sz w:val="20"/>
        </w:rPr>
        <w:t>across</w:t>
      </w:r>
      <w:r>
        <w:rPr>
          <w:spacing w:val="8"/>
          <w:w w:val="120"/>
          <w:sz w:val="20"/>
        </w:rPr>
        <w:t> </w:t>
      </w:r>
      <w:r>
        <w:rPr>
          <w:w w:val="120"/>
          <w:sz w:val="20"/>
        </w:rPr>
        <w:t>the</w:t>
      </w:r>
    </w:p>
    <w:p>
      <w:pPr>
        <w:pStyle w:val="BodyText"/>
        <w:spacing w:line="243" w:lineRule="exact"/>
        <w:ind w:left="1927"/>
      </w:pPr>
      <w:r>
        <w:rPr>
          <w:w w:val="120"/>
        </w:rPr>
        <w:t>five </w:t>
      </w:r>
      <w:r>
        <w:rPr>
          <w:spacing w:val="3"/>
          <w:w w:val="120"/>
        </w:rPr>
        <w:t>northern</w:t>
      </w:r>
      <w:r>
        <w:rPr>
          <w:spacing w:val="16"/>
          <w:w w:val="120"/>
        </w:rPr>
        <w:t> </w:t>
      </w:r>
      <w:r>
        <w:rPr>
          <w:spacing w:val="3"/>
          <w:w w:val="120"/>
        </w:rPr>
        <w:t>synods.</w:t>
      </w:r>
    </w:p>
    <w:p>
      <w:pPr>
        <w:pStyle w:val="BodyText"/>
        <w:spacing w:before="4"/>
        <w:rPr>
          <w:sz w:val="19"/>
        </w:rPr>
      </w:pPr>
    </w:p>
    <w:p>
      <w:pPr>
        <w:pStyle w:val="ListParagraph"/>
        <w:numPr>
          <w:ilvl w:val="2"/>
          <w:numId w:val="1"/>
        </w:numPr>
        <w:tabs>
          <w:tab w:pos="1928" w:val="left" w:leader="none"/>
        </w:tabs>
        <w:spacing w:line="240" w:lineRule="auto" w:before="0" w:after="0"/>
        <w:ind w:left="1927" w:right="0" w:hanging="681"/>
        <w:jc w:val="left"/>
        <w:rPr>
          <w:sz w:val="20"/>
        </w:rPr>
      </w:pPr>
      <w:r>
        <w:rPr>
          <w:w w:val="120"/>
          <w:sz w:val="20"/>
        </w:rPr>
        <w:t>These internal appointments were noted by Mission</w:t>
      </w:r>
      <w:r>
        <w:rPr>
          <w:spacing w:val="16"/>
          <w:w w:val="120"/>
          <w:sz w:val="20"/>
        </w:rPr>
        <w:t> </w:t>
      </w:r>
      <w:r>
        <w:rPr>
          <w:w w:val="120"/>
          <w:sz w:val="20"/>
        </w:rPr>
        <w:t>Council:</w:t>
      </w:r>
    </w:p>
    <w:p>
      <w:pPr>
        <w:pStyle w:val="BodyText"/>
        <w:spacing w:before="8"/>
        <w:rPr>
          <w:sz w:val="19"/>
        </w:rPr>
      </w:pPr>
    </w:p>
    <w:p>
      <w:pPr>
        <w:pStyle w:val="ListParagraph"/>
        <w:numPr>
          <w:ilvl w:val="0"/>
          <w:numId w:val="5"/>
        </w:numPr>
        <w:tabs>
          <w:tab w:pos="1927" w:val="left" w:leader="none"/>
          <w:tab w:pos="1928" w:val="left" w:leader="none"/>
        </w:tabs>
        <w:spacing w:line="235" w:lineRule="auto" w:before="0" w:after="0"/>
        <w:ind w:left="1927" w:right="2686" w:hanging="681"/>
        <w:jc w:val="left"/>
        <w:rPr>
          <w:sz w:val="20"/>
        </w:rPr>
      </w:pPr>
      <w:r>
        <w:rPr>
          <w:w w:val="120"/>
          <w:sz w:val="20"/>
        </w:rPr>
        <w:t>Mission Council welcomed the appointment of Dr Andrew Bradstock as secretary for church and society. This appointment had been made by the interviewing</w:t>
      </w:r>
      <w:r>
        <w:rPr>
          <w:spacing w:val="2"/>
          <w:w w:val="120"/>
          <w:sz w:val="20"/>
        </w:rPr>
        <w:t> </w:t>
      </w:r>
      <w:r>
        <w:rPr>
          <w:w w:val="120"/>
          <w:sz w:val="20"/>
        </w:rPr>
        <w:t>group.</w:t>
      </w:r>
    </w:p>
    <w:p>
      <w:pPr>
        <w:pStyle w:val="BodyText"/>
        <w:spacing w:before="10"/>
        <w:rPr>
          <w:sz w:val="19"/>
        </w:rPr>
      </w:pPr>
    </w:p>
    <w:p>
      <w:pPr>
        <w:pStyle w:val="ListParagraph"/>
        <w:numPr>
          <w:ilvl w:val="0"/>
          <w:numId w:val="5"/>
        </w:numPr>
        <w:tabs>
          <w:tab w:pos="1927" w:val="left" w:leader="none"/>
          <w:tab w:pos="1928" w:val="left" w:leader="none"/>
        </w:tabs>
        <w:spacing w:line="235" w:lineRule="auto" w:before="0" w:after="0"/>
        <w:ind w:left="1927" w:right="2108" w:hanging="681"/>
        <w:jc w:val="left"/>
        <w:rPr>
          <w:sz w:val="20"/>
        </w:rPr>
      </w:pPr>
      <w:r>
        <w:rPr>
          <w:w w:val="120"/>
          <w:sz w:val="20"/>
        </w:rPr>
        <w:t>The </w:t>
      </w:r>
      <w:r>
        <w:rPr>
          <w:spacing w:val="-3"/>
          <w:w w:val="120"/>
          <w:sz w:val="20"/>
        </w:rPr>
        <w:t>Revd </w:t>
      </w:r>
      <w:r>
        <w:rPr>
          <w:w w:val="120"/>
          <w:sz w:val="20"/>
        </w:rPr>
        <w:t>Richard Mortimer </w:t>
      </w:r>
      <w:r>
        <w:rPr>
          <w:spacing w:val="-3"/>
          <w:w w:val="120"/>
          <w:sz w:val="20"/>
        </w:rPr>
        <w:t>completed his </w:t>
      </w:r>
      <w:r>
        <w:rPr>
          <w:w w:val="120"/>
          <w:sz w:val="20"/>
        </w:rPr>
        <w:t>service as deputy general secretary in May </w:t>
      </w:r>
      <w:r>
        <w:rPr>
          <w:spacing w:val="-10"/>
          <w:w w:val="120"/>
          <w:sz w:val="20"/>
        </w:rPr>
        <w:t>2013 </w:t>
      </w:r>
      <w:r>
        <w:rPr>
          <w:w w:val="120"/>
          <w:sz w:val="20"/>
        </w:rPr>
        <w:t>and was warmly </w:t>
      </w:r>
      <w:r>
        <w:rPr>
          <w:spacing w:val="-3"/>
          <w:w w:val="120"/>
          <w:sz w:val="20"/>
        </w:rPr>
        <w:t>thanked. </w:t>
      </w:r>
      <w:r>
        <w:rPr>
          <w:w w:val="120"/>
          <w:sz w:val="20"/>
        </w:rPr>
        <w:t>The </w:t>
      </w:r>
      <w:r>
        <w:rPr>
          <w:spacing w:val="-3"/>
          <w:w w:val="120"/>
          <w:sz w:val="20"/>
        </w:rPr>
        <w:t>Revd David </w:t>
      </w:r>
      <w:r>
        <w:rPr>
          <w:w w:val="120"/>
          <w:sz w:val="20"/>
        </w:rPr>
        <w:t>Grosch-Miller was </w:t>
      </w:r>
      <w:r>
        <w:rPr>
          <w:spacing w:val="-2"/>
          <w:w w:val="120"/>
          <w:sz w:val="20"/>
        </w:rPr>
        <w:t>appointed </w:t>
      </w:r>
      <w:r>
        <w:rPr>
          <w:spacing w:val="-3"/>
          <w:w w:val="120"/>
          <w:sz w:val="20"/>
        </w:rPr>
        <w:t>to</w:t>
      </w:r>
      <w:r>
        <w:rPr>
          <w:spacing w:val="-6"/>
          <w:w w:val="120"/>
          <w:sz w:val="20"/>
        </w:rPr>
        <w:t> </w:t>
      </w:r>
      <w:r>
        <w:rPr>
          <w:w w:val="120"/>
          <w:sz w:val="20"/>
        </w:rPr>
        <w:t>serve</w:t>
      </w:r>
      <w:r>
        <w:rPr>
          <w:spacing w:val="-6"/>
          <w:w w:val="120"/>
          <w:sz w:val="20"/>
        </w:rPr>
        <w:t> </w:t>
      </w:r>
      <w:r>
        <w:rPr>
          <w:w w:val="120"/>
          <w:sz w:val="20"/>
        </w:rPr>
        <w:t>as</w:t>
      </w:r>
      <w:r>
        <w:rPr>
          <w:spacing w:val="-6"/>
          <w:w w:val="120"/>
          <w:sz w:val="20"/>
        </w:rPr>
        <w:t> </w:t>
      </w:r>
      <w:r>
        <w:rPr>
          <w:spacing w:val="-3"/>
          <w:w w:val="120"/>
          <w:sz w:val="20"/>
        </w:rPr>
        <w:t>interim</w:t>
      </w:r>
      <w:r>
        <w:rPr>
          <w:spacing w:val="-6"/>
          <w:w w:val="120"/>
          <w:sz w:val="20"/>
        </w:rPr>
        <w:t> </w:t>
      </w:r>
      <w:r>
        <w:rPr>
          <w:w w:val="120"/>
          <w:sz w:val="20"/>
        </w:rPr>
        <w:t>assistant</w:t>
      </w:r>
      <w:r>
        <w:rPr>
          <w:spacing w:val="-6"/>
          <w:w w:val="120"/>
          <w:sz w:val="20"/>
        </w:rPr>
        <w:t> </w:t>
      </w:r>
      <w:r>
        <w:rPr>
          <w:w w:val="120"/>
          <w:sz w:val="20"/>
        </w:rPr>
        <w:t>general</w:t>
      </w:r>
      <w:r>
        <w:rPr>
          <w:spacing w:val="-6"/>
          <w:w w:val="120"/>
          <w:sz w:val="20"/>
        </w:rPr>
        <w:t> </w:t>
      </w:r>
      <w:r>
        <w:rPr>
          <w:w w:val="120"/>
          <w:sz w:val="20"/>
        </w:rPr>
        <w:t>secretary</w:t>
      </w:r>
      <w:r>
        <w:rPr>
          <w:spacing w:val="-6"/>
          <w:w w:val="120"/>
          <w:sz w:val="20"/>
        </w:rPr>
        <w:t> </w:t>
      </w:r>
      <w:r>
        <w:rPr>
          <w:w w:val="120"/>
          <w:sz w:val="20"/>
        </w:rPr>
        <w:t>from</w:t>
      </w:r>
      <w:r>
        <w:rPr>
          <w:spacing w:val="-6"/>
          <w:w w:val="120"/>
          <w:sz w:val="20"/>
        </w:rPr>
        <w:t> </w:t>
      </w:r>
      <w:r>
        <w:rPr>
          <w:w w:val="120"/>
          <w:sz w:val="20"/>
        </w:rPr>
        <w:t>July</w:t>
      </w:r>
      <w:r>
        <w:rPr>
          <w:spacing w:val="-6"/>
          <w:w w:val="120"/>
          <w:sz w:val="20"/>
        </w:rPr>
        <w:t> </w:t>
      </w:r>
      <w:r>
        <w:rPr>
          <w:spacing w:val="-10"/>
          <w:w w:val="120"/>
          <w:sz w:val="20"/>
        </w:rPr>
        <w:t>2013</w:t>
      </w:r>
      <w:r>
        <w:rPr>
          <w:spacing w:val="-6"/>
          <w:w w:val="120"/>
          <w:sz w:val="20"/>
        </w:rPr>
        <w:t> </w:t>
      </w:r>
      <w:r>
        <w:rPr>
          <w:spacing w:val="-3"/>
          <w:w w:val="120"/>
          <w:sz w:val="20"/>
        </w:rPr>
        <w:t>until</w:t>
      </w:r>
      <w:r>
        <w:rPr>
          <w:spacing w:val="-6"/>
          <w:w w:val="120"/>
          <w:sz w:val="20"/>
        </w:rPr>
        <w:t> </w:t>
      </w:r>
      <w:r>
        <w:rPr>
          <w:w w:val="120"/>
          <w:sz w:val="20"/>
        </w:rPr>
        <w:t>June</w:t>
      </w:r>
      <w:r>
        <w:rPr>
          <w:spacing w:val="-6"/>
          <w:w w:val="120"/>
          <w:sz w:val="20"/>
        </w:rPr>
        <w:t> </w:t>
      </w:r>
      <w:r>
        <w:rPr>
          <w:spacing w:val="-8"/>
          <w:w w:val="120"/>
          <w:sz w:val="20"/>
        </w:rPr>
        <w:t>2014.</w:t>
      </w:r>
    </w:p>
    <w:p>
      <w:pPr>
        <w:pStyle w:val="BodyText"/>
        <w:spacing w:before="10"/>
        <w:rPr>
          <w:sz w:val="19"/>
        </w:rPr>
      </w:pPr>
    </w:p>
    <w:p>
      <w:pPr>
        <w:pStyle w:val="ListParagraph"/>
        <w:numPr>
          <w:ilvl w:val="0"/>
          <w:numId w:val="5"/>
        </w:numPr>
        <w:tabs>
          <w:tab w:pos="1927" w:val="left" w:leader="none"/>
          <w:tab w:pos="1928" w:val="left" w:leader="none"/>
        </w:tabs>
        <w:spacing w:line="235" w:lineRule="auto" w:before="1" w:after="0"/>
        <w:ind w:left="1927" w:right="2214" w:hanging="681"/>
        <w:jc w:val="left"/>
        <w:rPr>
          <w:sz w:val="20"/>
        </w:rPr>
      </w:pPr>
      <w:r>
        <w:rPr>
          <w:w w:val="120"/>
          <w:sz w:val="20"/>
        </w:rPr>
        <w:t>The Revd Martin Hazell completed his service as director of communications in September </w:t>
      </w:r>
      <w:r>
        <w:rPr>
          <w:spacing w:val="-8"/>
          <w:w w:val="120"/>
          <w:sz w:val="20"/>
        </w:rPr>
        <w:t>2013 </w:t>
      </w:r>
      <w:r>
        <w:rPr>
          <w:w w:val="120"/>
          <w:sz w:val="20"/>
        </w:rPr>
        <w:t>and Gill Nichol was appointed interim director to enable the communications and editorial committee to conduct a review of the priorities and staffing of the</w:t>
      </w:r>
      <w:r>
        <w:rPr>
          <w:spacing w:val="8"/>
          <w:w w:val="120"/>
          <w:sz w:val="20"/>
        </w:rPr>
        <w:t> </w:t>
      </w:r>
      <w:r>
        <w:rPr>
          <w:w w:val="120"/>
          <w:sz w:val="20"/>
        </w:rPr>
        <w:t>department.</w:t>
      </w:r>
    </w:p>
    <w:p>
      <w:pPr>
        <w:pStyle w:val="BodyText"/>
        <w:spacing w:before="7"/>
        <w:rPr>
          <w:sz w:val="19"/>
        </w:rPr>
      </w:pPr>
    </w:p>
    <w:p>
      <w:pPr>
        <w:pStyle w:val="ListParagraph"/>
        <w:numPr>
          <w:ilvl w:val="2"/>
          <w:numId w:val="1"/>
        </w:numPr>
        <w:tabs>
          <w:tab w:pos="1928" w:val="left" w:leader="none"/>
        </w:tabs>
        <w:spacing w:line="240" w:lineRule="auto" w:before="0" w:after="0"/>
        <w:ind w:left="1927" w:right="0" w:hanging="681"/>
        <w:jc w:val="left"/>
        <w:rPr>
          <w:sz w:val="20"/>
        </w:rPr>
      </w:pPr>
      <w:r>
        <w:rPr>
          <w:w w:val="120"/>
          <w:sz w:val="20"/>
        </w:rPr>
        <w:t>Acting on behalf of General Assembly, Mission Council</w:t>
      </w:r>
      <w:r>
        <w:rPr>
          <w:spacing w:val="22"/>
          <w:w w:val="120"/>
          <w:sz w:val="20"/>
        </w:rPr>
        <w:t> </w:t>
      </w:r>
      <w:r>
        <w:rPr>
          <w:w w:val="120"/>
          <w:sz w:val="20"/>
        </w:rPr>
        <w:t>reappointed:</w:t>
      </w:r>
    </w:p>
    <w:p>
      <w:pPr>
        <w:pStyle w:val="BodyText"/>
        <w:spacing w:before="7"/>
        <w:rPr>
          <w:sz w:val="19"/>
        </w:rPr>
      </w:pPr>
    </w:p>
    <w:p>
      <w:pPr>
        <w:pStyle w:val="ListParagraph"/>
        <w:numPr>
          <w:ilvl w:val="0"/>
          <w:numId w:val="6"/>
        </w:numPr>
        <w:tabs>
          <w:tab w:pos="1927" w:val="left" w:leader="none"/>
          <w:tab w:pos="1928" w:val="left" w:leader="none"/>
        </w:tabs>
        <w:spacing w:line="235" w:lineRule="auto" w:before="1" w:after="0"/>
        <w:ind w:left="1927" w:right="2108" w:hanging="681"/>
        <w:jc w:val="left"/>
        <w:rPr>
          <w:sz w:val="20"/>
        </w:rPr>
      </w:pPr>
      <w:r>
        <w:rPr>
          <w:w w:val="120"/>
          <w:sz w:val="20"/>
        </w:rPr>
        <w:t>John Ellis as treasurer until July </w:t>
      </w:r>
      <w:r>
        <w:rPr>
          <w:spacing w:val="-12"/>
          <w:w w:val="120"/>
          <w:sz w:val="20"/>
        </w:rPr>
        <w:t>2017, </w:t>
      </w:r>
      <w:r>
        <w:rPr>
          <w:w w:val="120"/>
          <w:sz w:val="20"/>
        </w:rPr>
        <w:t>resolving that a deputy treasurer should be appointed to support him during his years as moderator of General</w:t>
      </w:r>
      <w:r>
        <w:rPr>
          <w:spacing w:val="3"/>
          <w:w w:val="120"/>
          <w:sz w:val="20"/>
        </w:rPr>
        <w:t> </w:t>
      </w:r>
      <w:r>
        <w:rPr>
          <w:w w:val="120"/>
          <w:sz w:val="20"/>
        </w:rPr>
        <w:t>Assembly;</w:t>
      </w:r>
    </w:p>
    <w:p>
      <w:pPr>
        <w:pStyle w:val="BodyText"/>
        <w:spacing w:before="9"/>
        <w:rPr>
          <w:sz w:val="19"/>
        </w:rPr>
      </w:pPr>
    </w:p>
    <w:p>
      <w:pPr>
        <w:pStyle w:val="ListParagraph"/>
        <w:numPr>
          <w:ilvl w:val="0"/>
          <w:numId w:val="6"/>
        </w:numPr>
        <w:tabs>
          <w:tab w:pos="1927" w:val="left" w:leader="none"/>
          <w:tab w:pos="1928" w:val="left" w:leader="none"/>
        </w:tabs>
        <w:spacing w:line="235" w:lineRule="auto" w:before="0" w:after="0"/>
        <w:ind w:left="1927" w:right="2792" w:hanging="681"/>
        <w:jc w:val="left"/>
        <w:rPr>
          <w:sz w:val="20"/>
        </w:rPr>
      </w:pPr>
      <w:r>
        <w:rPr>
          <w:w w:val="120"/>
          <w:sz w:val="20"/>
        </w:rPr>
        <w:t>The Revd Richard Church as moderator of the </w:t>
      </w:r>
      <w:r>
        <w:rPr>
          <w:spacing w:val="2"/>
          <w:w w:val="120"/>
          <w:sz w:val="20"/>
        </w:rPr>
        <w:t>North </w:t>
      </w:r>
      <w:r>
        <w:rPr>
          <w:w w:val="120"/>
          <w:sz w:val="20"/>
        </w:rPr>
        <w:t>Western Synod until August</w:t>
      </w:r>
      <w:r>
        <w:rPr>
          <w:spacing w:val="2"/>
          <w:w w:val="120"/>
          <w:sz w:val="20"/>
        </w:rPr>
        <w:t> </w:t>
      </w:r>
      <w:r>
        <w:rPr>
          <w:spacing w:val="-6"/>
          <w:w w:val="120"/>
          <w:sz w:val="20"/>
        </w:rPr>
        <w:t>2019;</w:t>
      </w:r>
    </w:p>
    <w:p>
      <w:pPr>
        <w:pStyle w:val="BodyText"/>
        <w:spacing w:before="9"/>
        <w:rPr>
          <w:sz w:val="19"/>
        </w:rPr>
      </w:pPr>
    </w:p>
    <w:p>
      <w:pPr>
        <w:pStyle w:val="ListParagraph"/>
        <w:numPr>
          <w:ilvl w:val="0"/>
          <w:numId w:val="6"/>
        </w:numPr>
        <w:tabs>
          <w:tab w:pos="1927" w:val="left" w:leader="none"/>
          <w:tab w:pos="1928" w:val="left" w:leader="none"/>
        </w:tabs>
        <w:spacing w:line="235" w:lineRule="auto" w:before="1" w:after="0"/>
        <w:ind w:left="1927" w:right="2821" w:hanging="681"/>
        <w:jc w:val="left"/>
        <w:rPr>
          <w:sz w:val="20"/>
        </w:rPr>
      </w:pPr>
      <w:r>
        <w:rPr>
          <w:w w:val="120"/>
          <w:sz w:val="20"/>
        </w:rPr>
        <w:t>The Revd Dr John Bradbury as director of studies in theology and church history at Westminster College until August</w:t>
      </w:r>
      <w:r>
        <w:rPr>
          <w:spacing w:val="16"/>
          <w:w w:val="120"/>
          <w:sz w:val="20"/>
        </w:rPr>
        <w:t> </w:t>
      </w:r>
      <w:r>
        <w:rPr>
          <w:spacing w:val="-7"/>
          <w:w w:val="120"/>
          <w:sz w:val="20"/>
        </w:rPr>
        <w:t>2021;</w:t>
      </w:r>
    </w:p>
    <w:p>
      <w:pPr>
        <w:pStyle w:val="BodyText"/>
        <w:spacing w:before="9"/>
        <w:rPr>
          <w:sz w:val="19"/>
        </w:rPr>
      </w:pPr>
    </w:p>
    <w:p>
      <w:pPr>
        <w:pStyle w:val="ListParagraph"/>
        <w:numPr>
          <w:ilvl w:val="0"/>
          <w:numId w:val="6"/>
        </w:numPr>
        <w:tabs>
          <w:tab w:pos="1927" w:val="left" w:leader="none"/>
          <w:tab w:pos="1928" w:val="left" w:leader="none"/>
        </w:tabs>
        <w:spacing w:line="235" w:lineRule="auto" w:before="0" w:after="0"/>
        <w:ind w:left="1927" w:right="2695" w:hanging="681"/>
        <w:jc w:val="left"/>
        <w:rPr>
          <w:sz w:val="20"/>
        </w:rPr>
      </w:pPr>
      <w:r>
        <w:rPr>
          <w:w w:val="120"/>
          <w:sz w:val="20"/>
        </w:rPr>
        <w:t>The appointment of the secretary for ministries, the Revd Craig Bowman, was extended to July </w:t>
      </w:r>
      <w:r>
        <w:rPr>
          <w:spacing w:val="-7"/>
          <w:w w:val="120"/>
          <w:sz w:val="20"/>
        </w:rPr>
        <w:t>2015 </w:t>
      </w:r>
      <w:r>
        <w:rPr>
          <w:w w:val="120"/>
          <w:sz w:val="20"/>
        </w:rPr>
        <w:t>because of a delay in completing the necessary re-appointment</w:t>
      </w:r>
      <w:r>
        <w:rPr>
          <w:spacing w:val="2"/>
          <w:w w:val="120"/>
          <w:sz w:val="20"/>
        </w:rPr>
        <w:t> </w:t>
      </w:r>
      <w:r>
        <w:rPr>
          <w:w w:val="120"/>
          <w:sz w:val="20"/>
        </w:rPr>
        <w:t>review.</w:t>
      </w:r>
    </w:p>
    <w:p>
      <w:pPr>
        <w:pStyle w:val="BodyText"/>
        <w:spacing w:before="10"/>
        <w:rPr>
          <w:sz w:val="19"/>
        </w:rPr>
      </w:pPr>
    </w:p>
    <w:p>
      <w:pPr>
        <w:pStyle w:val="ListParagraph"/>
        <w:numPr>
          <w:ilvl w:val="0"/>
          <w:numId w:val="6"/>
        </w:numPr>
        <w:tabs>
          <w:tab w:pos="1927" w:val="left" w:leader="none"/>
          <w:tab w:pos="1928" w:val="left" w:leader="none"/>
        </w:tabs>
        <w:spacing w:line="235" w:lineRule="auto" w:before="1" w:after="0"/>
        <w:ind w:left="1927" w:right="2283" w:hanging="681"/>
        <w:jc w:val="left"/>
        <w:rPr>
          <w:sz w:val="20"/>
        </w:rPr>
      </w:pPr>
      <w:r>
        <w:rPr>
          <w:w w:val="120"/>
          <w:sz w:val="20"/>
        </w:rPr>
        <w:t>The appointments of the secretaries for ecumenical relations </w:t>
      </w:r>
      <w:r>
        <w:rPr>
          <w:spacing w:val="-3"/>
          <w:w w:val="120"/>
          <w:sz w:val="20"/>
        </w:rPr>
        <w:t>(the </w:t>
      </w:r>
      <w:r>
        <w:rPr>
          <w:w w:val="120"/>
          <w:sz w:val="20"/>
        </w:rPr>
        <w:t>Revd David </w:t>
      </w:r>
      <w:r>
        <w:rPr>
          <w:spacing w:val="-7"/>
          <w:w w:val="120"/>
          <w:sz w:val="20"/>
        </w:rPr>
        <w:t>Tatem), </w:t>
      </w:r>
      <w:r>
        <w:rPr>
          <w:w w:val="120"/>
          <w:sz w:val="20"/>
        </w:rPr>
        <w:t>world church relations </w:t>
      </w:r>
      <w:r>
        <w:rPr>
          <w:spacing w:val="-3"/>
          <w:w w:val="120"/>
          <w:sz w:val="20"/>
        </w:rPr>
        <w:t>(the </w:t>
      </w:r>
      <w:r>
        <w:rPr>
          <w:w w:val="120"/>
          <w:sz w:val="20"/>
        </w:rPr>
        <w:t>Revd Jane Rowell), and racial justice and multicultural ministries </w:t>
      </w:r>
      <w:r>
        <w:rPr>
          <w:spacing w:val="-3"/>
          <w:w w:val="120"/>
          <w:sz w:val="20"/>
        </w:rPr>
        <w:t>(the </w:t>
      </w:r>
      <w:r>
        <w:rPr>
          <w:w w:val="120"/>
          <w:sz w:val="20"/>
        </w:rPr>
        <w:t>Revd Dr Michael Jagessar) were likewise extended from July </w:t>
      </w:r>
      <w:r>
        <w:rPr>
          <w:spacing w:val="-7"/>
          <w:w w:val="120"/>
          <w:sz w:val="20"/>
        </w:rPr>
        <w:t>2014 </w:t>
      </w:r>
      <w:r>
        <w:rPr>
          <w:w w:val="120"/>
          <w:sz w:val="20"/>
        </w:rPr>
        <w:t>to July </w:t>
      </w:r>
      <w:r>
        <w:rPr>
          <w:spacing w:val="-7"/>
          <w:w w:val="120"/>
          <w:sz w:val="20"/>
        </w:rPr>
        <w:t>2015 </w:t>
      </w:r>
      <w:r>
        <w:rPr>
          <w:w w:val="120"/>
          <w:sz w:val="20"/>
        </w:rPr>
        <w:t>to allow for a strategic review of the staffing requirements of the mission</w:t>
      </w:r>
      <w:r>
        <w:rPr>
          <w:spacing w:val="7"/>
          <w:w w:val="120"/>
          <w:sz w:val="20"/>
        </w:rPr>
        <w:t> </w:t>
      </w:r>
      <w:r>
        <w:rPr>
          <w:w w:val="120"/>
          <w:sz w:val="20"/>
        </w:rPr>
        <w:t>department.</w:t>
      </w:r>
    </w:p>
    <w:p>
      <w:pPr>
        <w:pStyle w:val="BodyText"/>
        <w:spacing w:before="7"/>
        <w:rPr>
          <w:sz w:val="18"/>
        </w:rPr>
      </w:pPr>
    </w:p>
    <w:p>
      <w:pPr>
        <w:pStyle w:val="Heading9"/>
        <w:numPr>
          <w:ilvl w:val="1"/>
          <w:numId w:val="1"/>
        </w:numPr>
        <w:tabs>
          <w:tab w:pos="1927" w:val="left" w:leader="none"/>
          <w:tab w:pos="1928" w:val="left" w:leader="none"/>
        </w:tabs>
        <w:spacing w:line="255" w:lineRule="exact" w:before="0" w:after="0"/>
        <w:ind w:left="1927" w:right="0" w:hanging="681"/>
        <w:jc w:val="left"/>
      </w:pPr>
      <w:r>
        <w:rPr>
          <w:w w:val="110"/>
        </w:rPr>
        <w:t>Changes to governing</w:t>
      </w:r>
      <w:r>
        <w:rPr>
          <w:spacing w:val="-1"/>
          <w:w w:val="110"/>
        </w:rPr>
        <w:t> </w:t>
      </w:r>
      <w:r>
        <w:rPr>
          <w:w w:val="110"/>
        </w:rPr>
        <w:t>documents</w:t>
      </w:r>
    </w:p>
    <w:p>
      <w:pPr>
        <w:pStyle w:val="ListParagraph"/>
        <w:numPr>
          <w:ilvl w:val="2"/>
          <w:numId w:val="1"/>
        </w:numPr>
        <w:tabs>
          <w:tab w:pos="1928" w:val="left" w:leader="none"/>
        </w:tabs>
        <w:spacing w:line="246" w:lineRule="exact" w:before="0" w:after="0"/>
        <w:ind w:left="1927" w:right="0" w:hanging="681"/>
        <w:jc w:val="left"/>
        <w:rPr>
          <w:rFonts w:ascii="Stone Sans II ITC Std Bk"/>
          <w:b/>
          <w:sz w:val="20"/>
        </w:rPr>
      </w:pPr>
      <w:r>
        <w:rPr>
          <w:rFonts w:ascii="Stone Sans II ITC Std Bk"/>
          <w:b/>
          <w:w w:val="110"/>
          <w:sz w:val="20"/>
        </w:rPr>
        <w:t>The Structure of the United Reformed</w:t>
      </w:r>
      <w:r>
        <w:rPr>
          <w:rFonts w:ascii="Stone Sans II ITC Std Bk"/>
          <w:b/>
          <w:spacing w:val="-1"/>
          <w:w w:val="110"/>
          <w:sz w:val="20"/>
        </w:rPr>
        <w:t> </w:t>
      </w:r>
      <w:r>
        <w:rPr>
          <w:rFonts w:ascii="Stone Sans II ITC Std Bk"/>
          <w:b/>
          <w:w w:val="110"/>
          <w:sz w:val="20"/>
        </w:rPr>
        <w:t>Church</w:t>
      </w:r>
    </w:p>
    <w:p>
      <w:pPr>
        <w:pStyle w:val="ListParagraph"/>
        <w:numPr>
          <w:ilvl w:val="3"/>
          <w:numId w:val="1"/>
        </w:numPr>
        <w:tabs>
          <w:tab w:pos="1928" w:val="left" w:leader="none"/>
        </w:tabs>
        <w:spacing w:line="235" w:lineRule="auto" w:before="0" w:after="0"/>
        <w:ind w:left="1247" w:right="2404" w:firstLine="0"/>
        <w:jc w:val="left"/>
        <w:rPr>
          <w:sz w:val="20"/>
        </w:rPr>
      </w:pPr>
      <w:r>
        <w:rPr>
          <w:w w:val="120"/>
          <w:sz w:val="20"/>
        </w:rPr>
        <w:t>Resolution </w:t>
      </w:r>
      <w:r>
        <w:rPr>
          <w:spacing w:val="-9"/>
          <w:w w:val="120"/>
          <w:sz w:val="20"/>
        </w:rPr>
        <w:t>15 </w:t>
      </w:r>
      <w:r>
        <w:rPr>
          <w:w w:val="120"/>
          <w:sz w:val="20"/>
        </w:rPr>
        <w:t>of General Assembly </w:t>
      </w:r>
      <w:r>
        <w:rPr>
          <w:spacing w:val="-7"/>
          <w:w w:val="120"/>
          <w:sz w:val="20"/>
        </w:rPr>
        <w:t>2012 </w:t>
      </w:r>
      <w:r>
        <w:rPr>
          <w:w w:val="120"/>
          <w:sz w:val="20"/>
        </w:rPr>
        <w:t>received its final approval at Mission Council in May </w:t>
      </w:r>
      <w:r>
        <w:rPr>
          <w:spacing w:val="-7"/>
          <w:w w:val="120"/>
          <w:sz w:val="20"/>
        </w:rPr>
        <w:t>2013. </w:t>
      </w:r>
      <w:r>
        <w:rPr>
          <w:w w:val="120"/>
          <w:sz w:val="20"/>
        </w:rPr>
        <w:t>It is reprinted as appendix</w:t>
      </w:r>
      <w:r>
        <w:rPr>
          <w:spacing w:val="32"/>
          <w:w w:val="120"/>
          <w:sz w:val="20"/>
        </w:rPr>
        <w:t> </w:t>
      </w:r>
      <w:r>
        <w:rPr>
          <w:w w:val="120"/>
          <w:sz w:val="20"/>
        </w:rPr>
        <w:t>2.</w:t>
      </w:r>
    </w:p>
    <w:p>
      <w:pPr>
        <w:spacing w:after="0" w:line="235" w:lineRule="auto"/>
        <w:jc w:val="left"/>
        <w:rPr>
          <w:sz w:val="20"/>
        </w:rPr>
        <w:sectPr>
          <w:headerReference w:type="even" r:id="rId44"/>
          <w:footerReference w:type="even" r:id="rId45"/>
          <w:footerReference w:type="default" r:id="rId46"/>
          <w:pgSz w:w="11910" w:h="16840"/>
          <w:pgMar w:header="0" w:footer="647" w:top="0" w:bottom="840" w:left="0" w:right="0"/>
          <w:pgNumType w:start="12"/>
        </w:sectPr>
      </w:pPr>
    </w:p>
    <w:p>
      <w:pPr>
        <w:pStyle w:val="BodyText"/>
      </w:pPr>
      <w:r>
        <w:rPr/>
        <w:drawing>
          <wp:anchor distT="0" distB="0" distL="0" distR="0" allowOverlap="1" layoutInCell="1" locked="0" behindDoc="0" simplePos="0" relativeHeight="251684864">
            <wp:simplePos x="0" y="0"/>
            <wp:positionH relativeFrom="page">
              <wp:posOffset>6974928</wp:posOffset>
            </wp:positionH>
            <wp:positionV relativeFrom="page">
              <wp:posOffset>0</wp:posOffset>
            </wp:positionV>
            <wp:extent cx="585076" cy="10692003"/>
            <wp:effectExtent l="0" t="0" r="0" b="0"/>
            <wp:wrapNone/>
            <wp:docPr id="19" name="image23.png"/>
            <wp:cNvGraphicFramePr>
              <a:graphicFrameLocks noChangeAspect="1"/>
            </wp:cNvGraphicFramePr>
            <a:graphic>
              <a:graphicData uri="http://schemas.openxmlformats.org/drawingml/2006/picture">
                <pic:pic>
                  <pic:nvPicPr>
                    <pic:cNvPr id="20" name="image23.png"/>
                    <pic:cNvPicPr/>
                  </pic:nvPicPr>
                  <pic:blipFill>
                    <a:blip r:embed="rId35" cstate="print"/>
                    <a:stretch>
                      <a:fillRect/>
                    </a:stretch>
                  </pic:blipFill>
                  <pic:spPr>
                    <a:xfrm>
                      <a:off x="0" y="0"/>
                      <a:ext cx="585076" cy="10692003"/>
                    </a:xfrm>
                    <a:prstGeom prst="rect">
                      <a:avLst/>
                    </a:prstGeom>
                  </pic:spPr>
                </pic:pic>
              </a:graphicData>
            </a:graphic>
          </wp:anchor>
        </w:drawing>
      </w:r>
    </w:p>
    <w:p>
      <w:pPr>
        <w:pStyle w:val="BodyText"/>
        <w:spacing w:before="7"/>
        <w:rPr>
          <w:sz w:val="21"/>
        </w:rPr>
      </w:pPr>
    </w:p>
    <w:p>
      <w:pPr>
        <w:pStyle w:val="Heading5"/>
        <w:ind w:left="0" w:right="1245"/>
        <w:jc w:val="right"/>
      </w:pPr>
      <w:r>
        <w:rPr/>
        <w:pict>
          <v:shape style="position:absolute;margin-left:554.141174pt;margin-top:22.593945pt;width:25.9pt;height:163.2pt;mso-position-horizontal-relative:page;mso-position-vertical-relative:paragraph;z-index:251685888" type="#_x0000_t202" filled="false" stroked="false">
            <v:textbox inset="0,0,0,0" style="layout-flow:vertical">
              <w:txbxContent>
                <w:p>
                  <w:pPr>
                    <w:spacing w:before="27"/>
                    <w:ind w:left="20" w:right="0" w:firstLine="0"/>
                    <w:jc w:val="left"/>
                    <w:rPr>
                      <w:sz w:val="39"/>
                    </w:rPr>
                  </w:pPr>
                  <w:r>
                    <w:rPr>
                      <w:color w:val="FFFFFF"/>
                      <w:w w:val="125"/>
                      <w:sz w:val="39"/>
                    </w:rPr>
                    <w:t>Mission Council</w:t>
                  </w:r>
                </w:p>
              </w:txbxContent>
            </v:textbox>
            <w10:wrap type="none"/>
          </v:shape>
        </w:pict>
      </w:r>
      <w:r>
        <w:rPr>
          <w:color w:val="7EAABF"/>
          <w:w w:val="120"/>
        </w:rPr>
        <w:t>Mission Council</w:t>
      </w:r>
    </w:p>
    <w:p>
      <w:pPr>
        <w:pStyle w:val="ListParagraph"/>
        <w:numPr>
          <w:ilvl w:val="3"/>
          <w:numId w:val="1"/>
        </w:numPr>
        <w:tabs>
          <w:tab w:pos="2703" w:val="left" w:leader="none"/>
        </w:tabs>
        <w:spacing w:line="235" w:lineRule="auto" w:before="222" w:after="0"/>
        <w:ind w:left="1984" w:right="1646" w:firstLine="0"/>
        <w:jc w:val="left"/>
        <w:rPr>
          <w:sz w:val="20"/>
        </w:rPr>
      </w:pPr>
      <w:r>
        <w:rPr>
          <w:w w:val="120"/>
          <w:sz w:val="20"/>
        </w:rPr>
        <w:t>Further changes were presented to Mission Council in November </w:t>
      </w:r>
      <w:r>
        <w:rPr>
          <w:spacing w:val="-8"/>
          <w:w w:val="120"/>
          <w:sz w:val="20"/>
        </w:rPr>
        <w:t>2013 </w:t>
      </w:r>
      <w:r>
        <w:rPr>
          <w:w w:val="120"/>
          <w:sz w:val="20"/>
        </w:rPr>
        <w:t>and agreed. They were referred to the synods and will be presented for final approval to Assembly </w:t>
      </w:r>
      <w:r>
        <w:rPr>
          <w:spacing w:val="-6"/>
          <w:w w:val="120"/>
          <w:sz w:val="20"/>
        </w:rPr>
        <w:t>2014. </w:t>
      </w:r>
      <w:r>
        <w:rPr>
          <w:w w:val="120"/>
          <w:sz w:val="20"/>
        </w:rPr>
        <w:t>These are presented in a separate paper on page</w:t>
      </w:r>
      <w:r>
        <w:rPr>
          <w:spacing w:val="42"/>
          <w:w w:val="120"/>
          <w:sz w:val="20"/>
        </w:rPr>
        <w:t> </w:t>
      </w:r>
      <w:r>
        <w:rPr>
          <w:w w:val="120"/>
          <w:sz w:val="20"/>
        </w:rPr>
        <w:t>49-50.</w:t>
      </w:r>
    </w:p>
    <w:p>
      <w:pPr>
        <w:pStyle w:val="BodyText"/>
        <w:spacing w:before="10"/>
        <w:rPr>
          <w:sz w:val="19"/>
        </w:rPr>
      </w:pPr>
    </w:p>
    <w:p>
      <w:pPr>
        <w:pStyle w:val="ListParagraph"/>
        <w:numPr>
          <w:ilvl w:val="3"/>
          <w:numId w:val="1"/>
        </w:numPr>
        <w:tabs>
          <w:tab w:pos="2697" w:val="left" w:leader="none"/>
        </w:tabs>
        <w:spacing w:line="235" w:lineRule="auto" w:before="0" w:after="0"/>
        <w:ind w:left="1984" w:right="1633" w:firstLine="0"/>
        <w:jc w:val="left"/>
        <w:rPr>
          <w:sz w:val="20"/>
        </w:rPr>
      </w:pPr>
      <w:r>
        <w:rPr>
          <w:w w:val="120"/>
          <w:sz w:val="20"/>
        </w:rPr>
        <w:t>Mission Council determined that there should be six international guests   and six ecumenical guests as members of Assembly in future. </w:t>
      </w:r>
      <w:r>
        <w:rPr>
          <w:spacing w:val="3"/>
          <w:w w:val="120"/>
          <w:sz w:val="20"/>
        </w:rPr>
        <w:t>As </w:t>
      </w:r>
      <w:r>
        <w:rPr>
          <w:w w:val="120"/>
          <w:sz w:val="20"/>
        </w:rPr>
        <w:t>this was considered commentary to the Structure rather than substantive text, it was within Mission </w:t>
      </w:r>
      <w:r>
        <w:rPr>
          <w:spacing w:val="-3"/>
          <w:w w:val="120"/>
          <w:sz w:val="20"/>
        </w:rPr>
        <w:t>Council’s </w:t>
      </w:r>
      <w:r>
        <w:rPr>
          <w:w w:val="120"/>
          <w:sz w:val="20"/>
        </w:rPr>
        <w:t>power to approve the change with one</w:t>
      </w:r>
      <w:r>
        <w:rPr>
          <w:spacing w:val="29"/>
          <w:w w:val="120"/>
          <w:sz w:val="20"/>
        </w:rPr>
        <w:t> </w:t>
      </w:r>
      <w:r>
        <w:rPr>
          <w:w w:val="120"/>
          <w:sz w:val="20"/>
        </w:rPr>
        <w:t>vote.</w:t>
      </w:r>
    </w:p>
    <w:p>
      <w:pPr>
        <w:pStyle w:val="BodyText"/>
        <w:spacing w:before="11"/>
        <w:rPr>
          <w:sz w:val="19"/>
        </w:rPr>
      </w:pPr>
    </w:p>
    <w:p>
      <w:pPr>
        <w:pStyle w:val="ListParagraph"/>
        <w:numPr>
          <w:ilvl w:val="3"/>
          <w:numId w:val="1"/>
        </w:numPr>
        <w:tabs>
          <w:tab w:pos="2695" w:val="left" w:leader="none"/>
        </w:tabs>
        <w:spacing w:line="235" w:lineRule="auto" w:before="0" w:after="0"/>
        <w:ind w:left="1984" w:right="1517" w:firstLine="0"/>
        <w:jc w:val="left"/>
        <w:rPr>
          <w:sz w:val="20"/>
        </w:rPr>
      </w:pPr>
      <w:r>
        <w:rPr>
          <w:w w:val="120"/>
          <w:sz w:val="20"/>
        </w:rPr>
        <w:t>Mission Council agreed to omit the words </w:t>
      </w:r>
      <w:r>
        <w:rPr>
          <w:spacing w:val="-3"/>
          <w:w w:val="120"/>
          <w:sz w:val="20"/>
        </w:rPr>
        <w:t>“(currently four)” </w:t>
      </w:r>
      <w:r>
        <w:rPr>
          <w:w w:val="120"/>
          <w:sz w:val="20"/>
        </w:rPr>
        <w:t>from Paragraph </w:t>
      </w:r>
      <w:r>
        <w:rPr>
          <w:spacing w:val="-7"/>
          <w:w w:val="120"/>
          <w:sz w:val="20"/>
        </w:rPr>
        <w:t>2.(3).(d) </w:t>
      </w:r>
      <w:r>
        <w:rPr>
          <w:w w:val="120"/>
          <w:sz w:val="20"/>
        </w:rPr>
        <w:t>of the Structure. This refers to the membership of the district council, which on occasion still must be convened for decisions regarding properties. It removes the stipulation for a particular number of members, leaving the responsibility with the synod concerned. Again, this is a matter of commentary which was within Mission Council’s authority to</w:t>
      </w:r>
      <w:r>
        <w:rPr>
          <w:spacing w:val="7"/>
          <w:w w:val="120"/>
          <w:sz w:val="20"/>
        </w:rPr>
        <w:t> </w:t>
      </w:r>
      <w:r>
        <w:rPr>
          <w:w w:val="120"/>
          <w:sz w:val="20"/>
        </w:rPr>
        <w:t>change.</w:t>
      </w:r>
    </w:p>
    <w:p>
      <w:pPr>
        <w:pStyle w:val="BodyText"/>
      </w:pPr>
    </w:p>
    <w:p>
      <w:pPr>
        <w:pStyle w:val="ListParagraph"/>
        <w:numPr>
          <w:ilvl w:val="2"/>
          <w:numId w:val="1"/>
        </w:numPr>
        <w:tabs>
          <w:tab w:pos="2665" w:val="left" w:leader="none"/>
        </w:tabs>
        <w:spacing w:line="235" w:lineRule="auto" w:before="0" w:after="0"/>
        <w:ind w:left="1984" w:right="1567" w:firstLine="0"/>
        <w:jc w:val="left"/>
        <w:rPr>
          <w:sz w:val="20"/>
        </w:rPr>
      </w:pPr>
      <w:r>
        <w:rPr>
          <w:w w:val="120"/>
          <w:sz w:val="20"/>
        </w:rPr>
        <w:t>Mission Council also amended the standing orders </w:t>
      </w:r>
      <w:r>
        <w:rPr>
          <w:spacing w:val="-4"/>
          <w:w w:val="120"/>
          <w:sz w:val="20"/>
        </w:rPr>
        <w:t>(see </w:t>
      </w:r>
      <w:r>
        <w:rPr>
          <w:w w:val="120"/>
          <w:sz w:val="20"/>
        </w:rPr>
        <w:t>page </w:t>
      </w:r>
      <w:r>
        <w:rPr>
          <w:spacing w:val="-6"/>
          <w:w w:val="120"/>
          <w:sz w:val="20"/>
        </w:rPr>
        <w:t>58), </w:t>
      </w:r>
      <w:r>
        <w:rPr>
          <w:w w:val="120"/>
          <w:sz w:val="20"/>
        </w:rPr>
        <w:t>significantly to allow for the grouping of business into three categories for decision either by consensus, majority voting, or en bloc</w:t>
      </w:r>
      <w:r>
        <w:rPr>
          <w:spacing w:val="14"/>
          <w:w w:val="120"/>
          <w:sz w:val="20"/>
        </w:rPr>
        <w:t> </w:t>
      </w:r>
      <w:r>
        <w:rPr>
          <w:w w:val="120"/>
          <w:sz w:val="20"/>
        </w:rPr>
        <w:t>vote.</w:t>
      </w:r>
    </w:p>
    <w:p>
      <w:pPr>
        <w:pStyle w:val="BodyText"/>
        <w:spacing w:before="10"/>
        <w:rPr>
          <w:sz w:val="19"/>
        </w:rPr>
      </w:pPr>
    </w:p>
    <w:p>
      <w:pPr>
        <w:pStyle w:val="ListParagraph"/>
        <w:numPr>
          <w:ilvl w:val="2"/>
          <w:numId w:val="1"/>
        </w:numPr>
        <w:tabs>
          <w:tab w:pos="2665" w:val="left" w:leader="none"/>
        </w:tabs>
        <w:spacing w:line="235" w:lineRule="auto" w:before="1" w:after="0"/>
        <w:ind w:left="1984" w:right="1362" w:firstLine="0"/>
        <w:jc w:val="left"/>
        <w:rPr>
          <w:sz w:val="20"/>
        </w:rPr>
      </w:pPr>
      <w:r>
        <w:rPr>
          <w:w w:val="120"/>
          <w:sz w:val="20"/>
        </w:rPr>
        <w:t>General Assembly </w:t>
      </w:r>
      <w:r>
        <w:rPr>
          <w:spacing w:val="-7"/>
          <w:w w:val="120"/>
          <w:sz w:val="20"/>
        </w:rPr>
        <w:t>2012 </w:t>
      </w:r>
      <w:r>
        <w:rPr>
          <w:w w:val="120"/>
          <w:sz w:val="20"/>
        </w:rPr>
        <w:t>passed its resolution 3 (confirmation of resolution </w:t>
      </w:r>
      <w:r>
        <w:rPr>
          <w:spacing w:val="-3"/>
          <w:w w:val="120"/>
          <w:sz w:val="20"/>
        </w:rPr>
        <w:t>26 </w:t>
      </w:r>
      <w:r>
        <w:rPr>
          <w:w w:val="120"/>
          <w:sz w:val="20"/>
        </w:rPr>
        <w:t>of Assembly </w:t>
      </w:r>
      <w:r>
        <w:rPr>
          <w:spacing w:val="-7"/>
          <w:w w:val="120"/>
          <w:sz w:val="20"/>
        </w:rPr>
        <w:t>2010) </w:t>
      </w:r>
      <w:r>
        <w:rPr>
          <w:w w:val="120"/>
          <w:sz w:val="20"/>
        </w:rPr>
        <w:t>on the understanding that Mission Council would adopt the necessary change to the rules of procedure consequent on the new procedure for agreeing constitutional changes. The following change was</w:t>
      </w:r>
      <w:r>
        <w:rPr>
          <w:spacing w:val="20"/>
          <w:w w:val="120"/>
          <w:sz w:val="20"/>
        </w:rPr>
        <w:t> </w:t>
      </w:r>
      <w:r>
        <w:rPr>
          <w:w w:val="120"/>
          <w:sz w:val="20"/>
        </w:rPr>
        <w:t>agreed.</w:t>
      </w:r>
    </w:p>
    <w:p>
      <w:pPr>
        <w:pStyle w:val="BodyText"/>
        <w:spacing w:before="6"/>
        <w:rPr>
          <w:sz w:val="18"/>
        </w:rPr>
      </w:pPr>
    </w:p>
    <w:p>
      <w:pPr>
        <w:pStyle w:val="Heading9"/>
        <w:ind w:left="2664" w:firstLine="0"/>
      </w:pPr>
      <w:r>
        <w:rPr>
          <w:w w:val="110"/>
        </w:rPr>
        <w:t>Rules of Procedure 2.5</w:t>
      </w:r>
    </w:p>
    <w:p>
      <w:pPr>
        <w:pStyle w:val="BodyText"/>
        <w:spacing w:line="235" w:lineRule="auto"/>
        <w:ind w:left="2664" w:right="1348"/>
      </w:pPr>
      <w:r>
        <w:rPr>
          <w:w w:val="120"/>
        </w:rPr>
        <w:t>When an amendment to the Basis of Union is proposed under Paragraph </w:t>
      </w:r>
      <w:r>
        <w:rPr>
          <w:spacing w:val="-8"/>
          <w:w w:val="120"/>
        </w:rPr>
        <w:t>3.(1)    </w:t>
      </w:r>
      <w:r>
        <w:rPr>
          <w:w w:val="120"/>
        </w:rPr>
        <w:t>of the Structure and the General Assembly gives first approval it shall at the same time decide whether or not following reference to the synods </w:t>
      </w:r>
      <w:r>
        <w:rPr>
          <w:spacing w:val="-4"/>
          <w:w w:val="120"/>
        </w:rPr>
        <w:t>(and, </w:t>
      </w:r>
      <w:r>
        <w:rPr>
          <w:w w:val="120"/>
        </w:rPr>
        <w:t>where appropriate, to local </w:t>
      </w:r>
      <w:r>
        <w:rPr>
          <w:spacing w:val="-3"/>
          <w:w w:val="120"/>
        </w:rPr>
        <w:t>churches) </w:t>
      </w:r>
      <w:r>
        <w:rPr>
          <w:w w:val="120"/>
        </w:rPr>
        <w:t>the change may be approved for a second time  by the Mission Council. If not and providing that notice has not been received from synods </w:t>
      </w:r>
      <w:r>
        <w:rPr>
          <w:spacing w:val="-5"/>
          <w:w w:val="120"/>
        </w:rPr>
        <w:t>(and/or </w:t>
      </w:r>
      <w:r>
        <w:rPr>
          <w:w w:val="120"/>
        </w:rPr>
        <w:t>local </w:t>
      </w:r>
      <w:r>
        <w:rPr>
          <w:spacing w:val="-3"/>
          <w:w w:val="120"/>
        </w:rPr>
        <w:t>churches) </w:t>
      </w:r>
      <w:r>
        <w:rPr>
          <w:w w:val="120"/>
        </w:rPr>
        <w:t>as defined in clause </w:t>
      </w:r>
      <w:r>
        <w:rPr>
          <w:spacing w:val="-6"/>
          <w:w w:val="120"/>
        </w:rPr>
        <w:t>3.(1)(f) </w:t>
      </w:r>
      <w:r>
        <w:rPr>
          <w:w w:val="120"/>
        </w:rPr>
        <w:t>a motion to  agree the proposed amendment shall come before the General Assembly at its next meeting where it shall require a simple majority to be</w:t>
      </w:r>
      <w:r>
        <w:rPr>
          <w:spacing w:val="26"/>
          <w:w w:val="120"/>
        </w:rPr>
        <w:t> </w:t>
      </w:r>
      <w:r>
        <w:rPr>
          <w:w w:val="120"/>
        </w:rPr>
        <w:t>passed.</w:t>
      </w:r>
    </w:p>
    <w:p>
      <w:pPr>
        <w:pStyle w:val="BodyText"/>
        <w:spacing w:before="9"/>
        <w:rPr>
          <w:sz w:val="19"/>
        </w:rPr>
      </w:pPr>
    </w:p>
    <w:p>
      <w:pPr>
        <w:pStyle w:val="ListParagraph"/>
        <w:numPr>
          <w:ilvl w:val="2"/>
          <w:numId w:val="1"/>
        </w:numPr>
        <w:tabs>
          <w:tab w:pos="2665" w:val="left" w:leader="none"/>
        </w:tabs>
        <w:spacing w:line="235" w:lineRule="auto" w:before="0" w:after="0"/>
        <w:ind w:left="1984" w:right="2129" w:firstLine="0"/>
        <w:jc w:val="left"/>
        <w:rPr>
          <w:sz w:val="20"/>
        </w:rPr>
      </w:pPr>
      <w:r>
        <w:rPr>
          <w:w w:val="120"/>
          <w:sz w:val="20"/>
        </w:rPr>
        <w:t>Changes to the Plan for Partnership were agreed </w:t>
      </w:r>
      <w:r>
        <w:rPr>
          <w:spacing w:val="-4"/>
          <w:w w:val="120"/>
          <w:sz w:val="20"/>
        </w:rPr>
        <w:t>(see </w:t>
      </w:r>
      <w:r>
        <w:rPr>
          <w:w w:val="120"/>
          <w:sz w:val="20"/>
        </w:rPr>
        <w:t>appendices 3a, 3b and</w:t>
      </w:r>
      <w:r>
        <w:rPr>
          <w:spacing w:val="2"/>
          <w:w w:val="120"/>
          <w:sz w:val="20"/>
        </w:rPr>
        <w:t> </w:t>
      </w:r>
      <w:r>
        <w:rPr>
          <w:spacing w:val="-5"/>
          <w:w w:val="120"/>
          <w:sz w:val="20"/>
        </w:rPr>
        <w:t>3c).</w:t>
      </w:r>
    </w:p>
    <w:p>
      <w:pPr>
        <w:pStyle w:val="BodyText"/>
        <w:spacing w:before="10"/>
        <w:rPr>
          <w:sz w:val="19"/>
        </w:rPr>
      </w:pPr>
    </w:p>
    <w:p>
      <w:pPr>
        <w:pStyle w:val="ListParagraph"/>
        <w:numPr>
          <w:ilvl w:val="2"/>
          <w:numId w:val="1"/>
        </w:numPr>
        <w:tabs>
          <w:tab w:pos="2665" w:val="left" w:leader="none"/>
        </w:tabs>
        <w:spacing w:line="235" w:lineRule="auto" w:before="0" w:after="0"/>
        <w:ind w:left="1984" w:right="1544" w:firstLine="0"/>
        <w:jc w:val="left"/>
        <w:rPr>
          <w:sz w:val="20"/>
        </w:rPr>
      </w:pPr>
      <w:r>
        <w:rPr>
          <w:w w:val="120"/>
          <w:sz w:val="20"/>
        </w:rPr>
        <w:t>Changes to the ministerial disciplinary process and incapacity procedure were agreed </w:t>
      </w:r>
      <w:r>
        <w:rPr>
          <w:spacing w:val="-4"/>
          <w:w w:val="120"/>
          <w:sz w:val="20"/>
        </w:rPr>
        <w:t>(see </w:t>
      </w:r>
      <w:r>
        <w:rPr>
          <w:w w:val="120"/>
          <w:sz w:val="20"/>
        </w:rPr>
        <w:t>appendices 4a, 4b, 5a and</w:t>
      </w:r>
      <w:r>
        <w:rPr>
          <w:spacing w:val="26"/>
          <w:w w:val="120"/>
          <w:sz w:val="20"/>
        </w:rPr>
        <w:t> </w:t>
      </w:r>
      <w:r>
        <w:rPr>
          <w:spacing w:val="-7"/>
          <w:w w:val="120"/>
          <w:sz w:val="20"/>
        </w:rPr>
        <w:t>5b).</w:t>
      </w:r>
    </w:p>
    <w:p>
      <w:pPr>
        <w:pStyle w:val="BodyText"/>
        <w:spacing w:before="9"/>
        <w:rPr>
          <w:sz w:val="19"/>
        </w:rPr>
      </w:pPr>
    </w:p>
    <w:p>
      <w:pPr>
        <w:pStyle w:val="ListParagraph"/>
        <w:numPr>
          <w:ilvl w:val="2"/>
          <w:numId w:val="1"/>
        </w:numPr>
        <w:tabs>
          <w:tab w:pos="2665" w:val="left" w:leader="none"/>
        </w:tabs>
        <w:spacing w:line="235" w:lineRule="auto" w:before="0" w:after="0"/>
        <w:ind w:left="1984" w:right="1488" w:firstLine="0"/>
        <w:jc w:val="left"/>
        <w:rPr>
          <w:sz w:val="20"/>
        </w:rPr>
      </w:pPr>
      <w:r>
        <w:rPr>
          <w:w w:val="120"/>
          <w:sz w:val="20"/>
        </w:rPr>
        <w:t>The </w:t>
      </w:r>
      <w:r>
        <w:rPr>
          <w:spacing w:val="-7"/>
          <w:w w:val="120"/>
          <w:sz w:val="20"/>
        </w:rPr>
        <w:t>2012 </w:t>
      </w:r>
      <w:r>
        <w:rPr>
          <w:w w:val="120"/>
          <w:sz w:val="20"/>
        </w:rPr>
        <w:t>Assembly discussed changes to the ministers’ pension fund rules and authorised Mission Council to adopt them </w:t>
      </w:r>
      <w:r>
        <w:rPr>
          <w:spacing w:val="-4"/>
          <w:w w:val="120"/>
          <w:sz w:val="20"/>
        </w:rPr>
        <w:t>(see </w:t>
      </w:r>
      <w:r>
        <w:rPr>
          <w:w w:val="120"/>
          <w:sz w:val="20"/>
        </w:rPr>
        <w:t>appendix </w:t>
      </w:r>
      <w:r>
        <w:rPr>
          <w:spacing w:val="-4"/>
          <w:w w:val="120"/>
          <w:sz w:val="20"/>
        </w:rPr>
        <w:t>6). </w:t>
      </w:r>
      <w:r>
        <w:rPr>
          <w:w w:val="120"/>
          <w:sz w:val="20"/>
        </w:rPr>
        <w:t>The amendments were approved in October</w:t>
      </w:r>
      <w:r>
        <w:rPr>
          <w:spacing w:val="8"/>
          <w:w w:val="120"/>
          <w:sz w:val="20"/>
        </w:rPr>
        <w:t> </w:t>
      </w:r>
      <w:r>
        <w:rPr>
          <w:spacing w:val="-6"/>
          <w:w w:val="120"/>
          <w:sz w:val="20"/>
        </w:rPr>
        <w:t>2012.</w:t>
      </w:r>
    </w:p>
    <w:p>
      <w:pPr>
        <w:pStyle w:val="BodyText"/>
        <w:spacing w:before="10"/>
        <w:rPr>
          <w:sz w:val="19"/>
        </w:rPr>
      </w:pPr>
    </w:p>
    <w:p>
      <w:pPr>
        <w:pStyle w:val="ListParagraph"/>
        <w:numPr>
          <w:ilvl w:val="2"/>
          <w:numId w:val="1"/>
        </w:numPr>
        <w:tabs>
          <w:tab w:pos="2665" w:val="left" w:leader="none"/>
        </w:tabs>
        <w:spacing w:line="235" w:lineRule="auto" w:before="1" w:after="0"/>
        <w:ind w:left="1984" w:right="1447" w:firstLine="0"/>
        <w:jc w:val="left"/>
        <w:rPr>
          <w:sz w:val="20"/>
        </w:rPr>
      </w:pPr>
      <w:r>
        <w:rPr>
          <w:w w:val="120"/>
          <w:sz w:val="20"/>
        </w:rPr>
        <w:t>A change to the composition of the board of governors of Westminster College was agreed, increasing the number from </w:t>
      </w:r>
      <w:r>
        <w:rPr>
          <w:spacing w:val="-9"/>
          <w:w w:val="120"/>
          <w:sz w:val="20"/>
        </w:rPr>
        <w:t>15 </w:t>
      </w:r>
      <w:r>
        <w:rPr>
          <w:w w:val="120"/>
          <w:sz w:val="20"/>
        </w:rPr>
        <w:t>to </w:t>
      </w:r>
      <w:r>
        <w:rPr>
          <w:spacing w:val="-8"/>
          <w:w w:val="120"/>
          <w:sz w:val="20"/>
        </w:rPr>
        <w:t>16 </w:t>
      </w:r>
      <w:r>
        <w:rPr>
          <w:w w:val="120"/>
          <w:sz w:val="20"/>
        </w:rPr>
        <w:t>to allow for the appointment of a governor with educational experience in addition to those appointed specifically to represent partner</w:t>
      </w:r>
      <w:r>
        <w:rPr>
          <w:spacing w:val="3"/>
          <w:w w:val="120"/>
          <w:sz w:val="20"/>
        </w:rPr>
        <w:t> </w:t>
      </w:r>
      <w:r>
        <w:rPr>
          <w:w w:val="120"/>
          <w:sz w:val="20"/>
        </w:rPr>
        <w:t>institutions.</w:t>
      </w:r>
    </w:p>
    <w:p>
      <w:pPr>
        <w:spacing w:after="0" w:line="235" w:lineRule="auto"/>
        <w:jc w:val="left"/>
        <w:rPr>
          <w:sz w:val="20"/>
        </w:rPr>
        <w:sectPr>
          <w:headerReference w:type="default" r:id="rId47"/>
          <w:pgSz w:w="11910" w:h="16840"/>
          <w:pgMar w:header="0" w:footer="647" w:top="0" w:bottom="840" w:left="0" w:right="0"/>
        </w:sectPr>
      </w:pPr>
    </w:p>
    <w:p>
      <w:pPr>
        <w:pStyle w:val="BodyText"/>
      </w:pPr>
    </w:p>
    <w:p>
      <w:pPr>
        <w:pStyle w:val="BodyText"/>
        <w:spacing w:before="7"/>
        <w:rPr>
          <w:sz w:val="21"/>
        </w:rPr>
      </w:pPr>
    </w:p>
    <w:p>
      <w:pPr>
        <w:spacing w:after="0"/>
        <w:rPr>
          <w:sz w:val="21"/>
        </w:rPr>
        <w:sectPr>
          <w:headerReference w:type="even" r:id="rId48"/>
          <w:footerReference w:type="even" r:id="rId49"/>
          <w:footerReference w:type="default" r:id="rId50"/>
          <w:pgSz w:w="11910" w:h="16840"/>
          <w:pgMar w:header="0" w:footer="647" w:top="0" w:bottom="840" w:left="0" w:right="0"/>
          <w:pgNumType w:start="14"/>
        </w:sectPr>
      </w:pPr>
    </w:p>
    <w:p>
      <w:pPr>
        <w:pStyle w:val="Heading5"/>
      </w:pPr>
      <w:r>
        <w:rPr>
          <w:color w:val="7EAABF"/>
          <w:w w:val="120"/>
        </w:rPr>
        <w:t>Mission</w:t>
      </w:r>
      <w:r>
        <w:rPr>
          <w:color w:val="7EAABF"/>
          <w:spacing w:val="-31"/>
          <w:w w:val="120"/>
        </w:rPr>
        <w:t> </w:t>
      </w:r>
      <w:r>
        <w:rPr>
          <w:color w:val="7EAABF"/>
          <w:spacing w:val="-3"/>
          <w:w w:val="120"/>
        </w:rPr>
        <w:t>Council</w:t>
      </w:r>
    </w:p>
    <w:p>
      <w:pPr>
        <w:pStyle w:val="BodyText"/>
        <w:spacing w:before="4"/>
        <w:rPr>
          <w:sz w:val="52"/>
        </w:rPr>
      </w:pPr>
      <w:r>
        <w:rPr/>
        <w:br w:type="column"/>
      </w:r>
      <w:r>
        <w:rPr>
          <w:sz w:val="52"/>
        </w:rPr>
      </w:r>
    </w:p>
    <w:p>
      <w:pPr>
        <w:tabs>
          <w:tab w:pos="1428" w:val="left" w:leader="none"/>
          <w:tab w:pos="3739" w:val="left" w:leader="none"/>
        </w:tabs>
        <w:spacing w:before="0"/>
        <w:ind w:left="904" w:right="0" w:firstLine="0"/>
        <w:jc w:val="left"/>
        <w:rPr>
          <w:rFonts w:ascii="Stone Sans II ITC Std X Bd"/>
          <w:b/>
          <w:sz w:val="29"/>
        </w:rPr>
      </w:pPr>
      <w:r>
        <w:rPr>
          <w:rFonts w:ascii="Stone Sans II ITC Std X Bd"/>
          <w:b/>
          <w:w w:val="110"/>
          <w:sz w:val="29"/>
          <w:shd w:fill="FFDB7B" w:color="auto" w:val="clear"/>
        </w:rPr>
        <w:t> </w:t>
      </w:r>
      <w:r>
        <w:rPr>
          <w:rFonts w:ascii="Stone Sans II ITC Std X Bd"/>
          <w:b/>
          <w:sz w:val="29"/>
          <w:shd w:fill="FFDB7B" w:color="auto" w:val="clear"/>
        </w:rPr>
        <w:tab/>
      </w:r>
      <w:r>
        <w:rPr>
          <w:rFonts w:ascii="Stone Sans II ITC Std X Bd"/>
          <w:b/>
          <w:w w:val="110"/>
          <w:sz w:val="29"/>
          <w:shd w:fill="FFDB7B" w:color="auto" w:val="clear"/>
        </w:rPr>
        <w:t>Appendix</w:t>
      </w:r>
      <w:r>
        <w:rPr>
          <w:rFonts w:ascii="Stone Sans II ITC Std X Bd"/>
          <w:b/>
          <w:spacing w:val="-2"/>
          <w:w w:val="110"/>
          <w:sz w:val="29"/>
          <w:shd w:fill="FFDB7B" w:color="auto" w:val="clear"/>
        </w:rPr>
        <w:t> </w:t>
      </w:r>
      <w:r>
        <w:rPr>
          <w:rFonts w:ascii="Stone Sans II ITC Std X Bd"/>
          <w:b/>
          <w:w w:val="110"/>
          <w:sz w:val="29"/>
          <w:shd w:fill="FFDB7B" w:color="auto" w:val="clear"/>
        </w:rPr>
        <w:t>1</w:t>
      </w:r>
      <w:r>
        <w:rPr>
          <w:rFonts w:ascii="Stone Sans II ITC Std X Bd"/>
          <w:b/>
          <w:sz w:val="29"/>
          <w:shd w:fill="FFDB7B" w:color="auto" w:val="clear"/>
        </w:rPr>
        <w:tab/>
      </w:r>
    </w:p>
    <w:p>
      <w:pPr>
        <w:spacing w:after="0"/>
        <w:jc w:val="left"/>
        <w:rPr>
          <w:rFonts w:ascii="Stone Sans II ITC Std X Bd"/>
          <w:sz w:val="29"/>
        </w:rPr>
        <w:sectPr>
          <w:type w:val="continuous"/>
          <w:pgSz w:w="11910" w:h="16840"/>
          <w:pgMar w:top="680" w:bottom="280" w:left="0" w:right="0"/>
          <w:cols w:num="2" w:equalWidth="0">
            <w:col w:w="3194" w:space="40"/>
            <w:col w:w="8676"/>
          </w:cols>
        </w:sectPr>
      </w:pPr>
    </w:p>
    <w:p>
      <w:pPr>
        <w:pStyle w:val="BodyText"/>
        <w:spacing w:before="4"/>
        <w:rPr>
          <w:rFonts w:ascii="Stone Sans II ITC Std X Bd"/>
          <w:b/>
          <w:sz w:val="17"/>
        </w:rPr>
      </w:pPr>
      <w:r>
        <w:rPr/>
        <w:drawing>
          <wp:anchor distT="0" distB="0" distL="0" distR="0" allowOverlap="1" layoutInCell="1" locked="0" behindDoc="0" simplePos="0" relativeHeight="251686912">
            <wp:simplePos x="0" y="0"/>
            <wp:positionH relativeFrom="page">
              <wp:posOffset>0</wp:posOffset>
            </wp:positionH>
            <wp:positionV relativeFrom="page">
              <wp:posOffset>0</wp:posOffset>
            </wp:positionV>
            <wp:extent cx="594067" cy="10692003"/>
            <wp:effectExtent l="0" t="0" r="0" b="0"/>
            <wp:wrapNone/>
            <wp:docPr id="21" name="image22.png"/>
            <wp:cNvGraphicFramePr>
              <a:graphicFrameLocks noChangeAspect="1"/>
            </wp:cNvGraphicFramePr>
            <a:graphic>
              <a:graphicData uri="http://schemas.openxmlformats.org/drawingml/2006/picture">
                <pic:pic>
                  <pic:nvPicPr>
                    <pic:cNvPr id="22" name="image22.png"/>
                    <pic:cNvPicPr/>
                  </pic:nvPicPr>
                  <pic:blipFill>
                    <a:blip r:embed="rId33" cstate="print"/>
                    <a:stretch>
                      <a:fillRect/>
                    </a:stretch>
                  </pic:blipFill>
                  <pic:spPr>
                    <a:xfrm>
                      <a:off x="0" y="0"/>
                      <a:ext cx="594067" cy="10692003"/>
                    </a:xfrm>
                    <a:prstGeom prst="rect">
                      <a:avLst/>
                    </a:prstGeom>
                  </pic:spPr>
                </pic:pic>
              </a:graphicData>
            </a:graphic>
          </wp:anchor>
        </w:drawing>
      </w:r>
    </w:p>
    <w:p>
      <w:pPr>
        <w:spacing w:line="220" w:lineRule="auto" w:before="118"/>
        <w:ind w:left="2233" w:right="2823" w:firstLine="57"/>
        <w:jc w:val="left"/>
        <w:rPr>
          <w:rFonts w:ascii="Stone Sans II ITC Std X Bd"/>
          <w:b/>
          <w:sz w:val="29"/>
        </w:rPr>
      </w:pPr>
      <w:r>
        <w:rPr/>
        <w:pict>
          <v:shape style="position:absolute;margin-left:20.519100pt;margin-top:-40.602989pt;width:25.9pt;height:319pt;mso-position-horizontal-relative:page;mso-position-vertical-relative:paragraph;z-index:251687936" type="#_x0000_t202" filled="false" stroked="false">
            <v:textbox inset="0,0,0,0" style="layout-flow:vertical">
              <w:txbxContent>
                <w:p>
                  <w:pPr>
                    <w:spacing w:before="27"/>
                    <w:ind w:left="20" w:right="0" w:firstLine="0"/>
                    <w:jc w:val="left"/>
                    <w:rPr>
                      <w:sz w:val="39"/>
                    </w:rPr>
                  </w:pPr>
                  <w:r>
                    <w:rPr>
                      <w:color w:val="FFFFFF"/>
                      <w:spacing w:val="9"/>
                      <w:w w:val="125"/>
                      <w:sz w:val="39"/>
                    </w:rPr>
                    <w:t>Mission Council </w:t>
                  </w:r>
                  <w:r>
                    <w:rPr>
                      <w:color w:val="FFFFFF"/>
                      <w:w w:val="125"/>
                      <w:sz w:val="39"/>
                    </w:rPr>
                    <w:t>t – </w:t>
                  </w:r>
                  <w:r>
                    <w:rPr>
                      <w:spacing w:val="9"/>
                      <w:w w:val="125"/>
                      <w:sz w:val="39"/>
                    </w:rPr>
                    <w:t>Appendix </w:t>
                  </w:r>
                  <w:r>
                    <w:rPr>
                      <w:w w:val="125"/>
                      <w:sz w:val="39"/>
                    </w:rPr>
                    <w:t>1</w:t>
                  </w:r>
                </w:p>
              </w:txbxContent>
            </v:textbox>
            <w10:wrap type="none"/>
          </v:shape>
        </w:pict>
      </w:r>
      <w:r>
        <w:rPr>
          <w:rFonts w:ascii="Stone Sans II ITC Std X Bd"/>
          <w:b/>
          <w:w w:val="110"/>
          <w:sz w:val="29"/>
        </w:rPr>
        <w:t>Multicultural Church, intercultural habit: a charter for the United Reformed Church</w:t>
      </w:r>
    </w:p>
    <w:p>
      <w:pPr>
        <w:pStyle w:val="BodyText"/>
        <w:spacing w:before="6"/>
        <w:rPr>
          <w:rFonts w:ascii="Stone Sans II ITC Std X Bd"/>
          <w:b/>
          <w:sz w:val="32"/>
        </w:rPr>
      </w:pPr>
    </w:p>
    <w:p>
      <w:pPr>
        <w:pStyle w:val="BodyText"/>
        <w:ind w:left="1247"/>
      </w:pPr>
      <w:r>
        <w:rPr>
          <w:w w:val="120"/>
        </w:rPr>
        <w:t>In modelling a habit of generous lives, we:</w:t>
      </w:r>
    </w:p>
    <w:p>
      <w:pPr>
        <w:pStyle w:val="BodyText"/>
        <w:spacing w:before="4"/>
        <w:rPr>
          <w:sz w:val="19"/>
        </w:rPr>
      </w:pPr>
    </w:p>
    <w:p>
      <w:pPr>
        <w:pStyle w:val="ListParagraph"/>
        <w:numPr>
          <w:ilvl w:val="0"/>
          <w:numId w:val="7"/>
        </w:numPr>
        <w:tabs>
          <w:tab w:pos="1927" w:val="left" w:leader="none"/>
          <w:tab w:pos="1928" w:val="left" w:leader="none"/>
        </w:tabs>
        <w:spacing w:line="242" w:lineRule="exact" w:before="0" w:after="0"/>
        <w:ind w:left="1927" w:right="0" w:hanging="681"/>
        <w:jc w:val="left"/>
        <w:rPr>
          <w:sz w:val="20"/>
        </w:rPr>
      </w:pPr>
      <w:r>
        <w:rPr>
          <w:w w:val="120"/>
          <w:sz w:val="20"/>
        </w:rPr>
        <w:t>will be open, trusting and joyful to the leading of God’s</w:t>
      </w:r>
      <w:r>
        <w:rPr>
          <w:spacing w:val="33"/>
          <w:w w:val="120"/>
          <w:sz w:val="20"/>
        </w:rPr>
        <w:t> </w:t>
      </w:r>
      <w:r>
        <w:rPr>
          <w:w w:val="120"/>
          <w:sz w:val="20"/>
        </w:rPr>
        <w:t>Spirit</w:t>
      </w:r>
    </w:p>
    <w:p>
      <w:pPr>
        <w:pStyle w:val="ListParagraph"/>
        <w:numPr>
          <w:ilvl w:val="1"/>
          <w:numId w:val="7"/>
        </w:numPr>
        <w:tabs>
          <w:tab w:pos="2721" w:val="left" w:leader="none"/>
          <w:tab w:pos="2722" w:val="left" w:leader="none"/>
        </w:tabs>
        <w:spacing w:line="235" w:lineRule="auto" w:before="2" w:after="0"/>
        <w:ind w:left="2721" w:right="4760" w:hanging="794"/>
        <w:jc w:val="left"/>
        <w:rPr>
          <w:sz w:val="20"/>
        </w:rPr>
      </w:pPr>
      <w:r>
        <w:rPr>
          <w:spacing w:val="-3"/>
          <w:w w:val="120"/>
          <w:sz w:val="20"/>
        </w:rPr>
        <w:t>[</w:t>
      </w:r>
      <w:r>
        <w:rPr>
          <w:i/>
          <w:spacing w:val="-3"/>
          <w:w w:val="120"/>
          <w:sz w:val="20"/>
        </w:rPr>
        <w:t>vision2020</w:t>
      </w:r>
      <w:r>
        <w:rPr>
          <w:i/>
          <w:spacing w:val="-35"/>
          <w:w w:val="120"/>
          <w:sz w:val="20"/>
        </w:rPr>
        <w:t> </w:t>
      </w:r>
      <w:r>
        <w:rPr>
          <w:w w:val="120"/>
          <w:sz w:val="20"/>
        </w:rPr>
        <w:t>statement</w:t>
      </w:r>
      <w:r>
        <w:rPr>
          <w:spacing w:val="-35"/>
          <w:w w:val="120"/>
          <w:sz w:val="20"/>
        </w:rPr>
        <w:t> </w:t>
      </w:r>
      <w:r>
        <w:rPr>
          <w:w w:val="120"/>
          <w:sz w:val="20"/>
        </w:rPr>
        <w:t>1</w:t>
      </w:r>
      <w:r>
        <w:rPr>
          <w:spacing w:val="-35"/>
          <w:w w:val="120"/>
          <w:sz w:val="20"/>
        </w:rPr>
        <w:t> </w:t>
      </w:r>
      <w:r>
        <w:rPr>
          <w:w w:val="120"/>
          <w:sz w:val="20"/>
        </w:rPr>
        <w:t>s</w:t>
      </w:r>
      <w:r>
        <w:rPr>
          <w:i/>
          <w:w w:val="120"/>
          <w:sz w:val="20"/>
        </w:rPr>
        <w:t>pirituality</w:t>
      </w:r>
      <w:r>
        <w:rPr>
          <w:i/>
          <w:spacing w:val="-35"/>
          <w:w w:val="120"/>
          <w:sz w:val="20"/>
        </w:rPr>
        <w:t> </w:t>
      </w:r>
      <w:r>
        <w:rPr>
          <w:i/>
          <w:w w:val="120"/>
          <w:sz w:val="20"/>
        </w:rPr>
        <w:t>and</w:t>
      </w:r>
      <w:r>
        <w:rPr>
          <w:i/>
          <w:spacing w:val="-36"/>
          <w:w w:val="120"/>
          <w:sz w:val="20"/>
        </w:rPr>
        <w:t> </w:t>
      </w:r>
      <w:r>
        <w:rPr>
          <w:i/>
          <w:w w:val="120"/>
          <w:sz w:val="20"/>
        </w:rPr>
        <w:t>prayer</w:t>
      </w:r>
      <w:r>
        <w:rPr>
          <w:w w:val="120"/>
          <w:sz w:val="20"/>
        </w:rPr>
        <w:t>] [Acts </w:t>
      </w:r>
      <w:r>
        <w:rPr>
          <w:spacing w:val="-8"/>
          <w:w w:val="120"/>
          <w:sz w:val="20"/>
        </w:rPr>
        <w:t>2:5-11; </w:t>
      </w:r>
      <w:r>
        <w:rPr>
          <w:w w:val="120"/>
          <w:sz w:val="20"/>
        </w:rPr>
        <w:t>2 Corinthians</w:t>
      </w:r>
      <w:r>
        <w:rPr>
          <w:spacing w:val="28"/>
          <w:w w:val="120"/>
          <w:sz w:val="20"/>
        </w:rPr>
        <w:t> </w:t>
      </w:r>
      <w:r>
        <w:rPr>
          <w:spacing w:val="-12"/>
          <w:w w:val="120"/>
          <w:sz w:val="20"/>
        </w:rPr>
        <w:t>3:17-18]</w:t>
      </w:r>
    </w:p>
    <w:p>
      <w:pPr>
        <w:pStyle w:val="BodyText"/>
        <w:spacing w:before="9"/>
        <w:rPr>
          <w:sz w:val="19"/>
        </w:rPr>
      </w:pPr>
    </w:p>
    <w:p>
      <w:pPr>
        <w:pStyle w:val="ListParagraph"/>
        <w:numPr>
          <w:ilvl w:val="0"/>
          <w:numId w:val="7"/>
        </w:numPr>
        <w:tabs>
          <w:tab w:pos="1927" w:val="left" w:leader="none"/>
          <w:tab w:pos="1928" w:val="left" w:leader="none"/>
        </w:tabs>
        <w:spacing w:line="235" w:lineRule="auto" w:before="0" w:after="0"/>
        <w:ind w:left="1927" w:right="1995" w:hanging="681"/>
        <w:jc w:val="left"/>
        <w:rPr>
          <w:sz w:val="20"/>
        </w:rPr>
      </w:pPr>
      <w:r>
        <w:rPr>
          <w:w w:val="120"/>
          <w:sz w:val="20"/>
        </w:rPr>
        <w:t>commit ourselves to deepening our discerning and re-reading of our biblical and theological bases for our intercultural life</w:t>
      </w:r>
      <w:r>
        <w:rPr>
          <w:spacing w:val="11"/>
          <w:w w:val="120"/>
          <w:sz w:val="20"/>
        </w:rPr>
        <w:t> </w:t>
      </w:r>
      <w:r>
        <w:rPr>
          <w:w w:val="120"/>
          <w:sz w:val="20"/>
        </w:rPr>
        <w:t>together</w:t>
      </w:r>
    </w:p>
    <w:p>
      <w:pPr>
        <w:pStyle w:val="ListParagraph"/>
        <w:numPr>
          <w:ilvl w:val="1"/>
          <w:numId w:val="7"/>
        </w:numPr>
        <w:tabs>
          <w:tab w:pos="2721" w:val="left" w:leader="none"/>
          <w:tab w:pos="2722" w:val="left" w:leader="none"/>
        </w:tabs>
        <w:spacing w:line="235" w:lineRule="auto" w:before="2" w:after="0"/>
        <w:ind w:left="2721" w:right="3892" w:hanging="794"/>
        <w:jc w:val="left"/>
        <w:rPr>
          <w:sz w:val="20"/>
        </w:rPr>
      </w:pPr>
      <w:r>
        <w:rPr>
          <w:spacing w:val="-5"/>
          <w:w w:val="120"/>
          <w:sz w:val="20"/>
        </w:rPr>
        <w:t>[1 </w:t>
      </w:r>
      <w:r>
        <w:rPr>
          <w:i/>
          <w:w w:val="120"/>
          <w:sz w:val="20"/>
        </w:rPr>
        <w:t>spirituality and prayer; </w:t>
      </w:r>
      <w:r>
        <w:rPr>
          <w:w w:val="120"/>
          <w:sz w:val="20"/>
        </w:rPr>
        <w:t>2 </w:t>
      </w:r>
      <w:r>
        <w:rPr>
          <w:i/>
          <w:w w:val="120"/>
          <w:sz w:val="20"/>
        </w:rPr>
        <w:t>identity; </w:t>
      </w:r>
      <w:r>
        <w:rPr>
          <w:w w:val="120"/>
          <w:sz w:val="20"/>
        </w:rPr>
        <w:t>6 </w:t>
      </w:r>
      <w:r>
        <w:rPr>
          <w:i/>
          <w:spacing w:val="-3"/>
          <w:w w:val="120"/>
          <w:sz w:val="20"/>
        </w:rPr>
        <w:t>evangelism</w:t>
      </w:r>
      <w:r>
        <w:rPr>
          <w:spacing w:val="-3"/>
          <w:w w:val="120"/>
          <w:sz w:val="20"/>
        </w:rPr>
        <w:t>] </w:t>
      </w:r>
      <w:r>
        <w:rPr>
          <w:w w:val="120"/>
          <w:sz w:val="20"/>
        </w:rPr>
        <w:t>[Isaiah 56:6-8; Isaiah </w:t>
      </w:r>
      <w:r>
        <w:rPr>
          <w:spacing w:val="-9"/>
          <w:w w:val="120"/>
          <w:sz w:val="20"/>
        </w:rPr>
        <w:t>65:17-25; </w:t>
      </w:r>
      <w:r>
        <w:rPr>
          <w:w w:val="120"/>
          <w:sz w:val="20"/>
        </w:rPr>
        <w:t>Revelation </w:t>
      </w:r>
      <w:r>
        <w:rPr>
          <w:spacing w:val="-11"/>
          <w:w w:val="120"/>
          <w:sz w:val="20"/>
        </w:rPr>
        <w:t>21:1-7; </w:t>
      </w:r>
      <w:r>
        <w:rPr>
          <w:w w:val="120"/>
          <w:sz w:val="20"/>
        </w:rPr>
        <w:t>Ruth; Matthew </w:t>
      </w:r>
      <w:r>
        <w:rPr>
          <w:spacing w:val="-13"/>
          <w:w w:val="120"/>
          <w:sz w:val="20"/>
        </w:rPr>
        <w:t>1.1-17; </w:t>
      </w:r>
      <w:r>
        <w:rPr>
          <w:spacing w:val="2"/>
          <w:w w:val="120"/>
          <w:sz w:val="20"/>
        </w:rPr>
        <w:t>Acts</w:t>
      </w:r>
      <w:r>
        <w:rPr>
          <w:spacing w:val="-21"/>
          <w:w w:val="120"/>
          <w:sz w:val="20"/>
        </w:rPr>
        <w:t> </w:t>
      </w:r>
      <w:r>
        <w:rPr>
          <w:spacing w:val="-7"/>
          <w:w w:val="120"/>
          <w:sz w:val="20"/>
        </w:rPr>
        <w:t>10]</w:t>
      </w:r>
    </w:p>
    <w:p>
      <w:pPr>
        <w:pStyle w:val="BodyText"/>
        <w:spacing w:before="10"/>
        <w:rPr>
          <w:sz w:val="19"/>
        </w:rPr>
      </w:pPr>
    </w:p>
    <w:p>
      <w:pPr>
        <w:pStyle w:val="ListParagraph"/>
        <w:numPr>
          <w:ilvl w:val="0"/>
          <w:numId w:val="7"/>
        </w:numPr>
        <w:tabs>
          <w:tab w:pos="1927" w:val="left" w:leader="none"/>
          <w:tab w:pos="1928" w:val="left" w:leader="none"/>
        </w:tabs>
        <w:spacing w:line="235" w:lineRule="auto" w:before="0" w:after="0"/>
        <w:ind w:left="1927" w:right="2092" w:hanging="681"/>
        <w:jc w:val="left"/>
        <w:rPr>
          <w:sz w:val="20"/>
        </w:rPr>
      </w:pPr>
      <w:r>
        <w:rPr>
          <w:w w:val="120"/>
          <w:sz w:val="20"/>
        </w:rPr>
        <w:t>will affirm new and different experiences, recognising a variety of expressions of the one</w:t>
      </w:r>
      <w:r>
        <w:rPr>
          <w:spacing w:val="3"/>
          <w:w w:val="120"/>
          <w:sz w:val="20"/>
        </w:rPr>
        <w:t> </w:t>
      </w:r>
      <w:r>
        <w:rPr>
          <w:w w:val="120"/>
          <w:sz w:val="20"/>
        </w:rPr>
        <w:t>faith</w:t>
      </w:r>
    </w:p>
    <w:p>
      <w:pPr>
        <w:pStyle w:val="ListParagraph"/>
        <w:numPr>
          <w:ilvl w:val="1"/>
          <w:numId w:val="7"/>
        </w:numPr>
        <w:tabs>
          <w:tab w:pos="2721" w:val="left" w:leader="none"/>
          <w:tab w:pos="2722" w:val="left" w:leader="none"/>
        </w:tabs>
        <w:spacing w:line="235" w:lineRule="auto" w:before="1" w:after="0"/>
        <w:ind w:left="2721" w:right="3309" w:hanging="794"/>
        <w:jc w:val="left"/>
        <w:rPr>
          <w:sz w:val="20"/>
        </w:rPr>
      </w:pPr>
      <w:r>
        <w:rPr>
          <w:spacing w:val="-8"/>
          <w:w w:val="115"/>
          <w:sz w:val="20"/>
        </w:rPr>
        <w:t>[5</w:t>
      </w:r>
      <w:r>
        <w:rPr>
          <w:spacing w:val="-12"/>
          <w:w w:val="115"/>
          <w:sz w:val="20"/>
        </w:rPr>
        <w:t> </w:t>
      </w:r>
      <w:r>
        <w:rPr>
          <w:i/>
          <w:w w:val="115"/>
          <w:sz w:val="20"/>
        </w:rPr>
        <w:t>hospitality</w:t>
      </w:r>
      <w:r>
        <w:rPr>
          <w:i/>
          <w:spacing w:val="-14"/>
          <w:w w:val="115"/>
          <w:sz w:val="20"/>
        </w:rPr>
        <w:t> </w:t>
      </w:r>
      <w:r>
        <w:rPr>
          <w:i/>
          <w:w w:val="115"/>
          <w:sz w:val="20"/>
        </w:rPr>
        <w:t>and</w:t>
      </w:r>
      <w:r>
        <w:rPr>
          <w:i/>
          <w:spacing w:val="-14"/>
          <w:w w:val="115"/>
          <w:sz w:val="20"/>
        </w:rPr>
        <w:t> </w:t>
      </w:r>
      <w:r>
        <w:rPr>
          <w:i/>
          <w:w w:val="115"/>
          <w:sz w:val="20"/>
        </w:rPr>
        <w:t>diversity;</w:t>
      </w:r>
      <w:r>
        <w:rPr>
          <w:i/>
          <w:spacing w:val="-13"/>
          <w:w w:val="115"/>
          <w:sz w:val="20"/>
        </w:rPr>
        <w:t> </w:t>
      </w:r>
      <w:r>
        <w:rPr>
          <w:w w:val="115"/>
          <w:sz w:val="20"/>
        </w:rPr>
        <w:t>3</w:t>
      </w:r>
      <w:r>
        <w:rPr>
          <w:spacing w:val="-12"/>
          <w:w w:val="115"/>
          <w:sz w:val="20"/>
        </w:rPr>
        <w:t> </w:t>
      </w:r>
      <w:r>
        <w:rPr>
          <w:i/>
          <w:w w:val="115"/>
          <w:sz w:val="20"/>
        </w:rPr>
        <w:t>Christian</w:t>
      </w:r>
      <w:r>
        <w:rPr>
          <w:i/>
          <w:spacing w:val="-14"/>
          <w:w w:val="115"/>
          <w:sz w:val="20"/>
        </w:rPr>
        <w:t> </w:t>
      </w:r>
      <w:r>
        <w:rPr>
          <w:i/>
          <w:w w:val="115"/>
          <w:sz w:val="20"/>
        </w:rPr>
        <w:t>ecumenical</w:t>
      </w:r>
      <w:r>
        <w:rPr>
          <w:i/>
          <w:spacing w:val="-13"/>
          <w:w w:val="115"/>
          <w:sz w:val="20"/>
        </w:rPr>
        <w:t> </w:t>
      </w:r>
      <w:r>
        <w:rPr>
          <w:i/>
          <w:w w:val="115"/>
          <w:sz w:val="20"/>
        </w:rPr>
        <w:t>partnerships</w:t>
      </w:r>
      <w:r>
        <w:rPr>
          <w:w w:val="115"/>
          <w:sz w:val="20"/>
        </w:rPr>
        <w:t>] </w:t>
      </w:r>
      <w:r>
        <w:rPr>
          <w:w w:val="120"/>
          <w:sz w:val="20"/>
        </w:rPr>
        <w:t>[Genesis </w:t>
      </w:r>
      <w:r>
        <w:rPr>
          <w:spacing w:val="-6"/>
          <w:w w:val="120"/>
          <w:sz w:val="20"/>
        </w:rPr>
        <w:t>1:26; </w:t>
      </w:r>
      <w:r>
        <w:rPr>
          <w:w w:val="120"/>
          <w:sz w:val="20"/>
        </w:rPr>
        <w:t>Psalm </w:t>
      </w:r>
      <w:r>
        <w:rPr>
          <w:spacing w:val="-13"/>
          <w:w w:val="120"/>
          <w:sz w:val="20"/>
        </w:rPr>
        <w:t>133:1; </w:t>
      </w:r>
      <w:r>
        <w:rPr>
          <w:w w:val="120"/>
          <w:sz w:val="20"/>
        </w:rPr>
        <w:t>Matthew </w:t>
      </w:r>
      <w:r>
        <w:rPr>
          <w:spacing w:val="-8"/>
          <w:w w:val="120"/>
          <w:sz w:val="20"/>
        </w:rPr>
        <w:t>28:19; </w:t>
      </w:r>
      <w:r>
        <w:rPr>
          <w:w w:val="120"/>
          <w:sz w:val="20"/>
        </w:rPr>
        <w:t>John </w:t>
      </w:r>
      <w:r>
        <w:rPr>
          <w:spacing w:val="-15"/>
          <w:w w:val="120"/>
          <w:sz w:val="20"/>
        </w:rPr>
        <w:t>17:11,</w:t>
      </w:r>
      <w:r>
        <w:rPr>
          <w:spacing w:val="-8"/>
          <w:w w:val="120"/>
          <w:sz w:val="20"/>
        </w:rPr>
        <w:t> </w:t>
      </w:r>
      <w:r>
        <w:rPr>
          <w:spacing w:val="-4"/>
          <w:w w:val="120"/>
          <w:sz w:val="20"/>
        </w:rPr>
        <w:t>23;</w:t>
      </w:r>
    </w:p>
    <w:p>
      <w:pPr>
        <w:pStyle w:val="BodyText"/>
        <w:spacing w:line="242" w:lineRule="exact"/>
        <w:ind w:left="2721"/>
      </w:pPr>
      <w:r>
        <w:rPr>
          <w:w w:val="120"/>
        </w:rPr>
        <w:t>1 Corinthians 12: 12-27; Galatians 3:27-29]</w:t>
      </w:r>
    </w:p>
    <w:p>
      <w:pPr>
        <w:pStyle w:val="BodyText"/>
        <w:spacing w:before="4"/>
        <w:rPr>
          <w:sz w:val="19"/>
        </w:rPr>
      </w:pPr>
    </w:p>
    <w:p>
      <w:pPr>
        <w:pStyle w:val="ListParagraph"/>
        <w:numPr>
          <w:ilvl w:val="0"/>
          <w:numId w:val="7"/>
        </w:numPr>
        <w:tabs>
          <w:tab w:pos="1927" w:val="left" w:leader="none"/>
          <w:tab w:pos="1928" w:val="left" w:leader="none"/>
        </w:tabs>
        <w:spacing w:line="242" w:lineRule="exact" w:before="0" w:after="0"/>
        <w:ind w:left="1927" w:right="0" w:hanging="681"/>
        <w:jc w:val="left"/>
        <w:rPr>
          <w:sz w:val="20"/>
        </w:rPr>
      </w:pPr>
      <w:r>
        <w:rPr>
          <w:w w:val="120"/>
          <w:sz w:val="20"/>
        </w:rPr>
        <w:t>will journey beyond our cultural comfort zones and</w:t>
      </w:r>
      <w:r>
        <w:rPr>
          <w:spacing w:val="21"/>
          <w:w w:val="120"/>
          <w:sz w:val="20"/>
        </w:rPr>
        <w:t> </w:t>
      </w:r>
      <w:r>
        <w:rPr>
          <w:w w:val="120"/>
          <w:sz w:val="20"/>
        </w:rPr>
        <w:t>boundaries</w:t>
      </w:r>
    </w:p>
    <w:p>
      <w:pPr>
        <w:pStyle w:val="ListParagraph"/>
        <w:numPr>
          <w:ilvl w:val="1"/>
          <w:numId w:val="7"/>
        </w:numPr>
        <w:tabs>
          <w:tab w:pos="2721" w:val="left" w:leader="none"/>
          <w:tab w:pos="2722" w:val="left" w:leader="none"/>
        </w:tabs>
        <w:spacing w:line="235" w:lineRule="auto" w:before="2" w:after="0"/>
        <w:ind w:left="2721" w:right="4124" w:hanging="794"/>
        <w:jc w:val="left"/>
        <w:rPr>
          <w:sz w:val="20"/>
        </w:rPr>
      </w:pPr>
      <w:r>
        <w:rPr>
          <w:spacing w:val="-5"/>
          <w:w w:val="120"/>
          <w:sz w:val="20"/>
        </w:rPr>
        <w:t>[8 </w:t>
      </w:r>
      <w:r>
        <w:rPr>
          <w:w w:val="120"/>
          <w:sz w:val="20"/>
        </w:rPr>
        <w:t>g</w:t>
      </w:r>
      <w:r>
        <w:rPr>
          <w:i/>
          <w:w w:val="120"/>
          <w:sz w:val="20"/>
        </w:rPr>
        <w:t>lobal partnerships; </w:t>
      </w:r>
      <w:r>
        <w:rPr>
          <w:w w:val="120"/>
          <w:sz w:val="20"/>
        </w:rPr>
        <w:t>4 c</w:t>
      </w:r>
      <w:r>
        <w:rPr>
          <w:i/>
          <w:w w:val="120"/>
          <w:sz w:val="20"/>
        </w:rPr>
        <w:t>ommunity partnerships</w:t>
      </w:r>
      <w:r>
        <w:rPr>
          <w:w w:val="120"/>
          <w:sz w:val="20"/>
        </w:rPr>
        <w:t>] [Jonah; Matthew </w:t>
      </w:r>
      <w:r>
        <w:rPr>
          <w:spacing w:val="-9"/>
          <w:w w:val="120"/>
          <w:sz w:val="20"/>
        </w:rPr>
        <w:t>15: </w:t>
      </w:r>
      <w:r>
        <w:rPr>
          <w:spacing w:val="-5"/>
          <w:w w:val="120"/>
          <w:sz w:val="20"/>
        </w:rPr>
        <w:t>21-28; 28:19-20; </w:t>
      </w:r>
      <w:r>
        <w:rPr>
          <w:w w:val="120"/>
          <w:sz w:val="20"/>
        </w:rPr>
        <w:t>Mark </w:t>
      </w:r>
      <w:r>
        <w:rPr>
          <w:spacing w:val="-4"/>
          <w:w w:val="120"/>
          <w:sz w:val="20"/>
        </w:rPr>
        <w:t>7:24-30; </w:t>
      </w:r>
      <w:r>
        <w:rPr>
          <w:w w:val="120"/>
          <w:sz w:val="20"/>
        </w:rPr>
        <w:t>Genesis </w:t>
      </w:r>
      <w:r>
        <w:rPr>
          <w:spacing w:val="-7"/>
          <w:w w:val="120"/>
          <w:sz w:val="20"/>
        </w:rPr>
        <w:t>28:10-19; </w:t>
      </w:r>
      <w:r>
        <w:rPr>
          <w:spacing w:val="2"/>
          <w:w w:val="120"/>
          <w:sz w:val="20"/>
        </w:rPr>
        <w:t>Acts </w:t>
      </w:r>
      <w:r>
        <w:rPr>
          <w:w w:val="120"/>
          <w:sz w:val="20"/>
        </w:rPr>
        <w:t>8:</w:t>
      </w:r>
      <w:r>
        <w:rPr>
          <w:spacing w:val="19"/>
          <w:w w:val="120"/>
          <w:sz w:val="20"/>
        </w:rPr>
        <w:t> </w:t>
      </w:r>
      <w:r>
        <w:rPr>
          <w:w w:val="120"/>
          <w:sz w:val="20"/>
        </w:rPr>
        <w:t>26-40]</w:t>
      </w:r>
    </w:p>
    <w:p>
      <w:pPr>
        <w:pStyle w:val="BodyText"/>
        <w:spacing w:before="10"/>
        <w:rPr>
          <w:sz w:val="19"/>
        </w:rPr>
      </w:pPr>
    </w:p>
    <w:p>
      <w:pPr>
        <w:pStyle w:val="ListParagraph"/>
        <w:numPr>
          <w:ilvl w:val="0"/>
          <w:numId w:val="7"/>
        </w:numPr>
        <w:tabs>
          <w:tab w:pos="1927" w:val="left" w:leader="none"/>
          <w:tab w:pos="1928" w:val="left" w:leader="none"/>
        </w:tabs>
        <w:spacing w:line="235" w:lineRule="auto" w:before="0" w:after="0"/>
        <w:ind w:left="1927" w:right="2604" w:hanging="681"/>
        <w:jc w:val="left"/>
        <w:rPr>
          <w:sz w:val="20"/>
        </w:rPr>
      </w:pPr>
      <w:r>
        <w:rPr>
          <w:w w:val="120"/>
          <w:sz w:val="20"/>
        </w:rPr>
        <w:t>will seek to become an enlarged, inclusive, welcoming, and justice-seeking community</w:t>
      </w:r>
    </w:p>
    <w:p>
      <w:pPr>
        <w:pStyle w:val="ListParagraph"/>
        <w:numPr>
          <w:ilvl w:val="1"/>
          <w:numId w:val="7"/>
        </w:numPr>
        <w:tabs>
          <w:tab w:pos="2721" w:val="left" w:leader="none"/>
          <w:tab w:pos="2722" w:val="left" w:leader="none"/>
        </w:tabs>
        <w:spacing w:line="240" w:lineRule="exact" w:before="0" w:after="0"/>
        <w:ind w:left="2721" w:right="0" w:hanging="795"/>
        <w:jc w:val="left"/>
        <w:rPr>
          <w:sz w:val="20"/>
        </w:rPr>
      </w:pPr>
      <w:r>
        <w:rPr>
          <w:spacing w:val="-5"/>
          <w:w w:val="115"/>
          <w:sz w:val="20"/>
        </w:rPr>
        <w:t>[2 </w:t>
      </w:r>
      <w:r>
        <w:rPr>
          <w:i/>
          <w:w w:val="115"/>
          <w:sz w:val="20"/>
        </w:rPr>
        <w:t>identity; </w:t>
      </w:r>
      <w:r>
        <w:rPr>
          <w:w w:val="115"/>
          <w:sz w:val="20"/>
        </w:rPr>
        <w:t>9 </w:t>
      </w:r>
      <w:r>
        <w:rPr>
          <w:i/>
          <w:w w:val="115"/>
          <w:sz w:val="20"/>
        </w:rPr>
        <w:t>justice and peace; </w:t>
      </w:r>
      <w:r>
        <w:rPr>
          <w:spacing w:val="-6"/>
          <w:w w:val="115"/>
          <w:sz w:val="20"/>
        </w:rPr>
        <w:t>10 </w:t>
      </w:r>
      <w:r>
        <w:rPr>
          <w:i/>
          <w:w w:val="115"/>
          <w:sz w:val="20"/>
        </w:rPr>
        <w:t>integrity of</w:t>
      </w:r>
      <w:r>
        <w:rPr>
          <w:i/>
          <w:spacing w:val="22"/>
          <w:w w:val="115"/>
          <w:sz w:val="20"/>
        </w:rPr>
        <w:t> </w:t>
      </w:r>
      <w:r>
        <w:rPr>
          <w:i/>
          <w:w w:val="115"/>
          <w:sz w:val="20"/>
        </w:rPr>
        <w:t>creation</w:t>
      </w:r>
      <w:r>
        <w:rPr>
          <w:w w:val="115"/>
          <w:sz w:val="20"/>
        </w:rPr>
        <w:t>]</w:t>
      </w:r>
    </w:p>
    <w:p>
      <w:pPr>
        <w:pStyle w:val="BodyText"/>
        <w:spacing w:line="242" w:lineRule="exact"/>
        <w:ind w:left="2721"/>
      </w:pPr>
      <w:r>
        <w:rPr>
          <w:w w:val="120"/>
        </w:rPr>
        <w:t>[Psalm 148; Galatians 3:28; Ephesians 4:3-5; Revelation 7:9; Micah 6:8]</w:t>
      </w:r>
    </w:p>
    <w:p>
      <w:pPr>
        <w:pStyle w:val="BodyText"/>
        <w:spacing w:before="8"/>
        <w:rPr>
          <w:sz w:val="19"/>
        </w:rPr>
      </w:pPr>
    </w:p>
    <w:p>
      <w:pPr>
        <w:pStyle w:val="ListParagraph"/>
        <w:numPr>
          <w:ilvl w:val="0"/>
          <w:numId w:val="7"/>
        </w:numPr>
        <w:tabs>
          <w:tab w:pos="1927" w:val="left" w:leader="none"/>
          <w:tab w:pos="1928" w:val="left" w:leader="none"/>
        </w:tabs>
        <w:spacing w:line="235" w:lineRule="auto" w:before="0" w:after="0"/>
        <w:ind w:left="1927" w:right="1981" w:hanging="681"/>
        <w:jc w:val="both"/>
        <w:rPr>
          <w:sz w:val="20"/>
        </w:rPr>
      </w:pPr>
      <w:r>
        <w:rPr>
          <w:w w:val="120"/>
          <w:sz w:val="20"/>
        </w:rPr>
        <w:t>will engage in transformation of heart, mind, structure and policy, seeking habits that redress power imbalances, challenge systemic injustice, generously cultivate diverse leadership, and seek full participation of</w:t>
      </w:r>
      <w:r>
        <w:rPr>
          <w:spacing w:val="13"/>
          <w:w w:val="120"/>
          <w:sz w:val="20"/>
        </w:rPr>
        <w:t> </w:t>
      </w:r>
      <w:r>
        <w:rPr>
          <w:w w:val="120"/>
          <w:sz w:val="20"/>
        </w:rPr>
        <w:t>all</w:t>
      </w:r>
    </w:p>
    <w:p>
      <w:pPr>
        <w:pStyle w:val="ListParagraph"/>
        <w:numPr>
          <w:ilvl w:val="1"/>
          <w:numId w:val="7"/>
        </w:numPr>
        <w:tabs>
          <w:tab w:pos="2721" w:val="left" w:leader="none"/>
          <w:tab w:pos="2722" w:val="left" w:leader="none"/>
        </w:tabs>
        <w:spacing w:line="240" w:lineRule="exact" w:before="0" w:after="0"/>
        <w:ind w:left="2721" w:right="0" w:hanging="795"/>
        <w:jc w:val="both"/>
        <w:rPr>
          <w:sz w:val="20"/>
        </w:rPr>
      </w:pPr>
      <w:r>
        <w:rPr>
          <w:spacing w:val="-3"/>
          <w:w w:val="115"/>
          <w:sz w:val="20"/>
        </w:rPr>
        <w:t>[7 </w:t>
      </w:r>
      <w:r>
        <w:rPr>
          <w:i/>
          <w:w w:val="115"/>
          <w:sz w:val="20"/>
        </w:rPr>
        <w:t>church growth</w:t>
      </w:r>
      <w:r>
        <w:rPr>
          <w:w w:val="115"/>
          <w:sz w:val="20"/>
        </w:rPr>
        <w:t>; 9 </w:t>
      </w:r>
      <w:r>
        <w:rPr>
          <w:i/>
          <w:w w:val="115"/>
          <w:sz w:val="20"/>
        </w:rPr>
        <w:t>justice and</w:t>
      </w:r>
      <w:r>
        <w:rPr>
          <w:i/>
          <w:spacing w:val="18"/>
          <w:w w:val="115"/>
          <w:sz w:val="20"/>
        </w:rPr>
        <w:t> </w:t>
      </w:r>
      <w:r>
        <w:rPr>
          <w:i/>
          <w:spacing w:val="-3"/>
          <w:w w:val="115"/>
          <w:sz w:val="20"/>
        </w:rPr>
        <w:t>peace</w:t>
      </w:r>
      <w:r>
        <w:rPr>
          <w:spacing w:val="-3"/>
          <w:w w:val="115"/>
          <w:sz w:val="20"/>
        </w:rPr>
        <w:t>]</w:t>
      </w:r>
    </w:p>
    <w:p>
      <w:pPr>
        <w:pStyle w:val="BodyText"/>
        <w:spacing w:line="240" w:lineRule="exact"/>
        <w:ind w:left="2721"/>
        <w:jc w:val="both"/>
      </w:pPr>
      <w:r>
        <w:rPr>
          <w:w w:val="120"/>
        </w:rPr>
        <w:t>[Luke 19:1-10; John 10:10; Acts 10:34; Romans 12: 1-2; Matthew 21:1-11;</w:t>
      </w:r>
    </w:p>
    <w:p>
      <w:pPr>
        <w:pStyle w:val="BodyText"/>
        <w:spacing w:line="242" w:lineRule="exact"/>
        <w:ind w:left="2721"/>
        <w:jc w:val="both"/>
      </w:pPr>
      <w:r>
        <w:rPr>
          <w:w w:val="120"/>
        </w:rPr>
        <w:t>Mark </w:t>
      </w:r>
      <w:r>
        <w:rPr>
          <w:spacing w:val="-7"/>
          <w:w w:val="120"/>
        </w:rPr>
        <w:t>8:27-33; </w:t>
      </w:r>
      <w:r>
        <w:rPr>
          <w:w w:val="120"/>
        </w:rPr>
        <w:t>Luke </w:t>
      </w:r>
      <w:r>
        <w:rPr>
          <w:spacing w:val="-4"/>
          <w:w w:val="120"/>
        </w:rPr>
        <w:t>1:46-55; </w:t>
      </w:r>
      <w:r>
        <w:rPr>
          <w:w w:val="120"/>
        </w:rPr>
        <w:t>Luke </w:t>
      </w:r>
      <w:r>
        <w:rPr>
          <w:spacing w:val="-6"/>
          <w:w w:val="120"/>
        </w:rPr>
        <w:t>4:16-30; </w:t>
      </w:r>
      <w:r>
        <w:rPr>
          <w:w w:val="120"/>
        </w:rPr>
        <w:t>Romans </w:t>
      </w:r>
      <w:r>
        <w:rPr>
          <w:spacing w:val="-6"/>
          <w:w w:val="120"/>
        </w:rPr>
        <w:t>16: </w:t>
      </w:r>
      <w:r>
        <w:rPr>
          <w:spacing w:val="-9"/>
          <w:w w:val="120"/>
        </w:rPr>
        <w:t>1-16]</w:t>
      </w:r>
    </w:p>
    <w:p>
      <w:pPr>
        <w:pStyle w:val="BodyText"/>
        <w:spacing w:before="8"/>
        <w:rPr>
          <w:sz w:val="19"/>
        </w:rPr>
      </w:pPr>
    </w:p>
    <w:p>
      <w:pPr>
        <w:pStyle w:val="ListParagraph"/>
        <w:numPr>
          <w:ilvl w:val="0"/>
          <w:numId w:val="7"/>
        </w:numPr>
        <w:tabs>
          <w:tab w:pos="1927" w:val="left" w:leader="none"/>
          <w:tab w:pos="1928" w:val="left" w:leader="none"/>
        </w:tabs>
        <w:spacing w:line="235" w:lineRule="auto" w:before="0" w:after="0"/>
        <w:ind w:left="1927" w:right="2320" w:hanging="681"/>
        <w:jc w:val="left"/>
        <w:rPr>
          <w:sz w:val="20"/>
        </w:rPr>
      </w:pPr>
      <w:r>
        <w:rPr>
          <w:w w:val="115"/>
          <w:sz w:val="20"/>
        </w:rPr>
        <w:t>will work intentionally towards mutuality in giving and sharing for all of us are     in need and </w:t>
      </w:r>
      <w:r>
        <w:rPr>
          <w:i/>
          <w:w w:val="115"/>
          <w:sz w:val="20"/>
        </w:rPr>
        <w:t>all must be mutually inconvenienced </w:t>
      </w:r>
      <w:r>
        <w:rPr>
          <w:w w:val="115"/>
          <w:sz w:val="20"/>
        </w:rPr>
        <w:t>for the sake of the other and  the</w:t>
      </w:r>
      <w:r>
        <w:rPr>
          <w:spacing w:val="4"/>
          <w:w w:val="115"/>
          <w:sz w:val="20"/>
        </w:rPr>
        <w:t> </w:t>
      </w:r>
      <w:r>
        <w:rPr>
          <w:w w:val="115"/>
          <w:sz w:val="20"/>
        </w:rPr>
        <w:t>gospel.</w:t>
      </w:r>
    </w:p>
    <w:p>
      <w:pPr>
        <w:pStyle w:val="ListParagraph"/>
        <w:numPr>
          <w:ilvl w:val="1"/>
          <w:numId w:val="7"/>
        </w:numPr>
        <w:tabs>
          <w:tab w:pos="2721" w:val="left" w:leader="none"/>
          <w:tab w:pos="2722" w:val="left" w:leader="none"/>
        </w:tabs>
        <w:spacing w:line="235" w:lineRule="auto" w:before="2" w:after="0"/>
        <w:ind w:left="2721" w:right="2543" w:hanging="794"/>
        <w:jc w:val="left"/>
        <w:rPr>
          <w:sz w:val="20"/>
        </w:rPr>
      </w:pPr>
      <w:r>
        <w:rPr>
          <w:spacing w:val="-5"/>
          <w:w w:val="115"/>
          <w:sz w:val="20"/>
        </w:rPr>
        <w:t>[1</w:t>
      </w:r>
      <w:r>
        <w:rPr>
          <w:spacing w:val="-9"/>
          <w:w w:val="115"/>
          <w:sz w:val="20"/>
        </w:rPr>
        <w:t> </w:t>
      </w:r>
      <w:r>
        <w:rPr>
          <w:i/>
          <w:w w:val="115"/>
          <w:sz w:val="20"/>
        </w:rPr>
        <w:t>spirituality</w:t>
      </w:r>
      <w:r>
        <w:rPr>
          <w:i/>
          <w:spacing w:val="-11"/>
          <w:w w:val="115"/>
          <w:sz w:val="20"/>
        </w:rPr>
        <w:t> </w:t>
      </w:r>
      <w:r>
        <w:rPr>
          <w:i/>
          <w:w w:val="115"/>
          <w:sz w:val="20"/>
        </w:rPr>
        <w:t>and</w:t>
      </w:r>
      <w:r>
        <w:rPr>
          <w:i/>
          <w:spacing w:val="-12"/>
          <w:w w:val="115"/>
          <w:sz w:val="20"/>
        </w:rPr>
        <w:t> </w:t>
      </w:r>
      <w:r>
        <w:rPr>
          <w:i/>
          <w:w w:val="115"/>
          <w:sz w:val="20"/>
        </w:rPr>
        <w:t>prayer;</w:t>
      </w:r>
      <w:r>
        <w:rPr>
          <w:i/>
          <w:spacing w:val="-11"/>
          <w:w w:val="115"/>
          <w:sz w:val="20"/>
        </w:rPr>
        <w:t> </w:t>
      </w:r>
      <w:r>
        <w:rPr>
          <w:w w:val="115"/>
          <w:sz w:val="20"/>
        </w:rPr>
        <w:t>5</w:t>
      </w:r>
      <w:r>
        <w:rPr>
          <w:spacing w:val="-8"/>
          <w:w w:val="115"/>
          <w:sz w:val="20"/>
        </w:rPr>
        <w:t> </w:t>
      </w:r>
      <w:r>
        <w:rPr>
          <w:i/>
          <w:w w:val="115"/>
          <w:sz w:val="20"/>
        </w:rPr>
        <w:t>hospitality</w:t>
      </w:r>
      <w:r>
        <w:rPr>
          <w:i/>
          <w:spacing w:val="-12"/>
          <w:w w:val="115"/>
          <w:sz w:val="20"/>
        </w:rPr>
        <w:t> </w:t>
      </w:r>
      <w:r>
        <w:rPr>
          <w:i/>
          <w:w w:val="115"/>
          <w:sz w:val="20"/>
        </w:rPr>
        <w:t>and</w:t>
      </w:r>
      <w:r>
        <w:rPr>
          <w:i/>
          <w:spacing w:val="-11"/>
          <w:w w:val="115"/>
          <w:sz w:val="20"/>
        </w:rPr>
        <w:t> </w:t>
      </w:r>
      <w:r>
        <w:rPr>
          <w:i/>
          <w:w w:val="115"/>
          <w:sz w:val="20"/>
        </w:rPr>
        <w:t>diversity;</w:t>
      </w:r>
      <w:r>
        <w:rPr>
          <w:i/>
          <w:spacing w:val="-8"/>
          <w:w w:val="115"/>
          <w:sz w:val="20"/>
        </w:rPr>
        <w:t> </w:t>
      </w:r>
      <w:r>
        <w:rPr>
          <w:w w:val="115"/>
          <w:sz w:val="20"/>
        </w:rPr>
        <w:t>9</w:t>
      </w:r>
      <w:r>
        <w:rPr>
          <w:spacing w:val="-9"/>
          <w:w w:val="115"/>
          <w:sz w:val="20"/>
        </w:rPr>
        <w:t> </w:t>
      </w:r>
      <w:r>
        <w:rPr>
          <w:i/>
          <w:w w:val="115"/>
          <w:sz w:val="20"/>
        </w:rPr>
        <w:t>justice</w:t>
      </w:r>
      <w:r>
        <w:rPr>
          <w:i/>
          <w:spacing w:val="-11"/>
          <w:w w:val="115"/>
          <w:sz w:val="20"/>
        </w:rPr>
        <w:t> </w:t>
      </w:r>
      <w:r>
        <w:rPr>
          <w:i/>
          <w:w w:val="115"/>
          <w:sz w:val="20"/>
        </w:rPr>
        <w:t>and</w:t>
      </w:r>
      <w:r>
        <w:rPr>
          <w:i/>
          <w:spacing w:val="-11"/>
          <w:w w:val="115"/>
          <w:sz w:val="20"/>
        </w:rPr>
        <w:t> </w:t>
      </w:r>
      <w:r>
        <w:rPr>
          <w:i/>
          <w:spacing w:val="-3"/>
          <w:w w:val="115"/>
          <w:sz w:val="20"/>
        </w:rPr>
        <w:t>peace</w:t>
      </w:r>
      <w:r>
        <w:rPr>
          <w:spacing w:val="-3"/>
          <w:w w:val="115"/>
          <w:sz w:val="20"/>
        </w:rPr>
        <w:t>] </w:t>
      </w:r>
      <w:r>
        <w:rPr>
          <w:w w:val="115"/>
          <w:sz w:val="20"/>
        </w:rPr>
        <w:t>[Luke </w:t>
      </w:r>
      <w:r>
        <w:rPr>
          <w:spacing w:val="-7"/>
          <w:w w:val="115"/>
          <w:sz w:val="20"/>
        </w:rPr>
        <w:t>7:18-23; </w:t>
      </w:r>
      <w:r>
        <w:rPr>
          <w:w w:val="115"/>
          <w:sz w:val="20"/>
        </w:rPr>
        <w:t>Luke </w:t>
      </w:r>
      <w:r>
        <w:rPr>
          <w:spacing w:val="-5"/>
          <w:w w:val="115"/>
          <w:sz w:val="20"/>
        </w:rPr>
        <w:t>10:25-37; </w:t>
      </w:r>
      <w:r>
        <w:rPr>
          <w:w w:val="115"/>
          <w:sz w:val="20"/>
        </w:rPr>
        <w:t>John</w:t>
      </w:r>
      <w:r>
        <w:rPr>
          <w:spacing w:val="12"/>
          <w:w w:val="115"/>
          <w:sz w:val="20"/>
        </w:rPr>
        <w:t> </w:t>
      </w:r>
      <w:r>
        <w:rPr>
          <w:spacing w:val="-9"/>
          <w:w w:val="115"/>
          <w:sz w:val="20"/>
        </w:rPr>
        <w:t>4:1-39]</w:t>
      </w:r>
    </w:p>
    <w:p>
      <w:pPr>
        <w:pStyle w:val="BodyText"/>
        <w:spacing w:before="9"/>
        <w:rPr>
          <w:sz w:val="19"/>
        </w:rPr>
      </w:pPr>
    </w:p>
    <w:p>
      <w:pPr>
        <w:pStyle w:val="ListParagraph"/>
        <w:numPr>
          <w:ilvl w:val="0"/>
          <w:numId w:val="7"/>
        </w:numPr>
        <w:tabs>
          <w:tab w:pos="1927" w:val="left" w:leader="none"/>
          <w:tab w:pos="1928" w:val="left" w:leader="none"/>
        </w:tabs>
        <w:spacing w:line="235" w:lineRule="auto" w:before="1" w:after="0"/>
        <w:ind w:left="1927" w:right="2061" w:hanging="681"/>
        <w:jc w:val="left"/>
        <w:rPr>
          <w:sz w:val="20"/>
        </w:rPr>
      </w:pPr>
      <w:r>
        <w:rPr>
          <w:w w:val="120"/>
          <w:sz w:val="20"/>
        </w:rPr>
        <w:t>commit ourselves to the constant habit of self-examination, life-long learning, and reflection through on-going education, training, monitoring and evaluation of our intercultural</w:t>
      </w:r>
      <w:r>
        <w:rPr>
          <w:spacing w:val="6"/>
          <w:w w:val="120"/>
          <w:sz w:val="20"/>
        </w:rPr>
        <w:t> </w:t>
      </w:r>
      <w:r>
        <w:rPr>
          <w:w w:val="120"/>
          <w:sz w:val="20"/>
        </w:rPr>
        <w:t>engagement.</w:t>
      </w:r>
    </w:p>
    <w:p>
      <w:pPr>
        <w:pStyle w:val="ListParagraph"/>
        <w:numPr>
          <w:ilvl w:val="1"/>
          <w:numId w:val="7"/>
        </w:numPr>
        <w:tabs>
          <w:tab w:pos="2721" w:val="left" w:leader="none"/>
          <w:tab w:pos="2722" w:val="left" w:leader="none"/>
        </w:tabs>
        <w:spacing w:line="235" w:lineRule="auto" w:before="2" w:after="0"/>
        <w:ind w:left="2721" w:right="2363" w:hanging="794"/>
        <w:jc w:val="left"/>
        <w:rPr>
          <w:sz w:val="20"/>
        </w:rPr>
      </w:pPr>
      <w:r>
        <w:rPr>
          <w:spacing w:val="-5"/>
          <w:w w:val="115"/>
          <w:sz w:val="20"/>
        </w:rPr>
        <w:t>[1</w:t>
      </w:r>
      <w:r>
        <w:rPr>
          <w:spacing w:val="-4"/>
          <w:w w:val="115"/>
          <w:sz w:val="20"/>
        </w:rPr>
        <w:t> </w:t>
      </w:r>
      <w:r>
        <w:rPr>
          <w:i/>
          <w:w w:val="115"/>
          <w:sz w:val="20"/>
        </w:rPr>
        <w:t>spirituality</w:t>
      </w:r>
      <w:r>
        <w:rPr>
          <w:i/>
          <w:spacing w:val="-6"/>
          <w:w w:val="115"/>
          <w:sz w:val="20"/>
        </w:rPr>
        <w:t> </w:t>
      </w:r>
      <w:r>
        <w:rPr>
          <w:i/>
          <w:w w:val="115"/>
          <w:sz w:val="20"/>
        </w:rPr>
        <w:t>and</w:t>
      </w:r>
      <w:r>
        <w:rPr>
          <w:i/>
          <w:spacing w:val="-6"/>
          <w:w w:val="115"/>
          <w:sz w:val="20"/>
        </w:rPr>
        <w:t> </w:t>
      </w:r>
      <w:r>
        <w:rPr>
          <w:i/>
          <w:w w:val="115"/>
          <w:sz w:val="20"/>
        </w:rPr>
        <w:t>prayer;</w:t>
      </w:r>
      <w:r>
        <w:rPr>
          <w:i/>
          <w:spacing w:val="-6"/>
          <w:w w:val="115"/>
          <w:sz w:val="20"/>
        </w:rPr>
        <w:t> </w:t>
      </w:r>
      <w:r>
        <w:rPr>
          <w:w w:val="115"/>
          <w:sz w:val="20"/>
        </w:rPr>
        <w:t>2</w:t>
      </w:r>
      <w:r>
        <w:rPr>
          <w:spacing w:val="-4"/>
          <w:w w:val="115"/>
          <w:sz w:val="20"/>
        </w:rPr>
        <w:t> </w:t>
      </w:r>
      <w:r>
        <w:rPr>
          <w:i/>
          <w:w w:val="115"/>
          <w:sz w:val="20"/>
        </w:rPr>
        <w:t>identity</w:t>
      </w:r>
      <w:r>
        <w:rPr>
          <w:w w:val="115"/>
          <w:sz w:val="20"/>
        </w:rPr>
        <w:t>;</w:t>
      </w:r>
      <w:r>
        <w:rPr>
          <w:spacing w:val="-4"/>
          <w:w w:val="115"/>
          <w:sz w:val="20"/>
        </w:rPr>
        <w:t> </w:t>
      </w:r>
      <w:r>
        <w:rPr>
          <w:w w:val="115"/>
          <w:sz w:val="20"/>
        </w:rPr>
        <w:t>7</w:t>
      </w:r>
      <w:r>
        <w:rPr>
          <w:spacing w:val="-3"/>
          <w:w w:val="115"/>
          <w:sz w:val="20"/>
        </w:rPr>
        <w:t> </w:t>
      </w:r>
      <w:r>
        <w:rPr>
          <w:i/>
          <w:w w:val="115"/>
          <w:sz w:val="20"/>
        </w:rPr>
        <w:t>church</w:t>
      </w:r>
      <w:r>
        <w:rPr>
          <w:i/>
          <w:spacing w:val="-6"/>
          <w:w w:val="115"/>
          <w:sz w:val="20"/>
        </w:rPr>
        <w:t> </w:t>
      </w:r>
      <w:r>
        <w:rPr>
          <w:i/>
          <w:w w:val="115"/>
          <w:sz w:val="20"/>
        </w:rPr>
        <w:t>growth;</w:t>
      </w:r>
      <w:r>
        <w:rPr>
          <w:i/>
          <w:spacing w:val="-4"/>
          <w:w w:val="115"/>
          <w:sz w:val="20"/>
        </w:rPr>
        <w:t> </w:t>
      </w:r>
      <w:r>
        <w:rPr>
          <w:w w:val="115"/>
          <w:sz w:val="20"/>
        </w:rPr>
        <w:t>9</w:t>
      </w:r>
      <w:r>
        <w:rPr>
          <w:spacing w:val="-3"/>
          <w:w w:val="115"/>
          <w:sz w:val="20"/>
        </w:rPr>
        <w:t> </w:t>
      </w:r>
      <w:r>
        <w:rPr>
          <w:i/>
          <w:w w:val="115"/>
          <w:sz w:val="20"/>
        </w:rPr>
        <w:t>justice</w:t>
      </w:r>
      <w:r>
        <w:rPr>
          <w:i/>
          <w:spacing w:val="-7"/>
          <w:w w:val="115"/>
          <w:sz w:val="20"/>
        </w:rPr>
        <w:t> </w:t>
      </w:r>
      <w:r>
        <w:rPr>
          <w:i/>
          <w:w w:val="115"/>
          <w:sz w:val="20"/>
        </w:rPr>
        <w:t>and</w:t>
      </w:r>
      <w:r>
        <w:rPr>
          <w:i/>
          <w:spacing w:val="-6"/>
          <w:w w:val="115"/>
          <w:sz w:val="20"/>
        </w:rPr>
        <w:t> </w:t>
      </w:r>
      <w:r>
        <w:rPr>
          <w:i/>
          <w:spacing w:val="-3"/>
          <w:w w:val="115"/>
          <w:sz w:val="20"/>
        </w:rPr>
        <w:t>peace</w:t>
      </w:r>
      <w:r>
        <w:rPr>
          <w:spacing w:val="-3"/>
          <w:w w:val="115"/>
          <w:sz w:val="20"/>
        </w:rPr>
        <w:t>] </w:t>
      </w:r>
      <w:r>
        <w:rPr>
          <w:w w:val="115"/>
          <w:sz w:val="20"/>
        </w:rPr>
        <w:t>[I Corinthians </w:t>
      </w:r>
      <w:r>
        <w:rPr>
          <w:spacing w:val="-9"/>
          <w:w w:val="115"/>
          <w:sz w:val="20"/>
        </w:rPr>
        <w:t>9:1-33; </w:t>
      </w:r>
      <w:r>
        <w:rPr>
          <w:w w:val="115"/>
          <w:sz w:val="20"/>
        </w:rPr>
        <w:t>2Corinthians </w:t>
      </w:r>
      <w:r>
        <w:rPr>
          <w:spacing w:val="-6"/>
          <w:w w:val="115"/>
          <w:sz w:val="20"/>
        </w:rPr>
        <w:t>5:16-20; </w:t>
      </w:r>
      <w:r>
        <w:rPr>
          <w:w w:val="115"/>
          <w:sz w:val="20"/>
        </w:rPr>
        <w:t>Philippians</w:t>
      </w:r>
      <w:r>
        <w:rPr>
          <w:spacing w:val="11"/>
          <w:w w:val="115"/>
          <w:sz w:val="20"/>
        </w:rPr>
        <w:t> </w:t>
      </w:r>
      <w:r>
        <w:rPr>
          <w:spacing w:val="-11"/>
          <w:w w:val="115"/>
          <w:sz w:val="20"/>
        </w:rPr>
        <w:t>3:12-16]</w:t>
      </w:r>
    </w:p>
    <w:p>
      <w:pPr>
        <w:spacing w:after="0" w:line="235" w:lineRule="auto"/>
        <w:jc w:val="left"/>
        <w:rPr>
          <w:sz w:val="20"/>
        </w:rPr>
        <w:sectPr>
          <w:type w:val="continuous"/>
          <w:pgSz w:w="11910" w:h="16840"/>
          <w:pgMar w:top="680" w:bottom="280" w:left="0" w:right="0"/>
        </w:sectPr>
      </w:pPr>
    </w:p>
    <w:p>
      <w:pPr>
        <w:pStyle w:val="BodyText"/>
      </w:pPr>
      <w:r>
        <w:rPr/>
        <w:drawing>
          <wp:anchor distT="0" distB="0" distL="0" distR="0" allowOverlap="1" layoutInCell="1" locked="0" behindDoc="0" simplePos="0" relativeHeight="251688960">
            <wp:simplePos x="0" y="0"/>
            <wp:positionH relativeFrom="page">
              <wp:posOffset>6974928</wp:posOffset>
            </wp:positionH>
            <wp:positionV relativeFrom="page">
              <wp:posOffset>0</wp:posOffset>
            </wp:positionV>
            <wp:extent cx="585076" cy="10692003"/>
            <wp:effectExtent l="0" t="0" r="0" b="0"/>
            <wp:wrapNone/>
            <wp:docPr id="23" name="image23.png"/>
            <wp:cNvGraphicFramePr>
              <a:graphicFrameLocks noChangeAspect="1"/>
            </wp:cNvGraphicFramePr>
            <a:graphic>
              <a:graphicData uri="http://schemas.openxmlformats.org/drawingml/2006/picture">
                <pic:pic>
                  <pic:nvPicPr>
                    <pic:cNvPr id="24" name="image23.png"/>
                    <pic:cNvPicPr/>
                  </pic:nvPicPr>
                  <pic:blipFill>
                    <a:blip r:embed="rId35" cstate="print"/>
                    <a:stretch>
                      <a:fillRect/>
                    </a:stretch>
                  </pic:blipFill>
                  <pic:spPr>
                    <a:xfrm>
                      <a:off x="0" y="0"/>
                      <a:ext cx="585076" cy="10692003"/>
                    </a:xfrm>
                    <a:prstGeom prst="rect">
                      <a:avLst/>
                    </a:prstGeom>
                  </pic:spPr>
                </pic:pic>
              </a:graphicData>
            </a:graphic>
          </wp:anchor>
        </w:drawing>
      </w:r>
    </w:p>
    <w:p>
      <w:pPr>
        <w:pStyle w:val="BodyText"/>
        <w:spacing w:before="7"/>
        <w:rPr>
          <w:sz w:val="21"/>
        </w:rPr>
      </w:pPr>
    </w:p>
    <w:p>
      <w:pPr>
        <w:pStyle w:val="Heading5"/>
        <w:ind w:left="0" w:right="1245"/>
        <w:jc w:val="right"/>
      </w:pPr>
      <w:r>
        <w:rPr/>
        <w:pict>
          <v:shape style="position:absolute;margin-left:554.141174pt;margin-top:22.593945pt;width:25.9pt;height:163.2pt;mso-position-horizontal-relative:page;mso-position-vertical-relative:paragraph;z-index:251689984" type="#_x0000_t202" filled="false" stroked="false">
            <v:textbox inset="0,0,0,0" style="layout-flow:vertical">
              <w:txbxContent>
                <w:p>
                  <w:pPr>
                    <w:spacing w:before="27"/>
                    <w:ind w:left="20" w:right="0" w:firstLine="0"/>
                    <w:jc w:val="left"/>
                    <w:rPr>
                      <w:sz w:val="39"/>
                    </w:rPr>
                  </w:pPr>
                  <w:r>
                    <w:rPr>
                      <w:color w:val="FFFFFF"/>
                      <w:w w:val="125"/>
                      <w:sz w:val="39"/>
                    </w:rPr>
                    <w:t>Mission Council</w:t>
                  </w:r>
                </w:p>
              </w:txbxContent>
            </v:textbox>
            <w10:wrap type="none"/>
          </v:shape>
        </w:pict>
      </w:r>
      <w:r>
        <w:rPr>
          <w:color w:val="7EAABF"/>
          <w:w w:val="120"/>
        </w:rPr>
        <w:t>Mission Council</w:t>
      </w:r>
    </w:p>
    <w:p>
      <w:pPr>
        <w:tabs>
          <w:tab w:pos="1217" w:val="left" w:leader="none"/>
          <w:tab w:pos="3543" w:val="left" w:leader="none"/>
        </w:tabs>
        <w:spacing w:before="215"/>
        <w:ind w:left="708" w:right="0" w:firstLine="0"/>
        <w:jc w:val="center"/>
        <w:rPr>
          <w:rFonts w:ascii="Stone Sans II ITC Std X Bd"/>
          <w:b/>
          <w:sz w:val="29"/>
        </w:rPr>
      </w:pPr>
      <w:r>
        <w:rPr>
          <w:rFonts w:ascii="Stone Sans II ITC Std X Bd"/>
          <w:b/>
          <w:w w:val="110"/>
          <w:sz w:val="29"/>
          <w:shd w:fill="FFDB7B" w:color="auto" w:val="clear"/>
        </w:rPr>
        <w:t> </w:t>
      </w:r>
      <w:r>
        <w:rPr>
          <w:rFonts w:ascii="Stone Sans II ITC Std X Bd"/>
          <w:b/>
          <w:sz w:val="29"/>
          <w:shd w:fill="FFDB7B" w:color="auto" w:val="clear"/>
        </w:rPr>
        <w:tab/>
      </w:r>
      <w:r>
        <w:rPr>
          <w:rFonts w:ascii="Stone Sans II ITC Std X Bd"/>
          <w:b/>
          <w:w w:val="110"/>
          <w:sz w:val="29"/>
          <w:shd w:fill="FFDB7B" w:color="auto" w:val="clear"/>
        </w:rPr>
        <w:t>Appendix</w:t>
      </w:r>
      <w:r>
        <w:rPr>
          <w:rFonts w:ascii="Stone Sans II ITC Std X Bd"/>
          <w:b/>
          <w:spacing w:val="-1"/>
          <w:w w:val="110"/>
          <w:sz w:val="29"/>
          <w:shd w:fill="FFDB7B" w:color="auto" w:val="clear"/>
        </w:rPr>
        <w:t> </w:t>
      </w:r>
      <w:r>
        <w:rPr>
          <w:rFonts w:ascii="Stone Sans II ITC Std X Bd"/>
          <w:b/>
          <w:w w:val="110"/>
          <w:sz w:val="29"/>
          <w:shd w:fill="FFDB7B" w:color="auto" w:val="clear"/>
        </w:rPr>
        <w:t>2</w:t>
      </w:r>
      <w:r>
        <w:rPr>
          <w:rFonts w:ascii="Stone Sans II ITC Std X Bd"/>
          <w:b/>
          <w:sz w:val="29"/>
          <w:shd w:fill="FFDB7B" w:color="auto" w:val="clear"/>
        </w:rPr>
        <w:tab/>
      </w:r>
    </w:p>
    <w:p>
      <w:pPr>
        <w:spacing w:line="330" w:lineRule="exact" w:before="288"/>
        <w:ind w:left="737" w:right="0" w:firstLine="0"/>
        <w:jc w:val="center"/>
        <w:rPr>
          <w:rFonts w:ascii="Stone Sans II ITC Std Bk"/>
          <w:b/>
          <w:sz w:val="29"/>
        </w:rPr>
      </w:pPr>
      <w:r>
        <w:rPr>
          <w:rFonts w:ascii="Stone Sans II ITC Std Bk"/>
          <w:b/>
          <w:w w:val="110"/>
          <w:sz w:val="29"/>
        </w:rPr>
        <w:t>Assembly resolution 15</w:t>
      </w:r>
    </w:p>
    <w:p>
      <w:pPr>
        <w:spacing w:line="383" w:lineRule="exact" w:before="0"/>
        <w:ind w:left="736" w:right="0" w:firstLine="0"/>
        <w:jc w:val="center"/>
        <w:rPr>
          <w:rFonts w:ascii="Stone Sans II ITC Std Bk"/>
          <w:b/>
          <w:sz w:val="29"/>
        </w:rPr>
      </w:pPr>
      <w:r>
        <w:rPr>
          <w:rFonts w:ascii="Stone Sans II ITC Std Bk"/>
          <w:b/>
          <w:w w:val="110"/>
          <w:sz w:val="29"/>
        </w:rPr>
        <w:t>(ratified by decision of Mission Council, May 2013)</w:t>
      </w:r>
    </w:p>
    <w:p>
      <w:pPr>
        <w:spacing w:line="220" w:lineRule="auto" w:before="105"/>
        <w:ind w:left="3793" w:right="3054" w:firstLine="0"/>
        <w:jc w:val="center"/>
        <w:rPr>
          <w:rFonts w:ascii="Stone Sans II ITC Std X Bd"/>
          <w:b/>
          <w:sz w:val="29"/>
        </w:rPr>
      </w:pPr>
      <w:r>
        <w:rPr>
          <w:rFonts w:ascii="Stone Sans II ITC Std X Bd"/>
          <w:b/>
          <w:w w:val="110"/>
          <w:sz w:val="29"/>
        </w:rPr>
        <w:t>Changes to the Structure of the United Reformed Church</w:t>
      </w:r>
    </w:p>
    <w:p>
      <w:pPr>
        <w:pStyle w:val="BodyText"/>
        <w:spacing w:before="198"/>
        <w:ind w:left="1984"/>
      </w:pPr>
      <w:r>
        <w:rPr>
          <w:w w:val="120"/>
        </w:rPr>
        <w:t>Changes are shown in red.</w:t>
      </w:r>
    </w:p>
    <w:p>
      <w:pPr>
        <w:pStyle w:val="Heading4"/>
        <w:spacing w:before="212"/>
        <w:ind w:left="1984" w:firstLine="0"/>
      </w:pPr>
      <w:r>
        <w:rPr/>
        <w:pict>
          <v:shape style="position:absolute;margin-left:554.141174pt;margin-top:31.207106pt;width:25.9pt;height:137.4pt;mso-position-horizontal-relative:page;mso-position-vertical-relative:paragraph;z-index:251691008" type="#_x0000_t202" filled="false" stroked="false">
            <v:textbox inset="0,0,0,0" style="layout-flow:vertical">
              <w:txbxContent>
                <w:p>
                  <w:pPr>
                    <w:spacing w:before="27"/>
                    <w:ind w:left="20" w:right="0" w:firstLine="0"/>
                    <w:jc w:val="left"/>
                    <w:rPr>
                      <w:sz w:val="39"/>
                    </w:rPr>
                  </w:pPr>
                  <w:r>
                    <w:rPr>
                      <w:color w:val="FFFFFF"/>
                      <w:w w:val="125"/>
                      <w:sz w:val="39"/>
                    </w:rPr>
                    <w:t>– </w:t>
                  </w:r>
                  <w:r>
                    <w:rPr>
                      <w:spacing w:val="9"/>
                      <w:w w:val="125"/>
                      <w:sz w:val="39"/>
                    </w:rPr>
                    <w:t>Appendix </w:t>
                  </w:r>
                  <w:r>
                    <w:rPr>
                      <w:w w:val="125"/>
                      <w:sz w:val="39"/>
                    </w:rPr>
                    <w:t>2</w:t>
                  </w:r>
                </w:p>
              </w:txbxContent>
            </v:textbox>
            <w10:wrap type="none"/>
          </v:shape>
        </w:pict>
      </w:r>
      <w:r>
        <w:rPr>
          <w:w w:val="110"/>
        </w:rPr>
        <w:t>Synod functions</w:t>
      </w:r>
    </w:p>
    <w:p>
      <w:pPr>
        <w:pStyle w:val="Heading9"/>
        <w:spacing w:line="255" w:lineRule="exact" w:before="53"/>
        <w:ind w:left="1984" w:firstLine="0"/>
      </w:pPr>
      <w:r>
        <w:rPr>
          <w:w w:val="110"/>
        </w:rPr>
        <w:t>2(4)(A)(xvii)</w:t>
      </w:r>
    </w:p>
    <w:p>
      <w:pPr>
        <w:spacing w:line="246" w:lineRule="exact" w:before="0"/>
        <w:ind w:left="2664" w:right="0" w:firstLine="0"/>
        <w:jc w:val="left"/>
        <w:rPr>
          <w:rFonts w:ascii="Stone Sans II ITC Std Bk"/>
          <w:b/>
          <w:sz w:val="20"/>
        </w:rPr>
      </w:pPr>
      <w:r>
        <w:rPr>
          <w:rFonts w:ascii="Stone Sans II ITC Std Bk"/>
          <w:b/>
          <w:w w:val="110"/>
          <w:sz w:val="20"/>
        </w:rPr>
        <w:t>Amend to read as follows:</w:t>
      </w:r>
    </w:p>
    <w:p>
      <w:pPr>
        <w:pStyle w:val="BodyText"/>
        <w:spacing w:line="235" w:lineRule="auto"/>
        <w:ind w:left="1984" w:right="1701" w:firstLine="680"/>
      </w:pPr>
      <w:r>
        <w:rPr>
          <w:w w:val="120"/>
        </w:rPr>
        <w:t>where the Synod, acting through its </w:t>
      </w:r>
      <w:r>
        <w:rPr>
          <w:color w:val="E63B68"/>
          <w:w w:val="120"/>
        </w:rPr>
        <w:t>Moderator </w:t>
      </w:r>
      <w:r>
        <w:rPr>
          <w:color w:val="E63B68"/>
          <w:spacing w:val="-6"/>
          <w:w w:val="120"/>
        </w:rPr>
        <w:t>(or </w:t>
      </w:r>
      <w:r>
        <w:rPr>
          <w:color w:val="E63B68"/>
          <w:w w:val="120"/>
        </w:rPr>
        <w:t>his/her duly appointed deputy) in accordance with either the Disciplinary Process contained in Section O   of the Manual of the United Reformed Church (where the issues relate to perceived disciplinary </w:t>
      </w:r>
      <w:r>
        <w:rPr>
          <w:color w:val="E63B68"/>
          <w:spacing w:val="-5"/>
          <w:w w:val="120"/>
        </w:rPr>
        <w:t>breach(es)) </w:t>
      </w:r>
      <w:r>
        <w:rPr>
          <w:color w:val="E63B68"/>
          <w:w w:val="120"/>
        </w:rPr>
        <w:t>or the Incapacity Procedure contained in Section P of the Manual (where the issues relate to perceived incapacity as defined in the</w:t>
      </w:r>
      <w:r>
        <w:rPr>
          <w:color w:val="E63B68"/>
          <w:spacing w:val="17"/>
          <w:w w:val="120"/>
        </w:rPr>
        <w:t> </w:t>
      </w:r>
      <w:r>
        <w:rPr>
          <w:color w:val="E63B68"/>
          <w:w w:val="120"/>
        </w:rPr>
        <w:t>Incapacity</w:t>
      </w:r>
    </w:p>
    <w:p>
      <w:pPr>
        <w:pStyle w:val="BodyText"/>
        <w:spacing w:line="235" w:lineRule="auto"/>
        <w:ind w:left="1984" w:right="1689"/>
      </w:pPr>
      <w:r>
        <w:rPr>
          <w:color w:val="E63B68"/>
          <w:spacing w:val="-3"/>
          <w:w w:val="120"/>
        </w:rPr>
        <w:t>Procedure)</w:t>
      </w:r>
      <w:r>
        <w:rPr>
          <w:spacing w:val="-3"/>
          <w:w w:val="120"/>
        </w:rPr>
        <w:t>, </w:t>
      </w:r>
      <w:r>
        <w:rPr>
          <w:w w:val="120"/>
        </w:rPr>
        <w:t>considers that a minister or Church Related Community Worker is </w:t>
      </w:r>
      <w:r>
        <w:rPr>
          <w:color w:val="E63B68"/>
          <w:w w:val="120"/>
        </w:rPr>
        <w:t>not </w:t>
      </w:r>
      <w:r>
        <w:rPr>
          <w:w w:val="120"/>
        </w:rPr>
        <w:t>or may not be exercising his/her ministry in accordance with Paragraph 2 of Schedule   E or Paragraph 2 of Schedule </w:t>
      </w:r>
      <w:r>
        <w:rPr>
          <w:spacing w:val="-8"/>
          <w:w w:val="120"/>
        </w:rPr>
        <w:t>F, </w:t>
      </w:r>
      <w:r>
        <w:rPr>
          <w:w w:val="120"/>
        </w:rPr>
        <w:t>Part II to the Basis of Union, as the case may be, to </w:t>
      </w:r>
      <w:r>
        <w:rPr>
          <w:color w:val="E63B68"/>
          <w:w w:val="120"/>
        </w:rPr>
        <w:t>take the appropriate one of the following courses namely </w:t>
      </w:r>
      <w:r>
        <w:rPr>
          <w:color w:val="E63B68"/>
          <w:spacing w:val="-3"/>
          <w:w w:val="120"/>
        </w:rPr>
        <w:t>(i) </w:t>
      </w:r>
      <w:r>
        <w:rPr>
          <w:color w:val="E63B68"/>
          <w:w w:val="120"/>
        </w:rPr>
        <w:t>to refer the case of that minister or Church Related Community Worker into the Disciplinary Process in</w:t>
      </w:r>
      <w:r>
        <w:rPr>
          <w:color w:val="E63B68"/>
          <w:spacing w:val="29"/>
          <w:w w:val="120"/>
        </w:rPr>
        <w:t> </w:t>
      </w:r>
      <w:r>
        <w:rPr>
          <w:color w:val="E63B68"/>
          <w:w w:val="120"/>
        </w:rPr>
        <w:t>the</w:t>
      </w:r>
    </w:p>
    <w:p>
      <w:pPr>
        <w:pStyle w:val="BodyText"/>
        <w:spacing w:line="235" w:lineRule="auto" w:before="2"/>
        <w:ind w:left="1984" w:right="1352"/>
      </w:pPr>
      <w:r>
        <w:rPr>
          <w:color w:val="E63B68"/>
          <w:w w:val="120"/>
        </w:rPr>
        <w:t>manner prescribed by that Process and to act in accordance with the provisions thereof as regards the suspension of the minister or Church Related Community Worker concerned pending the resolution of the matter under that Process (reference to be made to Paragraph 7.5 of the Structure to ascertain the point at which a Disciplinary case shall commence) or (ii) to follow the Consultation Procedure prescribed by the Incapacity Procedure which could in its turn lead to the case of the minister or Church Related Community Worker being referred into the Incapacity Procedure and to act</w:t>
      </w:r>
    </w:p>
    <w:p>
      <w:pPr>
        <w:pStyle w:val="BodyText"/>
        <w:spacing w:line="235" w:lineRule="auto" w:before="6"/>
        <w:ind w:left="1984" w:right="1301"/>
      </w:pPr>
      <w:r>
        <w:rPr>
          <w:color w:val="E63B68"/>
          <w:w w:val="120"/>
        </w:rPr>
        <w:t>in accordance with the provisions thereof as regards the suspension of the minister or Church Related Community Worker concerned pending the resolution of the matter under that Procedure (reference to be made to Paragraph 6.5 of the Structure to ascertain the point at which a case shall commence within the Incapacity Procedure) </w:t>
      </w:r>
      <w:r>
        <w:rPr>
          <w:color w:val="E63B68"/>
          <w:spacing w:val="-3"/>
          <w:w w:val="120"/>
        </w:rPr>
        <w:t>(the </w:t>
      </w:r>
      <w:r>
        <w:rPr>
          <w:color w:val="E63B68"/>
          <w:w w:val="120"/>
        </w:rPr>
        <w:t>transitional overlap which occurs when a case is referred back from the Disciplinary Process or the Incapacity Procedure leading to the commencement of a case within the other of them shall be a permitted extension of the</w:t>
      </w:r>
      <w:r>
        <w:rPr>
          <w:color w:val="E63B68"/>
          <w:spacing w:val="17"/>
          <w:w w:val="120"/>
        </w:rPr>
        <w:t> </w:t>
      </w:r>
      <w:r>
        <w:rPr>
          <w:color w:val="E63B68"/>
          <w:w w:val="120"/>
        </w:rPr>
        <w:t>Function).</w:t>
      </w:r>
    </w:p>
    <w:p>
      <w:pPr>
        <w:pStyle w:val="BodyText"/>
        <w:spacing w:before="9"/>
        <w:rPr>
          <w:sz w:val="18"/>
        </w:rPr>
      </w:pPr>
    </w:p>
    <w:p>
      <w:pPr>
        <w:pStyle w:val="Heading9"/>
        <w:spacing w:line="255" w:lineRule="exact"/>
        <w:ind w:left="1984" w:firstLine="0"/>
      </w:pPr>
      <w:r>
        <w:rPr>
          <w:w w:val="110"/>
        </w:rPr>
        <w:t>2(4)(A)(xviii)</w:t>
      </w:r>
    </w:p>
    <w:p>
      <w:pPr>
        <w:spacing w:line="246" w:lineRule="exact" w:before="0"/>
        <w:ind w:left="2664" w:right="0" w:firstLine="0"/>
        <w:jc w:val="left"/>
        <w:rPr>
          <w:rFonts w:ascii="Stone Sans II ITC Std Bk"/>
          <w:b/>
          <w:sz w:val="20"/>
        </w:rPr>
      </w:pPr>
      <w:r>
        <w:rPr>
          <w:rFonts w:ascii="Stone Sans II ITC Std Bk"/>
          <w:b/>
          <w:w w:val="110"/>
          <w:sz w:val="20"/>
        </w:rPr>
        <w:t>Amend to read as follows:</w:t>
      </w:r>
    </w:p>
    <w:p>
      <w:pPr>
        <w:pStyle w:val="BodyText"/>
        <w:spacing w:line="235" w:lineRule="auto"/>
        <w:ind w:left="1984" w:right="1414" w:firstLine="680"/>
      </w:pPr>
      <w:r>
        <w:rPr>
          <w:w w:val="120"/>
        </w:rPr>
        <w:t>to ensure that, where an Assembly Commission or an Appeals Commission following a Hearing under the </w:t>
      </w:r>
      <w:r>
        <w:rPr>
          <w:color w:val="E63B68"/>
          <w:w w:val="120"/>
        </w:rPr>
        <w:t>Disciplinary Process contained in </w:t>
      </w:r>
      <w:r>
        <w:rPr>
          <w:w w:val="120"/>
        </w:rPr>
        <w:t>Section O of the Manual of the United Reformed Church or a Review Commission or an Appeals Review Commission following a Hearing under the </w:t>
      </w:r>
      <w:r>
        <w:rPr>
          <w:color w:val="E63B68"/>
          <w:w w:val="120"/>
        </w:rPr>
        <w:t>Incapacity Procedure </w:t>
      </w:r>
      <w:r>
        <w:rPr>
          <w:w w:val="120"/>
        </w:rPr>
        <w:t>contained in Section  P of the Manual </w:t>
      </w:r>
      <w:r>
        <w:rPr>
          <w:i/>
          <w:color w:val="E63B68"/>
          <w:w w:val="120"/>
        </w:rPr>
        <w:t>{words omitted} </w:t>
      </w:r>
      <w:r>
        <w:rPr>
          <w:w w:val="120"/>
        </w:rPr>
        <w:t>appends guidance to its decision to delete the name of the minister or Church Related Community Worker from the respective Roll, any such </w:t>
      </w:r>
      <w:r>
        <w:rPr>
          <w:i/>
          <w:color w:val="E63B68"/>
          <w:w w:val="120"/>
        </w:rPr>
        <w:t>{words omitted} </w:t>
      </w:r>
      <w:r>
        <w:rPr>
          <w:w w:val="120"/>
        </w:rPr>
        <w:t>guidance is brought fully to the attention of those responsible for exercising oversight of the minister or Church Related Community Worker and any others </w:t>
      </w:r>
      <w:r>
        <w:rPr>
          <w:color w:val="E63B68"/>
          <w:w w:val="120"/>
        </w:rPr>
        <w:t>who might in the future </w:t>
      </w:r>
      <w:r>
        <w:rPr>
          <w:w w:val="120"/>
        </w:rPr>
        <w:t>be identified as being proper and appropriate persons to receive such</w:t>
      </w:r>
      <w:r>
        <w:rPr>
          <w:spacing w:val="5"/>
          <w:w w:val="120"/>
        </w:rPr>
        <w:t> </w:t>
      </w:r>
      <w:r>
        <w:rPr>
          <w:w w:val="120"/>
        </w:rPr>
        <w:t>information;</w:t>
      </w:r>
    </w:p>
    <w:p>
      <w:pPr>
        <w:pStyle w:val="BodyText"/>
        <w:spacing w:before="6"/>
        <w:rPr>
          <w:sz w:val="18"/>
        </w:rPr>
      </w:pPr>
    </w:p>
    <w:p>
      <w:pPr>
        <w:pStyle w:val="Heading9"/>
        <w:spacing w:line="255" w:lineRule="exact"/>
        <w:ind w:left="1984" w:firstLine="0"/>
      </w:pPr>
      <w:r>
        <w:rPr>
          <w:w w:val="110"/>
        </w:rPr>
        <w:t>2(4)(A)(xxi)</w:t>
      </w:r>
    </w:p>
    <w:p>
      <w:pPr>
        <w:spacing w:line="246" w:lineRule="exact" w:before="0"/>
        <w:ind w:left="2664" w:right="0" w:firstLine="0"/>
        <w:jc w:val="left"/>
        <w:rPr>
          <w:rFonts w:ascii="Stone Sans II ITC Std Bk"/>
          <w:b/>
          <w:sz w:val="20"/>
        </w:rPr>
      </w:pPr>
      <w:r>
        <w:rPr>
          <w:rFonts w:ascii="Stone Sans II ITC Std Bk"/>
          <w:b/>
          <w:w w:val="110"/>
          <w:sz w:val="20"/>
        </w:rPr>
        <w:t>Amend to read as follows:</w:t>
      </w:r>
    </w:p>
    <w:p>
      <w:pPr>
        <w:pStyle w:val="BodyText"/>
        <w:spacing w:line="235" w:lineRule="auto"/>
        <w:ind w:left="1984" w:right="1414" w:firstLine="680"/>
      </w:pPr>
      <w:r>
        <w:rPr>
          <w:w w:val="120"/>
        </w:rPr>
        <w:t>to consider the resignation of ministers or Church Related Community Workers not currently the subject of any case within </w:t>
      </w:r>
      <w:r>
        <w:rPr>
          <w:color w:val="E63B68"/>
          <w:w w:val="120"/>
        </w:rPr>
        <w:t>the Disciplinary Process contained in Section O </w:t>
      </w:r>
      <w:r>
        <w:rPr>
          <w:w w:val="120"/>
        </w:rPr>
        <w:t>and in consultation with the moderator of the Synod to decide upon appropriate action </w:t>
      </w:r>
      <w:r>
        <w:rPr>
          <w:i/>
          <w:color w:val="E63B68"/>
          <w:w w:val="120"/>
        </w:rPr>
        <w:t>{words omitted}</w:t>
      </w:r>
      <w:r>
        <w:rPr>
          <w:w w:val="120"/>
        </w:rPr>
        <w:t>;</w:t>
      </w:r>
    </w:p>
    <w:p>
      <w:pPr>
        <w:spacing w:after="0" w:line="235" w:lineRule="auto"/>
        <w:sectPr>
          <w:headerReference w:type="default" r:id="rId51"/>
          <w:pgSz w:w="11910" w:h="16840"/>
          <w:pgMar w:header="0" w:footer="647" w:top="0" w:bottom="840" w:left="0" w:right="0"/>
        </w:sectPr>
      </w:pPr>
    </w:p>
    <w:p>
      <w:pPr>
        <w:pStyle w:val="BodyText"/>
      </w:pPr>
      <w:r>
        <w:rPr/>
        <w:drawing>
          <wp:anchor distT="0" distB="0" distL="0" distR="0" allowOverlap="1" layoutInCell="1" locked="0" behindDoc="0" simplePos="0" relativeHeight="251692032">
            <wp:simplePos x="0" y="0"/>
            <wp:positionH relativeFrom="page">
              <wp:posOffset>0</wp:posOffset>
            </wp:positionH>
            <wp:positionV relativeFrom="page">
              <wp:posOffset>0</wp:posOffset>
            </wp:positionV>
            <wp:extent cx="594067" cy="10692003"/>
            <wp:effectExtent l="0" t="0" r="0" b="0"/>
            <wp:wrapNone/>
            <wp:docPr id="25" name="image22.png"/>
            <wp:cNvGraphicFramePr>
              <a:graphicFrameLocks noChangeAspect="1"/>
            </wp:cNvGraphicFramePr>
            <a:graphic>
              <a:graphicData uri="http://schemas.openxmlformats.org/drawingml/2006/picture">
                <pic:pic>
                  <pic:nvPicPr>
                    <pic:cNvPr id="26" name="image22.png"/>
                    <pic:cNvPicPr/>
                  </pic:nvPicPr>
                  <pic:blipFill>
                    <a:blip r:embed="rId33"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spacing w:before="106"/>
        <w:ind w:left="1247" w:right="0" w:firstLine="0"/>
        <w:jc w:val="left"/>
        <w:rPr>
          <w:sz w:val="26"/>
        </w:rPr>
      </w:pPr>
      <w:r>
        <w:rPr/>
        <w:pict>
          <v:shape style="position:absolute;margin-left:20.519100pt;margin-top:22.593945pt;width:25.9pt;height:163.2pt;mso-position-horizontal-relative:page;mso-position-vertical-relative:paragraph;z-index:251693056" type="#_x0000_t202" filled="false" stroked="false">
            <v:textbox inset="0,0,0,0" style="layout-flow:vertical">
              <w:txbxContent>
                <w:p>
                  <w:pPr>
                    <w:spacing w:before="27"/>
                    <w:ind w:left="20" w:right="0" w:firstLine="0"/>
                    <w:jc w:val="left"/>
                    <w:rPr>
                      <w:sz w:val="39"/>
                    </w:rPr>
                  </w:pPr>
                  <w:r>
                    <w:rPr>
                      <w:color w:val="FFFFFF"/>
                      <w:w w:val="125"/>
                      <w:sz w:val="39"/>
                    </w:rPr>
                    <w:t>Mission Council</w:t>
                  </w:r>
                </w:p>
              </w:txbxContent>
            </v:textbox>
            <w10:wrap type="none"/>
          </v:shape>
        </w:pict>
      </w:r>
      <w:r>
        <w:rPr>
          <w:color w:val="7EAABF"/>
          <w:w w:val="120"/>
          <w:sz w:val="26"/>
        </w:rPr>
        <w:t>Mission Council</w:t>
      </w:r>
    </w:p>
    <w:p>
      <w:pPr>
        <w:pStyle w:val="Heading9"/>
        <w:tabs>
          <w:tab w:pos="2687" w:val="left" w:leader="none"/>
        </w:tabs>
        <w:spacing w:line="240" w:lineRule="auto" w:before="205"/>
        <w:ind w:left="1247" w:firstLine="0"/>
      </w:pPr>
      <w:r>
        <w:rPr>
          <w:spacing w:val="-8"/>
          <w:w w:val="110"/>
        </w:rPr>
        <w:t>2(4)(B)</w:t>
        <w:tab/>
      </w:r>
      <w:r>
        <w:rPr>
          <w:w w:val="110"/>
        </w:rPr>
        <w:t>Remove this paragraph</w:t>
      </w:r>
      <w:r>
        <w:rPr>
          <w:spacing w:val="-2"/>
          <w:w w:val="110"/>
        </w:rPr>
        <w:t> </w:t>
      </w:r>
      <w:r>
        <w:rPr>
          <w:w w:val="110"/>
        </w:rPr>
        <w:t>altogether.</w:t>
      </w:r>
    </w:p>
    <w:p>
      <w:pPr>
        <w:pStyle w:val="BodyText"/>
        <w:spacing w:before="2"/>
        <w:rPr>
          <w:rFonts w:ascii="Stone Sans II ITC Std Bk"/>
          <w:b/>
          <w:sz w:val="17"/>
        </w:rPr>
      </w:pPr>
    </w:p>
    <w:p>
      <w:pPr>
        <w:tabs>
          <w:tab w:pos="2687" w:val="left" w:leader="none"/>
        </w:tabs>
        <w:spacing w:line="213" w:lineRule="auto" w:before="0"/>
        <w:ind w:left="1247" w:right="2586" w:firstLine="0"/>
        <w:jc w:val="left"/>
        <w:rPr>
          <w:rFonts w:ascii="Stone Sans II ITC Std Bk"/>
          <w:b/>
          <w:sz w:val="20"/>
        </w:rPr>
      </w:pPr>
      <w:r>
        <w:rPr>
          <w:rFonts w:ascii="Stone Sans II ITC Std Bk"/>
          <w:b/>
          <w:spacing w:val="-7"/>
          <w:w w:val="110"/>
          <w:sz w:val="20"/>
        </w:rPr>
        <w:t>2(4)(C)</w:t>
        <w:tab/>
      </w:r>
      <w:r>
        <w:rPr>
          <w:rFonts w:ascii="Stone Sans II ITC Std Bk"/>
          <w:b/>
          <w:w w:val="110"/>
          <w:sz w:val="20"/>
        </w:rPr>
        <w:t>This paragraph now becomes </w:t>
      </w:r>
      <w:r>
        <w:rPr>
          <w:rFonts w:ascii="Stone Sans II ITC Std Bk"/>
          <w:b/>
          <w:spacing w:val="-8"/>
          <w:w w:val="110"/>
          <w:sz w:val="20"/>
        </w:rPr>
        <w:t>2(4)( </w:t>
      </w:r>
      <w:r>
        <w:rPr>
          <w:rFonts w:ascii="Stone Sans II ITC Std Bk"/>
          <w:b/>
          <w:spacing w:val="-6"/>
          <w:w w:val="110"/>
          <w:sz w:val="20"/>
        </w:rPr>
        <w:t>B) </w:t>
      </w:r>
      <w:r>
        <w:rPr>
          <w:rFonts w:ascii="Stone Sans II ITC Std Bk"/>
          <w:b/>
          <w:w w:val="110"/>
          <w:sz w:val="20"/>
        </w:rPr>
        <w:t>and is amended to read as</w:t>
      </w:r>
      <w:r>
        <w:rPr>
          <w:rFonts w:ascii="Stone Sans II ITC Std Bk"/>
          <w:b/>
          <w:spacing w:val="-1"/>
          <w:w w:val="110"/>
          <w:sz w:val="20"/>
        </w:rPr>
        <w:t> </w:t>
      </w:r>
      <w:r>
        <w:rPr>
          <w:rFonts w:ascii="Stone Sans II ITC Std Bk"/>
          <w:b/>
          <w:w w:val="110"/>
          <w:sz w:val="20"/>
        </w:rPr>
        <w:t>follows:</w:t>
      </w:r>
    </w:p>
    <w:p>
      <w:pPr>
        <w:pStyle w:val="BodyText"/>
        <w:spacing w:line="223" w:lineRule="auto"/>
        <w:ind w:left="1247" w:right="2004"/>
      </w:pPr>
      <w:r>
        <w:rPr>
          <w:rFonts w:ascii="Stone Sans II ITC Std Bk"/>
          <w:b/>
          <w:w w:val="120"/>
        </w:rPr>
        <w:t>2(4)(B) </w:t>
      </w:r>
      <w:r>
        <w:rPr>
          <w:w w:val="120"/>
        </w:rPr>
        <w:t>No appeal shall lie against the decision by a Synod to initiate the </w:t>
      </w:r>
      <w:r>
        <w:rPr>
          <w:color w:val="E63B68"/>
          <w:w w:val="120"/>
        </w:rPr>
        <w:t>Disciplinary Process contained in Section O or the Incapacity Procedure contained in Section P </w:t>
      </w:r>
      <w:r>
        <w:rPr>
          <w:w w:val="120"/>
        </w:rPr>
        <w:t>in</w:t>
      </w:r>
    </w:p>
    <w:p>
      <w:pPr>
        <w:pStyle w:val="BodyText"/>
        <w:ind w:left="1247"/>
      </w:pPr>
      <w:r>
        <w:rPr>
          <w:w w:val="120"/>
        </w:rPr>
        <w:t>respect of any minister or Church Related Community Worker under Function (xvii).</w:t>
      </w:r>
    </w:p>
    <w:p>
      <w:pPr>
        <w:pStyle w:val="BodyText"/>
        <w:rPr>
          <w:sz w:val="24"/>
        </w:rPr>
      </w:pPr>
    </w:p>
    <w:p>
      <w:pPr>
        <w:pStyle w:val="Heading4"/>
        <w:spacing w:before="150"/>
        <w:ind w:left="1247" w:firstLine="0"/>
      </w:pPr>
      <w:r>
        <w:rPr>
          <w:w w:val="110"/>
        </w:rPr>
        <w:t>Area functions</w:t>
      </w:r>
    </w:p>
    <w:p>
      <w:pPr>
        <w:pStyle w:val="Heading9"/>
        <w:spacing w:line="255" w:lineRule="exact" w:before="52"/>
        <w:ind w:left="1247" w:firstLine="0"/>
      </w:pPr>
      <w:r>
        <w:rPr>
          <w:w w:val="110"/>
        </w:rPr>
        <w:t>2(5)(A)(viii)</w:t>
      </w:r>
    </w:p>
    <w:p>
      <w:pPr>
        <w:spacing w:line="246" w:lineRule="exact" w:before="0"/>
        <w:ind w:left="1927" w:right="0" w:firstLine="0"/>
        <w:jc w:val="left"/>
        <w:rPr>
          <w:rFonts w:ascii="Stone Sans II ITC Std Bk"/>
          <w:b/>
          <w:sz w:val="20"/>
        </w:rPr>
      </w:pPr>
      <w:r>
        <w:rPr>
          <w:rFonts w:ascii="Stone Sans II ITC Std Bk"/>
          <w:b/>
          <w:w w:val="110"/>
          <w:sz w:val="20"/>
        </w:rPr>
        <w:t>Amend to read as follows:</w:t>
      </w:r>
    </w:p>
    <w:p>
      <w:pPr>
        <w:pStyle w:val="BodyText"/>
        <w:spacing w:line="235" w:lineRule="auto"/>
        <w:ind w:left="1247" w:right="2167" w:firstLine="680"/>
      </w:pPr>
      <w:r>
        <w:rPr/>
        <w:pict>
          <v:shape style="position:absolute;margin-left:20.519100pt;margin-top:10.295672pt;width:25.9pt;height:137.4pt;mso-position-horizontal-relative:page;mso-position-vertical-relative:paragraph;z-index:251694080" type="#_x0000_t202" filled="false" stroked="false">
            <v:textbox inset="0,0,0,0" style="layout-flow:vertical">
              <w:txbxContent>
                <w:p>
                  <w:pPr>
                    <w:spacing w:before="27"/>
                    <w:ind w:left="20" w:right="0" w:firstLine="0"/>
                    <w:jc w:val="left"/>
                    <w:rPr>
                      <w:sz w:val="39"/>
                    </w:rPr>
                  </w:pPr>
                  <w:r>
                    <w:rPr>
                      <w:color w:val="FFFFFF"/>
                      <w:w w:val="125"/>
                      <w:sz w:val="39"/>
                    </w:rPr>
                    <w:t>– </w:t>
                  </w:r>
                  <w:r>
                    <w:rPr>
                      <w:spacing w:val="9"/>
                      <w:w w:val="125"/>
                      <w:sz w:val="39"/>
                    </w:rPr>
                    <w:t>Appendix </w:t>
                  </w:r>
                  <w:r>
                    <w:rPr>
                      <w:w w:val="125"/>
                      <w:sz w:val="39"/>
                    </w:rPr>
                    <w:t>2</w:t>
                  </w:r>
                </w:p>
              </w:txbxContent>
            </v:textbox>
            <w10:wrap type="none"/>
          </v:shape>
        </w:pict>
      </w:r>
      <w:r>
        <w:rPr>
          <w:w w:val="120"/>
        </w:rPr>
        <w:t>to consider the resignation of ministers or Church Related Community Workers not currently the subject of any case within the </w:t>
      </w:r>
      <w:r>
        <w:rPr>
          <w:color w:val="E63B68"/>
          <w:w w:val="120"/>
        </w:rPr>
        <w:t>Disciplinary Process </w:t>
      </w:r>
      <w:r>
        <w:rPr>
          <w:w w:val="120"/>
        </w:rPr>
        <w:t>contained in Section O and in consultation with the moderator of the Synod to decide upon appropriate action (see also Paragraphs 2(4)(A)(xxi) and 2(6)(A)(xviii));</w:t>
      </w:r>
    </w:p>
    <w:p>
      <w:pPr>
        <w:pStyle w:val="BodyText"/>
        <w:spacing w:before="2"/>
        <w:rPr>
          <w:sz w:val="18"/>
        </w:rPr>
      </w:pPr>
    </w:p>
    <w:p>
      <w:pPr>
        <w:pStyle w:val="Heading9"/>
        <w:spacing w:line="255" w:lineRule="exact"/>
        <w:ind w:left="1247" w:firstLine="0"/>
      </w:pPr>
      <w:r>
        <w:rPr>
          <w:w w:val="110"/>
        </w:rPr>
        <w:t>2(5)(A)(xviii)</w:t>
      </w:r>
    </w:p>
    <w:p>
      <w:pPr>
        <w:spacing w:line="246" w:lineRule="exact" w:before="0"/>
        <w:ind w:left="1927" w:right="0" w:firstLine="0"/>
        <w:jc w:val="left"/>
        <w:rPr>
          <w:rFonts w:ascii="Stone Sans II ITC Std Bk"/>
          <w:b/>
          <w:sz w:val="20"/>
        </w:rPr>
      </w:pPr>
      <w:r>
        <w:rPr>
          <w:rFonts w:ascii="Stone Sans II ITC Std Bk"/>
          <w:b/>
          <w:w w:val="110"/>
          <w:sz w:val="20"/>
        </w:rPr>
        <w:t>Amend to read as follows:</w:t>
      </w:r>
    </w:p>
    <w:p>
      <w:pPr>
        <w:pStyle w:val="BodyText"/>
        <w:spacing w:line="235" w:lineRule="auto"/>
        <w:ind w:left="1247" w:right="2151" w:firstLine="680"/>
      </w:pPr>
      <w:r>
        <w:rPr>
          <w:w w:val="120"/>
        </w:rPr>
        <w:t>to ensure that, where an Assembly Commission or an Appeals Commission following a Hearing under the </w:t>
      </w:r>
      <w:r>
        <w:rPr>
          <w:color w:val="E63B68"/>
          <w:w w:val="120"/>
        </w:rPr>
        <w:t>Disciplinary Process </w:t>
      </w:r>
      <w:r>
        <w:rPr>
          <w:w w:val="120"/>
        </w:rPr>
        <w:t>contained in Section O of the Manual of the United Reformed Church or a Review Commission or an Appeals Review Commission following a Hearing under the Incapacity Procedure </w:t>
      </w:r>
      <w:r>
        <w:rPr>
          <w:color w:val="E63B68"/>
          <w:w w:val="120"/>
        </w:rPr>
        <w:t>contained in Section  P of the Manual </w:t>
      </w:r>
      <w:r>
        <w:rPr>
          <w:w w:val="120"/>
        </w:rPr>
        <w:t>appends </w:t>
      </w:r>
      <w:r>
        <w:rPr>
          <w:i/>
          <w:color w:val="E63B68"/>
          <w:w w:val="120"/>
        </w:rPr>
        <w:t>{words omitted} </w:t>
      </w:r>
      <w:r>
        <w:rPr>
          <w:w w:val="120"/>
        </w:rPr>
        <w:t>guidance to its decision to delete the name of the minister or Church Related Community Worker from the respective Roll, any such </w:t>
      </w:r>
      <w:r>
        <w:rPr>
          <w:i/>
          <w:color w:val="E63B68"/>
          <w:w w:val="120"/>
        </w:rPr>
        <w:t>{words omitted} </w:t>
      </w:r>
      <w:r>
        <w:rPr>
          <w:w w:val="120"/>
        </w:rPr>
        <w:t>guidance is brought fully to the attention of those responsible for exercising oversight of the minister or Church Related Community Worker and any others </w:t>
      </w:r>
      <w:r>
        <w:rPr>
          <w:color w:val="E63B68"/>
          <w:w w:val="120"/>
        </w:rPr>
        <w:t>who might in the future </w:t>
      </w:r>
      <w:r>
        <w:rPr>
          <w:w w:val="120"/>
        </w:rPr>
        <w:t>be identified as being proper and appropriate persons to receive such</w:t>
      </w:r>
      <w:r>
        <w:rPr>
          <w:spacing w:val="5"/>
          <w:w w:val="120"/>
        </w:rPr>
        <w:t> </w:t>
      </w:r>
      <w:r>
        <w:rPr>
          <w:w w:val="120"/>
        </w:rPr>
        <w:t>information;</w:t>
      </w:r>
    </w:p>
    <w:p>
      <w:pPr>
        <w:pStyle w:val="BodyText"/>
        <w:spacing w:before="6"/>
        <w:rPr>
          <w:sz w:val="18"/>
        </w:rPr>
      </w:pPr>
    </w:p>
    <w:p>
      <w:pPr>
        <w:pStyle w:val="Heading9"/>
        <w:tabs>
          <w:tab w:pos="3407" w:val="left" w:leader="none"/>
        </w:tabs>
        <w:spacing w:line="240" w:lineRule="auto"/>
        <w:ind w:left="1247" w:firstLine="0"/>
      </w:pPr>
      <w:r>
        <w:rPr>
          <w:spacing w:val="-7"/>
          <w:w w:val="110"/>
        </w:rPr>
        <w:t>2(5)(B)</w:t>
        <w:tab/>
      </w:r>
      <w:r>
        <w:rPr>
          <w:w w:val="110"/>
        </w:rPr>
        <w:t>Remove this paragraph</w:t>
      </w:r>
      <w:r>
        <w:rPr>
          <w:spacing w:val="-2"/>
          <w:w w:val="110"/>
        </w:rPr>
        <w:t> </w:t>
      </w:r>
      <w:r>
        <w:rPr>
          <w:w w:val="110"/>
        </w:rPr>
        <w:t>altogether.</w:t>
      </w:r>
    </w:p>
    <w:p>
      <w:pPr>
        <w:pStyle w:val="BodyText"/>
        <w:spacing w:before="6"/>
        <w:rPr>
          <w:rFonts w:ascii="Stone Sans II ITC Std Bk"/>
          <w:b/>
          <w:sz w:val="32"/>
        </w:rPr>
      </w:pPr>
    </w:p>
    <w:p>
      <w:pPr>
        <w:spacing w:before="0"/>
        <w:ind w:left="1247" w:right="0" w:firstLine="0"/>
        <w:jc w:val="left"/>
        <w:rPr>
          <w:rFonts w:ascii="Stone Sans II ITC Std Bk"/>
          <w:b/>
          <w:sz w:val="29"/>
        </w:rPr>
      </w:pPr>
      <w:r>
        <w:rPr>
          <w:rFonts w:ascii="Stone Sans II ITC Std Bk"/>
          <w:b/>
          <w:w w:val="110"/>
          <w:sz w:val="29"/>
        </w:rPr>
        <w:t>General Assembly functions</w:t>
      </w:r>
    </w:p>
    <w:p>
      <w:pPr>
        <w:tabs>
          <w:tab w:pos="2687" w:val="left" w:leader="none"/>
        </w:tabs>
        <w:spacing w:line="223" w:lineRule="auto" w:before="67"/>
        <w:ind w:left="1247" w:right="2586" w:firstLine="0"/>
        <w:jc w:val="left"/>
        <w:rPr>
          <w:i/>
          <w:sz w:val="20"/>
        </w:rPr>
      </w:pPr>
      <w:r>
        <w:rPr>
          <w:rFonts w:ascii="Stone Sans II ITC Std Bk"/>
          <w:b/>
          <w:spacing w:val="-6"/>
          <w:w w:val="110"/>
          <w:sz w:val="20"/>
        </w:rPr>
        <w:t>2(6)(A)(xi)</w:t>
        <w:tab/>
      </w:r>
      <w:r>
        <w:rPr>
          <w:i/>
          <w:w w:val="110"/>
          <w:sz w:val="20"/>
        </w:rPr>
        <w:t>[Changes to this paragraph were approved under Resolution 9 of General </w:t>
      </w:r>
      <w:r>
        <w:rPr>
          <w:i/>
          <w:w w:val="110"/>
          <w:sz w:val="20"/>
        </w:rPr>
        <w:t>Assembly </w:t>
      </w:r>
      <w:r>
        <w:rPr>
          <w:i/>
          <w:spacing w:val="-5"/>
          <w:w w:val="110"/>
          <w:sz w:val="20"/>
        </w:rPr>
        <w:t>2010 </w:t>
      </w:r>
      <w:r>
        <w:rPr>
          <w:i/>
          <w:w w:val="110"/>
          <w:sz w:val="20"/>
        </w:rPr>
        <w:t>and required ratification by General Assembly</w:t>
      </w:r>
      <w:r>
        <w:rPr>
          <w:i/>
          <w:spacing w:val="1"/>
          <w:w w:val="110"/>
          <w:sz w:val="20"/>
        </w:rPr>
        <w:t> </w:t>
      </w:r>
      <w:r>
        <w:rPr>
          <w:i/>
          <w:spacing w:val="-8"/>
          <w:w w:val="110"/>
          <w:sz w:val="20"/>
        </w:rPr>
        <w:t>2012.]</w:t>
      </w:r>
    </w:p>
    <w:p>
      <w:pPr>
        <w:pStyle w:val="BodyText"/>
        <w:spacing w:before="7"/>
        <w:rPr>
          <w:i/>
          <w:sz w:val="18"/>
        </w:rPr>
      </w:pPr>
    </w:p>
    <w:p>
      <w:pPr>
        <w:pStyle w:val="Heading9"/>
        <w:spacing w:line="255" w:lineRule="exact"/>
        <w:ind w:left="1247" w:firstLine="0"/>
      </w:pPr>
      <w:r>
        <w:rPr>
          <w:w w:val="110"/>
        </w:rPr>
        <w:t>2(6)(A)(xviii)</w:t>
      </w:r>
    </w:p>
    <w:p>
      <w:pPr>
        <w:spacing w:line="246" w:lineRule="exact" w:before="0"/>
        <w:ind w:left="1927" w:right="0" w:firstLine="0"/>
        <w:jc w:val="left"/>
        <w:rPr>
          <w:rFonts w:ascii="Stone Sans II ITC Std Bk"/>
          <w:b/>
          <w:sz w:val="20"/>
        </w:rPr>
      </w:pPr>
      <w:r>
        <w:rPr>
          <w:rFonts w:ascii="Stone Sans II ITC Std Bk"/>
          <w:b/>
          <w:w w:val="110"/>
          <w:sz w:val="20"/>
        </w:rPr>
        <w:t>Amend to read as follows:</w:t>
      </w:r>
    </w:p>
    <w:p>
      <w:pPr>
        <w:pStyle w:val="BodyText"/>
        <w:spacing w:line="235" w:lineRule="auto"/>
        <w:ind w:left="1247" w:right="2167" w:firstLine="680"/>
        <w:rPr>
          <w:i/>
        </w:rPr>
      </w:pPr>
      <w:r>
        <w:rPr>
          <w:w w:val="120"/>
        </w:rPr>
        <w:t>to decide upon questions regarding the inclusion on the Roll of Ministers and the Roll of Church Related Community Workers of the United Reformed Church which have been previously considered and transmitted with recommendations by synods (but excluding any matter which is dealt with in accordance with the Disciplinary Process referred to in </w:t>
      </w:r>
      <w:r>
        <w:rPr>
          <w:color w:val="E63B68"/>
          <w:w w:val="120"/>
        </w:rPr>
        <w:t>Paragraph 7 of the Structure). </w:t>
      </w:r>
      <w:r>
        <w:rPr>
          <w:i/>
          <w:color w:val="E63B68"/>
          <w:w w:val="120"/>
        </w:rPr>
        <w:t>{words omitted}</w:t>
      </w:r>
    </w:p>
    <w:p>
      <w:pPr>
        <w:pStyle w:val="BodyText"/>
        <w:spacing w:before="3"/>
        <w:rPr>
          <w:i/>
          <w:sz w:val="18"/>
        </w:rPr>
      </w:pPr>
    </w:p>
    <w:p>
      <w:pPr>
        <w:pStyle w:val="Heading9"/>
        <w:spacing w:line="255" w:lineRule="exact"/>
        <w:ind w:left="1247" w:firstLine="0"/>
      </w:pPr>
      <w:r>
        <w:rPr>
          <w:w w:val="110"/>
        </w:rPr>
        <w:t>2(6)(A)(xxiii)</w:t>
      </w:r>
    </w:p>
    <w:p>
      <w:pPr>
        <w:spacing w:line="246" w:lineRule="exact" w:before="0"/>
        <w:ind w:left="1927" w:right="0" w:firstLine="0"/>
        <w:jc w:val="left"/>
        <w:rPr>
          <w:rFonts w:ascii="Stone Sans II ITC Std Bk"/>
          <w:b/>
          <w:sz w:val="20"/>
        </w:rPr>
      </w:pPr>
      <w:r>
        <w:rPr>
          <w:rFonts w:ascii="Stone Sans II ITC Std Bk"/>
          <w:b/>
          <w:w w:val="110"/>
          <w:sz w:val="20"/>
        </w:rPr>
        <w:t>Amend to read as follows:</w:t>
      </w:r>
    </w:p>
    <w:p>
      <w:pPr>
        <w:pStyle w:val="BodyText"/>
        <w:spacing w:line="235" w:lineRule="auto"/>
        <w:ind w:left="1247" w:right="2252" w:firstLine="680"/>
      </w:pPr>
      <w:r>
        <w:rPr>
          <w:w w:val="120"/>
        </w:rPr>
        <w:t>in the absence of any reference into </w:t>
      </w:r>
      <w:r>
        <w:rPr>
          <w:color w:val="E63B68"/>
          <w:w w:val="120"/>
        </w:rPr>
        <w:t>either the Disciplinary Process contained in Section O of the Manual of the United Reformed Church (where the issues relate to perceived disciplinary </w:t>
      </w:r>
      <w:r>
        <w:rPr>
          <w:color w:val="E63B68"/>
          <w:spacing w:val="-5"/>
          <w:w w:val="120"/>
        </w:rPr>
        <w:t>breach(es)) </w:t>
      </w:r>
      <w:r>
        <w:rPr>
          <w:color w:val="E63B68"/>
          <w:w w:val="120"/>
        </w:rPr>
        <w:t>or the Incapacity Procedure contained in</w:t>
      </w:r>
      <w:r>
        <w:rPr>
          <w:color w:val="E63B68"/>
          <w:spacing w:val="3"/>
          <w:w w:val="120"/>
        </w:rPr>
        <w:t> </w:t>
      </w:r>
      <w:r>
        <w:rPr>
          <w:color w:val="E63B68"/>
          <w:w w:val="120"/>
        </w:rPr>
        <w:t>Section</w:t>
      </w:r>
    </w:p>
    <w:p>
      <w:pPr>
        <w:pStyle w:val="BodyText"/>
        <w:spacing w:line="235" w:lineRule="auto"/>
        <w:ind w:left="1247" w:right="2004"/>
      </w:pPr>
      <w:r>
        <w:rPr>
          <w:color w:val="E63B68"/>
          <w:w w:val="120"/>
        </w:rPr>
        <w:t>P of the Manual (where the issues relate to perceived incapacity as defined in the Incapacity Procedure) </w:t>
      </w:r>
      <w:r>
        <w:rPr>
          <w:w w:val="120"/>
        </w:rPr>
        <w:t>by the appropriate Synod </w:t>
      </w:r>
      <w:r>
        <w:rPr>
          <w:spacing w:val="-3"/>
          <w:w w:val="120"/>
        </w:rPr>
        <w:t>(the </w:t>
      </w:r>
      <w:r>
        <w:rPr>
          <w:w w:val="120"/>
        </w:rPr>
        <w:t>case of any minister who is the </w:t>
      </w:r>
      <w:r>
        <w:rPr>
          <w:color w:val="E63B68"/>
          <w:w w:val="120"/>
        </w:rPr>
        <w:t>General Secretary, the Deputy General Secretary or </w:t>
      </w:r>
      <w:r>
        <w:rPr>
          <w:w w:val="120"/>
        </w:rPr>
        <w:t>a Moderator of Synod being necessarily dealt with under this provision) and where the General Assembly </w:t>
      </w:r>
      <w:r>
        <w:rPr>
          <w:spacing w:val="-6"/>
          <w:w w:val="120"/>
        </w:rPr>
        <w:t>(or </w:t>
      </w:r>
      <w:r>
        <w:rPr>
          <w:w w:val="120"/>
        </w:rPr>
        <w:t>Mission Council on its behalf) (acting through </w:t>
      </w:r>
      <w:r>
        <w:rPr>
          <w:color w:val="E63B68"/>
          <w:w w:val="120"/>
        </w:rPr>
        <w:t>the Deputy General Secretary or his/her duly appointed deputy</w:t>
      </w:r>
      <w:r>
        <w:rPr>
          <w:w w:val="120"/>
        </w:rPr>
        <w:t>) considers that a minister or Church Related Community</w:t>
      </w:r>
      <w:r>
        <w:rPr>
          <w:spacing w:val="38"/>
          <w:w w:val="120"/>
        </w:rPr>
        <w:t> </w:t>
      </w:r>
      <w:r>
        <w:rPr>
          <w:w w:val="120"/>
        </w:rPr>
        <w:t>Worker</w:t>
      </w:r>
    </w:p>
    <w:p>
      <w:pPr>
        <w:pStyle w:val="BodyText"/>
        <w:spacing w:line="235" w:lineRule="auto" w:before="1"/>
        <w:ind w:left="1247" w:right="2167"/>
      </w:pPr>
      <w:r>
        <w:rPr>
          <w:w w:val="120"/>
        </w:rPr>
        <w:t>is </w:t>
      </w:r>
      <w:r>
        <w:rPr>
          <w:color w:val="E63B68"/>
          <w:w w:val="120"/>
        </w:rPr>
        <w:t>not </w:t>
      </w:r>
      <w:r>
        <w:rPr>
          <w:w w:val="120"/>
        </w:rPr>
        <w:t>or may not be exercising his/her ministry in accordance with Paragraph 2 of Schedule E or Paragraph 2 of Schedule </w:t>
      </w:r>
      <w:r>
        <w:rPr>
          <w:spacing w:val="-8"/>
          <w:w w:val="120"/>
        </w:rPr>
        <w:t>F, </w:t>
      </w:r>
      <w:r>
        <w:rPr>
          <w:w w:val="120"/>
        </w:rPr>
        <w:t>Part II to the Basis of Union, as the case may be, to </w:t>
      </w:r>
      <w:r>
        <w:rPr>
          <w:color w:val="E63B68"/>
          <w:w w:val="120"/>
        </w:rPr>
        <w:t>take the appropriate one of the following courses namely </w:t>
      </w:r>
      <w:r>
        <w:rPr>
          <w:color w:val="E63B68"/>
          <w:spacing w:val="-3"/>
          <w:w w:val="120"/>
        </w:rPr>
        <w:t>(i) </w:t>
      </w:r>
      <w:r>
        <w:rPr>
          <w:color w:val="E63B68"/>
          <w:w w:val="120"/>
        </w:rPr>
        <w:t>to refer the</w:t>
      </w:r>
      <w:r>
        <w:rPr>
          <w:color w:val="E63B68"/>
          <w:spacing w:val="38"/>
          <w:w w:val="120"/>
        </w:rPr>
        <w:t> </w:t>
      </w:r>
      <w:r>
        <w:rPr>
          <w:color w:val="E63B68"/>
          <w:w w:val="120"/>
        </w:rPr>
        <w:t>case</w:t>
      </w:r>
    </w:p>
    <w:p>
      <w:pPr>
        <w:spacing w:after="0" w:line="235" w:lineRule="auto"/>
        <w:sectPr>
          <w:headerReference w:type="even" r:id="rId52"/>
          <w:footerReference w:type="even" r:id="rId53"/>
          <w:footerReference w:type="default" r:id="rId54"/>
          <w:pgSz w:w="11910" w:h="16840"/>
          <w:pgMar w:header="0" w:footer="647" w:top="0" w:bottom="840" w:left="0" w:right="0"/>
          <w:pgNumType w:start="16"/>
        </w:sectPr>
      </w:pPr>
    </w:p>
    <w:p>
      <w:pPr>
        <w:pStyle w:val="BodyText"/>
      </w:pPr>
      <w:r>
        <w:rPr/>
        <w:drawing>
          <wp:anchor distT="0" distB="0" distL="0" distR="0" allowOverlap="1" layoutInCell="1" locked="0" behindDoc="0" simplePos="0" relativeHeight="251695104">
            <wp:simplePos x="0" y="0"/>
            <wp:positionH relativeFrom="page">
              <wp:posOffset>6974928</wp:posOffset>
            </wp:positionH>
            <wp:positionV relativeFrom="page">
              <wp:posOffset>0</wp:posOffset>
            </wp:positionV>
            <wp:extent cx="585076" cy="10692003"/>
            <wp:effectExtent l="0" t="0" r="0" b="0"/>
            <wp:wrapNone/>
            <wp:docPr id="27" name="image23.png"/>
            <wp:cNvGraphicFramePr>
              <a:graphicFrameLocks noChangeAspect="1"/>
            </wp:cNvGraphicFramePr>
            <a:graphic>
              <a:graphicData uri="http://schemas.openxmlformats.org/drawingml/2006/picture">
                <pic:pic>
                  <pic:nvPicPr>
                    <pic:cNvPr id="28" name="image23.png"/>
                    <pic:cNvPicPr/>
                  </pic:nvPicPr>
                  <pic:blipFill>
                    <a:blip r:embed="rId35" cstate="print"/>
                    <a:stretch>
                      <a:fillRect/>
                    </a:stretch>
                  </pic:blipFill>
                  <pic:spPr>
                    <a:xfrm>
                      <a:off x="0" y="0"/>
                      <a:ext cx="585076"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163.2pt;mso-position-horizontal-relative:page;mso-position-vertical-relative:paragraph;z-index:251696128" type="#_x0000_t202" filled="false" stroked="false">
            <v:textbox inset="0,0,0,0" style="layout-flow:vertical">
              <w:txbxContent>
                <w:p>
                  <w:pPr>
                    <w:spacing w:before="27"/>
                    <w:ind w:left="20" w:right="0" w:firstLine="0"/>
                    <w:jc w:val="left"/>
                    <w:rPr>
                      <w:sz w:val="39"/>
                    </w:rPr>
                  </w:pPr>
                  <w:r>
                    <w:rPr>
                      <w:color w:val="FFFFFF"/>
                      <w:w w:val="125"/>
                      <w:sz w:val="39"/>
                    </w:rPr>
                    <w:t>Mission Council</w:t>
                  </w:r>
                </w:p>
              </w:txbxContent>
            </v:textbox>
            <w10:wrap type="none"/>
          </v:shape>
        </w:pict>
      </w:r>
      <w:r>
        <w:rPr>
          <w:color w:val="7EAABF"/>
          <w:w w:val="120"/>
          <w:sz w:val="26"/>
        </w:rPr>
        <w:t>Mission Council</w:t>
      </w:r>
    </w:p>
    <w:p>
      <w:pPr>
        <w:pStyle w:val="BodyText"/>
        <w:spacing w:line="235" w:lineRule="auto" w:before="222"/>
        <w:ind w:left="1984" w:right="1301"/>
      </w:pPr>
      <w:r>
        <w:rPr>
          <w:color w:val="E63B68"/>
          <w:w w:val="120"/>
        </w:rPr>
        <w:t>of that minister or Church Related Community Worker into the Disciplinary Process in the manner prescribed by that Process and to act in accordance with the provisions thereof as regards the suspension of the minister or Church Related Community Worker concerned pending the resolution of the matter under that Process (reference to be made to Paragraph </w:t>
      </w:r>
      <w:r>
        <w:rPr>
          <w:color w:val="E63B68"/>
          <w:spacing w:val="-8"/>
          <w:w w:val="120"/>
        </w:rPr>
        <w:t>7.5 </w:t>
      </w:r>
      <w:r>
        <w:rPr>
          <w:color w:val="E63B68"/>
          <w:w w:val="120"/>
        </w:rPr>
        <w:t>of the Structure to ascertain the point at which a Disciplinary case shall </w:t>
      </w:r>
      <w:r>
        <w:rPr>
          <w:color w:val="E63B68"/>
          <w:spacing w:val="-3"/>
          <w:w w:val="120"/>
        </w:rPr>
        <w:t>commence) </w:t>
      </w:r>
      <w:r>
        <w:rPr>
          <w:color w:val="E63B68"/>
          <w:w w:val="120"/>
        </w:rPr>
        <w:t>or </w:t>
      </w:r>
      <w:r>
        <w:rPr>
          <w:color w:val="E63B68"/>
          <w:spacing w:val="-3"/>
          <w:w w:val="120"/>
        </w:rPr>
        <w:t>(ii) </w:t>
      </w:r>
      <w:r>
        <w:rPr>
          <w:color w:val="E63B68"/>
          <w:w w:val="120"/>
        </w:rPr>
        <w:t>to follow the Consultation Procedure prescribed by the Incapacity Procedure which could in its turn lead to the case of the minister or Church Related Community Worker being referred into the Incapacity Procedure and to</w:t>
      </w:r>
      <w:r>
        <w:rPr>
          <w:color w:val="E63B68"/>
          <w:spacing w:val="38"/>
          <w:w w:val="120"/>
        </w:rPr>
        <w:t> </w:t>
      </w:r>
      <w:r>
        <w:rPr>
          <w:color w:val="E63B68"/>
          <w:w w:val="120"/>
        </w:rPr>
        <w:t>act</w:t>
      </w:r>
    </w:p>
    <w:p>
      <w:pPr>
        <w:pStyle w:val="BodyText"/>
        <w:spacing w:line="235" w:lineRule="auto" w:before="6"/>
        <w:ind w:left="1984" w:right="1301"/>
      </w:pPr>
      <w:r>
        <w:rPr/>
        <w:pict>
          <v:shape style="position:absolute;margin-left:554.141174pt;margin-top:68.264984pt;width:25.9pt;height:137.4pt;mso-position-horizontal-relative:page;mso-position-vertical-relative:paragraph;z-index:251697152" type="#_x0000_t202" filled="false" stroked="false">
            <v:textbox inset="0,0,0,0" style="layout-flow:vertical">
              <w:txbxContent>
                <w:p>
                  <w:pPr>
                    <w:spacing w:before="27"/>
                    <w:ind w:left="20" w:right="0" w:firstLine="0"/>
                    <w:jc w:val="left"/>
                    <w:rPr>
                      <w:sz w:val="39"/>
                    </w:rPr>
                  </w:pPr>
                  <w:r>
                    <w:rPr>
                      <w:color w:val="FFFFFF"/>
                      <w:w w:val="125"/>
                      <w:sz w:val="39"/>
                    </w:rPr>
                    <w:t>– </w:t>
                  </w:r>
                  <w:r>
                    <w:rPr>
                      <w:spacing w:val="9"/>
                      <w:w w:val="125"/>
                      <w:sz w:val="39"/>
                    </w:rPr>
                    <w:t>Appendix </w:t>
                  </w:r>
                  <w:r>
                    <w:rPr>
                      <w:w w:val="125"/>
                      <w:sz w:val="39"/>
                    </w:rPr>
                    <w:t>2</w:t>
                  </w:r>
                </w:p>
              </w:txbxContent>
            </v:textbox>
            <w10:wrap type="none"/>
          </v:shape>
        </w:pict>
      </w:r>
      <w:r>
        <w:rPr>
          <w:color w:val="E63B68"/>
          <w:w w:val="120"/>
        </w:rPr>
        <w:t>in accordance with the provisions thereof as regards the suspension of the minister or Church Related Community Worker concerned pending the resolution of the matter under that Procedure (reference to be made to Paragraph 6.5 of the Structure to ascertain the point at which a case shall commence within the Incapacity Procedure) </w:t>
      </w:r>
      <w:r>
        <w:rPr>
          <w:color w:val="E63B68"/>
          <w:spacing w:val="-3"/>
          <w:w w:val="120"/>
        </w:rPr>
        <w:t>(the </w:t>
      </w:r>
      <w:r>
        <w:rPr>
          <w:color w:val="E63B68"/>
          <w:w w:val="120"/>
        </w:rPr>
        <w:t>transitional overlap which occurs when a case is referred back from the Disciplinary Process or the Incapacity Procedure leading to the commencement of a case within the other of them shall be a permitted extension of the</w:t>
      </w:r>
      <w:r>
        <w:rPr>
          <w:color w:val="E63B68"/>
          <w:spacing w:val="17"/>
          <w:w w:val="120"/>
        </w:rPr>
        <w:t> </w:t>
      </w:r>
      <w:r>
        <w:rPr>
          <w:color w:val="E63B68"/>
          <w:w w:val="120"/>
        </w:rPr>
        <w:t>Function);</w:t>
      </w:r>
    </w:p>
    <w:p>
      <w:pPr>
        <w:pStyle w:val="BodyText"/>
        <w:spacing w:before="8"/>
        <w:rPr>
          <w:sz w:val="18"/>
        </w:rPr>
      </w:pPr>
    </w:p>
    <w:p>
      <w:pPr>
        <w:pStyle w:val="Heading9"/>
        <w:spacing w:line="255" w:lineRule="exact" w:before="1"/>
        <w:ind w:left="1984" w:firstLine="0"/>
      </w:pPr>
      <w:r>
        <w:rPr>
          <w:w w:val="110"/>
        </w:rPr>
        <w:t>2(6)(A)(xxvi)</w:t>
      </w:r>
    </w:p>
    <w:p>
      <w:pPr>
        <w:spacing w:line="246" w:lineRule="exact" w:before="0"/>
        <w:ind w:left="2664" w:right="0" w:firstLine="0"/>
        <w:jc w:val="left"/>
        <w:rPr>
          <w:rFonts w:ascii="Stone Sans II ITC Std Bk"/>
          <w:b/>
          <w:sz w:val="20"/>
        </w:rPr>
      </w:pPr>
      <w:r>
        <w:rPr>
          <w:rFonts w:ascii="Stone Sans II ITC Std Bk"/>
          <w:b/>
          <w:w w:val="110"/>
          <w:sz w:val="20"/>
        </w:rPr>
        <w:t>Amend to read as follows:</w:t>
      </w:r>
    </w:p>
    <w:p>
      <w:pPr>
        <w:pStyle w:val="BodyText"/>
        <w:spacing w:line="235" w:lineRule="auto"/>
        <w:ind w:left="1984" w:right="1352" w:firstLine="680"/>
      </w:pPr>
      <w:r>
        <w:rPr>
          <w:color w:val="E63B68"/>
          <w:w w:val="120"/>
        </w:rPr>
        <w:t>without detracting from the general delegatory powers  held  by  Mission Council, to give specific authority to Mission Council acting in the name of General Assembly to make with immediate effect such changes to any </w:t>
      </w:r>
      <w:r>
        <w:rPr>
          <w:color w:val="E63B68"/>
          <w:spacing w:val="2"/>
          <w:w w:val="120"/>
        </w:rPr>
        <w:t>part </w:t>
      </w:r>
      <w:r>
        <w:rPr>
          <w:color w:val="E63B68"/>
          <w:w w:val="120"/>
        </w:rPr>
        <w:t>of the Ministerial Disciplinary Process contained in Section O of the Manual or the Ministerial Incapacity Procedure contained in Section P as are recommended to Mission Council by the MIND Advisory Group </w:t>
      </w:r>
      <w:r>
        <w:rPr>
          <w:color w:val="E63B68"/>
          <w:spacing w:val="-6"/>
          <w:w w:val="120"/>
        </w:rPr>
        <w:t>(or </w:t>
      </w:r>
      <w:r>
        <w:rPr>
          <w:color w:val="E63B68"/>
          <w:w w:val="120"/>
        </w:rPr>
        <w:t>such other Group or Committee as may in the future </w:t>
      </w:r>
      <w:r>
        <w:rPr>
          <w:color w:val="E63B68"/>
          <w:spacing w:val="2"/>
          <w:w w:val="120"/>
        </w:rPr>
        <w:t>perform </w:t>
      </w:r>
      <w:r>
        <w:rPr>
          <w:color w:val="E63B68"/>
          <w:w w:val="120"/>
        </w:rPr>
        <w:t>the functions of that </w:t>
      </w:r>
      <w:r>
        <w:rPr>
          <w:color w:val="E63B68"/>
          <w:spacing w:val="-4"/>
          <w:w w:val="120"/>
        </w:rPr>
        <w:t>Group), </w:t>
      </w:r>
      <w:r>
        <w:rPr>
          <w:color w:val="E63B68"/>
          <w:w w:val="120"/>
        </w:rPr>
        <w:t>all such changes to be reported to the next meeting of the General</w:t>
      </w:r>
      <w:r>
        <w:rPr>
          <w:color w:val="E63B68"/>
          <w:spacing w:val="1"/>
          <w:w w:val="120"/>
        </w:rPr>
        <w:t> </w:t>
      </w:r>
      <w:r>
        <w:rPr>
          <w:color w:val="E63B68"/>
          <w:w w:val="120"/>
        </w:rPr>
        <w:t>Assembly.</w:t>
      </w:r>
    </w:p>
    <w:p>
      <w:pPr>
        <w:pStyle w:val="BodyText"/>
        <w:spacing w:before="4"/>
        <w:rPr>
          <w:sz w:val="18"/>
        </w:rPr>
      </w:pPr>
    </w:p>
    <w:p>
      <w:pPr>
        <w:pStyle w:val="Heading9"/>
        <w:tabs>
          <w:tab w:pos="3424" w:val="left" w:leader="none"/>
        </w:tabs>
        <w:spacing w:line="427" w:lineRule="auto"/>
        <w:ind w:left="1984" w:right="3690" w:firstLine="0"/>
      </w:pPr>
      <w:r>
        <w:rPr>
          <w:spacing w:val="-4"/>
          <w:w w:val="110"/>
        </w:rPr>
        <w:t>2(6)(A)(xxvii) </w:t>
      </w:r>
      <w:r>
        <w:rPr>
          <w:w w:val="110"/>
        </w:rPr>
        <w:t>The existing function (xxvi) becomes (xxvii) </w:t>
      </w:r>
      <w:r>
        <w:rPr>
          <w:spacing w:val="-7"/>
          <w:w w:val="110"/>
        </w:rPr>
        <w:t>2(6)(B)</w:t>
        <w:tab/>
      </w:r>
      <w:r>
        <w:rPr>
          <w:w w:val="110"/>
        </w:rPr>
        <w:t>Remove this</w:t>
      </w:r>
      <w:r>
        <w:rPr>
          <w:spacing w:val="-1"/>
          <w:w w:val="110"/>
        </w:rPr>
        <w:t> </w:t>
      </w:r>
      <w:r>
        <w:rPr>
          <w:w w:val="110"/>
        </w:rPr>
        <w:t>paragraph.</w:t>
      </w:r>
    </w:p>
    <w:p>
      <w:pPr>
        <w:pStyle w:val="BodyText"/>
        <w:spacing w:before="10"/>
        <w:rPr>
          <w:rFonts w:ascii="Stone Sans II ITC Std Bk"/>
          <w:b/>
          <w:sz w:val="16"/>
        </w:rPr>
      </w:pPr>
    </w:p>
    <w:p>
      <w:pPr>
        <w:tabs>
          <w:tab w:pos="2664" w:val="left" w:leader="none"/>
        </w:tabs>
        <w:spacing w:before="0"/>
        <w:ind w:left="1984" w:right="0" w:firstLine="0"/>
        <w:jc w:val="left"/>
        <w:rPr>
          <w:rFonts w:ascii="Stone Sans II ITC Std Bk"/>
          <w:b/>
          <w:sz w:val="29"/>
        </w:rPr>
      </w:pPr>
      <w:r>
        <w:rPr>
          <w:rFonts w:ascii="Stone Sans II ITC Std Bk"/>
          <w:b/>
          <w:spacing w:val="-3"/>
          <w:w w:val="110"/>
          <w:sz w:val="29"/>
        </w:rPr>
        <w:t>5.</w:t>
        <w:tab/>
      </w:r>
      <w:r>
        <w:rPr>
          <w:rFonts w:ascii="Stone Sans II ITC Std Bk"/>
          <w:b/>
          <w:spacing w:val="4"/>
          <w:w w:val="110"/>
          <w:sz w:val="29"/>
        </w:rPr>
        <w:t>Appeals</w:t>
      </w:r>
    </w:p>
    <w:p>
      <w:pPr>
        <w:tabs>
          <w:tab w:pos="2664" w:val="left" w:leader="none"/>
        </w:tabs>
        <w:spacing w:before="53"/>
        <w:ind w:left="1984" w:right="0" w:firstLine="0"/>
        <w:jc w:val="left"/>
        <w:rPr>
          <w:sz w:val="20"/>
        </w:rPr>
      </w:pPr>
      <w:r>
        <w:rPr>
          <w:rFonts w:ascii="Stone Sans II ITC Std Bk"/>
          <w:b/>
          <w:spacing w:val="-9"/>
          <w:w w:val="110"/>
          <w:sz w:val="20"/>
        </w:rPr>
        <w:t>5(1)</w:t>
        <w:tab/>
      </w:r>
      <w:r>
        <w:rPr>
          <w:rFonts w:ascii="Stone Sans II ITC Std Bk"/>
          <w:b/>
          <w:w w:val="110"/>
          <w:sz w:val="20"/>
        </w:rPr>
        <w:t>Remove this</w:t>
      </w:r>
      <w:r>
        <w:rPr>
          <w:rFonts w:ascii="Stone Sans II ITC Std Bk"/>
          <w:b/>
          <w:spacing w:val="-1"/>
          <w:w w:val="110"/>
          <w:sz w:val="20"/>
        </w:rPr>
        <w:t> </w:t>
      </w:r>
      <w:r>
        <w:rPr>
          <w:rFonts w:ascii="Stone Sans II ITC Std Bk"/>
          <w:b/>
          <w:w w:val="110"/>
          <w:sz w:val="20"/>
        </w:rPr>
        <w:t>paragraph</w:t>
      </w:r>
      <w:r>
        <w:rPr>
          <w:w w:val="110"/>
          <w:sz w:val="20"/>
        </w:rPr>
        <w:t>.</w:t>
      </w:r>
    </w:p>
    <w:p>
      <w:pPr>
        <w:tabs>
          <w:tab w:pos="2664" w:val="left" w:leader="none"/>
        </w:tabs>
        <w:spacing w:line="255" w:lineRule="exact" w:before="209"/>
        <w:ind w:left="1984" w:right="0" w:firstLine="0"/>
        <w:jc w:val="left"/>
        <w:rPr>
          <w:rFonts w:ascii="Stone Sans II ITC Std Bk"/>
          <w:b/>
          <w:sz w:val="20"/>
        </w:rPr>
      </w:pPr>
      <w:r>
        <w:rPr>
          <w:rFonts w:ascii="Stone Sans II ITC Std Bk"/>
          <w:b/>
          <w:spacing w:val="-7"/>
          <w:w w:val="110"/>
          <w:sz w:val="20"/>
        </w:rPr>
        <w:t>5(2)</w:t>
        <w:tab/>
      </w:r>
      <w:r>
        <w:rPr>
          <w:rFonts w:ascii="Stone Sans II ITC Std Bk"/>
          <w:b/>
          <w:w w:val="110"/>
          <w:sz w:val="20"/>
        </w:rPr>
        <w:t>This paragraph to become paragraph 5 and the opening words to read:</w:t>
      </w:r>
    </w:p>
    <w:p>
      <w:pPr>
        <w:pStyle w:val="BodyText"/>
        <w:tabs>
          <w:tab w:pos="2664" w:val="left" w:leader="none"/>
        </w:tabs>
        <w:spacing w:line="230" w:lineRule="auto"/>
        <w:ind w:left="1984" w:right="2135"/>
      </w:pPr>
      <w:r>
        <w:rPr>
          <w:rFonts w:ascii="Stone Sans II ITC Std Bk" w:hAnsi="Stone Sans II ITC Std Bk"/>
          <w:b/>
          <w:spacing w:val="-3"/>
          <w:w w:val="120"/>
        </w:rPr>
        <w:t>5.</w:t>
        <w:tab/>
      </w:r>
      <w:r>
        <w:rPr>
          <w:w w:val="120"/>
        </w:rPr>
        <w:t>“The procedure for dealing with referenc</w:t>
      </w:r>
      <w:r>
        <w:rPr>
          <w:color w:val="E63B68"/>
          <w:w w:val="120"/>
        </w:rPr>
        <w:t>es </w:t>
      </w:r>
      <w:r>
        <w:rPr>
          <w:w w:val="120"/>
        </w:rPr>
        <w:t>and appeals falling outside Paragraph </w:t>
      </w:r>
      <w:r>
        <w:rPr>
          <w:color w:val="E63B68"/>
          <w:w w:val="120"/>
        </w:rPr>
        <w:t>6 (Incapacity Procedure) and Paragraph 7 (Disciplinary </w:t>
      </w:r>
      <w:r>
        <w:rPr>
          <w:color w:val="E63B68"/>
          <w:spacing w:val="-3"/>
          <w:w w:val="120"/>
        </w:rPr>
        <w:t>Process) </w:t>
      </w:r>
      <w:r>
        <w:rPr>
          <w:w w:val="120"/>
        </w:rPr>
        <w:t>is as follows:-”</w:t>
      </w:r>
    </w:p>
    <w:p>
      <w:pPr>
        <w:pStyle w:val="BodyText"/>
        <w:spacing w:before="9"/>
        <w:rPr>
          <w:sz w:val="17"/>
        </w:rPr>
      </w:pPr>
    </w:p>
    <w:p>
      <w:pPr>
        <w:pStyle w:val="Heading9"/>
        <w:spacing w:line="240" w:lineRule="auto"/>
        <w:ind w:left="1984" w:firstLine="0"/>
      </w:pPr>
      <w:r>
        <w:rPr>
          <w:w w:val="110"/>
        </w:rPr>
        <w:t>The remaining 4 unnumbered paragraphs under the existing 5(2) are unchanged.</w:t>
      </w:r>
    </w:p>
    <w:p>
      <w:pPr>
        <w:pStyle w:val="BodyText"/>
        <w:spacing w:before="6"/>
        <w:rPr>
          <w:rFonts w:ascii="Stone Sans II ITC Std Bk"/>
          <w:b/>
          <w:sz w:val="32"/>
        </w:rPr>
      </w:pPr>
    </w:p>
    <w:p>
      <w:pPr>
        <w:pStyle w:val="ListParagraph"/>
        <w:numPr>
          <w:ilvl w:val="0"/>
          <w:numId w:val="8"/>
        </w:numPr>
        <w:tabs>
          <w:tab w:pos="2664" w:val="left" w:leader="none"/>
          <w:tab w:pos="2665" w:val="left" w:leader="none"/>
        </w:tabs>
        <w:spacing w:line="240" w:lineRule="auto" w:before="0" w:after="0"/>
        <w:ind w:left="2664" w:right="0" w:hanging="681"/>
        <w:jc w:val="left"/>
        <w:rPr>
          <w:rFonts w:ascii="Stone Sans II ITC Std Bk"/>
          <w:b/>
          <w:sz w:val="29"/>
        </w:rPr>
      </w:pPr>
      <w:r>
        <w:rPr>
          <w:rFonts w:ascii="Stone Sans II ITC Std Bk"/>
          <w:b/>
          <w:spacing w:val="4"/>
          <w:w w:val="110"/>
          <w:sz w:val="29"/>
        </w:rPr>
        <w:t>Incapacity</w:t>
      </w:r>
      <w:r>
        <w:rPr>
          <w:rFonts w:ascii="Stone Sans II ITC Std Bk"/>
          <w:b/>
          <w:spacing w:val="12"/>
          <w:w w:val="110"/>
          <w:sz w:val="29"/>
        </w:rPr>
        <w:t> </w:t>
      </w:r>
      <w:r>
        <w:rPr>
          <w:rFonts w:ascii="Stone Sans II ITC Std Bk"/>
          <w:b/>
          <w:spacing w:val="3"/>
          <w:w w:val="110"/>
          <w:sz w:val="29"/>
        </w:rPr>
        <w:t>procedure</w:t>
      </w:r>
    </w:p>
    <w:p>
      <w:pPr>
        <w:pStyle w:val="ListParagraph"/>
        <w:numPr>
          <w:ilvl w:val="1"/>
          <w:numId w:val="8"/>
        </w:numPr>
        <w:tabs>
          <w:tab w:pos="2664" w:val="left" w:leader="none"/>
          <w:tab w:pos="2665" w:val="left" w:leader="none"/>
        </w:tabs>
        <w:spacing w:line="213" w:lineRule="auto" w:before="75" w:after="0"/>
        <w:ind w:left="1984" w:right="1752" w:firstLine="0"/>
        <w:jc w:val="left"/>
        <w:rPr>
          <w:sz w:val="20"/>
        </w:rPr>
      </w:pPr>
      <w:r>
        <w:rPr>
          <w:w w:val="115"/>
          <w:sz w:val="20"/>
        </w:rPr>
        <w:t>After the words </w:t>
      </w:r>
      <w:r>
        <w:rPr>
          <w:rFonts w:ascii="Stone Sans II ITC Std Bk" w:hAnsi="Stone Sans II ITC Std Bk"/>
          <w:b/>
          <w:w w:val="115"/>
          <w:sz w:val="20"/>
        </w:rPr>
        <w:t>“…consider that s/he </w:t>
      </w:r>
      <w:r>
        <w:rPr>
          <w:rFonts w:ascii="Stone Sans II ITC Std Bk" w:hAnsi="Stone Sans II ITC Std Bk"/>
          <w:b/>
          <w:spacing w:val="-3"/>
          <w:w w:val="115"/>
          <w:sz w:val="20"/>
        </w:rPr>
        <w:t>is…” </w:t>
      </w:r>
      <w:r>
        <w:rPr>
          <w:w w:val="115"/>
          <w:sz w:val="20"/>
        </w:rPr>
        <w:t>insert the word “</w:t>
      </w:r>
      <w:r>
        <w:rPr>
          <w:color w:val="E63B68"/>
          <w:w w:val="115"/>
          <w:sz w:val="20"/>
        </w:rPr>
        <w:t>not</w:t>
      </w:r>
      <w:r>
        <w:rPr>
          <w:w w:val="115"/>
          <w:sz w:val="20"/>
        </w:rPr>
        <w:t>” and after the words </w:t>
      </w:r>
      <w:r>
        <w:rPr>
          <w:rFonts w:ascii="Stone Sans II ITC Std Bk" w:hAnsi="Stone Sans II ITC Std Bk"/>
          <w:b/>
          <w:spacing w:val="-4"/>
          <w:w w:val="115"/>
          <w:sz w:val="20"/>
        </w:rPr>
        <w:t>“(in </w:t>
      </w:r>
      <w:r>
        <w:rPr>
          <w:rFonts w:ascii="Stone Sans II ITC Std Bk" w:hAnsi="Stone Sans II ITC Std Bk"/>
          <w:b/>
          <w:w w:val="115"/>
          <w:sz w:val="20"/>
        </w:rPr>
        <w:t>the case of CRCWs” </w:t>
      </w:r>
      <w:r>
        <w:rPr>
          <w:w w:val="115"/>
          <w:sz w:val="20"/>
        </w:rPr>
        <w:t>insert a closing</w:t>
      </w:r>
      <w:r>
        <w:rPr>
          <w:spacing w:val="17"/>
          <w:w w:val="115"/>
          <w:sz w:val="20"/>
        </w:rPr>
        <w:t> </w:t>
      </w:r>
      <w:r>
        <w:rPr>
          <w:w w:val="115"/>
          <w:sz w:val="20"/>
        </w:rPr>
        <w:t>bracket.</w:t>
      </w:r>
    </w:p>
    <w:p>
      <w:pPr>
        <w:pStyle w:val="BodyText"/>
        <w:spacing w:before="8"/>
        <w:rPr>
          <w:sz w:val="17"/>
        </w:rPr>
      </w:pPr>
    </w:p>
    <w:p>
      <w:pPr>
        <w:pStyle w:val="Heading9"/>
        <w:numPr>
          <w:ilvl w:val="1"/>
          <w:numId w:val="8"/>
        </w:numPr>
        <w:tabs>
          <w:tab w:pos="2722" w:val="left" w:leader="none"/>
          <w:tab w:pos="2723" w:val="left" w:leader="none"/>
        </w:tabs>
        <w:spacing w:line="240" w:lineRule="auto" w:before="1" w:after="0"/>
        <w:ind w:left="2722" w:right="0" w:hanging="739"/>
        <w:jc w:val="left"/>
      </w:pPr>
      <w:r>
        <w:rPr>
          <w:w w:val="110"/>
        </w:rPr>
        <w:t>Add the following words at the end of this</w:t>
      </w:r>
      <w:r>
        <w:rPr>
          <w:spacing w:val="-2"/>
          <w:w w:val="110"/>
        </w:rPr>
        <w:t> </w:t>
      </w:r>
      <w:r>
        <w:rPr>
          <w:w w:val="110"/>
        </w:rPr>
        <w:t>paragraph:</w:t>
      </w:r>
    </w:p>
    <w:p>
      <w:pPr>
        <w:pStyle w:val="BodyText"/>
        <w:spacing w:before="9"/>
        <w:rPr>
          <w:rFonts w:ascii="Stone Sans II ITC Std Bk"/>
          <w:b/>
          <w:sz w:val="16"/>
        </w:rPr>
      </w:pPr>
    </w:p>
    <w:p>
      <w:pPr>
        <w:pStyle w:val="BodyText"/>
        <w:spacing w:line="235" w:lineRule="auto"/>
        <w:ind w:left="1984" w:right="1820" w:firstLine="680"/>
      </w:pPr>
      <w:r>
        <w:rPr>
          <w:w w:val="120"/>
        </w:rPr>
        <w:t>“…</w:t>
      </w:r>
      <w:r>
        <w:rPr>
          <w:color w:val="E63B68"/>
          <w:w w:val="120"/>
        </w:rPr>
        <w:t>, and once so initiated that case shall be resolved in accordance with the Incapacity Procedure and not under Paragraph 5 above.</w:t>
      </w:r>
      <w:r>
        <w:rPr>
          <w:w w:val="120"/>
        </w:rPr>
        <w:t>”</w:t>
      </w:r>
    </w:p>
    <w:p>
      <w:pPr>
        <w:pStyle w:val="BodyText"/>
        <w:spacing w:before="6"/>
        <w:rPr>
          <w:sz w:val="18"/>
        </w:rPr>
      </w:pPr>
    </w:p>
    <w:p>
      <w:pPr>
        <w:pStyle w:val="Heading9"/>
        <w:numPr>
          <w:ilvl w:val="1"/>
          <w:numId w:val="8"/>
        </w:numPr>
        <w:tabs>
          <w:tab w:pos="2334" w:val="left" w:leader="none"/>
        </w:tabs>
        <w:spacing w:line="240" w:lineRule="auto" w:before="0" w:after="0"/>
        <w:ind w:left="2333" w:right="0" w:hanging="350"/>
        <w:jc w:val="left"/>
      </w:pPr>
      <w:r>
        <w:rPr>
          <w:w w:val="110"/>
        </w:rPr>
        <w:t>, 6.4 These paragraphs are</w:t>
      </w:r>
      <w:r>
        <w:rPr>
          <w:spacing w:val="-30"/>
          <w:w w:val="110"/>
        </w:rPr>
        <w:t> </w:t>
      </w:r>
      <w:r>
        <w:rPr>
          <w:w w:val="110"/>
        </w:rPr>
        <w:t>unchanged.</w:t>
      </w:r>
    </w:p>
    <w:p>
      <w:pPr>
        <w:tabs>
          <w:tab w:pos="2664" w:val="left" w:leader="none"/>
        </w:tabs>
        <w:spacing w:line="255" w:lineRule="exact" w:before="209"/>
        <w:ind w:left="1984" w:right="0" w:firstLine="0"/>
        <w:jc w:val="left"/>
        <w:rPr>
          <w:rFonts w:ascii="Stone Sans II ITC Std Bk"/>
          <w:b/>
          <w:sz w:val="20"/>
        </w:rPr>
      </w:pPr>
      <w:r>
        <w:rPr>
          <w:rFonts w:ascii="Stone Sans II ITC Std Bk"/>
          <w:b/>
          <w:w w:val="110"/>
          <w:sz w:val="20"/>
        </w:rPr>
        <w:t>6.5</w:t>
        <w:tab/>
        <w:t>Add a new paragraph 6.5 as</w:t>
      </w:r>
      <w:r>
        <w:rPr>
          <w:rFonts w:ascii="Stone Sans II ITC Std Bk"/>
          <w:b/>
          <w:spacing w:val="-2"/>
          <w:w w:val="110"/>
          <w:sz w:val="20"/>
        </w:rPr>
        <w:t> </w:t>
      </w:r>
      <w:r>
        <w:rPr>
          <w:rFonts w:ascii="Stone Sans II ITC Std Bk"/>
          <w:b/>
          <w:w w:val="110"/>
          <w:sz w:val="20"/>
        </w:rPr>
        <w:t>follows:</w:t>
      </w:r>
    </w:p>
    <w:p>
      <w:pPr>
        <w:pStyle w:val="BodyText"/>
        <w:tabs>
          <w:tab w:pos="2664" w:val="left" w:leader="none"/>
        </w:tabs>
        <w:spacing w:line="232" w:lineRule="auto"/>
        <w:ind w:left="1984" w:right="1948"/>
      </w:pPr>
      <w:r>
        <w:rPr>
          <w:rFonts w:ascii="Stone Sans II ITC Std Bk"/>
          <w:b/>
          <w:color w:val="E63B68"/>
          <w:w w:val="120"/>
        </w:rPr>
        <w:t>6.5</w:t>
        <w:tab/>
      </w:r>
      <w:r>
        <w:rPr>
          <w:color w:val="E63B68"/>
          <w:w w:val="120"/>
        </w:rPr>
        <w:t>A case shall commence within the Incapacity Procedure when the Synod Moderator or the Deputy General Secretary shall send or deliver to the Secretary of the Review Commission* a Certificate of Entry* and a Commencement Notice* </w:t>
      </w:r>
      <w:r>
        <w:rPr>
          <w:color w:val="E63B68"/>
          <w:spacing w:val="-3"/>
          <w:w w:val="120"/>
        </w:rPr>
        <w:t>(the </w:t>
      </w:r>
      <w:r>
        <w:rPr>
          <w:color w:val="E63B68"/>
          <w:w w:val="120"/>
        </w:rPr>
        <w:t>expressions marked * being defined in the Incapacity</w:t>
      </w:r>
      <w:r>
        <w:rPr>
          <w:color w:val="E63B68"/>
          <w:spacing w:val="40"/>
          <w:w w:val="120"/>
        </w:rPr>
        <w:t> </w:t>
      </w:r>
      <w:r>
        <w:rPr>
          <w:color w:val="E63B68"/>
          <w:spacing w:val="-3"/>
          <w:w w:val="120"/>
        </w:rPr>
        <w:t>Procedure).</w:t>
      </w:r>
    </w:p>
    <w:p>
      <w:pPr>
        <w:spacing w:after="0" w:line="232" w:lineRule="auto"/>
        <w:sectPr>
          <w:headerReference w:type="default" r:id="rId55"/>
          <w:pgSz w:w="11910" w:h="16840"/>
          <w:pgMar w:header="0" w:footer="647" w:top="0" w:bottom="840" w:left="0" w:right="0"/>
        </w:sectPr>
      </w:pPr>
    </w:p>
    <w:p>
      <w:pPr>
        <w:pStyle w:val="BodyText"/>
      </w:pPr>
      <w:r>
        <w:rPr/>
        <w:drawing>
          <wp:anchor distT="0" distB="0" distL="0" distR="0" allowOverlap="1" layoutInCell="1" locked="0" behindDoc="0" simplePos="0" relativeHeight="251698176">
            <wp:simplePos x="0" y="0"/>
            <wp:positionH relativeFrom="page">
              <wp:posOffset>0</wp:posOffset>
            </wp:positionH>
            <wp:positionV relativeFrom="page">
              <wp:posOffset>0</wp:posOffset>
            </wp:positionV>
            <wp:extent cx="594067" cy="10692003"/>
            <wp:effectExtent l="0" t="0" r="0" b="0"/>
            <wp:wrapNone/>
            <wp:docPr id="29" name="image22.png"/>
            <wp:cNvGraphicFramePr>
              <a:graphicFrameLocks noChangeAspect="1"/>
            </wp:cNvGraphicFramePr>
            <a:graphic>
              <a:graphicData uri="http://schemas.openxmlformats.org/drawingml/2006/picture">
                <pic:pic>
                  <pic:nvPicPr>
                    <pic:cNvPr id="30" name="image22.png"/>
                    <pic:cNvPicPr/>
                  </pic:nvPicPr>
                  <pic:blipFill>
                    <a:blip r:embed="rId33"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shape style="position:absolute;margin-left:20.519100pt;margin-top:22.593945pt;width:25.9pt;height:163.2pt;mso-position-horizontal-relative:page;mso-position-vertical-relative:paragraph;z-index:251699200" type="#_x0000_t202" filled="false" stroked="false">
            <v:textbox inset="0,0,0,0" style="layout-flow:vertical">
              <w:txbxContent>
                <w:p>
                  <w:pPr>
                    <w:spacing w:before="27"/>
                    <w:ind w:left="20" w:right="0" w:firstLine="0"/>
                    <w:jc w:val="left"/>
                    <w:rPr>
                      <w:sz w:val="39"/>
                    </w:rPr>
                  </w:pPr>
                  <w:r>
                    <w:rPr>
                      <w:color w:val="FFFFFF"/>
                      <w:w w:val="125"/>
                      <w:sz w:val="39"/>
                    </w:rPr>
                    <w:t>Mission Council</w:t>
                  </w:r>
                </w:p>
              </w:txbxContent>
            </v:textbox>
            <w10:wrap type="none"/>
          </v:shape>
        </w:pict>
      </w:r>
      <w:r>
        <w:rPr>
          <w:color w:val="7EAABF"/>
          <w:w w:val="120"/>
        </w:rPr>
        <w:t>Mission Council</w:t>
      </w:r>
    </w:p>
    <w:p>
      <w:pPr>
        <w:pStyle w:val="BodyText"/>
        <w:spacing w:before="6"/>
        <w:rPr>
          <w:sz w:val="36"/>
        </w:rPr>
      </w:pPr>
    </w:p>
    <w:p>
      <w:pPr>
        <w:pStyle w:val="Heading9"/>
        <w:tabs>
          <w:tab w:pos="1927" w:val="left" w:leader="none"/>
        </w:tabs>
        <w:spacing w:line="240" w:lineRule="auto"/>
        <w:ind w:left="1247" w:firstLine="0"/>
      </w:pPr>
      <w:r>
        <w:rPr>
          <w:spacing w:val="-13"/>
          <w:w w:val="110"/>
        </w:rPr>
        <w:t>7.</w:t>
        <w:tab/>
      </w:r>
      <w:r>
        <w:rPr>
          <w:w w:val="110"/>
        </w:rPr>
        <w:t>Insert new Section 7 as</w:t>
      </w:r>
      <w:r>
        <w:rPr>
          <w:spacing w:val="-1"/>
          <w:w w:val="110"/>
        </w:rPr>
        <w:t> </w:t>
      </w:r>
      <w:r>
        <w:rPr>
          <w:w w:val="110"/>
        </w:rPr>
        <w:t>follows:</w:t>
      </w:r>
    </w:p>
    <w:p>
      <w:pPr>
        <w:pStyle w:val="ListParagraph"/>
        <w:numPr>
          <w:ilvl w:val="0"/>
          <w:numId w:val="9"/>
        </w:numPr>
        <w:tabs>
          <w:tab w:pos="1927" w:val="left" w:leader="none"/>
          <w:tab w:pos="1928" w:val="left" w:leader="none"/>
        </w:tabs>
        <w:spacing w:line="255" w:lineRule="exact" w:before="209" w:after="0"/>
        <w:ind w:left="1927" w:right="0" w:hanging="681"/>
        <w:jc w:val="left"/>
        <w:rPr>
          <w:rFonts w:ascii="Stone Sans II ITC Std Bk"/>
          <w:b/>
          <w:sz w:val="20"/>
        </w:rPr>
      </w:pPr>
      <w:r>
        <w:rPr>
          <w:rFonts w:ascii="Stone Sans II ITC Std Bk"/>
          <w:b/>
          <w:color w:val="E63B68"/>
          <w:w w:val="110"/>
          <w:sz w:val="20"/>
        </w:rPr>
        <w:t>DISCIPLINARY</w:t>
      </w:r>
      <w:r>
        <w:rPr>
          <w:rFonts w:ascii="Stone Sans II ITC Std Bk"/>
          <w:b/>
          <w:color w:val="E63B68"/>
          <w:spacing w:val="-1"/>
          <w:w w:val="110"/>
          <w:sz w:val="20"/>
        </w:rPr>
        <w:t> </w:t>
      </w:r>
      <w:r>
        <w:rPr>
          <w:rFonts w:ascii="Stone Sans II ITC Std Bk"/>
          <w:b/>
          <w:color w:val="E63B68"/>
          <w:w w:val="110"/>
          <w:sz w:val="20"/>
        </w:rPr>
        <w:t>PROCESS</w:t>
      </w:r>
    </w:p>
    <w:p>
      <w:pPr>
        <w:pStyle w:val="ListParagraph"/>
        <w:numPr>
          <w:ilvl w:val="1"/>
          <w:numId w:val="9"/>
        </w:numPr>
        <w:tabs>
          <w:tab w:pos="1927" w:val="left" w:leader="none"/>
          <w:tab w:pos="1928" w:val="left" w:leader="none"/>
        </w:tabs>
        <w:spacing w:line="232" w:lineRule="auto" w:before="0" w:after="0"/>
        <w:ind w:left="1247" w:right="2285" w:firstLine="0"/>
        <w:jc w:val="left"/>
        <w:rPr>
          <w:sz w:val="20"/>
        </w:rPr>
      </w:pPr>
      <w:r>
        <w:rPr>
          <w:color w:val="E63B68"/>
          <w:w w:val="120"/>
          <w:sz w:val="20"/>
        </w:rPr>
        <w:t>The Provisions of this Paragraph 7 shall apply to cases proceeding under the Disciplinary Process (Section O of the Manual of the United Reformed </w:t>
      </w:r>
      <w:r>
        <w:rPr>
          <w:color w:val="E63B68"/>
          <w:spacing w:val="-3"/>
          <w:w w:val="120"/>
          <w:sz w:val="20"/>
        </w:rPr>
        <w:t>Church) </w:t>
      </w:r>
      <w:r>
        <w:rPr>
          <w:color w:val="E63B68"/>
          <w:w w:val="120"/>
          <w:sz w:val="20"/>
        </w:rPr>
        <w:t>where the person responsible for initiating it in respect of a particular minister or Church Related Community Worker considers that s/he is not or may not be exercising the ministry of word and sacrament or the ministry of church related community</w:t>
      </w:r>
      <w:r>
        <w:rPr>
          <w:color w:val="E63B68"/>
          <w:spacing w:val="32"/>
          <w:w w:val="120"/>
          <w:sz w:val="20"/>
        </w:rPr>
        <w:t> </w:t>
      </w:r>
      <w:r>
        <w:rPr>
          <w:color w:val="E63B68"/>
          <w:w w:val="120"/>
          <w:sz w:val="20"/>
        </w:rPr>
        <w:t>work</w:t>
      </w:r>
    </w:p>
    <w:p>
      <w:pPr>
        <w:pStyle w:val="BodyText"/>
        <w:spacing w:line="235" w:lineRule="auto"/>
        <w:ind w:left="1247" w:right="2167"/>
      </w:pPr>
      <w:r>
        <w:rPr>
          <w:color w:val="E63B68"/>
          <w:w w:val="120"/>
        </w:rPr>
        <w:t>as the case may be in accordance (in the case of ministers) with Paragraph 2 of Schedule E of the Basis of Union and (in the case of CRCWs) with Paragraph 2 of Schedule F, Part II thereto and perceives the issue as a disciplinary one not falling within Paragraph 6 above.</w:t>
      </w:r>
    </w:p>
    <w:p>
      <w:pPr>
        <w:pStyle w:val="BodyText"/>
        <w:spacing w:before="5"/>
        <w:rPr>
          <w:sz w:val="18"/>
        </w:rPr>
      </w:pPr>
    </w:p>
    <w:p>
      <w:pPr>
        <w:pStyle w:val="ListParagraph"/>
        <w:numPr>
          <w:ilvl w:val="1"/>
          <w:numId w:val="9"/>
        </w:numPr>
        <w:tabs>
          <w:tab w:pos="1927" w:val="left" w:leader="none"/>
          <w:tab w:pos="1928" w:val="left" w:leader="none"/>
        </w:tabs>
        <w:spacing w:line="232" w:lineRule="auto" w:before="0" w:after="0"/>
        <w:ind w:left="1247" w:right="2661" w:firstLine="0"/>
        <w:jc w:val="left"/>
        <w:rPr>
          <w:sz w:val="20"/>
        </w:rPr>
      </w:pPr>
      <w:r>
        <w:rPr/>
        <w:pict>
          <v:shape style="position:absolute;margin-left:20.519100pt;margin-top:-3.520571pt;width:25.9pt;height:137.4pt;mso-position-horizontal-relative:page;mso-position-vertical-relative:paragraph;z-index:251700224" type="#_x0000_t202" filled="false" stroked="false">
            <v:textbox inset="0,0,0,0" style="layout-flow:vertical">
              <w:txbxContent>
                <w:p>
                  <w:pPr>
                    <w:spacing w:before="27"/>
                    <w:ind w:left="20" w:right="0" w:firstLine="0"/>
                    <w:jc w:val="left"/>
                    <w:rPr>
                      <w:sz w:val="39"/>
                    </w:rPr>
                  </w:pPr>
                  <w:r>
                    <w:rPr>
                      <w:color w:val="FFFFFF"/>
                      <w:w w:val="125"/>
                      <w:sz w:val="39"/>
                    </w:rPr>
                    <w:t>– </w:t>
                  </w:r>
                  <w:r>
                    <w:rPr>
                      <w:spacing w:val="9"/>
                      <w:w w:val="125"/>
                      <w:sz w:val="39"/>
                    </w:rPr>
                    <w:t>Appendix </w:t>
                  </w:r>
                  <w:r>
                    <w:rPr>
                      <w:w w:val="125"/>
                      <w:sz w:val="39"/>
                    </w:rPr>
                    <w:t>2</w:t>
                  </w:r>
                </w:p>
              </w:txbxContent>
            </v:textbox>
            <w10:wrap type="none"/>
          </v:shape>
        </w:pict>
      </w:r>
      <w:r>
        <w:rPr>
          <w:color w:val="E63B68"/>
          <w:w w:val="120"/>
          <w:sz w:val="20"/>
        </w:rPr>
        <w:t>No right of appeal shall lie against any decision taken in accordance with Paragraph </w:t>
      </w:r>
      <w:r>
        <w:rPr>
          <w:color w:val="E63B68"/>
          <w:spacing w:val="-15"/>
          <w:w w:val="120"/>
          <w:sz w:val="20"/>
        </w:rPr>
        <w:t>7.1 </w:t>
      </w:r>
      <w:r>
        <w:rPr>
          <w:color w:val="E63B68"/>
          <w:w w:val="120"/>
          <w:sz w:val="20"/>
        </w:rPr>
        <w:t>above to initiate the Disciplinary Process in respect of any minister or CRCW, and once so initiated that case shall be resolved in accordance with the Disciplinary Process and not under Paragraph 5</w:t>
      </w:r>
      <w:r>
        <w:rPr>
          <w:color w:val="E63B68"/>
          <w:spacing w:val="19"/>
          <w:w w:val="120"/>
          <w:sz w:val="20"/>
        </w:rPr>
        <w:t> </w:t>
      </w:r>
      <w:r>
        <w:rPr>
          <w:color w:val="E63B68"/>
          <w:w w:val="120"/>
          <w:sz w:val="20"/>
        </w:rPr>
        <w:t>above.</w:t>
      </w:r>
    </w:p>
    <w:p>
      <w:pPr>
        <w:pStyle w:val="BodyText"/>
        <w:spacing w:before="9"/>
        <w:rPr>
          <w:sz w:val="18"/>
        </w:rPr>
      </w:pPr>
    </w:p>
    <w:p>
      <w:pPr>
        <w:pStyle w:val="ListParagraph"/>
        <w:numPr>
          <w:ilvl w:val="1"/>
          <w:numId w:val="9"/>
        </w:numPr>
        <w:tabs>
          <w:tab w:pos="1927" w:val="left" w:leader="none"/>
          <w:tab w:pos="1928" w:val="left" w:leader="none"/>
        </w:tabs>
        <w:spacing w:line="230" w:lineRule="auto" w:before="0" w:after="0"/>
        <w:ind w:left="1247" w:right="1982" w:firstLine="0"/>
        <w:jc w:val="left"/>
        <w:rPr>
          <w:sz w:val="20"/>
        </w:rPr>
      </w:pPr>
      <w:r>
        <w:rPr>
          <w:color w:val="E63B68"/>
          <w:w w:val="120"/>
          <w:sz w:val="20"/>
        </w:rPr>
        <w:t>The decision reached in any particular case (whether or not on appeal) under    the Disciplinary Process shall be made in the name of the General Assembly and shall be final and</w:t>
      </w:r>
      <w:r>
        <w:rPr>
          <w:color w:val="E63B68"/>
          <w:spacing w:val="4"/>
          <w:w w:val="120"/>
          <w:sz w:val="20"/>
        </w:rPr>
        <w:t> </w:t>
      </w:r>
      <w:r>
        <w:rPr>
          <w:color w:val="E63B68"/>
          <w:w w:val="120"/>
          <w:sz w:val="20"/>
        </w:rPr>
        <w:t>binding.</w:t>
      </w:r>
    </w:p>
    <w:p>
      <w:pPr>
        <w:pStyle w:val="BodyText"/>
        <w:spacing w:before="10"/>
        <w:rPr>
          <w:sz w:val="18"/>
        </w:rPr>
      </w:pPr>
    </w:p>
    <w:p>
      <w:pPr>
        <w:pStyle w:val="ListParagraph"/>
        <w:numPr>
          <w:ilvl w:val="1"/>
          <w:numId w:val="9"/>
        </w:numPr>
        <w:tabs>
          <w:tab w:pos="1927" w:val="left" w:leader="none"/>
          <w:tab w:pos="1928" w:val="left" w:leader="none"/>
        </w:tabs>
        <w:spacing w:line="232" w:lineRule="auto" w:before="0" w:after="0"/>
        <w:ind w:left="1247" w:right="2002" w:firstLine="0"/>
        <w:jc w:val="left"/>
        <w:rPr>
          <w:sz w:val="20"/>
        </w:rPr>
      </w:pPr>
      <w:r>
        <w:rPr>
          <w:color w:val="E63B68"/>
          <w:spacing w:val="3"/>
          <w:w w:val="120"/>
          <w:sz w:val="20"/>
        </w:rPr>
        <w:t>As </w:t>
      </w:r>
      <w:r>
        <w:rPr>
          <w:color w:val="E63B68"/>
          <w:w w:val="120"/>
          <w:sz w:val="20"/>
        </w:rPr>
        <w:t>soon as any minister or CRCW becomes the subject of a case under the Disciplinary Process, none of the Councils of the Church shall exercise any of its  functions in respect of that minister or CRCW in such a manner as to affect, compromise or interfere with the due process of that case provided that the provision of such pastoral care as shall be deemed appropriate shall not be regarded as a breach</w:t>
      </w:r>
      <w:r>
        <w:rPr>
          <w:color w:val="E63B68"/>
          <w:spacing w:val="32"/>
          <w:w w:val="120"/>
          <w:sz w:val="20"/>
        </w:rPr>
        <w:t> </w:t>
      </w:r>
      <w:r>
        <w:rPr>
          <w:color w:val="E63B68"/>
          <w:w w:val="120"/>
          <w:sz w:val="20"/>
        </w:rPr>
        <w:t>of</w:t>
      </w:r>
    </w:p>
    <w:p>
      <w:pPr>
        <w:pStyle w:val="BodyText"/>
        <w:spacing w:line="241" w:lineRule="exact"/>
        <w:ind w:left="1247"/>
      </w:pPr>
      <w:r>
        <w:rPr>
          <w:color w:val="E63B68"/>
          <w:w w:val="120"/>
        </w:rPr>
        <w:t>this paragraph.</w:t>
      </w:r>
    </w:p>
    <w:p>
      <w:pPr>
        <w:pStyle w:val="BodyText"/>
        <w:rPr>
          <w:sz w:val="19"/>
        </w:rPr>
      </w:pPr>
    </w:p>
    <w:p>
      <w:pPr>
        <w:pStyle w:val="ListParagraph"/>
        <w:numPr>
          <w:ilvl w:val="2"/>
          <w:numId w:val="10"/>
        </w:numPr>
        <w:tabs>
          <w:tab w:pos="1928" w:val="left" w:leader="none"/>
        </w:tabs>
        <w:spacing w:line="230" w:lineRule="auto" w:before="0" w:after="0"/>
        <w:ind w:left="1247" w:right="2198" w:firstLine="0"/>
        <w:jc w:val="both"/>
        <w:rPr>
          <w:sz w:val="20"/>
        </w:rPr>
      </w:pPr>
      <w:r>
        <w:rPr>
          <w:w w:val="120"/>
          <w:sz w:val="20"/>
        </w:rPr>
        <w:t>In any case in which the caution stage </w:t>
      </w:r>
      <w:r>
        <w:rPr>
          <w:spacing w:val="-6"/>
          <w:w w:val="120"/>
          <w:sz w:val="20"/>
        </w:rPr>
        <w:t>(as </w:t>
      </w:r>
      <w:r>
        <w:rPr>
          <w:w w:val="120"/>
          <w:sz w:val="20"/>
        </w:rPr>
        <w:t>defined in the disciplinary </w:t>
      </w:r>
      <w:r>
        <w:rPr>
          <w:spacing w:val="-3"/>
          <w:w w:val="120"/>
          <w:sz w:val="20"/>
        </w:rPr>
        <w:t>process) </w:t>
      </w:r>
      <w:r>
        <w:rPr>
          <w:w w:val="120"/>
          <w:sz w:val="20"/>
        </w:rPr>
        <w:t>is invoked, that case shall begin with the calling in of the synod appointees as described in the disciplinary</w:t>
      </w:r>
      <w:r>
        <w:rPr>
          <w:spacing w:val="6"/>
          <w:w w:val="120"/>
          <w:sz w:val="20"/>
        </w:rPr>
        <w:t> </w:t>
      </w:r>
      <w:r>
        <w:rPr>
          <w:w w:val="120"/>
          <w:sz w:val="20"/>
        </w:rPr>
        <w:t>process.</w:t>
      </w:r>
    </w:p>
    <w:p>
      <w:pPr>
        <w:pStyle w:val="BodyText"/>
        <w:spacing w:before="6"/>
        <w:rPr>
          <w:sz w:val="19"/>
        </w:rPr>
      </w:pPr>
    </w:p>
    <w:p>
      <w:pPr>
        <w:pStyle w:val="ListParagraph"/>
        <w:numPr>
          <w:ilvl w:val="2"/>
          <w:numId w:val="10"/>
        </w:numPr>
        <w:tabs>
          <w:tab w:pos="1928" w:val="left" w:leader="none"/>
        </w:tabs>
        <w:spacing w:line="223" w:lineRule="auto" w:before="0" w:after="0"/>
        <w:ind w:left="1247" w:right="2200" w:firstLine="0"/>
        <w:jc w:val="both"/>
        <w:rPr>
          <w:sz w:val="20"/>
        </w:rPr>
      </w:pPr>
      <w:r>
        <w:rPr>
          <w:w w:val="120"/>
          <w:sz w:val="20"/>
        </w:rPr>
        <w:t>In any case in which the caution stage is not invoked, that case shall begin with the calling in of the mandated group as described in the disciplinary</w:t>
      </w:r>
      <w:r>
        <w:rPr>
          <w:spacing w:val="6"/>
          <w:w w:val="120"/>
          <w:sz w:val="20"/>
        </w:rPr>
        <w:t> </w:t>
      </w:r>
      <w:r>
        <w:rPr>
          <w:w w:val="120"/>
          <w:sz w:val="20"/>
        </w:rPr>
        <w:t>process.</w:t>
      </w:r>
    </w:p>
    <w:p>
      <w:pPr>
        <w:spacing w:after="0" w:line="223" w:lineRule="auto"/>
        <w:jc w:val="both"/>
        <w:rPr>
          <w:sz w:val="20"/>
        </w:rPr>
        <w:sectPr>
          <w:headerReference w:type="even" r:id="rId56"/>
          <w:footerReference w:type="even" r:id="rId57"/>
          <w:footerReference w:type="default" r:id="rId58"/>
          <w:pgSz w:w="11910" w:h="16840"/>
          <w:pgMar w:header="0" w:footer="647" w:top="0" w:bottom="840" w:left="0" w:right="0"/>
          <w:pgNumType w:start="18"/>
        </w:sectPr>
      </w:pPr>
    </w:p>
    <w:p>
      <w:pPr>
        <w:pStyle w:val="BodyText"/>
      </w:pPr>
    </w:p>
    <w:p>
      <w:pPr>
        <w:pStyle w:val="BodyText"/>
        <w:spacing w:before="7"/>
        <w:rPr>
          <w:sz w:val="21"/>
        </w:rPr>
      </w:pPr>
    </w:p>
    <w:p>
      <w:pPr>
        <w:spacing w:after="0"/>
        <w:rPr>
          <w:sz w:val="21"/>
        </w:rPr>
        <w:sectPr>
          <w:headerReference w:type="default" r:id="rId59"/>
          <w:pgSz w:w="11910" w:h="16840"/>
          <w:pgMar w:header="0" w:footer="647" w:top="0" w:bottom="840" w:left="0" w:right="0"/>
        </w:sectPr>
      </w:pPr>
    </w:p>
    <w:p>
      <w:pPr>
        <w:pStyle w:val="BodyText"/>
        <w:spacing w:before="4"/>
        <w:rPr>
          <w:sz w:val="52"/>
        </w:rPr>
      </w:pPr>
    </w:p>
    <w:p>
      <w:pPr>
        <w:pStyle w:val="Heading4"/>
        <w:tabs>
          <w:tab w:pos="5307" w:val="left" w:leader="none"/>
          <w:tab w:pos="7724" w:val="left" w:leader="none"/>
        </w:tabs>
        <w:ind w:left="4889" w:firstLine="0"/>
        <w:rPr>
          <w:rFonts w:ascii="Stone Sans II ITC Std X Bd"/>
          <w:b/>
        </w:rPr>
      </w:pPr>
      <w:r>
        <w:rPr>
          <w:rFonts w:ascii="Stone Sans II ITC Std X Bd"/>
          <w:b/>
          <w:w w:val="110"/>
          <w:shd w:fill="FFDB7B" w:color="auto" w:val="clear"/>
        </w:rPr>
        <w:t> </w:t>
      </w:r>
      <w:r>
        <w:rPr>
          <w:rFonts w:ascii="Stone Sans II ITC Std X Bd"/>
          <w:b/>
          <w:shd w:fill="FFDB7B" w:color="auto" w:val="clear"/>
        </w:rPr>
        <w:tab/>
      </w:r>
      <w:r>
        <w:rPr>
          <w:rFonts w:ascii="Stone Sans II ITC Std X Bd"/>
          <w:b/>
          <w:w w:val="110"/>
          <w:shd w:fill="FFDB7B" w:color="auto" w:val="clear"/>
        </w:rPr>
        <w:t>Appendix </w:t>
      </w:r>
      <w:r>
        <w:rPr>
          <w:rFonts w:ascii="Stone Sans II ITC Std X Bd"/>
          <w:b/>
          <w:spacing w:val="-5"/>
          <w:w w:val="110"/>
          <w:shd w:fill="FFDB7B" w:color="auto" w:val="clear"/>
        </w:rPr>
        <w:t>3a</w:t>
      </w:r>
      <w:r>
        <w:rPr>
          <w:rFonts w:ascii="Stone Sans II ITC Std X Bd"/>
          <w:b/>
          <w:spacing w:val="-5"/>
          <w:shd w:fill="FFDB7B" w:color="auto" w:val="clear"/>
        </w:rPr>
        <w:tab/>
      </w:r>
    </w:p>
    <w:p>
      <w:pPr>
        <w:pStyle w:val="Heading5"/>
        <w:ind w:left="947"/>
      </w:pPr>
      <w:r>
        <w:rPr/>
        <w:br w:type="column"/>
      </w:r>
      <w:r>
        <w:rPr>
          <w:color w:val="7EAABF"/>
          <w:w w:val="120"/>
        </w:rPr>
        <w:t>Mission Council</w:t>
      </w:r>
    </w:p>
    <w:p>
      <w:pPr>
        <w:spacing w:after="0"/>
        <w:sectPr>
          <w:type w:val="continuous"/>
          <w:pgSz w:w="11910" w:h="16840"/>
          <w:pgMar w:top="680" w:bottom="280" w:left="0" w:right="0"/>
          <w:cols w:num="2" w:equalWidth="0">
            <w:col w:w="7725" w:space="40"/>
            <w:col w:w="4145"/>
          </w:cols>
        </w:sectPr>
      </w:pPr>
    </w:p>
    <w:p>
      <w:pPr>
        <w:pStyle w:val="BodyText"/>
        <w:spacing w:before="2"/>
        <w:rPr>
          <w:sz w:val="19"/>
        </w:rPr>
      </w:pPr>
      <w:r>
        <w:rPr/>
        <w:drawing>
          <wp:anchor distT="0" distB="0" distL="0" distR="0" allowOverlap="1" layoutInCell="1" locked="0" behindDoc="0" simplePos="0" relativeHeight="251709440">
            <wp:simplePos x="0" y="0"/>
            <wp:positionH relativeFrom="page">
              <wp:posOffset>6974928</wp:posOffset>
            </wp:positionH>
            <wp:positionV relativeFrom="page">
              <wp:posOffset>0</wp:posOffset>
            </wp:positionV>
            <wp:extent cx="585076" cy="10692003"/>
            <wp:effectExtent l="0" t="0" r="0" b="0"/>
            <wp:wrapNone/>
            <wp:docPr id="31" name="image23.png"/>
            <wp:cNvGraphicFramePr>
              <a:graphicFrameLocks noChangeAspect="1"/>
            </wp:cNvGraphicFramePr>
            <a:graphic>
              <a:graphicData uri="http://schemas.openxmlformats.org/drawingml/2006/picture">
                <pic:pic>
                  <pic:nvPicPr>
                    <pic:cNvPr id="32" name="image23.png"/>
                    <pic:cNvPicPr/>
                  </pic:nvPicPr>
                  <pic:blipFill>
                    <a:blip r:embed="rId35" cstate="print"/>
                    <a:stretch>
                      <a:fillRect/>
                    </a:stretch>
                  </pic:blipFill>
                  <pic:spPr>
                    <a:xfrm>
                      <a:off x="0" y="0"/>
                      <a:ext cx="585076" cy="10692003"/>
                    </a:xfrm>
                    <a:prstGeom prst="rect">
                      <a:avLst/>
                    </a:prstGeom>
                  </pic:spPr>
                </pic:pic>
              </a:graphicData>
            </a:graphic>
          </wp:anchor>
        </w:drawing>
      </w:r>
    </w:p>
    <w:p>
      <w:pPr>
        <w:spacing w:line="220" w:lineRule="auto" w:before="117"/>
        <w:ind w:left="3779" w:right="2004" w:hanging="323"/>
        <w:jc w:val="left"/>
        <w:rPr>
          <w:rFonts w:ascii="Stone Sans II ITC Std X Bd"/>
          <w:b/>
          <w:sz w:val="29"/>
        </w:rPr>
      </w:pPr>
      <w:r>
        <w:rPr/>
        <w:pict>
          <v:shape style="position:absolute;margin-left:554.141174pt;margin-top:-40.652992pt;width:25.9pt;height:330.7pt;mso-position-horizontal-relative:page;mso-position-vertical-relative:paragraph;z-index:251710464" type="#_x0000_t202" filled="false" stroked="false">
            <v:textbox inset="0,0,0,0" style="layout-flow:vertical">
              <w:txbxContent>
                <w:p>
                  <w:pPr>
                    <w:spacing w:before="27"/>
                    <w:ind w:left="20" w:right="0" w:firstLine="0"/>
                    <w:jc w:val="left"/>
                    <w:rPr>
                      <w:sz w:val="39"/>
                    </w:rPr>
                  </w:pPr>
                  <w:r>
                    <w:rPr>
                      <w:color w:val="FFFFFF"/>
                      <w:w w:val="125"/>
                      <w:sz w:val="39"/>
                    </w:rPr>
                    <w:t>Mission Council t – </w:t>
                  </w:r>
                  <w:r>
                    <w:rPr>
                      <w:w w:val="125"/>
                      <w:sz w:val="39"/>
                    </w:rPr>
                    <w:t>Appendix 3a</w:t>
                  </w:r>
                </w:p>
              </w:txbxContent>
            </v:textbox>
            <w10:wrap type="none"/>
          </v:shape>
        </w:pict>
      </w:r>
      <w:r>
        <w:rPr>
          <w:rFonts w:ascii="Stone Sans II ITC Std X Bd"/>
          <w:b/>
          <w:w w:val="110"/>
          <w:sz w:val="29"/>
        </w:rPr>
        <w:t>Changes to the Plan for Partnership (with effect from January 2013)</w:t>
      </w:r>
    </w:p>
    <w:p>
      <w:pPr>
        <w:pStyle w:val="BodyText"/>
        <w:spacing w:line="223" w:lineRule="auto" w:before="213"/>
        <w:ind w:left="1984" w:right="6841"/>
      </w:pPr>
      <w:r>
        <w:rPr>
          <w:w w:val="120"/>
        </w:rPr>
        <w:t>inserts shown in </w:t>
      </w:r>
      <w:r>
        <w:rPr>
          <w:i/>
          <w:w w:val="120"/>
        </w:rPr>
        <w:t>italics </w:t>
      </w:r>
      <w:r>
        <w:rPr>
          <w:w w:val="120"/>
        </w:rPr>
        <w:t>deletions shown in </w:t>
      </w:r>
      <w:r>
        <w:rPr>
          <w:rFonts w:ascii="Stone Sans II ITC Std Bk"/>
          <w:b/>
          <w:w w:val="120"/>
        </w:rPr>
        <w:t>bold </w:t>
      </w:r>
      <w:r>
        <w:rPr>
          <w:w w:val="120"/>
        </w:rPr>
        <w:t>changes </w:t>
      </w:r>
      <w:r>
        <w:rPr>
          <w:w w:val="120"/>
          <w:u w:val="single"/>
        </w:rPr>
        <w:t>underlined</w:t>
      </w:r>
    </w:p>
    <w:p>
      <w:pPr>
        <w:pStyle w:val="BodyText"/>
      </w:pPr>
    </w:p>
    <w:p>
      <w:pPr>
        <w:pStyle w:val="BodyText"/>
        <w:spacing w:before="8"/>
        <w:rPr>
          <w:sz w:val="11"/>
        </w:rPr>
      </w:pPr>
      <w:r>
        <w:rPr/>
        <w:pict>
          <v:shape style="position:absolute;margin-left:90.709pt;margin-top:9.574555pt;width:442.25pt;height:17.5pt;mso-position-horizontal-relative:page;mso-position-vertical-relative:paragraph;z-index:-251615232;mso-wrap-distance-left:0;mso-wrap-distance-right:0" type="#_x0000_t202" filled="false" stroked="true" strokeweight="1pt" strokecolor="#b0cbd9">
            <v:textbox inset="0,0,0,0">
              <w:txbxContent>
                <w:p>
                  <w:pPr>
                    <w:pStyle w:val="BodyText"/>
                    <w:spacing w:before="35"/>
                    <w:ind w:left="160"/>
                  </w:pPr>
                  <w:r>
                    <w:rPr>
                      <w:w w:val="120"/>
                    </w:rPr>
                    <w:t>Paragraph</w:t>
                  </w:r>
                  <w:r>
                    <w:rPr>
                      <w:spacing w:val="-17"/>
                      <w:w w:val="120"/>
                    </w:rPr>
                    <w:t> </w:t>
                  </w:r>
                  <w:r>
                    <w:rPr>
                      <w:spacing w:val="-9"/>
                      <w:w w:val="120"/>
                    </w:rPr>
                    <w:t>6.1.3</w:t>
                  </w:r>
                  <w:r>
                    <w:rPr>
                      <w:spacing w:val="-17"/>
                      <w:w w:val="120"/>
                    </w:rPr>
                    <w:t> </w:t>
                  </w:r>
                  <w:r>
                    <w:rPr>
                      <w:spacing w:val="-6"/>
                      <w:w w:val="120"/>
                    </w:rPr>
                    <w:t>“...are</w:t>
                  </w:r>
                  <w:r>
                    <w:rPr>
                      <w:spacing w:val="-17"/>
                      <w:w w:val="120"/>
                    </w:rPr>
                    <w:t> </w:t>
                  </w:r>
                  <w:r>
                    <w:rPr>
                      <w:w w:val="120"/>
                    </w:rPr>
                    <w:t>not</w:t>
                  </w:r>
                  <w:r>
                    <w:rPr>
                      <w:spacing w:val="-16"/>
                      <w:w w:val="120"/>
                    </w:rPr>
                    <w:t> </w:t>
                  </w:r>
                  <w:r>
                    <w:rPr>
                      <w:w w:val="120"/>
                    </w:rPr>
                    <w:t>entitled</w:t>
                  </w:r>
                  <w:r>
                    <w:rPr>
                      <w:spacing w:val="-17"/>
                      <w:w w:val="120"/>
                    </w:rPr>
                    <w:t> </w:t>
                  </w:r>
                  <w:r>
                    <w:rPr>
                      <w:spacing w:val="-3"/>
                      <w:w w:val="120"/>
                    </w:rPr>
                    <w:t>to</w:t>
                  </w:r>
                  <w:r>
                    <w:rPr>
                      <w:spacing w:val="-17"/>
                      <w:w w:val="120"/>
                    </w:rPr>
                    <w:t> </w:t>
                  </w:r>
                  <w:r>
                    <w:rPr>
                      <w:w w:val="120"/>
                    </w:rPr>
                    <w:t>additional</w:t>
                  </w:r>
                  <w:r>
                    <w:rPr>
                      <w:spacing w:val="-17"/>
                      <w:w w:val="120"/>
                    </w:rPr>
                    <w:t> </w:t>
                  </w:r>
                  <w:r>
                    <w:rPr>
                      <w:spacing w:val="-3"/>
                      <w:w w:val="120"/>
                    </w:rPr>
                    <w:t>maternity/adoption</w:t>
                  </w:r>
                  <w:r>
                    <w:rPr>
                      <w:i/>
                      <w:spacing w:val="-3"/>
                      <w:w w:val="120"/>
                    </w:rPr>
                    <w:t>/paternity</w:t>
                  </w:r>
                  <w:r>
                    <w:rPr>
                      <w:i/>
                      <w:spacing w:val="-16"/>
                      <w:w w:val="120"/>
                    </w:rPr>
                    <w:t> </w:t>
                  </w:r>
                  <w:r>
                    <w:rPr>
                      <w:spacing w:val="-3"/>
                      <w:w w:val="120"/>
                    </w:rPr>
                    <w:t>leave</w:t>
                  </w:r>
                  <w:r>
                    <w:rPr>
                      <w:spacing w:val="-17"/>
                      <w:w w:val="120"/>
                    </w:rPr>
                    <w:t> </w:t>
                  </w:r>
                  <w:r>
                    <w:rPr>
                      <w:w w:val="120"/>
                    </w:rPr>
                    <w:t>and</w:t>
                  </w:r>
                  <w:r>
                    <w:rPr>
                      <w:spacing w:val="-17"/>
                      <w:w w:val="120"/>
                    </w:rPr>
                    <w:t> </w:t>
                  </w:r>
                  <w:r>
                    <w:rPr>
                      <w:spacing w:val="-8"/>
                      <w:w w:val="120"/>
                    </w:rPr>
                    <w:t>...”</w:t>
                  </w:r>
                </w:p>
              </w:txbxContent>
            </v:textbox>
            <v:stroke dashstyle="solid"/>
            <w10:wrap type="topAndBottom"/>
          </v:shape>
        </w:pict>
      </w:r>
    </w:p>
    <w:p>
      <w:pPr>
        <w:pStyle w:val="BodyText"/>
        <w:spacing w:line="235" w:lineRule="auto" w:before="140"/>
        <w:ind w:left="1984" w:right="1352"/>
      </w:pPr>
      <w:r>
        <w:rPr>
          <w:w w:val="120"/>
        </w:rPr>
        <w:t>In April 2011 the government introduced additional statutory paternity pay and additional paternity leave. The existing guidelines for ordinary statutory paternity pay and ordinary statutory paternity leave (birth and adoption) have now been extended to include this provision</w:t>
      </w:r>
    </w:p>
    <w:p>
      <w:pPr>
        <w:pStyle w:val="BodyText"/>
        <w:spacing w:before="10"/>
        <w:rPr>
          <w:sz w:val="10"/>
        </w:rPr>
      </w:pPr>
      <w:r>
        <w:rPr/>
        <w:pict>
          <v:shape style="position:absolute;margin-left:90.709pt;margin-top:9.075438pt;width:442.25pt;height:44.45pt;mso-position-horizontal-relative:page;mso-position-vertical-relative:paragraph;z-index:-251614208;mso-wrap-distance-left:0;mso-wrap-distance-right:0" type="#_x0000_t202" filled="false" stroked="true" strokeweight="1pt" strokecolor="#b0cbd9">
            <v:textbox inset="0,0,0,0">
              <w:txbxContent>
                <w:p>
                  <w:pPr>
                    <w:spacing w:line="218" w:lineRule="auto" w:before="54"/>
                    <w:ind w:left="160" w:right="315" w:firstLine="0"/>
                    <w:jc w:val="left"/>
                    <w:rPr>
                      <w:sz w:val="20"/>
                    </w:rPr>
                  </w:pPr>
                  <w:r>
                    <w:rPr>
                      <w:w w:val="120"/>
                      <w:sz w:val="20"/>
                    </w:rPr>
                    <w:t>Paragraph</w:t>
                  </w:r>
                  <w:r>
                    <w:rPr>
                      <w:spacing w:val="-23"/>
                      <w:w w:val="120"/>
                      <w:sz w:val="20"/>
                    </w:rPr>
                    <w:t> </w:t>
                  </w:r>
                  <w:r>
                    <w:rPr>
                      <w:spacing w:val="-7"/>
                      <w:w w:val="120"/>
                      <w:sz w:val="20"/>
                    </w:rPr>
                    <w:t>6.1.6</w:t>
                  </w:r>
                  <w:r>
                    <w:rPr>
                      <w:spacing w:val="11"/>
                      <w:w w:val="120"/>
                      <w:sz w:val="20"/>
                    </w:rPr>
                    <w:t> </w:t>
                  </w:r>
                  <w:r>
                    <w:rPr>
                      <w:w w:val="120"/>
                      <w:sz w:val="20"/>
                    </w:rPr>
                    <w:t>Pension</w:t>
                  </w:r>
                  <w:r>
                    <w:rPr>
                      <w:spacing w:val="-22"/>
                      <w:w w:val="120"/>
                      <w:sz w:val="20"/>
                    </w:rPr>
                    <w:t> </w:t>
                  </w:r>
                  <w:r>
                    <w:rPr>
                      <w:w w:val="120"/>
                      <w:sz w:val="20"/>
                    </w:rPr>
                    <w:t>Fund:</w:t>
                  </w:r>
                  <w:r>
                    <w:rPr>
                      <w:spacing w:val="-21"/>
                      <w:w w:val="120"/>
                      <w:sz w:val="20"/>
                    </w:rPr>
                    <w:t> </w:t>
                  </w:r>
                  <w:r>
                    <w:rPr>
                      <w:w w:val="120"/>
                      <w:sz w:val="20"/>
                    </w:rPr>
                    <w:t>ministers/CRCWs</w:t>
                  </w:r>
                  <w:r>
                    <w:rPr>
                      <w:spacing w:val="-22"/>
                      <w:w w:val="120"/>
                      <w:sz w:val="20"/>
                    </w:rPr>
                    <w:t> </w:t>
                  </w:r>
                  <w:r>
                    <w:rPr>
                      <w:rFonts w:ascii="Stone Sans II ITC Std Bk" w:hAnsi="Stone Sans II ITC Std Bk"/>
                      <w:b/>
                      <w:w w:val="120"/>
                      <w:sz w:val="20"/>
                    </w:rPr>
                    <w:t>who</w:t>
                  </w:r>
                  <w:r>
                    <w:rPr>
                      <w:rFonts w:ascii="Stone Sans II ITC Std Bk" w:hAnsi="Stone Sans II ITC Std Bk"/>
                      <w:b/>
                      <w:spacing w:val="-30"/>
                      <w:w w:val="120"/>
                      <w:sz w:val="20"/>
                    </w:rPr>
                    <w:t> </w:t>
                  </w:r>
                  <w:r>
                    <w:rPr>
                      <w:rFonts w:ascii="Stone Sans II ITC Std Bk" w:hAnsi="Stone Sans II ITC Std Bk"/>
                      <w:b/>
                      <w:w w:val="120"/>
                      <w:sz w:val="20"/>
                    </w:rPr>
                    <w:t>have</w:t>
                  </w:r>
                  <w:r>
                    <w:rPr>
                      <w:rFonts w:ascii="Stone Sans II ITC Std Bk" w:hAnsi="Stone Sans II ITC Std Bk"/>
                      <w:b/>
                      <w:spacing w:val="-29"/>
                      <w:w w:val="120"/>
                      <w:sz w:val="20"/>
                    </w:rPr>
                    <w:t> </w:t>
                  </w:r>
                  <w:r>
                    <w:rPr>
                      <w:rFonts w:ascii="Stone Sans II ITC Std Bk" w:hAnsi="Stone Sans II ITC Std Bk"/>
                      <w:b/>
                      <w:w w:val="120"/>
                      <w:sz w:val="20"/>
                    </w:rPr>
                    <w:t>not</w:t>
                  </w:r>
                  <w:r>
                    <w:rPr>
                      <w:rFonts w:ascii="Stone Sans II ITC Std Bk" w:hAnsi="Stone Sans II ITC Std Bk"/>
                      <w:b/>
                      <w:spacing w:val="-30"/>
                      <w:w w:val="120"/>
                      <w:sz w:val="20"/>
                    </w:rPr>
                    <w:t> </w:t>
                  </w:r>
                  <w:r>
                    <w:rPr>
                      <w:rFonts w:ascii="Stone Sans II ITC Std Bk" w:hAnsi="Stone Sans II ITC Std Bk"/>
                      <w:b/>
                      <w:w w:val="120"/>
                      <w:sz w:val="20"/>
                    </w:rPr>
                    <w:t>attained</w:t>
                  </w:r>
                  <w:r>
                    <w:rPr>
                      <w:rFonts w:ascii="Stone Sans II ITC Std Bk" w:hAnsi="Stone Sans II ITC Std Bk"/>
                      <w:b/>
                      <w:spacing w:val="-30"/>
                      <w:w w:val="120"/>
                      <w:sz w:val="20"/>
                    </w:rPr>
                    <w:t> </w:t>
                  </w:r>
                  <w:r>
                    <w:rPr>
                      <w:rFonts w:ascii="Stone Sans II ITC Std Bk" w:hAnsi="Stone Sans II ITC Std Bk"/>
                      <w:b/>
                      <w:w w:val="120"/>
                      <w:sz w:val="20"/>
                    </w:rPr>
                    <w:t>the</w:t>
                  </w:r>
                  <w:r>
                    <w:rPr>
                      <w:rFonts w:ascii="Stone Sans II ITC Std Bk" w:hAnsi="Stone Sans II ITC Std Bk"/>
                      <w:b/>
                      <w:spacing w:val="-30"/>
                      <w:w w:val="120"/>
                      <w:sz w:val="20"/>
                    </w:rPr>
                    <w:t> </w:t>
                  </w:r>
                  <w:r>
                    <w:rPr>
                      <w:rFonts w:ascii="Stone Sans II ITC Std Bk" w:hAnsi="Stone Sans II ITC Std Bk"/>
                      <w:b/>
                      <w:w w:val="120"/>
                      <w:sz w:val="20"/>
                    </w:rPr>
                    <w:t>age</w:t>
                  </w:r>
                  <w:r>
                    <w:rPr>
                      <w:rFonts w:ascii="Stone Sans II ITC Std Bk" w:hAnsi="Stone Sans II ITC Std Bk"/>
                      <w:b/>
                      <w:spacing w:val="-29"/>
                      <w:w w:val="120"/>
                      <w:sz w:val="20"/>
                    </w:rPr>
                    <w:t> </w:t>
                  </w:r>
                  <w:r>
                    <w:rPr>
                      <w:rFonts w:ascii="Stone Sans II ITC Std Bk" w:hAnsi="Stone Sans II ITC Std Bk"/>
                      <w:b/>
                      <w:w w:val="120"/>
                      <w:sz w:val="20"/>
                    </w:rPr>
                    <w:t>of </w:t>
                  </w:r>
                  <w:r>
                    <w:rPr>
                      <w:rFonts w:ascii="Stone Sans II ITC Std Bk" w:hAnsi="Stone Sans II ITC Std Bk"/>
                      <w:b/>
                      <w:spacing w:val="-5"/>
                      <w:w w:val="120"/>
                      <w:sz w:val="20"/>
                    </w:rPr>
                    <w:t>55</w:t>
                  </w:r>
                  <w:r>
                    <w:rPr>
                      <w:rFonts w:ascii="Stone Sans II ITC Std Bk" w:hAnsi="Stone Sans II ITC Std Bk"/>
                      <w:b/>
                      <w:spacing w:val="-29"/>
                      <w:w w:val="120"/>
                      <w:sz w:val="20"/>
                    </w:rPr>
                    <w:t> </w:t>
                  </w:r>
                  <w:r>
                    <w:rPr>
                      <w:rFonts w:ascii="Stone Sans II ITC Std Bk" w:hAnsi="Stone Sans II ITC Std Bk"/>
                      <w:b/>
                      <w:w w:val="120"/>
                      <w:sz w:val="20"/>
                    </w:rPr>
                    <w:t>years</w:t>
                  </w:r>
                  <w:r>
                    <w:rPr>
                      <w:rFonts w:ascii="Stone Sans II ITC Std Bk" w:hAnsi="Stone Sans II ITC Std Bk"/>
                      <w:b/>
                      <w:spacing w:val="-29"/>
                      <w:w w:val="120"/>
                      <w:sz w:val="20"/>
                    </w:rPr>
                    <w:t> </w:t>
                  </w:r>
                  <w:r>
                    <w:rPr>
                      <w:rFonts w:ascii="Stone Sans II ITC Std Bk" w:hAnsi="Stone Sans II ITC Std Bk"/>
                      <w:b/>
                      <w:w w:val="120"/>
                      <w:sz w:val="20"/>
                    </w:rPr>
                    <w:t>at</w:t>
                  </w:r>
                  <w:r>
                    <w:rPr>
                      <w:rFonts w:ascii="Stone Sans II ITC Std Bk" w:hAnsi="Stone Sans II ITC Std Bk"/>
                      <w:b/>
                      <w:spacing w:val="-28"/>
                      <w:w w:val="120"/>
                      <w:sz w:val="20"/>
                    </w:rPr>
                    <w:t> </w:t>
                  </w:r>
                  <w:r>
                    <w:rPr>
                      <w:rFonts w:ascii="Stone Sans II ITC Std Bk" w:hAnsi="Stone Sans II ITC Std Bk"/>
                      <w:b/>
                      <w:w w:val="120"/>
                      <w:sz w:val="20"/>
                    </w:rPr>
                    <w:t>the</w:t>
                  </w:r>
                  <w:r>
                    <w:rPr>
                      <w:rFonts w:ascii="Stone Sans II ITC Std Bk" w:hAnsi="Stone Sans II ITC Std Bk"/>
                      <w:b/>
                      <w:spacing w:val="-29"/>
                      <w:w w:val="120"/>
                      <w:sz w:val="20"/>
                    </w:rPr>
                    <w:t> </w:t>
                  </w:r>
                  <w:r>
                    <w:rPr>
                      <w:rFonts w:ascii="Stone Sans II ITC Std Bk" w:hAnsi="Stone Sans II ITC Std Bk"/>
                      <w:b/>
                      <w:w w:val="120"/>
                      <w:sz w:val="20"/>
                    </w:rPr>
                    <w:t>date</w:t>
                  </w:r>
                  <w:r>
                    <w:rPr>
                      <w:rFonts w:ascii="Stone Sans II ITC Std Bk" w:hAnsi="Stone Sans II ITC Std Bk"/>
                      <w:b/>
                      <w:spacing w:val="-28"/>
                      <w:w w:val="120"/>
                      <w:sz w:val="20"/>
                    </w:rPr>
                    <w:t> </w:t>
                  </w:r>
                  <w:r>
                    <w:rPr>
                      <w:rFonts w:ascii="Stone Sans II ITC Std Bk" w:hAnsi="Stone Sans II ITC Std Bk"/>
                      <w:b/>
                      <w:w w:val="120"/>
                      <w:sz w:val="20"/>
                    </w:rPr>
                    <w:t>of</w:t>
                  </w:r>
                  <w:r>
                    <w:rPr>
                      <w:rFonts w:ascii="Stone Sans II ITC Std Bk" w:hAnsi="Stone Sans II ITC Std Bk"/>
                      <w:b/>
                      <w:spacing w:val="-29"/>
                      <w:w w:val="120"/>
                      <w:sz w:val="20"/>
                    </w:rPr>
                    <w:t> </w:t>
                  </w:r>
                  <w:r>
                    <w:rPr>
                      <w:rFonts w:ascii="Stone Sans II ITC Std Bk" w:hAnsi="Stone Sans II ITC Std Bk"/>
                      <w:b/>
                      <w:w w:val="120"/>
                      <w:sz w:val="20"/>
                    </w:rPr>
                    <w:t>initial</w:t>
                  </w:r>
                  <w:r>
                    <w:rPr>
                      <w:rFonts w:ascii="Stone Sans II ITC Std Bk" w:hAnsi="Stone Sans II ITC Std Bk"/>
                      <w:b/>
                      <w:spacing w:val="-28"/>
                      <w:w w:val="120"/>
                      <w:sz w:val="20"/>
                    </w:rPr>
                    <w:t> </w:t>
                  </w:r>
                  <w:r>
                    <w:rPr>
                      <w:rFonts w:ascii="Stone Sans II ITC Std Bk" w:hAnsi="Stone Sans II ITC Std Bk"/>
                      <w:b/>
                      <w:w w:val="120"/>
                      <w:sz w:val="20"/>
                    </w:rPr>
                    <w:t>induction</w:t>
                  </w:r>
                  <w:r>
                    <w:rPr>
                      <w:rFonts w:ascii="Stone Sans II ITC Std Bk" w:hAnsi="Stone Sans II ITC Std Bk"/>
                      <w:b/>
                      <w:spacing w:val="-30"/>
                      <w:w w:val="120"/>
                      <w:sz w:val="20"/>
                    </w:rPr>
                    <w:t> </w:t>
                  </w:r>
                  <w:r>
                    <w:rPr>
                      <w:i/>
                      <w:w w:val="120"/>
                      <w:sz w:val="20"/>
                    </w:rPr>
                    <w:t>inducted</w:t>
                  </w:r>
                  <w:r>
                    <w:rPr>
                      <w:i/>
                      <w:spacing w:val="-22"/>
                      <w:w w:val="120"/>
                      <w:sz w:val="20"/>
                    </w:rPr>
                    <w:t> </w:t>
                  </w:r>
                  <w:r>
                    <w:rPr>
                      <w:w w:val="120"/>
                      <w:sz w:val="20"/>
                    </w:rPr>
                    <w:t>to</w:t>
                  </w:r>
                  <w:r>
                    <w:rPr>
                      <w:spacing w:val="-20"/>
                      <w:w w:val="120"/>
                      <w:sz w:val="20"/>
                    </w:rPr>
                    <w:t> </w:t>
                  </w:r>
                  <w:r>
                    <w:rPr>
                      <w:w w:val="120"/>
                      <w:sz w:val="20"/>
                    </w:rPr>
                    <w:t>stipendiary</w:t>
                  </w:r>
                  <w:r>
                    <w:rPr>
                      <w:spacing w:val="-21"/>
                      <w:w w:val="120"/>
                      <w:sz w:val="20"/>
                    </w:rPr>
                    <w:t> </w:t>
                  </w:r>
                  <w:r>
                    <w:rPr>
                      <w:w w:val="120"/>
                      <w:sz w:val="20"/>
                    </w:rPr>
                    <w:t>service</w:t>
                  </w:r>
                  <w:r>
                    <w:rPr>
                      <w:spacing w:val="-20"/>
                      <w:w w:val="120"/>
                      <w:sz w:val="20"/>
                    </w:rPr>
                    <w:t> </w:t>
                  </w:r>
                  <w:r>
                    <w:rPr>
                      <w:w w:val="120"/>
                      <w:sz w:val="20"/>
                    </w:rPr>
                    <w:t>under</w:t>
                  </w:r>
                  <w:r>
                    <w:rPr>
                      <w:spacing w:val="-20"/>
                      <w:w w:val="120"/>
                      <w:sz w:val="20"/>
                    </w:rPr>
                    <w:t> </w:t>
                  </w:r>
                  <w:r>
                    <w:rPr>
                      <w:w w:val="120"/>
                      <w:sz w:val="20"/>
                    </w:rPr>
                    <w:t>the Plan may join the United Reformed Church Ministers’ Pension Fund</w:t>
                  </w:r>
                  <w:r>
                    <w:rPr>
                      <w:spacing w:val="24"/>
                      <w:w w:val="120"/>
                      <w:sz w:val="20"/>
                    </w:rPr>
                    <w:t> </w:t>
                  </w:r>
                  <w:r>
                    <w:rPr>
                      <w:w w:val="120"/>
                      <w:sz w:val="20"/>
                    </w:rPr>
                    <w:t>(URCMPF).</w:t>
                  </w:r>
                </w:p>
              </w:txbxContent>
            </v:textbox>
            <v:stroke dashstyle="solid"/>
            <w10:wrap type="topAndBottom"/>
          </v:shape>
        </w:pict>
      </w:r>
      <w:r>
        <w:rPr/>
        <w:pict>
          <v:shape style="position:absolute;margin-left:90.709pt;margin-top:67.89444pt;width:442.25pt;height:33.550pt;mso-position-horizontal-relative:page;mso-position-vertical-relative:paragraph;z-index:-251613184;mso-wrap-distance-left:0;mso-wrap-distance-right:0" type="#_x0000_t202" filled="false" stroked="true" strokeweight="1pt" strokecolor="#b0cbd9">
            <v:textbox inset="0,0,0,0">
              <w:txbxContent>
                <w:p>
                  <w:pPr>
                    <w:spacing w:line="213" w:lineRule="auto" w:before="81"/>
                    <w:ind w:left="160" w:right="0" w:firstLine="0"/>
                    <w:jc w:val="left"/>
                    <w:rPr>
                      <w:rFonts w:ascii="Stone Sans II ITC Std Bk"/>
                      <w:b/>
                      <w:sz w:val="20"/>
                    </w:rPr>
                  </w:pPr>
                  <w:r>
                    <w:rPr>
                      <w:rFonts w:ascii="Stone Sans II ITC Std Bk"/>
                      <w:b/>
                      <w:w w:val="110"/>
                      <w:sz w:val="20"/>
                    </w:rPr>
                    <w:t>Paragraph 6.1.6.1 A minister/CRCW aged 55 years or over at the date of initial induction to stipendiary service under the Plan may not join the URCMPF.</w:t>
                  </w:r>
                </w:p>
              </w:txbxContent>
            </v:textbox>
            <v:stroke dashstyle="solid"/>
            <w10:wrap type="topAndBottom"/>
          </v:shape>
        </w:pict>
      </w:r>
    </w:p>
    <w:p>
      <w:pPr>
        <w:pStyle w:val="BodyText"/>
        <w:spacing w:before="4"/>
        <w:rPr>
          <w:sz w:val="16"/>
        </w:rPr>
      </w:pPr>
    </w:p>
    <w:p>
      <w:pPr>
        <w:pStyle w:val="BodyText"/>
        <w:spacing w:line="235" w:lineRule="auto" w:before="96"/>
        <w:ind w:left="1984" w:right="1666"/>
        <w:jc w:val="both"/>
      </w:pPr>
      <w:r>
        <w:rPr>
          <w:w w:val="120"/>
        </w:rPr>
        <w:t>The changes to Paragraphs 6.1.6 and 6.1.6.1 shown above are as a result of the 2012 General Assembly decision that the age restriction in respect of membership of the ministers’ pension fund should be removed from 1 January 2013.</w:t>
      </w:r>
    </w:p>
    <w:p>
      <w:pPr>
        <w:pStyle w:val="BodyText"/>
        <w:spacing w:before="10"/>
        <w:rPr>
          <w:sz w:val="19"/>
        </w:rPr>
      </w:pPr>
    </w:p>
    <w:p>
      <w:pPr>
        <w:pStyle w:val="BodyText"/>
        <w:spacing w:line="235" w:lineRule="auto"/>
        <w:ind w:left="1984" w:right="1352"/>
      </w:pPr>
      <w:r>
        <w:rPr/>
        <w:pict>
          <v:shape style="position:absolute;margin-left:90.709pt;margin-top:30.818964pt;width:442.25pt;height:58.3pt;mso-position-horizontal-relative:page;mso-position-vertical-relative:paragraph;z-index:-251612160;mso-wrap-distance-left:0;mso-wrap-distance-right:0" type="#_x0000_t202" filled="false" stroked="true" strokeweight="1pt" strokecolor="#b0cbd9">
            <v:textbox inset="0,0,0,0">
              <w:txbxContent>
                <w:p>
                  <w:pPr>
                    <w:spacing w:line="235" w:lineRule="auto" w:before="93"/>
                    <w:ind w:left="160" w:right="129" w:firstLine="0"/>
                    <w:jc w:val="left"/>
                    <w:rPr>
                      <w:i/>
                      <w:sz w:val="20"/>
                    </w:rPr>
                  </w:pPr>
                  <w:r>
                    <w:rPr>
                      <w:i/>
                      <w:w w:val="110"/>
                      <w:sz w:val="20"/>
                    </w:rPr>
                    <w:t>Paragraph 6.1.6.1 The General Assembly has agreed that from September 2013 all eligible </w:t>
                  </w:r>
                  <w:r>
                    <w:rPr>
                      <w:i/>
                      <w:w w:val="110"/>
                      <w:sz w:val="20"/>
                    </w:rPr>
                    <w:t>ministers/CRCWs will be Auto-Enrolled into The United Reformed Church Ministers’ Pension Fund (URCMPF). Ministers of other denominations not eligible for membership of the URCMPF will be Auto-Enrolled into The Pensions Trust.</w:t>
                  </w:r>
                </w:p>
              </w:txbxContent>
            </v:textbox>
            <v:stroke dashstyle="solid"/>
            <w10:wrap type="topAndBottom"/>
          </v:shape>
        </w:pict>
      </w:r>
      <w:r>
        <w:rPr>
          <w:w w:val="120"/>
        </w:rPr>
        <w:t>Note: As shown above, paragraph 6.1.6.1 is deleted in its entirety to be replaced by the following wording:</w:t>
      </w:r>
    </w:p>
    <w:p>
      <w:pPr>
        <w:pStyle w:val="BodyText"/>
        <w:spacing w:line="235" w:lineRule="auto" w:before="99"/>
        <w:ind w:left="1984" w:right="1539"/>
      </w:pPr>
      <w:r>
        <w:rPr>
          <w:w w:val="120"/>
        </w:rPr>
        <w:t>New regulations relating to workplace pensions requires employers to enrol all  eligible employees into a qualifying workplace pension  scheme  </w:t>
      </w:r>
      <w:r>
        <w:rPr>
          <w:spacing w:val="-3"/>
          <w:w w:val="120"/>
        </w:rPr>
        <w:t>(QWPS).  </w:t>
      </w:r>
      <w:r>
        <w:rPr>
          <w:w w:val="120"/>
        </w:rPr>
        <w:t>Although not employees, this includes ministers and CRCWs. In </w:t>
      </w:r>
      <w:r>
        <w:rPr>
          <w:spacing w:val="-7"/>
          <w:w w:val="120"/>
        </w:rPr>
        <w:t>2012 </w:t>
      </w:r>
      <w:r>
        <w:rPr>
          <w:w w:val="120"/>
        </w:rPr>
        <w:t>the General Assembly agreed that for the purpose of auto-enrolment the Church will only offer two</w:t>
      </w:r>
      <w:r>
        <w:rPr>
          <w:spacing w:val="4"/>
          <w:w w:val="120"/>
        </w:rPr>
        <w:t> </w:t>
      </w:r>
      <w:r>
        <w:rPr>
          <w:w w:val="120"/>
        </w:rPr>
        <w:t>pension</w:t>
      </w:r>
    </w:p>
    <w:p>
      <w:pPr>
        <w:pStyle w:val="BodyText"/>
        <w:spacing w:line="235" w:lineRule="auto" w:before="2"/>
        <w:ind w:left="1984" w:right="1244"/>
      </w:pPr>
      <w:r>
        <w:rPr>
          <w:w w:val="120"/>
        </w:rPr>
        <w:t>schemes to ministers and lay staff: The United Reformed Church ministers’ pension fund (URCMPF) and The Pensions Trust final salary scheme (TPT).</w:t>
      </w:r>
    </w:p>
    <w:p>
      <w:pPr>
        <w:pStyle w:val="BodyText"/>
        <w:spacing w:before="10"/>
        <w:rPr>
          <w:sz w:val="19"/>
        </w:rPr>
      </w:pPr>
    </w:p>
    <w:p>
      <w:pPr>
        <w:pStyle w:val="BodyText"/>
        <w:spacing w:line="235" w:lineRule="auto"/>
        <w:ind w:left="1984" w:right="1701"/>
      </w:pPr>
      <w:r>
        <w:rPr>
          <w:w w:val="120"/>
        </w:rPr>
        <w:t>This new legislation will affect the Church from September 2013 when all ministers and lay staff will be auto-enrolled into one of the two schemes.</w:t>
      </w:r>
    </w:p>
    <w:p>
      <w:pPr>
        <w:pStyle w:val="BodyText"/>
        <w:spacing w:before="9"/>
        <w:rPr>
          <w:sz w:val="10"/>
        </w:rPr>
      </w:pPr>
      <w:r>
        <w:rPr/>
        <w:pict>
          <v:shape style="position:absolute;margin-left:90.709pt;margin-top:9.035195pt;width:442.25pt;height:44.45pt;mso-position-horizontal-relative:page;mso-position-vertical-relative:paragraph;z-index:-251611136;mso-wrap-distance-left:0;mso-wrap-distance-right:0" type="#_x0000_t202" filled="false" stroked="true" strokeweight="1pt" strokecolor="#b0cbd9">
            <v:textbox inset="0,0,0,0">
              <w:txbxContent>
                <w:p>
                  <w:pPr>
                    <w:spacing w:line="235" w:lineRule="auto" w:before="51"/>
                    <w:ind w:left="160" w:right="0" w:firstLine="0"/>
                    <w:jc w:val="left"/>
                    <w:rPr>
                      <w:sz w:val="20"/>
                    </w:rPr>
                  </w:pPr>
                  <w:r>
                    <w:rPr>
                      <w:w w:val="115"/>
                      <w:sz w:val="20"/>
                    </w:rPr>
                    <w:t>Paragraph </w:t>
                  </w:r>
                  <w:r>
                    <w:rPr>
                      <w:spacing w:val="-3"/>
                      <w:w w:val="115"/>
                      <w:sz w:val="20"/>
                    </w:rPr>
                    <w:t>6.3.2.2 </w:t>
                  </w:r>
                  <w:r>
                    <w:rPr>
                      <w:w w:val="115"/>
                      <w:sz w:val="20"/>
                    </w:rPr>
                    <w:t>In the case of part-time </w:t>
                  </w:r>
                  <w:r>
                    <w:rPr>
                      <w:spacing w:val="-3"/>
                      <w:w w:val="115"/>
                      <w:sz w:val="20"/>
                    </w:rPr>
                    <w:t>ministers/CRCWs </w:t>
                  </w:r>
                  <w:r>
                    <w:rPr>
                      <w:w w:val="115"/>
                      <w:sz w:val="20"/>
                    </w:rPr>
                    <w:t>the </w:t>
                  </w:r>
                  <w:r>
                    <w:rPr>
                      <w:spacing w:val="-3"/>
                      <w:w w:val="115"/>
                      <w:sz w:val="20"/>
                    </w:rPr>
                    <w:t>church </w:t>
                  </w:r>
                  <w:r>
                    <w:rPr>
                      <w:w w:val="115"/>
                      <w:sz w:val="20"/>
                    </w:rPr>
                    <w:t>should meet a proportion of the standing charges of the </w:t>
                  </w:r>
                  <w:r>
                    <w:rPr>
                      <w:spacing w:val="-3"/>
                      <w:w w:val="115"/>
                      <w:sz w:val="20"/>
                    </w:rPr>
                    <w:t>manse, </w:t>
                  </w:r>
                  <w:r>
                    <w:rPr>
                      <w:i/>
                      <w:spacing w:val="-5"/>
                      <w:w w:val="115"/>
                      <w:sz w:val="20"/>
                    </w:rPr>
                    <w:t>(rates </w:t>
                  </w:r>
                  <w:r>
                    <w:rPr>
                      <w:i/>
                      <w:spacing w:val="-4"/>
                      <w:w w:val="115"/>
                      <w:sz w:val="20"/>
                    </w:rPr>
                    <w:t>(where </w:t>
                  </w:r>
                  <w:r>
                    <w:rPr>
                      <w:i/>
                      <w:spacing w:val="-6"/>
                      <w:w w:val="115"/>
                      <w:sz w:val="20"/>
                    </w:rPr>
                    <w:t>payable), </w:t>
                  </w:r>
                  <w:r>
                    <w:rPr>
                      <w:i/>
                      <w:spacing w:val="-3"/>
                      <w:w w:val="115"/>
                      <w:sz w:val="20"/>
                    </w:rPr>
                    <w:t>council tax, </w:t>
                  </w:r>
                  <w:r>
                    <w:rPr>
                      <w:i/>
                      <w:spacing w:val="-5"/>
                      <w:w w:val="115"/>
                      <w:sz w:val="20"/>
                    </w:rPr>
                    <w:t>water/ </w:t>
                  </w:r>
                  <w:r>
                    <w:rPr>
                      <w:i/>
                      <w:spacing w:val="-3"/>
                      <w:w w:val="115"/>
                      <w:sz w:val="20"/>
                    </w:rPr>
                    <w:t>sewage</w:t>
                  </w:r>
                  <w:r>
                    <w:rPr>
                      <w:i/>
                      <w:spacing w:val="-14"/>
                      <w:w w:val="115"/>
                      <w:sz w:val="20"/>
                    </w:rPr>
                    <w:t> </w:t>
                  </w:r>
                  <w:r>
                    <w:rPr>
                      <w:i/>
                      <w:spacing w:val="-5"/>
                      <w:w w:val="115"/>
                      <w:sz w:val="20"/>
                    </w:rPr>
                    <w:t>charges)</w:t>
                  </w:r>
                  <w:r>
                    <w:rPr>
                      <w:spacing w:val="-5"/>
                      <w:w w:val="115"/>
                      <w:sz w:val="20"/>
                    </w:rPr>
                    <w:t>,</w:t>
                  </w:r>
                  <w:r>
                    <w:rPr>
                      <w:spacing w:val="-10"/>
                      <w:w w:val="115"/>
                      <w:sz w:val="20"/>
                    </w:rPr>
                    <w:t> </w:t>
                  </w:r>
                  <w:r>
                    <w:rPr>
                      <w:w w:val="115"/>
                      <w:sz w:val="20"/>
                    </w:rPr>
                    <w:t>or</w:t>
                  </w:r>
                  <w:r>
                    <w:rPr>
                      <w:spacing w:val="-10"/>
                      <w:w w:val="115"/>
                      <w:sz w:val="20"/>
                    </w:rPr>
                    <w:t> </w:t>
                  </w:r>
                  <w:r>
                    <w:rPr>
                      <w:spacing w:val="-2"/>
                      <w:w w:val="115"/>
                      <w:sz w:val="20"/>
                    </w:rPr>
                    <w:t>pay</w:t>
                  </w:r>
                  <w:r>
                    <w:rPr>
                      <w:spacing w:val="-11"/>
                      <w:w w:val="115"/>
                      <w:sz w:val="20"/>
                    </w:rPr>
                    <w:t> </w:t>
                  </w:r>
                  <w:r>
                    <w:rPr>
                      <w:w w:val="115"/>
                      <w:sz w:val="20"/>
                    </w:rPr>
                    <w:t>a</w:t>
                  </w:r>
                  <w:r>
                    <w:rPr>
                      <w:spacing w:val="-10"/>
                      <w:w w:val="115"/>
                      <w:sz w:val="20"/>
                    </w:rPr>
                    <w:t> </w:t>
                  </w:r>
                  <w:r>
                    <w:rPr>
                      <w:w w:val="115"/>
                      <w:sz w:val="20"/>
                    </w:rPr>
                    <w:t>pro</w:t>
                  </w:r>
                  <w:r>
                    <w:rPr>
                      <w:spacing w:val="-11"/>
                      <w:w w:val="115"/>
                      <w:sz w:val="20"/>
                    </w:rPr>
                    <w:t> </w:t>
                  </w:r>
                  <w:r>
                    <w:rPr>
                      <w:w w:val="115"/>
                      <w:sz w:val="20"/>
                    </w:rPr>
                    <w:t>rata</w:t>
                  </w:r>
                  <w:r>
                    <w:rPr>
                      <w:spacing w:val="-10"/>
                      <w:w w:val="115"/>
                      <w:sz w:val="20"/>
                    </w:rPr>
                    <w:t> </w:t>
                  </w:r>
                  <w:r>
                    <w:rPr>
                      <w:spacing w:val="-3"/>
                      <w:w w:val="115"/>
                      <w:sz w:val="20"/>
                    </w:rPr>
                    <w:t>housing</w:t>
                  </w:r>
                  <w:r>
                    <w:rPr>
                      <w:spacing w:val="-11"/>
                      <w:w w:val="115"/>
                      <w:sz w:val="20"/>
                    </w:rPr>
                    <w:t> </w:t>
                  </w:r>
                  <w:r>
                    <w:rPr>
                      <w:spacing w:val="-3"/>
                      <w:w w:val="115"/>
                      <w:sz w:val="20"/>
                    </w:rPr>
                    <w:t>allowance,</w:t>
                  </w:r>
                  <w:r>
                    <w:rPr>
                      <w:spacing w:val="-10"/>
                      <w:w w:val="115"/>
                      <w:sz w:val="20"/>
                    </w:rPr>
                    <w:t> </w:t>
                  </w:r>
                  <w:r>
                    <w:rPr>
                      <w:w w:val="115"/>
                      <w:sz w:val="20"/>
                    </w:rPr>
                    <w:t>based</w:t>
                  </w:r>
                  <w:r>
                    <w:rPr>
                      <w:spacing w:val="-11"/>
                      <w:w w:val="115"/>
                      <w:sz w:val="20"/>
                    </w:rPr>
                    <w:t> </w:t>
                  </w:r>
                  <w:r>
                    <w:rPr>
                      <w:w w:val="115"/>
                      <w:sz w:val="20"/>
                    </w:rPr>
                    <w:t>on</w:t>
                  </w:r>
                  <w:r>
                    <w:rPr>
                      <w:spacing w:val="-10"/>
                      <w:w w:val="115"/>
                      <w:sz w:val="20"/>
                    </w:rPr>
                    <w:t> </w:t>
                  </w:r>
                  <w:r>
                    <w:rPr>
                      <w:w w:val="115"/>
                      <w:sz w:val="20"/>
                    </w:rPr>
                    <w:t>the</w:t>
                  </w:r>
                  <w:r>
                    <w:rPr>
                      <w:spacing w:val="-11"/>
                      <w:w w:val="115"/>
                      <w:sz w:val="20"/>
                    </w:rPr>
                    <w:t> </w:t>
                  </w:r>
                  <w:r>
                    <w:rPr>
                      <w:w w:val="115"/>
                      <w:sz w:val="20"/>
                    </w:rPr>
                    <w:t>proportion</w:t>
                  </w:r>
                  <w:r>
                    <w:rPr>
                      <w:spacing w:val="-10"/>
                      <w:w w:val="115"/>
                      <w:sz w:val="20"/>
                    </w:rPr>
                    <w:t> </w:t>
                  </w:r>
                  <w:r>
                    <w:rPr>
                      <w:w w:val="115"/>
                      <w:sz w:val="20"/>
                    </w:rPr>
                    <w:t>of</w:t>
                  </w:r>
                  <w:r>
                    <w:rPr>
                      <w:spacing w:val="-11"/>
                      <w:w w:val="115"/>
                      <w:sz w:val="20"/>
                    </w:rPr>
                    <w:t> </w:t>
                  </w:r>
                  <w:r>
                    <w:rPr>
                      <w:w w:val="115"/>
                      <w:sz w:val="20"/>
                    </w:rPr>
                    <w:t>stipend</w:t>
                  </w:r>
                  <w:r>
                    <w:rPr>
                      <w:spacing w:val="-10"/>
                      <w:w w:val="115"/>
                      <w:sz w:val="20"/>
                    </w:rPr>
                    <w:t> </w:t>
                  </w:r>
                  <w:r>
                    <w:rPr>
                      <w:w w:val="115"/>
                      <w:sz w:val="20"/>
                    </w:rPr>
                    <w:t>paid.</w:t>
                  </w:r>
                </w:p>
              </w:txbxContent>
            </v:textbox>
            <v:stroke dashstyle="solid"/>
            <w10:wrap type="topAndBottom"/>
          </v:shape>
        </w:pict>
      </w:r>
    </w:p>
    <w:p>
      <w:pPr>
        <w:pStyle w:val="BodyText"/>
        <w:spacing w:line="235" w:lineRule="auto" w:before="94"/>
        <w:ind w:left="1984" w:right="1820"/>
      </w:pPr>
      <w:r>
        <w:rPr>
          <w:w w:val="120"/>
        </w:rPr>
        <w:t>Questions relating to the manse standing charges are received at fairly regular intervals from both ministers and church treasurers and this inclusion may help to clarify the situation.</w:t>
      </w:r>
    </w:p>
    <w:p>
      <w:pPr>
        <w:pStyle w:val="BodyText"/>
        <w:spacing w:before="4"/>
        <w:rPr>
          <w:sz w:val="11"/>
        </w:rPr>
      </w:pPr>
      <w:r>
        <w:rPr/>
        <w:pict>
          <v:group style="position:absolute;margin-left:90.209pt;margin-top:8.875328pt;width:443.25pt;height:45.45pt;mso-position-horizontal-relative:page;mso-position-vertical-relative:paragraph;z-index:-251608064;mso-wrap-distance-left:0;mso-wrap-distance-right:0" coordorigin="1804,178" coordsize="8865,909">
            <v:rect style="position:absolute;left:1814;top:187;width:8845;height:889" filled="false" stroked="true" strokeweight="1pt" strokecolor="#b0cbd9">
              <v:stroke dashstyle="solid"/>
            </v:rect>
            <v:shape style="position:absolute;left:4144;top:238;width:6173;height:721" type="#_x0000_t202" filled="false" stroked="false">
              <v:textbox inset="0,0,0,0">
                <w:txbxContent>
                  <w:p>
                    <w:pPr>
                      <w:spacing w:line="235" w:lineRule="auto" w:before="3"/>
                      <w:ind w:left="0" w:right="16" w:firstLine="0"/>
                      <w:jc w:val="left"/>
                      <w:rPr>
                        <w:sz w:val="20"/>
                      </w:rPr>
                    </w:pPr>
                    <w:r>
                      <w:rPr>
                        <w:w w:val="120"/>
                        <w:sz w:val="20"/>
                      </w:rPr>
                      <w:t>there are a number of references throughout the Plan to ‘basic stipend’. As there is only one level of stipend these should be amended to read </w:t>
                    </w:r>
                    <w:r>
                      <w:rPr>
                        <w:i/>
                        <w:w w:val="120"/>
                        <w:sz w:val="20"/>
                        <w:u w:val="single"/>
                      </w:rPr>
                      <w:t>stipend</w:t>
                    </w:r>
                    <w:r>
                      <w:rPr>
                        <w:w w:val="120"/>
                        <w:sz w:val="20"/>
                      </w:rPr>
                      <w:t>.</w:t>
                    </w:r>
                  </w:p>
                </w:txbxContent>
              </v:textbox>
              <w10:wrap type="none"/>
            </v:shape>
            <v:shape style="position:absolute;left:1984;top:233;width:1428;height:246" type="#_x0000_t202" filled="false" stroked="false">
              <v:textbox inset="0,0,0,0">
                <w:txbxContent>
                  <w:p>
                    <w:pPr>
                      <w:spacing w:line="245" w:lineRule="exact" w:before="0"/>
                      <w:ind w:left="0" w:right="0" w:firstLine="0"/>
                      <w:jc w:val="left"/>
                      <w:rPr>
                        <w:sz w:val="20"/>
                      </w:rPr>
                    </w:pPr>
                    <w:r>
                      <w:rPr>
                        <w:rFonts w:ascii="Stone Sans II ITC Std Bk"/>
                        <w:b/>
                        <w:w w:val="115"/>
                        <w:sz w:val="20"/>
                      </w:rPr>
                      <w:t>Basic </w:t>
                    </w:r>
                    <w:r>
                      <w:rPr>
                        <w:w w:val="115"/>
                        <w:sz w:val="20"/>
                      </w:rPr>
                      <w:t>stipend:</w:t>
                    </w:r>
                  </w:p>
                </w:txbxContent>
              </v:textbox>
              <w10:wrap type="none"/>
            </v:shape>
            <w10:wrap type="topAndBottom"/>
          </v:group>
        </w:pict>
      </w:r>
    </w:p>
    <w:p>
      <w:pPr>
        <w:spacing w:after="0"/>
        <w:rPr>
          <w:sz w:val="11"/>
        </w:rPr>
        <w:sectPr>
          <w:type w:val="continuous"/>
          <w:pgSz w:w="11910" w:h="16840"/>
          <w:pgMar w:top="680" w:bottom="280" w:left="0" w:right="0"/>
        </w:sectPr>
      </w:pPr>
    </w:p>
    <w:p>
      <w:pPr>
        <w:pStyle w:val="BodyText"/>
      </w:pPr>
    </w:p>
    <w:p>
      <w:pPr>
        <w:pStyle w:val="BodyText"/>
        <w:spacing w:before="7"/>
        <w:rPr>
          <w:sz w:val="21"/>
        </w:rPr>
      </w:pPr>
    </w:p>
    <w:p>
      <w:pPr>
        <w:spacing w:after="0"/>
        <w:rPr>
          <w:sz w:val="21"/>
        </w:rPr>
        <w:sectPr>
          <w:headerReference w:type="even" r:id="rId60"/>
          <w:footerReference w:type="even" r:id="rId61"/>
          <w:footerReference w:type="default" r:id="rId62"/>
          <w:pgSz w:w="11910" w:h="16840"/>
          <w:pgMar w:header="0" w:footer="647" w:top="0" w:bottom="840" w:left="0" w:right="0"/>
          <w:pgNumType w:start="20"/>
        </w:sectPr>
      </w:pPr>
    </w:p>
    <w:p>
      <w:pPr>
        <w:pStyle w:val="Heading5"/>
      </w:pPr>
      <w:r>
        <w:rPr>
          <w:color w:val="7EAABF"/>
          <w:w w:val="120"/>
        </w:rPr>
        <w:t>Mission</w:t>
      </w:r>
      <w:r>
        <w:rPr>
          <w:color w:val="7EAABF"/>
          <w:spacing w:val="-31"/>
          <w:w w:val="120"/>
        </w:rPr>
        <w:t> </w:t>
      </w:r>
      <w:r>
        <w:rPr>
          <w:color w:val="7EAABF"/>
          <w:spacing w:val="-3"/>
          <w:w w:val="120"/>
        </w:rPr>
        <w:t>Council</w:t>
      </w:r>
    </w:p>
    <w:p>
      <w:pPr>
        <w:pStyle w:val="BodyText"/>
        <w:spacing w:before="4"/>
        <w:rPr>
          <w:sz w:val="52"/>
        </w:rPr>
      </w:pPr>
      <w:r>
        <w:rPr/>
        <w:br w:type="column"/>
      </w:r>
      <w:r>
        <w:rPr>
          <w:sz w:val="52"/>
        </w:rPr>
      </w:r>
    </w:p>
    <w:p>
      <w:pPr>
        <w:tabs>
          <w:tab w:pos="1325" w:val="left" w:leader="none"/>
          <w:tab w:pos="3739" w:val="left" w:leader="none"/>
        </w:tabs>
        <w:spacing w:before="0"/>
        <w:ind w:left="904" w:right="0" w:firstLine="0"/>
        <w:jc w:val="left"/>
        <w:rPr>
          <w:rFonts w:ascii="Stone Sans II ITC Std X Bd"/>
          <w:b/>
          <w:sz w:val="29"/>
        </w:rPr>
      </w:pPr>
      <w:r>
        <w:rPr>
          <w:rFonts w:ascii="Stone Sans II ITC Std X Bd"/>
          <w:b/>
          <w:w w:val="110"/>
          <w:sz w:val="29"/>
          <w:shd w:fill="FFDB7B" w:color="auto" w:val="clear"/>
        </w:rPr>
        <w:t> </w:t>
      </w:r>
      <w:r>
        <w:rPr>
          <w:rFonts w:ascii="Stone Sans II ITC Std X Bd"/>
          <w:b/>
          <w:sz w:val="29"/>
          <w:shd w:fill="FFDB7B" w:color="auto" w:val="clear"/>
        </w:rPr>
        <w:tab/>
      </w:r>
      <w:r>
        <w:rPr>
          <w:rFonts w:ascii="Stone Sans II ITC Std X Bd"/>
          <w:b/>
          <w:w w:val="110"/>
          <w:sz w:val="29"/>
          <w:shd w:fill="FFDB7B" w:color="auto" w:val="clear"/>
        </w:rPr>
        <w:t>Appendix </w:t>
      </w:r>
      <w:r>
        <w:rPr>
          <w:rFonts w:ascii="Stone Sans II ITC Std X Bd"/>
          <w:b/>
          <w:spacing w:val="-4"/>
          <w:w w:val="110"/>
          <w:sz w:val="29"/>
          <w:shd w:fill="FFDB7B" w:color="auto" w:val="clear"/>
        </w:rPr>
        <w:t>3b</w:t>
      </w:r>
      <w:r>
        <w:rPr>
          <w:rFonts w:ascii="Stone Sans II ITC Std X Bd"/>
          <w:b/>
          <w:spacing w:val="-4"/>
          <w:sz w:val="29"/>
          <w:shd w:fill="FFDB7B" w:color="auto" w:val="clear"/>
        </w:rPr>
        <w:tab/>
      </w:r>
    </w:p>
    <w:p>
      <w:pPr>
        <w:spacing w:after="0"/>
        <w:jc w:val="left"/>
        <w:rPr>
          <w:rFonts w:ascii="Stone Sans II ITC Std X Bd"/>
          <w:sz w:val="29"/>
        </w:rPr>
        <w:sectPr>
          <w:type w:val="continuous"/>
          <w:pgSz w:w="11910" w:h="16840"/>
          <w:pgMar w:top="680" w:bottom="280" w:left="0" w:right="0"/>
          <w:cols w:num="2" w:equalWidth="0">
            <w:col w:w="3194" w:space="40"/>
            <w:col w:w="8676"/>
          </w:cols>
        </w:sectPr>
      </w:pPr>
    </w:p>
    <w:p>
      <w:pPr>
        <w:pStyle w:val="BodyText"/>
        <w:spacing w:before="4"/>
        <w:rPr>
          <w:rFonts w:ascii="Stone Sans II ITC Std X Bd"/>
          <w:b/>
          <w:sz w:val="17"/>
        </w:rPr>
      </w:pPr>
      <w:r>
        <w:rPr/>
        <w:drawing>
          <wp:anchor distT="0" distB="0" distL="0" distR="0" allowOverlap="1" layoutInCell="1" locked="0" behindDoc="0" simplePos="0" relativeHeight="251720704">
            <wp:simplePos x="0" y="0"/>
            <wp:positionH relativeFrom="page">
              <wp:posOffset>0</wp:posOffset>
            </wp:positionH>
            <wp:positionV relativeFrom="page">
              <wp:posOffset>0</wp:posOffset>
            </wp:positionV>
            <wp:extent cx="594067" cy="10692003"/>
            <wp:effectExtent l="0" t="0" r="0" b="0"/>
            <wp:wrapNone/>
            <wp:docPr id="33" name="image22.png"/>
            <wp:cNvGraphicFramePr>
              <a:graphicFrameLocks noChangeAspect="1"/>
            </wp:cNvGraphicFramePr>
            <a:graphic>
              <a:graphicData uri="http://schemas.openxmlformats.org/drawingml/2006/picture">
                <pic:pic>
                  <pic:nvPicPr>
                    <pic:cNvPr id="34" name="image22.png"/>
                    <pic:cNvPicPr/>
                  </pic:nvPicPr>
                  <pic:blipFill>
                    <a:blip r:embed="rId33" cstate="print"/>
                    <a:stretch>
                      <a:fillRect/>
                    </a:stretch>
                  </pic:blipFill>
                  <pic:spPr>
                    <a:xfrm>
                      <a:off x="0" y="0"/>
                      <a:ext cx="594067" cy="10692003"/>
                    </a:xfrm>
                    <a:prstGeom prst="rect">
                      <a:avLst/>
                    </a:prstGeom>
                  </pic:spPr>
                </pic:pic>
              </a:graphicData>
            </a:graphic>
          </wp:anchor>
        </w:drawing>
      </w:r>
    </w:p>
    <w:p>
      <w:pPr>
        <w:spacing w:line="220" w:lineRule="auto" w:before="118"/>
        <w:ind w:left="2837" w:right="2823" w:hanging="119"/>
        <w:jc w:val="left"/>
        <w:rPr>
          <w:rFonts w:ascii="Stone Sans II ITC Std X Bd"/>
          <w:b/>
          <w:sz w:val="29"/>
        </w:rPr>
      </w:pPr>
      <w:r>
        <w:rPr/>
        <w:pict>
          <v:shape style="position:absolute;margin-left:20.519100pt;margin-top:-40.602989pt;width:25.9pt;height:163.2pt;mso-position-horizontal-relative:page;mso-position-vertical-relative:paragraph;z-index:251721728" type="#_x0000_t202" filled="false" stroked="false">
            <v:textbox inset="0,0,0,0" style="layout-flow:vertical">
              <w:txbxContent>
                <w:p>
                  <w:pPr>
                    <w:spacing w:before="27"/>
                    <w:ind w:left="20" w:right="0" w:firstLine="0"/>
                    <w:jc w:val="left"/>
                    <w:rPr>
                      <w:sz w:val="39"/>
                    </w:rPr>
                  </w:pPr>
                  <w:r>
                    <w:rPr>
                      <w:color w:val="FFFFFF"/>
                      <w:w w:val="125"/>
                      <w:sz w:val="39"/>
                    </w:rPr>
                    <w:t>Mission Council</w:t>
                  </w:r>
                </w:p>
              </w:txbxContent>
            </v:textbox>
            <w10:wrap type="none"/>
          </v:shape>
        </w:pict>
      </w:r>
      <w:r>
        <w:rPr>
          <w:rFonts w:ascii="Stone Sans II ITC Std X Bd"/>
          <w:b/>
          <w:w w:val="110"/>
          <w:sz w:val="29"/>
        </w:rPr>
        <w:t>Changes to the Plan for Partnership (with effect from November 2013)</w:t>
      </w:r>
    </w:p>
    <w:p>
      <w:pPr>
        <w:spacing w:line="236" w:lineRule="exact" w:before="319"/>
        <w:ind w:left="1247" w:right="0" w:firstLine="0"/>
        <w:jc w:val="left"/>
        <w:rPr>
          <w:sz w:val="20"/>
        </w:rPr>
      </w:pPr>
      <w:r>
        <w:rPr>
          <w:i/>
          <w:w w:val="120"/>
          <w:sz w:val="20"/>
        </w:rPr>
        <w:t>inserts </w:t>
      </w:r>
      <w:r>
        <w:rPr>
          <w:w w:val="120"/>
          <w:sz w:val="20"/>
        </w:rPr>
        <w:t>shown in italics</w:t>
      </w:r>
    </w:p>
    <w:p>
      <w:pPr>
        <w:spacing w:line="262" w:lineRule="exact" w:before="0"/>
        <w:ind w:left="1247" w:right="0" w:firstLine="0"/>
        <w:jc w:val="left"/>
        <w:rPr>
          <w:sz w:val="20"/>
        </w:rPr>
      </w:pPr>
      <w:r>
        <w:rPr/>
        <w:pict>
          <v:shape style="position:absolute;margin-left:20.519100pt;margin-top:63.291145pt;width:25.9pt;height:151.9pt;mso-position-horizontal-relative:page;mso-position-vertical-relative:paragraph;z-index:251722752" type="#_x0000_t202" filled="false" stroked="false">
            <v:textbox inset="0,0,0,0" style="layout-flow:vertical">
              <w:txbxContent>
                <w:p>
                  <w:pPr>
                    <w:spacing w:before="27"/>
                    <w:ind w:left="20" w:right="0" w:firstLine="0"/>
                    <w:jc w:val="left"/>
                    <w:rPr>
                      <w:sz w:val="39"/>
                    </w:rPr>
                  </w:pPr>
                  <w:r>
                    <w:rPr>
                      <w:color w:val="FFFFFF"/>
                      <w:w w:val="125"/>
                      <w:sz w:val="39"/>
                    </w:rPr>
                    <w:t>– </w:t>
                  </w:r>
                  <w:r>
                    <w:rPr>
                      <w:spacing w:val="9"/>
                      <w:w w:val="125"/>
                      <w:sz w:val="39"/>
                    </w:rPr>
                    <w:t>Appendix</w:t>
                  </w:r>
                  <w:r>
                    <w:rPr>
                      <w:spacing w:val="62"/>
                      <w:w w:val="125"/>
                      <w:sz w:val="39"/>
                    </w:rPr>
                    <w:t> </w:t>
                  </w:r>
                  <w:r>
                    <w:rPr>
                      <w:spacing w:val="11"/>
                      <w:w w:val="125"/>
                      <w:sz w:val="39"/>
                    </w:rPr>
                    <w:t>3b</w:t>
                  </w:r>
                </w:p>
              </w:txbxContent>
            </v:textbox>
            <w10:wrap type="none"/>
          </v:shape>
        </w:pict>
      </w:r>
      <w:r>
        <w:rPr>
          <w:rFonts w:ascii="Stone Sans II ITC Std Bk"/>
          <w:b/>
          <w:w w:val="120"/>
          <w:sz w:val="20"/>
        </w:rPr>
        <w:t>deletions </w:t>
      </w:r>
      <w:r>
        <w:rPr>
          <w:w w:val="120"/>
          <w:sz w:val="20"/>
        </w:rPr>
        <w:t>shown in bold</w:t>
      </w:r>
    </w:p>
    <w:p>
      <w:pPr>
        <w:pStyle w:val="BodyText"/>
        <w:spacing w:before="6"/>
        <w:rPr>
          <w:sz w:val="29"/>
        </w:rPr>
      </w:pPr>
      <w:r>
        <w:rPr/>
        <w:pict>
          <v:shape style="position:absolute;margin-left:57.402pt;margin-top:20.472460pt;width:442.25pt;height:44.45pt;mso-position-horizontal-relative:page;mso-position-vertical-relative:paragraph;z-index:-251604992;mso-wrap-distance-left:0;mso-wrap-distance-right:0" type="#_x0000_t202" filled="false" stroked="true" strokeweight="1pt" strokecolor="#b0cbd9">
            <v:textbox inset="0,0,0,0">
              <w:txbxContent>
                <w:p>
                  <w:pPr>
                    <w:spacing w:line="223" w:lineRule="auto" w:before="56"/>
                    <w:ind w:left="89" w:right="0" w:firstLine="0"/>
                    <w:jc w:val="left"/>
                    <w:rPr>
                      <w:sz w:val="20"/>
                    </w:rPr>
                  </w:pPr>
                  <w:r>
                    <w:rPr>
                      <w:w w:val="120"/>
                      <w:sz w:val="20"/>
                    </w:rPr>
                    <w:t>Paragraph 5.2.2 Ministers for whom remuneration for specific periods has been </w:t>
                  </w:r>
                  <w:r>
                    <w:rPr>
                      <w:w w:val="115"/>
                      <w:sz w:val="20"/>
                    </w:rPr>
                    <w:t>authorised by the </w:t>
                  </w:r>
                  <w:r>
                    <w:rPr>
                      <w:rFonts w:ascii="Stone Sans II ITC Std Bk"/>
                      <w:b/>
                      <w:w w:val="115"/>
                      <w:sz w:val="20"/>
                    </w:rPr>
                    <w:t>Assembly Pastoral Reference Committee </w:t>
                  </w:r>
                  <w:r>
                    <w:rPr>
                      <w:i/>
                      <w:w w:val="115"/>
                      <w:sz w:val="20"/>
                    </w:rPr>
                    <w:t>Pastoral Reference and </w:t>
                  </w:r>
                  <w:r>
                    <w:rPr>
                      <w:i/>
                      <w:w w:val="120"/>
                      <w:sz w:val="20"/>
                    </w:rPr>
                    <w:t>Welfare</w:t>
                  </w:r>
                  <w:r>
                    <w:rPr>
                      <w:i/>
                      <w:spacing w:val="-14"/>
                      <w:w w:val="120"/>
                      <w:sz w:val="20"/>
                    </w:rPr>
                    <w:t> </w:t>
                  </w:r>
                  <w:r>
                    <w:rPr>
                      <w:i/>
                      <w:w w:val="120"/>
                      <w:sz w:val="20"/>
                    </w:rPr>
                    <w:t>Committee</w:t>
                  </w:r>
                  <w:r>
                    <w:rPr>
                      <w:i/>
                      <w:spacing w:val="-10"/>
                      <w:w w:val="120"/>
                      <w:sz w:val="20"/>
                    </w:rPr>
                    <w:t> </w:t>
                  </w:r>
                  <w:r>
                    <w:rPr>
                      <w:w w:val="120"/>
                      <w:sz w:val="20"/>
                    </w:rPr>
                    <w:t>and</w:t>
                  </w:r>
                  <w:r>
                    <w:rPr>
                      <w:spacing w:val="-11"/>
                      <w:w w:val="120"/>
                      <w:sz w:val="20"/>
                    </w:rPr>
                    <w:t> </w:t>
                  </w:r>
                  <w:r>
                    <w:rPr>
                      <w:w w:val="120"/>
                      <w:sz w:val="20"/>
                    </w:rPr>
                    <w:t>such</w:t>
                  </w:r>
                  <w:r>
                    <w:rPr>
                      <w:spacing w:val="-11"/>
                      <w:w w:val="120"/>
                      <w:sz w:val="20"/>
                    </w:rPr>
                    <w:t> </w:t>
                  </w:r>
                  <w:r>
                    <w:rPr>
                      <w:w w:val="120"/>
                      <w:sz w:val="20"/>
                    </w:rPr>
                    <w:t>other</w:t>
                  </w:r>
                  <w:r>
                    <w:rPr>
                      <w:spacing w:val="-11"/>
                      <w:w w:val="120"/>
                      <w:sz w:val="20"/>
                    </w:rPr>
                    <w:t> </w:t>
                  </w:r>
                  <w:r>
                    <w:rPr>
                      <w:w w:val="120"/>
                      <w:sz w:val="20"/>
                    </w:rPr>
                    <w:t>special</w:t>
                  </w:r>
                  <w:r>
                    <w:rPr>
                      <w:spacing w:val="-11"/>
                      <w:w w:val="120"/>
                      <w:sz w:val="20"/>
                    </w:rPr>
                    <w:t> </w:t>
                  </w:r>
                  <w:r>
                    <w:rPr>
                      <w:w w:val="120"/>
                      <w:sz w:val="20"/>
                    </w:rPr>
                    <w:t>cases</w:t>
                  </w:r>
                  <w:r>
                    <w:rPr>
                      <w:spacing w:val="-11"/>
                      <w:w w:val="120"/>
                      <w:sz w:val="20"/>
                    </w:rPr>
                    <w:t> </w:t>
                  </w:r>
                  <w:r>
                    <w:rPr>
                      <w:w w:val="120"/>
                      <w:sz w:val="20"/>
                    </w:rPr>
                    <w:t>approved</w:t>
                  </w:r>
                  <w:r>
                    <w:rPr>
                      <w:spacing w:val="-11"/>
                      <w:w w:val="120"/>
                      <w:sz w:val="20"/>
                    </w:rPr>
                    <w:t> </w:t>
                  </w:r>
                  <w:r>
                    <w:rPr>
                      <w:w w:val="120"/>
                      <w:sz w:val="20"/>
                    </w:rPr>
                    <w:t>by</w:t>
                  </w:r>
                  <w:r>
                    <w:rPr>
                      <w:spacing w:val="-11"/>
                      <w:w w:val="120"/>
                      <w:sz w:val="20"/>
                    </w:rPr>
                    <w:t> </w:t>
                  </w:r>
                  <w:r>
                    <w:rPr>
                      <w:w w:val="120"/>
                      <w:sz w:val="20"/>
                    </w:rPr>
                    <w:t>the</w:t>
                  </w:r>
                  <w:r>
                    <w:rPr>
                      <w:spacing w:val="-11"/>
                      <w:w w:val="120"/>
                      <w:sz w:val="20"/>
                    </w:rPr>
                    <w:t> </w:t>
                  </w:r>
                  <w:r>
                    <w:rPr>
                      <w:w w:val="120"/>
                      <w:sz w:val="20"/>
                    </w:rPr>
                    <w:t>Ministries</w:t>
                  </w:r>
                  <w:r>
                    <w:rPr>
                      <w:spacing w:val="-11"/>
                      <w:w w:val="120"/>
                      <w:sz w:val="20"/>
                    </w:rPr>
                    <w:t> </w:t>
                  </w:r>
                  <w:r>
                    <w:rPr>
                      <w:w w:val="120"/>
                      <w:sz w:val="20"/>
                    </w:rPr>
                    <w:t>Committee.</w:t>
                  </w:r>
                </w:p>
              </w:txbxContent>
            </v:textbox>
            <v:stroke dashstyle="solid"/>
            <w10:wrap type="topAndBottom"/>
          </v:shape>
        </w:pict>
      </w:r>
      <w:r>
        <w:rPr/>
        <w:pict>
          <v:shape style="position:absolute;margin-left:57.402pt;margin-top:78.582458pt;width:442.25pt;height:34.950pt;mso-position-horizontal-relative:page;mso-position-vertical-relative:paragraph;z-index:-251603968;mso-wrap-distance-left:0;mso-wrap-distance-right:0" type="#_x0000_t202" filled="false" stroked="true" strokeweight="1pt" strokecolor="#b0cbd9">
            <v:textbox inset="0,0,0,0">
              <w:txbxContent>
                <w:p>
                  <w:pPr>
                    <w:pStyle w:val="BodyText"/>
                    <w:spacing w:line="236" w:lineRule="exact" w:before="80"/>
                    <w:ind w:left="89"/>
                  </w:pPr>
                  <w:r>
                    <w:rPr>
                      <w:w w:val="120"/>
                    </w:rPr>
                    <w:t>Paragraph 5.3 Lay missionaries serving in posts recognised and designated by the</w:t>
                  </w:r>
                </w:p>
                <w:p>
                  <w:pPr>
                    <w:spacing w:line="262" w:lineRule="exact" w:before="0"/>
                    <w:ind w:left="89" w:right="0" w:firstLine="0"/>
                    <w:jc w:val="left"/>
                    <w:rPr>
                      <w:sz w:val="20"/>
                    </w:rPr>
                  </w:pPr>
                  <w:r>
                    <w:rPr>
                      <w:rFonts w:ascii="Stone Sans II ITC Std Bk"/>
                      <w:b/>
                      <w:w w:val="110"/>
                      <w:sz w:val="20"/>
                    </w:rPr>
                    <w:t>Ecumenical Committee </w:t>
                  </w:r>
                  <w:r>
                    <w:rPr>
                      <w:i/>
                      <w:w w:val="110"/>
                      <w:sz w:val="20"/>
                    </w:rPr>
                    <w:t>International Exchange Reference Group</w:t>
                  </w:r>
                  <w:r>
                    <w:rPr>
                      <w:w w:val="110"/>
                      <w:sz w:val="20"/>
                    </w:rPr>
                    <w:t>.</w:t>
                  </w:r>
                </w:p>
              </w:txbxContent>
            </v:textbox>
            <v:stroke dashstyle="solid"/>
            <w10:wrap type="topAndBottom"/>
          </v:shape>
        </w:pict>
      </w:r>
    </w:p>
    <w:p>
      <w:pPr>
        <w:pStyle w:val="BodyText"/>
        <w:spacing w:before="2"/>
        <w:rPr>
          <w:sz w:val="15"/>
        </w:rPr>
      </w:pPr>
    </w:p>
    <w:p>
      <w:pPr>
        <w:pStyle w:val="BodyText"/>
        <w:spacing w:before="73"/>
        <w:ind w:left="1247"/>
      </w:pPr>
      <w:r>
        <w:rPr>
          <w:w w:val="120"/>
        </w:rPr>
        <w:t>The above two changes are as a result of name changes to committees.</w:t>
      </w:r>
    </w:p>
    <w:p>
      <w:pPr>
        <w:pStyle w:val="BodyText"/>
        <w:spacing w:before="5"/>
        <w:rPr>
          <w:sz w:val="9"/>
        </w:rPr>
      </w:pPr>
      <w:r>
        <w:rPr/>
        <w:pict>
          <v:shape style="position:absolute;margin-left:57.402pt;margin-top:8.231969pt;width:442.25pt;height:67.55pt;mso-position-horizontal-relative:page;mso-position-vertical-relative:paragraph;z-index:-251602944;mso-wrap-distance-left:0;mso-wrap-distance-right:0" type="#_x0000_t202" filled="false" stroked="true" strokeweight="1pt" strokecolor="#b0cbd9">
            <v:textbox inset="0,0,0,0">
              <w:txbxContent>
                <w:p>
                  <w:pPr>
                    <w:pStyle w:val="BodyText"/>
                    <w:spacing w:line="230" w:lineRule="auto" w:before="69"/>
                    <w:ind w:left="89" w:right="265"/>
                    <w:jc w:val="both"/>
                    <w:rPr>
                      <w:i/>
                    </w:rPr>
                  </w:pPr>
                  <w:r>
                    <w:rPr>
                      <w:w w:val="120"/>
                    </w:rPr>
                    <w:t>Paragraph 6.3.4.3 Where a minister/ CRCW does not provide a car but the regular use of a car is considered necessary, it is the responsibility of the local church to provide a suitable vehicle. The costs of private </w:t>
                  </w:r>
                  <w:r>
                    <w:rPr>
                      <w:rFonts w:ascii="Stone Sans II ITC Std Bk"/>
                      <w:b/>
                      <w:w w:val="120"/>
                    </w:rPr>
                    <w:t>motoring </w:t>
                  </w:r>
                  <w:r>
                    <w:rPr>
                      <w:i/>
                      <w:w w:val="120"/>
                    </w:rPr>
                    <w:t>mileage </w:t>
                  </w:r>
                  <w:r>
                    <w:rPr>
                      <w:w w:val="120"/>
                    </w:rPr>
                    <w:t>shall be </w:t>
                  </w:r>
                  <w:r>
                    <w:rPr>
                      <w:rFonts w:ascii="Stone Sans II ITC Std Bk"/>
                      <w:b/>
                      <w:w w:val="120"/>
                    </w:rPr>
                    <w:t>borne </w:t>
                  </w:r>
                  <w:r>
                    <w:rPr>
                      <w:i/>
                      <w:w w:val="120"/>
                    </w:rPr>
                    <w:t>reimbursed</w:t>
                  </w:r>
                </w:p>
                <w:p>
                  <w:pPr>
                    <w:spacing w:line="235" w:lineRule="auto" w:before="0"/>
                    <w:ind w:left="89" w:right="375" w:firstLine="0"/>
                    <w:jc w:val="both"/>
                    <w:rPr>
                      <w:i/>
                      <w:sz w:val="20"/>
                    </w:rPr>
                  </w:pPr>
                  <w:r>
                    <w:rPr>
                      <w:w w:val="115"/>
                      <w:sz w:val="20"/>
                    </w:rPr>
                    <w:t>by the minister/CRCW under locally agreed arrangements </w:t>
                  </w:r>
                  <w:r>
                    <w:rPr>
                      <w:i/>
                      <w:w w:val="115"/>
                      <w:sz w:val="20"/>
                    </w:rPr>
                    <w:t>in line with the Advisory Fuel </w:t>
                  </w:r>
                  <w:r>
                    <w:rPr>
                      <w:i/>
                      <w:w w:val="115"/>
                      <w:sz w:val="20"/>
                    </w:rPr>
                    <w:t>Rates issued by the MoM Office.</w:t>
                  </w:r>
                </w:p>
              </w:txbxContent>
            </v:textbox>
            <v:stroke dashstyle="solid"/>
            <w10:wrap type="topAndBottom"/>
          </v:shape>
        </w:pict>
      </w:r>
    </w:p>
    <w:p>
      <w:pPr>
        <w:pStyle w:val="BodyText"/>
        <w:spacing w:line="235" w:lineRule="auto" w:before="126" w:after="132"/>
        <w:ind w:left="1247" w:right="2167"/>
      </w:pPr>
      <w:r>
        <w:rPr>
          <w:w w:val="120"/>
        </w:rPr>
        <w:t>The above amendment is intended to clarify the existing wording and make reference to the advisory fuel rates which change regularly and are distributed to all ministers.</w:t>
      </w:r>
    </w:p>
    <w:p>
      <w:pPr>
        <w:pStyle w:val="BodyText"/>
        <w:ind w:left="1138"/>
      </w:pPr>
      <w:r>
        <w:rPr>
          <w:position w:val="0"/>
        </w:rPr>
        <w:pict>
          <v:shape style="width:442.25pt;height:47.9pt;mso-position-horizontal-relative:char;mso-position-vertical-relative:line" type="#_x0000_t202" filled="false" stroked="true" strokeweight="1pt" strokecolor="#b0cbd9">
            <w10:anchorlock/>
            <v:textbox inset="0,0,0,0">
              <w:txbxContent>
                <w:p>
                  <w:pPr>
                    <w:pStyle w:val="BodyText"/>
                    <w:spacing w:line="230" w:lineRule="auto" w:before="93"/>
                    <w:ind w:left="89"/>
                  </w:pPr>
                  <w:r>
                    <w:rPr>
                      <w:w w:val="120"/>
                    </w:rPr>
                    <w:t>Paragraph 10.1.6 Where a minister/CRCW has not received a retirement resettlement grant at the time of retirement, they shall be entitled to a resettlement grant upon the first change of residence (subject to the three years’ restriction in para </w:t>
                  </w:r>
                  <w:r>
                    <w:rPr>
                      <w:rFonts w:ascii="Stone Sans II ITC Std Bk" w:hAnsi="Stone Sans II ITC Std Bk"/>
                      <w:b/>
                      <w:w w:val="120"/>
                    </w:rPr>
                    <w:t>9.1.1 </w:t>
                  </w:r>
                  <w:r>
                    <w:rPr>
                      <w:i/>
                      <w:w w:val="120"/>
                    </w:rPr>
                    <w:t>10.1.1</w:t>
                  </w:r>
                  <w:r>
                    <w:rPr>
                      <w:w w:val="120"/>
                    </w:rPr>
                    <w:t>).</w:t>
                  </w:r>
                </w:p>
              </w:txbxContent>
            </v:textbox>
            <v:stroke dashstyle="solid"/>
          </v:shape>
        </w:pict>
      </w:r>
      <w:r>
        <w:rPr>
          <w:position w:val="0"/>
        </w:rPr>
      </w:r>
    </w:p>
    <w:p>
      <w:pPr>
        <w:pStyle w:val="BodyText"/>
        <w:rPr>
          <w:sz w:val="13"/>
        </w:rPr>
      </w:pPr>
      <w:r>
        <w:rPr/>
        <w:pict>
          <v:shape style="position:absolute;margin-left:58.110001pt;margin-top:10.431pt;width:442.25pt;height:57.2pt;mso-position-horizontal-relative:page;mso-position-vertical-relative:paragraph;z-index:-251600896;mso-wrap-distance-left:0;mso-wrap-distance-right:0" type="#_x0000_t202" filled="false" stroked="true" strokeweight="1pt" strokecolor="#b0cbd9">
            <v:textbox inset="0,0,0,0">
              <w:txbxContent>
                <w:p>
                  <w:pPr>
                    <w:pStyle w:val="BodyText"/>
                    <w:spacing w:line="232" w:lineRule="auto" w:before="76"/>
                    <w:ind w:left="75" w:right="129"/>
                  </w:pPr>
                  <w:r>
                    <w:rPr>
                      <w:w w:val="120"/>
                    </w:rPr>
                    <w:t>Paragraph 10.4.1 Notwithstanding what is written above in paras </w:t>
                  </w:r>
                  <w:r>
                    <w:rPr>
                      <w:rFonts w:ascii="Stone Sans II ITC Std Bk"/>
                      <w:b/>
                      <w:w w:val="120"/>
                    </w:rPr>
                    <w:t>9.1 and 9.3 </w:t>
                  </w:r>
                  <w:r>
                    <w:rPr>
                      <w:i/>
                      <w:w w:val="120"/>
                    </w:rPr>
                    <w:t>10.1.1 </w:t>
                  </w:r>
                  <w:r>
                    <w:rPr>
                      <w:i/>
                      <w:w w:val="120"/>
                    </w:rPr>
                    <w:t>and 10.3</w:t>
                  </w:r>
                  <w:r>
                    <w:rPr>
                      <w:w w:val="120"/>
                    </w:rPr>
                    <w:t>, in the case of a husband and wife being ministers/CRCWs, their combined entitlement to a resettlement grant and retirement removal grant shall not exceed that of one full-time minister/CRCW.</w:t>
                  </w:r>
                </w:p>
              </w:txbxContent>
            </v:textbox>
            <v:stroke dashstyle="solid"/>
            <w10:wrap type="topAndBottom"/>
          </v:shape>
        </w:pict>
      </w:r>
    </w:p>
    <w:p>
      <w:pPr>
        <w:pStyle w:val="BodyText"/>
        <w:spacing w:before="110"/>
        <w:ind w:left="1247"/>
      </w:pPr>
      <w:r>
        <w:rPr>
          <w:w w:val="120"/>
        </w:rPr>
        <w:t>The above two changes correct errors identified in the cross referencing.</w:t>
      </w:r>
    </w:p>
    <w:p>
      <w:pPr>
        <w:pStyle w:val="BodyText"/>
        <w:spacing w:before="8"/>
        <w:rPr>
          <w:sz w:val="10"/>
        </w:rPr>
      </w:pPr>
      <w:r>
        <w:rPr/>
        <w:pict>
          <v:shape style="position:absolute;margin-left:57.402pt;margin-top:8.953969pt;width:442.25pt;height:31.2pt;mso-position-horizontal-relative:page;mso-position-vertical-relative:paragraph;z-index:-251599872;mso-wrap-distance-left:0;mso-wrap-distance-right:0" type="#_x0000_t202" filled="false" stroked="true" strokeweight="1pt" strokecolor="#b0cbd9">
            <v:textbox inset="0,0,0,0">
              <w:txbxContent>
                <w:p>
                  <w:pPr>
                    <w:pStyle w:val="BodyText"/>
                    <w:spacing w:line="223" w:lineRule="auto" w:before="60"/>
                    <w:ind w:left="89"/>
                  </w:pPr>
                  <w:r>
                    <w:rPr>
                      <w:w w:val="120"/>
                    </w:rPr>
                    <w:t>Paragraph 12 The payment of stipend, together with any allowances, shall be made monthly on or before the </w:t>
                  </w:r>
                  <w:r>
                    <w:rPr>
                      <w:rFonts w:ascii="Stone Sans II ITC Std Bk"/>
                      <w:b/>
                      <w:w w:val="120"/>
                    </w:rPr>
                    <w:t>26th </w:t>
                  </w:r>
                  <w:r>
                    <w:rPr>
                      <w:i/>
                      <w:w w:val="120"/>
                    </w:rPr>
                    <w:t>25th </w:t>
                  </w:r>
                  <w:r>
                    <w:rPr>
                      <w:w w:val="120"/>
                    </w:rPr>
                    <w:t>day of each month.</w:t>
                  </w:r>
                </w:p>
              </w:txbxContent>
            </v:textbox>
            <v:stroke dashstyle="solid"/>
            <w10:wrap type="topAndBottom"/>
          </v:shape>
        </w:pict>
      </w:r>
    </w:p>
    <w:p>
      <w:pPr>
        <w:pStyle w:val="BodyText"/>
        <w:spacing w:line="235" w:lineRule="auto" w:before="118"/>
        <w:ind w:left="1247" w:right="2412"/>
      </w:pPr>
      <w:r>
        <w:rPr>
          <w:spacing w:val="2"/>
          <w:w w:val="120"/>
        </w:rPr>
        <w:t>The </w:t>
      </w:r>
      <w:r>
        <w:rPr>
          <w:w w:val="120"/>
        </w:rPr>
        <w:t>above </w:t>
      </w:r>
      <w:r>
        <w:rPr>
          <w:spacing w:val="2"/>
          <w:w w:val="120"/>
        </w:rPr>
        <w:t>change </w:t>
      </w:r>
      <w:r>
        <w:rPr>
          <w:spacing w:val="3"/>
          <w:w w:val="120"/>
        </w:rPr>
        <w:t>reflects </w:t>
      </w:r>
      <w:r>
        <w:rPr>
          <w:w w:val="120"/>
        </w:rPr>
        <w:t>the </w:t>
      </w:r>
      <w:r>
        <w:rPr>
          <w:spacing w:val="2"/>
          <w:w w:val="120"/>
        </w:rPr>
        <w:t>reality </w:t>
      </w:r>
      <w:r>
        <w:rPr>
          <w:w w:val="120"/>
        </w:rPr>
        <w:t>that all </w:t>
      </w:r>
      <w:r>
        <w:rPr>
          <w:spacing w:val="2"/>
          <w:w w:val="120"/>
        </w:rPr>
        <w:t>payments </w:t>
      </w:r>
      <w:r>
        <w:rPr>
          <w:w w:val="120"/>
        </w:rPr>
        <w:t>are now made on the 25th    of the month. </w:t>
      </w:r>
      <w:r>
        <w:rPr>
          <w:spacing w:val="2"/>
          <w:w w:val="120"/>
        </w:rPr>
        <w:t>Historically </w:t>
      </w:r>
      <w:r>
        <w:rPr>
          <w:w w:val="120"/>
        </w:rPr>
        <w:t>building </w:t>
      </w:r>
      <w:r>
        <w:rPr>
          <w:spacing w:val="2"/>
          <w:w w:val="120"/>
        </w:rPr>
        <w:t>societies needed </w:t>
      </w:r>
      <w:r>
        <w:rPr>
          <w:w w:val="120"/>
        </w:rPr>
        <w:t>one </w:t>
      </w:r>
      <w:r>
        <w:rPr>
          <w:spacing w:val="3"/>
          <w:w w:val="120"/>
        </w:rPr>
        <w:t>further </w:t>
      </w:r>
      <w:r>
        <w:rPr>
          <w:w w:val="120"/>
        </w:rPr>
        <w:t>day; this is now not the</w:t>
      </w:r>
      <w:r>
        <w:rPr>
          <w:spacing w:val="6"/>
          <w:w w:val="120"/>
        </w:rPr>
        <w:t> </w:t>
      </w:r>
      <w:r>
        <w:rPr>
          <w:w w:val="120"/>
        </w:rPr>
        <w:t>case.</w:t>
      </w:r>
    </w:p>
    <w:p>
      <w:pPr>
        <w:pStyle w:val="BodyText"/>
        <w:rPr>
          <w:sz w:val="24"/>
        </w:rPr>
      </w:pPr>
    </w:p>
    <w:p>
      <w:pPr>
        <w:pStyle w:val="BodyText"/>
        <w:spacing w:before="186"/>
        <w:ind w:left="1247"/>
      </w:pPr>
      <w:r>
        <w:rPr/>
        <w:pict>
          <v:group style="position:absolute;margin-left:56.902pt;margin-top:27.620378pt;width:443.25pt;height:45.45pt;mso-position-horizontal-relative:page;mso-position-vertical-relative:paragraph;z-index:-251596800;mso-wrap-distance-left:0;mso-wrap-distance-right:0" coordorigin="1138,552" coordsize="8865,909">
            <v:rect style="position:absolute;left:1148;top:562;width:8845;height:889" filled="false" stroked="true" strokeweight="1pt" strokecolor="#b0cbd9">
              <v:stroke dashstyle="solid"/>
            </v:rect>
            <v:shape style="position:absolute;left:8503;top:666;width:506;height:240" type="#_x0000_t202" filled="false" stroked="false">
              <v:textbox inset="0,0,0,0">
                <w:txbxContent>
                  <w:p>
                    <w:pPr>
                      <w:spacing w:line="240" w:lineRule="exact" w:before="0"/>
                      <w:ind w:left="0" w:right="0" w:firstLine="0"/>
                      <w:jc w:val="left"/>
                      <w:rPr>
                        <w:sz w:val="20"/>
                      </w:rPr>
                    </w:pPr>
                    <w:r>
                      <w:rPr>
                        <w:spacing w:val="-6"/>
                        <w:w w:val="125"/>
                        <w:sz w:val="20"/>
                      </w:rPr>
                      <w:t>£120</w:t>
                    </w:r>
                  </w:p>
                </w:txbxContent>
              </v:textbox>
              <w10:wrap type="none"/>
            </v:shape>
            <v:shape style="position:absolute;left:1247;top:660;width:5673;height:726" type="#_x0000_t202" filled="false" stroked="false">
              <v:textbox inset="0,0,0,0">
                <w:txbxContent>
                  <w:p>
                    <w:pPr>
                      <w:spacing w:line="248" w:lineRule="exact" w:before="0"/>
                      <w:ind w:left="0" w:right="0" w:firstLine="0"/>
                      <w:jc w:val="left"/>
                      <w:rPr>
                        <w:sz w:val="20"/>
                      </w:rPr>
                    </w:pPr>
                    <w:r>
                      <w:rPr>
                        <w:rFonts w:ascii="Stone Sans II ITC Std Bk"/>
                        <w:b/>
                        <w:w w:val="110"/>
                        <w:sz w:val="20"/>
                      </w:rPr>
                      <w:t>Para 11 Maximum weekly </w:t>
                    </w:r>
                    <w:r>
                      <w:rPr>
                        <w:i/>
                        <w:w w:val="110"/>
                        <w:sz w:val="20"/>
                      </w:rPr>
                      <w:t>Weekly </w:t>
                    </w:r>
                    <w:r>
                      <w:rPr>
                        <w:w w:val="110"/>
                        <w:sz w:val="20"/>
                      </w:rPr>
                      <w:t>payments to students</w:t>
                    </w:r>
                  </w:p>
                  <w:p>
                    <w:pPr>
                      <w:spacing w:line="246" w:lineRule="exact" w:before="0"/>
                      <w:ind w:left="907" w:right="0" w:firstLine="0"/>
                      <w:jc w:val="left"/>
                      <w:rPr>
                        <w:rFonts w:ascii="Stone Sans II ITC Std Bk" w:hAnsi="Stone Sans II ITC Std Bk"/>
                        <w:b/>
                        <w:sz w:val="20"/>
                      </w:rPr>
                    </w:pPr>
                    <w:r>
                      <w:rPr>
                        <w:rFonts w:ascii="Stone Sans II ITC Std Bk" w:hAnsi="Stone Sans II ITC Std Bk"/>
                        <w:b/>
                        <w:w w:val="110"/>
                        <w:sz w:val="20"/>
                      </w:rPr>
                      <w:t>(6 April 2012 – 5 April 2013)</w:t>
                    </w:r>
                  </w:p>
                  <w:p>
                    <w:pPr>
                      <w:spacing w:line="231" w:lineRule="exact" w:before="0"/>
                      <w:ind w:left="907" w:right="0" w:firstLine="0"/>
                      <w:jc w:val="left"/>
                      <w:rPr>
                        <w:sz w:val="20"/>
                      </w:rPr>
                    </w:pPr>
                    <w:r>
                      <w:rPr>
                        <w:w w:val="120"/>
                        <w:sz w:val="20"/>
                      </w:rPr>
                      <w:t>Maximum of 10 weeks paid.</w:t>
                    </w:r>
                  </w:p>
                </w:txbxContent>
              </v:textbox>
              <w10:wrap type="none"/>
            </v:shape>
            <w10:wrap type="topAndBottom"/>
          </v:group>
        </w:pict>
      </w:r>
      <w:r>
        <w:rPr>
          <w:w w:val="120"/>
        </w:rPr>
        <w:t>APPENDIX A – APPROVED RATES UNDER THE PLAN</w:t>
      </w:r>
    </w:p>
    <w:p>
      <w:pPr>
        <w:pStyle w:val="BodyText"/>
        <w:spacing w:line="235" w:lineRule="auto" w:before="140"/>
        <w:ind w:left="1247" w:right="2435"/>
        <w:jc w:val="both"/>
      </w:pPr>
      <w:r>
        <w:rPr>
          <w:w w:val="120"/>
        </w:rPr>
        <w:t>This change reflects the fact that it is no longer necessary to align this payment rate to the tax year and in the future this will be aligned to the calendar year in line with stipend increases.</w:t>
      </w:r>
    </w:p>
    <w:p>
      <w:pPr>
        <w:spacing w:after="0" w:line="235" w:lineRule="auto"/>
        <w:jc w:val="both"/>
        <w:sectPr>
          <w:type w:val="continuous"/>
          <w:pgSz w:w="11910" w:h="16840"/>
          <w:pgMar w:top="680" w:bottom="280" w:left="0" w:right="0"/>
        </w:sectPr>
      </w:pPr>
    </w:p>
    <w:p>
      <w:pPr>
        <w:pStyle w:val="BodyText"/>
      </w:pPr>
    </w:p>
    <w:p>
      <w:pPr>
        <w:pStyle w:val="BodyText"/>
        <w:spacing w:before="7"/>
        <w:rPr>
          <w:sz w:val="21"/>
        </w:rPr>
      </w:pPr>
    </w:p>
    <w:p>
      <w:pPr>
        <w:spacing w:after="0"/>
        <w:rPr>
          <w:sz w:val="21"/>
        </w:rPr>
        <w:sectPr>
          <w:headerReference w:type="default" r:id="rId63"/>
          <w:pgSz w:w="11910" w:h="16840"/>
          <w:pgMar w:header="0" w:footer="647" w:top="0" w:bottom="840" w:left="0" w:right="0"/>
        </w:sectPr>
      </w:pPr>
    </w:p>
    <w:p>
      <w:pPr>
        <w:pStyle w:val="BodyText"/>
        <w:spacing w:before="4"/>
        <w:rPr>
          <w:sz w:val="52"/>
        </w:rPr>
      </w:pPr>
    </w:p>
    <w:p>
      <w:pPr>
        <w:pStyle w:val="Heading4"/>
        <w:tabs>
          <w:tab w:pos="5322" w:val="left" w:leader="none"/>
          <w:tab w:pos="7724" w:val="left" w:leader="none"/>
        </w:tabs>
        <w:ind w:left="4889" w:firstLine="0"/>
        <w:rPr>
          <w:rFonts w:ascii="Stone Sans II ITC Std X Bd"/>
          <w:b/>
        </w:rPr>
      </w:pPr>
      <w:r>
        <w:rPr>
          <w:rFonts w:ascii="Stone Sans II ITC Std X Bd"/>
          <w:b/>
          <w:w w:val="110"/>
          <w:shd w:fill="FFDB7B" w:color="auto" w:val="clear"/>
        </w:rPr>
        <w:t> </w:t>
      </w:r>
      <w:r>
        <w:rPr>
          <w:rFonts w:ascii="Stone Sans II ITC Std X Bd"/>
          <w:b/>
          <w:shd w:fill="FFDB7B" w:color="auto" w:val="clear"/>
        </w:rPr>
        <w:tab/>
      </w:r>
      <w:r>
        <w:rPr>
          <w:rFonts w:ascii="Stone Sans II ITC Std X Bd"/>
          <w:b/>
          <w:w w:val="110"/>
          <w:shd w:fill="FFDB7B" w:color="auto" w:val="clear"/>
        </w:rPr>
        <w:t>Appendix</w:t>
      </w:r>
      <w:r>
        <w:rPr>
          <w:rFonts w:ascii="Stone Sans II ITC Std X Bd"/>
          <w:b/>
          <w:spacing w:val="-1"/>
          <w:w w:val="110"/>
          <w:shd w:fill="FFDB7B" w:color="auto" w:val="clear"/>
        </w:rPr>
        <w:t> </w:t>
      </w:r>
      <w:r>
        <w:rPr>
          <w:rFonts w:ascii="Stone Sans II ITC Std X Bd"/>
          <w:b/>
          <w:spacing w:val="-4"/>
          <w:w w:val="110"/>
          <w:shd w:fill="FFDB7B" w:color="auto" w:val="clear"/>
        </w:rPr>
        <w:t>3c</w:t>
      </w:r>
      <w:r>
        <w:rPr>
          <w:rFonts w:ascii="Stone Sans II ITC Std X Bd"/>
          <w:b/>
          <w:spacing w:val="-4"/>
          <w:shd w:fill="FFDB7B" w:color="auto" w:val="clear"/>
        </w:rPr>
        <w:tab/>
      </w:r>
    </w:p>
    <w:p>
      <w:pPr>
        <w:pStyle w:val="Heading5"/>
        <w:ind w:left="947"/>
      </w:pPr>
      <w:r>
        <w:rPr/>
        <w:br w:type="column"/>
      </w:r>
      <w:r>
        <w:rPr>
          <w:color w:val="7EAABF"/>
          <w:w w:val="120"/>
        </w:rPr>
        <w:t>Mission Council</w:t>
      </w:r>
    </w:p>
    <w:p>
      <w:pPr>
        <w:spacing w:after="0"/>
        <w:sectPr>
          <w:type w:val="continuous"/>
          <w:pgSz w:w="11910" w:h="16840"/>
          <w:pgMar w:top="680" w:bottom="280" w:left="0" w:right="0"/>
          <w:cols w:num="2" w:equalWidth="0">
            <w:col w:w="7725" w:space="40"/>
            <w:col w:w="4145"/>
          </w:cols>
        </w:sectPr>
      </w:pPr>
    </w:p>
    <w:p>
      <w:pPr>
        <w:pStyle w:val="BodyText"/>
        <w:spacing w:before="2"/>
        <w:rPr>
          <w:sz w:val="19"/>
        </w:rPr>
      </w:pPr>
      <w:r>
        <w:rPr/>
        <w:drawing>
          <wp:anchor distT="0" distB="0" distL="0" distR="0" allowOverlap="1" layoutInCell="1" locked="0" behindDoc="0" simplePos="0" relativeHeight="251723776">
            <wp:simplePos x="0" y="0"/>
            <wp:positionH relativeFrom="page">
              <wp:posOffset>6974928</wp:posOffset>
            </wp:positionH>
            <wp:positionV relativeFrom="page">
              <wp:posOffset>0</wp:posOffset>
            </wp:positionV>
            <wp:extent cx="585076" cy="10692003"/>
            <wp:effectExtent l="0" t="0" r="0" b="0"/>
            <wp:wrapNone/>
            <wp:docPr id="35" name="image23.png"/>
            <wp:cNvGraphicFramePr>
              <a:graphicFrameLocks noChangeAspect="1"/>
            </wp:cNvGraphicFramePr>
            <a:graphic>
              <a:graphicData uri="http://schemas.openxmlformats.org/drawingml/2006/picture">
                <pic:pic>
                  <pic:nvPicPr>
                    <pic:cNvPr id="36" name="image23.png"/>
                    <pic:cNvPicPr/>
                  </pic:nvPicPr>
                  <pic:blipFill>
                    <a:blip r:embed="rId35" cstate="print"/>
                    <a:stretch>
                      <a:fillRect/>
                    </a:stretch>
                  </pic:blipFill>
                  <pic:spPr>
                    <a:xfrm>
                      <a:off x="0" y="0"/>
                      <a:ext cx="585076" cy="10692003"/>
                    </a:xfrm>
                    <a:prstGeom prst="rect">
                      <a:avLst/>
                    </a:prstGeom>
                  </pic:spPr>
                </pic:pic>
              </a:graphicData>
            </a:graphic>
          </wp:anchor>
        </w:drawing>
      </w:r>
    </w:p>
    <w:p>
      <w:pPr>
        <w:spacing w:line="220" w:lineRule="auto" w:before="117"/>
        <w:ind w:left="4434" w:right="2004" w:hanging="1607"/>
        <w:jc w:val="left"/>
        <w:rPr>
          <w:rFonts w:ascii="Stone Sans II ITC Std X Bd"/>
          <w:b/>
          <w:sz w:val="29"/>
        </w:rPr>
      </w:pPr>
      <w:r>
        <w:rPr/>
        <w:pict>
          <v:shape style="position:absolute;margin-left:554.141174pt;margin-top:-40.652992pt;width:25.9pt;height:163.2pt;mso-position-horizontal-relative:page;mso-position-vertical-relative:paragraph;z-index:251726848" type="#_x0000_t202" filled="false" stroked="false">
            <v:textbox inset="0,0,0,0" style="layout-flow:vertical">
              <w:txbxContent>
                <w:p>
                  <w:pPr>
                    <w:spacing w:before="27"/>
                    <w:ind w:left="20" w:right="0" w:firstLine="0"/>
                    <w:jc w:val="left"/>
                    <w:rPr>
                      <w:sz w:val="39"/>
                    </w:rPr>
                  </w:pPr>
                  <w:r>
                    <w:rPr>
                      <w:color w:val="FFFFFF"/>
                      <w:w w:val="125"/>
                      <w:sz w:val="39"/>
                    </w:rPr>
                    <w:t>Mission Council</w:t>
                  </w:r>
                </w:p>
              </w:txbxContent>
            </v:textbox>
            <w10:wrap type="none"/>
          </v:shape>
        </w:pict>
      </w:r>
      <w:r>
        <w:rPr>
          <w:rFonts w:ascii="Stone Sans II ITC Std X Bd"/>
          <w:b/>
          <w:w w:val="110"/>
          <w:sz w:val="29"/>
        </w:rPr>
        <w:t>Further changes to the Plan for Partnership (agreed 11 March 2014)</w:t>
      </w:r>
    </w:p>
    <w:p>
      <w:pPr>
        <w:spacing w:line="236" w:lineRule="exact" w:before="199"/>
        <w:ind w:left="1984" w:right="0" w:firstLine="0"/>
        <w:jc w:val="left"/>
        <w:rPr>
          <w:sz w:val="20"/>
        </w:rPr>
      </w:pPr>
      <w:r>
        <w:rPr>
          <w:i/>
          <w:w w:val="120"/>
          <w:sz w:val="20"/>
        </w:rPr>
        <w:t>inserts </w:t>
      </w:r>
      <w:r>
        <w:rPr>
          <w:w w:val="120"/>
          <w:sz w:val="20"/>
        </w:rPr>
        <w:t>shown in italics</w:t>
      </w:r>
    </w:p>
    <w:p>
      <w:pPr>
        <w:spacing w:line="262" w:lineRule="exact" w:before="0"/>
        <w:ind w:left="1984" w:right="0" w:firstLine="0"/>
        <w:jc w:val="left"/>
        <w:rPr>
          <w:sz w:val="20"/>
        </w:rPr>
      </w:pPr>
      <w:r>
        <w:rPr/>
        <w:pict>
          <v:shape style="position:absolute;margin-left:90.209pt;margin-top:31.496136pt;width:442.25pt;height:83.15pt;mso-position-horizontal-relative:page;mso-position-vertical-relative:paragraph;z-index:251725824" type="#_x0000_t202" filled="false" stroked="true" strokeweight="1pt" strokecolor="#b0cbd9">
            <v:textbox inset="0,0,0,0">
              <w:txbxContent>
                <w:p>
                  <w:pPr>
                    <w:pStyle w:val="BodyText"/>
                    <w:tabs>
                      <w:tab w:pos="850" w:val="left" w:leader="none"/>
                    </w:tabs>
                    <w:spacing w:line="228" w:lineRule="auto" w:before="82"/>
                    <w:ind w:left="170" w:right="129"/>
                    <w:rPr>
                      <w:i/>
                    </w:rPr>
                  </w:pPr>
                  <w:r>
                    <w:rPr>
                      <w:spacing w:val="-5"/>
                      <w:w w:val="120"/>
                    </w:rPr>
                    <w:t>10.3</w:t>
                    <w:tab/>
                  </w:r>
                  <w:r>
                    <w:rPr>
                      <w:rFonts w:ascii="Stone Sans II ITC Std Bk"/>
                      <w:b/>
                      <w:w w:val="120"/>
                    </w:rPr>
                    <w:t>Reasonable</w:t>
                  </w:r>
                  <w:r>
                    <w:rPr>
                      <w:rFonts w:ascii="Stone Sans II ITC Std Bk"/>
                      <w:b/>
                      <w:spacing w:val="-14"/>
                      <w:w w:val="120"/>
                    </w:rPr>
                    <w:t> </w:t>
                  </w:r>
                  <w:r>
                    <w:rPr>
                      <w:i/>
                      <w:w w:val="120"/>
                    </w:rPr>
                    <w:t>R</w:t>
                  </w:r>
                  <w:r>
                    <w:rPr>
                      <w:w w:val="120"/>
                    </w:rPr>
                    <w:t>emoval</w:t>
                  </w:r>
                  <w:r>
                    <w:rPr>
                      <w:spacing w:val="-4"/>
                      <w:w w:val="120"/>
                    </w:rPr>
                    <w:t> </w:t>
                  </w:r>
                  <w:r>
                    <w:rPr>
                      <w:w w:val="120"/>
                    </w:rPr>
                    <w:t>costs</w:t>
                  </w:r>
                  <w:r>
                    <w:rPr>
                      <w:spacing w:val="-4"/>
                      <w:w w:val="120"/>
                    </w:rPr>
                    <w:t> </w:t>
                  </w:r>
                  <w:r>
                    <w:rPr>
                      <w:w w:val="120"/>
                    </w:rPr>
                    <w:t>within</w:t>
                  </w:r>
                  <w:r>
                    <w:rPr>
                      <w:spacing w:val="-4"/>
                      <w:w w:val="120"/>
                    </w:rPr>
                    <w:t> </w:t>
                  </w:r>
                  <w:r>
                    <w:rPr>
                      <w:w w:val="120"/>
                    </w:rPr>
                    <w:t>the</w:t>
                  </w:r>
                  <w:r>
                    <w:rPr>
                      <w:spacing w:val="-4"/>
                      <w:w w:val="120"/>
                    </w:rPr>
                    <w:t> </w:t>
                  </w:r>
                  <w:r>
                    <w:rPr>
                      <w:w w:val="120"/>
                    </w:rPr>
                    <w:t>United</w:t>
                  </w:r>
                  <w:r>
                    <w:rPr>
                      <w:spacing w:val="-4"/>
                      <w:w w:val="120"/>
                    </w:rPr>
                    <w:t> </w:t>
                  </w:r>
                  <w:r>
                    <w:rPr>
                      <w:w w:val="120"/>
                    </w:rPr>
                    <w:t>Kingdom</w:t>
                  </w:r>
                  <w:r>
                    <w:rPr>
                      <w:spacing w:val="-5"/>
                      <w:w w:val="120"/>
                    </w:rPr>
                    <w:t> </w:t>
                  </w:r>
                  <w:r>
                    <w:rPr>
                      <w:w w:val="120"/>
                    </w:rPr>
                    <w:t>shall</w:t>
                  </w:r>
                  <w:r>
                    <w:rPr>
                      <w:spacing w:val="-4"/>
                      <w:w w:val="120"/>
                    </w:rPr>
                    <w:t> </w:t>
                  </w:r>
                  <w:r>
                    <w:rPr>
                      <w:w w:val="120"/>
                    </w:rPr>
                    <w:t>be</w:t>
                  </w:r>
                  <w:r>
                    <w:rPr>
                      <w:spacing w:val="-4"/>
                      <w:w w:val="120"/>
                    </w:rPr>
                    <w:t> </w:t>
                  </w:r>
                  <w:r>
                    <w:rPr>
                      <w:w w:val="120"/>
                    </w:rPr>
                    <w:t>paid</w:t>
                  </w:r>
                  <w:r>
                    <w:rPr>
                      <w:spacing w:val="-6"/>
                      <w:w w:val="120"/>
                    </w:rPr>
                    <w:t> </w:t>
                  </w:r>
                  <w:r>
                    <w:rPr>
                      <w:w w:val="120"/>
                    </w:rPr>
                    <w:t>on</w:t>
                  </w:r>
                  <w:r>
                    <w:rPr>
                      <w:spacing w:val="-5"/>
                      <w:w w:val="120"/>
                    </w:rPr>
                    <w:t> </w:t>
                  </w:r>
                  <w:r>
                    <w:rPr>
                      <w:w w:val="120"/>
                    </w:rPr>
                    <w:t>the</w:t>
                  </w:r>
                  <w:r>
                    <w:rPr>
                      <w:spacing w:val="-4"/>
                      <w:w w:val="120"/>
                    </w:rPr>
                    <w:t> </w:t>
                  </w:r>
                  <w:r>
                    <w:rPr>
                      <w:w w:val="120"/>
                    </w:rPr>
                    <w:t>first removal of a minister/CRCW following final retirement from a pastoral charge or from an appointment paid under the terms of the Plan </w:t>
                  </w:r>
                  <w:r>
                    <w:rPr>
                      <w:spacing w:val="-6"/>
                      <w:w w:val="120"/>
                    </w:rPr>
                    <w:t>(or </w:t>
                  </w:r>
                  <w:r>
                    <w:rPr>
                      <w:w w:val="120"/>
                    </w:rPr>
                    <w:t>to the spouse of a minister/CRCW who dies before retirement) provided that at least two estimates have been obtained. </w:t>
                  </w:r>
                  <w:r>
                    <w:rPr>
                      <w:rFonts w:ascii="Stone Sans II ITC Std Bk"/>
                      <w:b/>
                      <w:w w:val="120"/>
                    </w:rPr>
                    <w:t>Normally </w:t>
                  </w:r>
                  <w:r>
                    <w:rPr>
                      <w:i/>
                      <w:spacing w:val="3"/>
                      <w:w w:val="120"/>
                    </w:rPr>
                    <w:t>T</w:t>
                  </w:r>
                  <w:r>
                    <w:rPr>
                      <w:spacing w:val="3"/>
                      <w:w w:val="120"/>
                    </w:rPr>
                    <w:t>he </w:t>
                  </w:r>
                  <w:r>
                    <w:rPr>
                      <w:w w:val="120"/>
                    </w:rPr>
                    <w:t>cost of the lowest estimate will be met </w:t>
                  </w:r>
                  <w:r>
                    <w:rPr>
                      <w:i/>
                      <w:w w:val="120"/>
                    </w:rPr>
                    <w:t>up to the maximum shown in </w:t>
                  </w:r>
                  <w:r>
                    <w:rPr>
                      <w:i/>
                      <w:w w:val="120"/>
                    </w:rPr>
                    <w:t>Appendix</w:t>
                  </w:r>
                  <w:r>
                    <w:rPr>
                      <w:i/>
                      <w:spacing w:val="-2"/>
                      <w:w w:val="120"/>
                    </w:rPr>
                    <w:t> </w:t>
                  </w:r>
                  <w:r>
                    <w:rPr>
                      <w:i/>
                      <w:spacing w:val="2"/>
                      <w:w w:val="120"/>
                    </w:rPr>
                    <w:t>A.</w:t>
                  </w:r>
                </w:p>
              </w:txbxContent>
            </v:textbox>
            <v:stroke dashstyle="solid"/>
            <w10:wrap type="none"/>
          </v:shape>
        </w:pict>
      </w:r>
      <w:r>
        <w:rPr>
          <w:rFonts w:ascii="Stone Sans II ITC Std Bk"/>
          <w:b/>
          <w:w w:val="120"/>
          <w:sz w:val="20"/>
        </w:rPr>
        <w:t>deletions </w:t>
      </w:r>
      <w:r>
        <w:rPr>
          <w:w w:val="120"/>
          <w:sz w:val="20"/>
        </w:rPr>
        <w:t>shown in bold</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7"/>
        <w:rPr>
          <w:sz w:val="23"/>
        </w:rPr>
      </w:pPr>
    </w:p>
    <w:p>
      <w:pPr>
        <w:pStyle w:val="BodyText"/>
        <w:spacing w:line="235" w:lineRule="auto" w:before="104"/>
        <w:ind w:left="1984" w:right="1538"/>
        <w:jc w:val="both"/>
      </w:pPr>
      <w:r>
        <w:rPr/>
        <w:pict>
          <v:shape style="position:absolute;margin-left:90.209pt;margin-top:-121.397034pt;width:442.25pt;height:109.35pt;mso-position-horizontal-relative:page;mso-position-vertical-relative:paragraph;z-index:251724800" type="#_x0000_t202" filled="false" stroked="true" strokeweight="1pt" strokecolor="#b0cbd9">
            <v:textbox inset="0,0,0,0">
              <w:txbxContent>
                <w:p>
                  <w:pPr>
                    <w:pStyle w:val="BodyText"/>
                    <w:spacing w:line="242" w:lineRule="exact" w:before="118"/>
                    <w:ind w:left="170"/>
                  </w:pPr>
                  <w:r>
                    <w:rPr>
                      <w:w w:val="125"/>
                    </w:rPr>
                    <w:t>APPENDIX C – REMOVAL COSTS</w:t>
                  </w:r>
                </w:p>
                <w:p>
                  <w:pPr>
                    <w:pStyle w:val="BodyText"/>
                    <w:spacing w:line="230" w:lineRule="auto" w:before="5"/>
                    <w:ind w:left="170" w:right="412"/>
                  </w:pPr>
                  <w:r>
                    <w:rPr>
                      <w:w w:val="120"/>
                    </w:rPr>
                    <w:t>The receiving local church is responsible for paying the costs of removal (see para 6.3.3). Where the removal is within the United Kingdom reimbursement of up to 50% of the cost incurred (subject to a maximum reimbursement </w:t>
                  </w:r>
                  <w:r>
                    <w:rPr>
                      <w:i/>
                      <w:w w:val="120"/>
                    </w:rPr>
                    <w:t>shown in Appendix </w:t>
                  </w:r>
                  <w:r>
                    <w:rPr>
                      <w:i/>
                      <w:w w:val="120"/>
                    </w:rPr>
                    <w:t>A </w:t>
                  </w:r>
                  <w:r>
                    <w:rPr>
                      <w:rFonts w:ascii="Stone Sans II ITC Std Bk" w:hAnsi="Stone Sans II ITC Std Bk"/>
                      <w:b/>
                      <w:w w:val="120"/>
                    </w:rPr>
                    <w:t>of £1,500</w:t>
                  </w:r>
                  <w:r>
                    <w:rPr>
                      <w:w w:val="120"/>
                    </w:rPr>
                    <w:t>) is available from the Ministry and Mission Fund and application should be made via the MoM Office. Where a minister/CRCW is called from abroad</w:t>
                  </w:r>
                </w:p>
                <w:p>
                  <w:pPr>
                    <w:pStyle w:val="BodyText"/>
                    <w:spacing w:line="235" w:lineRule="auto"/>
                    <w:ind w:left="170"/>
                  </w:pPr>
                  <w:r>
                    <w:rPr>
                      <w:w w:val="120"/>
                    </w:rPr>
                    <w:t>reimbursement from that Fund to the local church will be based on the removal costs from the port of entry.</w:t>
                  </w:r>
                </w:p>
              </w:txbxContent>
            </v:textbox>
            <v:stroke dashstyle="solid"/>
            <w10:wrap type="none"/>
          </v:shape>
        </w:pict>
      </w:r>
      <w:r>
        <w:rPr/>
        <w:pict>
          <v:shape style="position:absolute;margin-left:554.141174pt;margin-top:-177.910034pt;width:25.9pt;height:149.2pt;mso-position-horizontal-relative:page;mso-position-vertical-relative:paragraph;z-index:251727872" type="#_x0000_t202" filled="false" stroked="false">
            <v:textbox inset="0,0,0,0" style="layout-flow:vertical">
              <w:txbxContent>
                <w:p>
                  <w:pPr>
                    <w:spacing w:before="27"/>
                    <w:ind w:left="20" w:right="0" w:firstLine="0"/>
                    <w:jc w:val="left"/>
                    <w:rPr>
                      <w:sz w:val="39"/>
                    </w:rPr>
                  </w:pPr>
                  <w:r>
                    <w:rPr>
                      <w:color w:val="FFFFFF"/>
                      <w:w w:val="125"/>
                      <w:sz w:val="39"/>
                    </w:rPr>
                    <w:t>– </w:t>
                  </w:r>
                  <w:r>
                    <w:rPr>
                      <w:w w:val="125"/>
                      <w:sz w:val="39"/>
                    </w:rPr>
                    <w:t>Appendix 3c</w:t>
                  </w:r>
                </w:p>
              </w:txbxContent>
            </v:textbox>
            <w10:wrap type="none"/>
          </v:shape>
        </w:pict>
      </w:r>
      <w:r>
        <w:rPr>
          <w:w w:val="120"/>
        </w:rPr>
        <w:t>These amendments are required to ensure that all grants paid under the terms of the Plan for Partnership will, in future, be calculated on the same basis. It is intended that the relevant figures in appendix A for 2014 should be £3,317 with regard to 10.3 and</w:t>
      </w:r>
    </w:p>
    <w:p>
      <w:pPr>
        <w:pStyle w:val="BodyText"/>
        <w:spacing w:line="243" w:lineRule="exact"/>
        <w:ind w:left="1984"/>
        <w:jc w:val="both"/>
      </w:pPr>
      <w:r>
        <w:rPr>
          <w:w w:val="125"/>
        </w:rPr>
        <w:t>£1,659 with regard to appendix C.</w:t>
      </w:r>
    </w:p>
    <w:p>
      <w:pPr>
        <w:spacing w:after="0" w:line="243" w:lineRule="exact"/>
        <w:jc w:val="both"/>
        <w:sectPr>
          <w:type w:val="continuous"/>
          <w:pgSz w:w="11910" w:h="16840"/>
          <w:pgMar w:top="680" w:bottom="280" w:left="0" w:right="0"/>
        </w:sectPr>
      </w:pPr>
    </w:p>
    <w:p>
      <w:pPr>
        <w:pStyle w:val="BodyText"/>
      </w:pPr>
    </w:p>
    <w:p>
      <w:pPr>
        <w:pStyle w:val="BodyText"/>
        <w:spacing w:before="7"/>
        <w:rPr>
          <w:sz w:val="21"/>
        </w:rPr>
      </w:pPr>
    </w:p>
    <w:p>
      <w:pPr>
        <w:spacing w:after="0"/>
        <w:rPr>
          <w:sz w:val="21"/>
        </w:rPr>
        <w:sectPr>
          <w:headerReference w:type="even" r:id="rId64"/>
          <w:footerReference w:type="even" r:id="rId65"/>
          <w:footerReference w:type="default" r:id="rId66"/>
          <w:pgSz w:w="11910" w:h="16840"/>
          <w:pgMar w:header="0" w:footer="647" w:top="0" w:bottom="840" w:left="0" w:right="0"/>
          <w:pgNumType w:start="22"/>
        </w:sectPr>
      </w:pPr>
    </w:p>
    <w:p>
      <w:pPr>
        <w:pStyle w:val="Heading5"/>
      </w:pPr>
      <w:r>
        <w:rPr>
          <w:color w:val="7EAABF"/>
          <w:w w:val="120"/>
        </w:rPr>
        <w:t>Mission</w:t>
      </w:r>
      <w:r>
        <w:rPr>
          <w:color w:val="7EAABF"/>
          <w:spacing w:val="-31"/>
          <w:w w:val="120"/>
        </w:rPr>
        <w:t> </w:t>
      </w:r>
      <w:r>
        <w:rPr>
          <w:color w:val="7EAABF"/>
          <w:spacing w:val="-3"/>
          <w:w w:val="120"/>
        </w:rPr>
        <w:t>Council</w:t>
      </w:r>
    </w:p>
    <w:p>
      <w:pPr>
        <w:pStyle w:val="BodyText"/>
        <w:spacing w:before="4"/>
        <w:rPr>
          <w:sz w:val="52"/>
        </w:rPr>
      </w:pPr>
      <w:r>
        <w:rPr/>
        <w:br w:type="column"/>
      </w:r>
      <w:r>
        <w:rPr>
          <w:sz w:val="52"/>
        </w:rPr>
      </w:r>
    </w:p>
    <w:p>
      <w:pPr>
        <w:tabs>
          <w:tab w:pos="1332" w:val="left" w:leader="none"/>
          <w:tab w:pos="3739" w:val="left" w:leader="none"/>
        </w:tabs>
        <w:spacing w:before="0"/>
        <w:ind w:left="904" w:right="0" w:firstLine="0"/>
        <w:jc w:val="left"/>
        <w:rPr>
          <w:rFonts w:ascii="Stone Sans II ITC Std X Bd"/>
          <w:b/>
          <w:sz w:val="29"/>
        </w:rPr>
      </w:pPr>
      <w:r>
        <w:rPr>
          <w:rFonts w:ascii="Stone Sans II ITC Std X Bd"/>
          <w:b/>
          <w:w w:val="110"/>
          <w:sz w:val="29"/>
          <w:shd w:fill="FFDB7B" w:color="auto" w:val="clear"/>
        </w:rPr>
        <w:t> </w:t>
      </w:r>
      <w:r>
        <w:rPr>
          <w:rFonts w:ascii="Stone Sans II ITC Std X Bd"/>
          <w:b/>
          <w:sz w:val="29"/>
          <w:shd w:fill="FFDB7B" w:color="auto" w:val="clear"/>
        </w:rPr>
        <w:tab/>
      </w:r>
      <w:r>
        <w:rPr>
          <w:rFonts w:ascii="Stone Sans II ITC Std X Bd"/>
          <w:b/>
          <w:w w:val="110"/>
          <w:sz w:val="29"/>
          <w:shd w:fill="FFDB7B" w:color="auto" w:val="clear"/>
        </w:rPr>
        <w:t>Appendix 4a</w:t>
      </w:r>
      <w:r>
        <w:rPr>
          <w:rFonts w:ascii="Stone Sans II ITC Std X Bd"/>
          <w:b/>
          <w:sz w:val="29"/>
          <w:shd w:fill="FFDB7B" w:color="auto" w:val="clear"/>
        </w:rPr>
        <w:tab/>
      </w:r>
    </w:p>
    <w:p>
      <w:pPr>
        <w:spacing w:after="0"/>
        <w:jc w:val="left"/>
        <w:rPr>
          <w:rFonts w:ascii="Stone Sans II ITC Std X Bd"/>
          <w:sz w:val="29"/>
        </w:rPr>
        <w:sectPr>
          <w:type w:val="continuous"/>
          <w:pgSz w:w="11910" w:h="16840"/>
          <w:pgMar w:top="680" w:bottom="280" w:left="0" w:right="0"/>
          <w:cols w:num="2" w:equalWidth="0">
            <w:col w:w="3194" w:space="40"/>
            <w:col w:w="8676"/>
          </w:cols>
        </w:sectPr>
      </w:pPr>
    </w:p>
    <w:p>
      <w:pPr>
        <w:pStyle w:val="BodyText"/>
        <w:spacing w:before="4"/>
        <w:rPr>
          <w:rFonts w:ascii="Stone Sans II ITC Std X Bd"/>
          <w:b/>
          <w:sz w:val="17"/>
        </w:rPr>
      </w:pPr>
      <w:r>
        <w:rPr/>
        <w:drawing>
          <wp:anchor distT="0" distB="0" distL="0" distR="0" allowOverlap="1" layoutInCell="1" locked="0" behindDoc="0" simplePos="0" relativeHeight="251728896">
            <wp:simplePos x="0" y="0"/>
            <wp:positionH relativeFrom="page">
              <wp:posOffset>0</wp:posOffset>
            </wp:positionH>
            <wp:positionV relativeFrom="page">
              <wp:posOffset>0</wp:posOffset>
            </wp:positionV>
            <wp:extent cx="594067" cy="10692003"/>
            <wp:effectExtent l="0" t="0" r="0" b="0"/>
            <wp:wrapNone/>
            <wp:docPr id="37" name="image22.png"/>
            <wp:cNvGraphicFramePr>
              <a:graphicFrameLocks noChangeAspect="1"/>
            </wp:cNvGraphicFramePr>
            <a:graphic>
              <a:graphicData uri="http://schemas.openxmlformats.org/drawingml/2006/picture">
                <pic:pic>
                  <pic:nvPicPr>
                    <pic:cNvPr id="38" name="image22.png"/>
                    <pic:cNvPicPr/>
                  </pic:nvPicPr>
                  <pic:blipFill>
                    <a:blip r:embed="rId33" cstate="print"/>
                    <a:stretch>
                      <a:fillRect/>
                    </a:stretch>
                  </pic:blipFill>
                  <pic:spPr>
                    <a:xfrm>
                      <a:off x="0" y="0"/>
                      <a:ext cx="594067" cy="10692003"/>
                    </a:xfrm>
                    <a:prstGeom prst="rect">
                      <a:avLst/>
                    </a:prstGeom>
                  </pic:spPr>
                </pic:pic>
              </a:graphicData>
            </a:graphic>
          </wp:anchor>
        </w:drawing>
      </w:r>
    </w:p>
    <w:p>
      <w:pPr>
        <w:spacing w:line="220" w:lineRule="auto" w:before="118"/>
        <w:ind w:left="2517" w:right="2004" w:hanging="641"/>
        <w:jc w:val="left"/>
        <w:rPr>
          <w:rFonts w:ascii="Stone Sans II ITC Std X Bd"/>
          <w:b/>
          <w:sz w:val="29"/>
        </w:rPr>
      </w:pPr>
      <w:r>
        <w:rPr/>
        <w:pict>
          <v:shape style="position:absolute;margin-left:20.519100pt;margin-top:-40.602989pt;width:25.9pt;height:163.2pt;mso-position-horizontal-relative:page;mso-position-vertical-relative:paragraph;z-index:251729920" type="#_x0000_t202" filled="false" stroked="false">
            <v:textbox inset="0,0,0,0" style="layout-flow:vertical">
              <w:txbxContent>
                <w:p>
                  <w:pPr>
                    <w:spacing w:before="27"/>
                    <w:ind w:left="20" w:right="0" w:firstLine="0"/>
                    <w:jc w:val="left"/>
                    <w:rPr>
                      <w:sz w:val="39"/>
                    </w:rPr>
                  </w:pPr>
                  <w:r>
                    <w:rPr>
                      <w:color w:val="FFFFFF"/>
                      <w:w w:val="125"/>
                      <w:sz w:val="39"/>
                    </w:rPr>
                    <w:t>Mission Council</w:t>
                  </w:r>
                </w:p>
              </w:txbxContent>
            </v:textbox>
            <w10:wrap type="none"/>
          </v:shape>
        </w:pict>
      </w:r>
      <w:r>
        <w:rPr>
          <w:rFonts w:ascii="Stone Sans II ITC Std X Bd"/>
          <w:b/>
          <w:w w:val="110"/>
          <w:sz w:val="29"/>
        </w:rPr>
        <w:t>Changes to the ministerial disciplinary process (agreed by Mission Council, May 2013)</w:t>
      </w:r>
    </w:p>
    <w:p>
      <w:pPr>
        <w:pStyle w:val="BodyText"/>
        <w:spacing w:before="6"/>
        <w:rPr>
          <w:rFonts w:ascii="Stone Sans II ITC Std X Bd"/>
          <w:b/>
          <w:sz w:val="32"/>
        </w:rPr>
      </w:pPr>
    </w:p>
    <w:p>
      <w:pPr>
        <w:pStyle w:val="BodyText"/>
        <w:tabs>
          <w:tab w:pos="1927" w:val="left" w:leader="none"/>
        </w:tabs>
        <w:ind w:left="1247"/>
      </w:pPr>
      <w:r>
        <w:rPr>
          <w:spacing w:val="3"/>
          <w:w w:val="120"/>
        </w:rPr>
        <w:t>A.5</w:t>
        <w:tab/>
      </w:r>
      <w:r>
        <w:rPr>
          <w:w w:val="120"/>
        </w:rPr>
        <w:t>Add the following definitions at paragraph</w:t>
      </w:r>
      <w:r>
        <w:rPr>
          <w:spacing w:val="15"/>
          <w:w w:val="120"/>
        </w:rPr>
        <w:t> </w:t>
      </w:r>
      <w:r>
        <w:rPr>
          <w:w w:val="120"/>
        </w:rPr>
        <w:t>A.5:</w:t>
      </w:r>
    </w:p>
    <w:p>
      <w:pPr>
        <w:pStyle w:val="BodyText"/>
        <w:spacing w:before="1"/>
      </w:pPr>
    </w:p>
    <w:p>
      <w:pPr>
        <w:pStyle w:val="Heading9"/>
        <w:spacing w:line="213" w:lineRule="auto"/>
        <w:ind w:left="1247" w:right="2004" w:firstLine="0"/>
      </w:pPr>
      <w:r>
        <w:rPr>
          <w:w w:val="110"/>
        </w:rPr>
        <w:t>“General Assembly Appointees” shall mean the persons appointed under Paragraph AA.2.1.2 to examine a disciplinary case within the Caution Stage and, if considered appropriate, to impose Cautions upon the minister.”</w:t>
      </w:r>
    </w:p>
    <w:p>
      <w:pPr>
        <w:pStyle w:val="BodyText"/>
        <w:spacing w:before="8"/>
        <w:rPr>
          <w:rFonts w:ascii="Stone Sans II ITC Std Bk"/>
          <w:b/>
          <w:sz w:val="17"/>
        </w:rPr>
      </w:pPr>
    </w:p>
    <w:p>
      <w:pPr>
        <w:spacing w:line="213" w:lineRule="auto" w:before="1"/>
        <w:ind w:left="1247" w:right="2004" w:firstLine="0"/>
        <w:jc w:val="left"/>
        <w:rPr>
          <w:rFonts w:ascii="Stone Sans II ITC Std Bk" w:hAnsi="Stone Sans II ITC Std Bk"/>
          <w:b/>
          <w:sz w:val="20"/>
        </w:rPr>
      </w:pPr>
      <w:r>
        <w:rPr/>
        <w:pict>
          <v:shape style="position:absolute;margin-left:20.519100pt;margin-top:-3.357583pt;width:25.9pt;height:149.050pt;mso-position-horizontal-relative:page;mso-position-vertical-relative:paragraph;z-index:251730944" type="#_x0000_t202" filled="false" stroked="false">
            <v:textbox inset="0,0,0,0" style="layout-flow:vertical">
              <w:txbxContent>
                <w:p>
                  <w:pPr>
                    <w:spacing w:before="27"/>
                    <w:ind w:left="20" w:right="0" w:firstLine="0"/>
                    <w:jc w:val="left"/>
                    <w:rPr>
                      <w:sz w:val="39"/>
                    </w:rPr>
                  </w:pPr>
                  <w:r>
                    <w:rPr>
                      <w:color w:val="FFFFFF"/>
                      <w:w w:val="125"/>
                      <w:sz w:val="39"/>
                    </w:rPr>
                    <w:t>– </w:t>
                  </w:r>
                  <w:r>
                    <w:rPr>
                      <w:w w:val="125"/>
                      <w:sz w:val="39"/>
                    </w:rPr>
                    <w:t>Appendix 4a</w:t>
                  </w:r>
                </w:p>
              </w:txbxContent>
            </v:textbox>
            <w10:wrap type="none"/>
          </v:shape>
        </w:pict>
      </w:r>
      <w:r>
        <w:rPr>
          <w:rFonts w:ascii="Stone Sans II ITC Std Bk" w:hAnsi="Stone Sans II ITC Std Bk"/>
          <w:b/>
          <w:w w:val="110"/>
          <w:sz w:val="20"/>
        </w:rPr>
        <w:t>“General Assembly Representative” shall mean the person appointed (whether individually or as the holder of a particular office) to act in the name of General Assembly (or Mission Council on its behalf) in carrying out the responsibilities assigned to that person within this Disciplinary Process.”</w:t>
      </w:r>
    </w:p>
    <w:p>
      <w:pPr>
        <w:pStyle w:val="BodyText"/>
        <w:spacing w:before="1"/>
        <w:rPr>
          <w:rFonts w:ascii="Stone Sans II ITC Std Bk"/>
          <w:b/>
          <w:sz w:val="17"/>
        </w:rPr>
      </w:pPr>
    </w:p>
    <w:p>
      <w:pPr>
        <w:spacing w:line="235" w:lineRule="auto" w:before="0"/>
        <w:ind w:left="1247" w:right="2412" w:firstLine="0"/>
        <w:jc w:val="left"/>
        <w:rPr>
          <w:i/>
          <w:sz w:val="20"/>
        </w:rPr>
      </w:pPr>
      <w:r>
        <w:rPr>
          <w:i/>
          <w:w w:val="110"/>
          <w:sz w:val="20"/>
        </w:rPr>
        <w:t>In the event, for whatever reason, of there not being a Deputy General Secretary, then </w:t>
      </w:r>
      <w:r>
        <w:rPr>
          <w:i/>
          <w:w w:val="110"/>
          <w:sz w:val="20"/>
        </w:rPr>
        <w:t>Mission Council will need to appoint someone to assume the DGS’s position within the</w:t>
      </w:r>
    </w:p>
    <w:p>
      <w:pPr>
        <w:spacing w:line="218" w:lineRule="auto" w:before="4"/>
        <w:ind w:left="1247" w:right="2004" w:firstLine="0"/>
        <w:jc w:val="left"/>
        <w:rPr>
          <w:i/>
          <w:sz w:val="20"/>
        </w:rPr>
      </w:pPr>
      <w:r>
        <w:rPr>
          <w:i/>
          <w:w w:val="110"/>
          <w:sz w:val="20"/>
        </w:rPr>
        <w:t>Disciplinary Process. That person will be defined within the Process as </w:t>
      </w:r>
      <w:r>
        <w:rPr>
          <w:rFonts w:ascii="Stone Sans II ITC Std Bk" w:hAnsi="Stone Sans II ITC Std Bk"/>
          <w:b/>
          <w:i/>
          <w:w w:val="110"/>
          <w:sz w:val="20"/>
        </w:rPr>
        <w:t>“the General Assembly </w:t>
      </w:r>
      <w:r>
        <w:rPr>
          <w:rFonts w:ascii="Stone Sans II ITC Std Bk" w:hAnsi="Stone Sans II ITC Std Bk"/>
          <w:b/>
          <w:i/>
          <w:w w:val="110"/>
          <w:sz w:val="20"/>
        </w:rPr>
        <w:t>Representative” </w:t>
      </w:r>
      <w:r>
        <w:rPr>
          <w:i/>
          <w:w w:val="110"/>
          <w:sz w:val="20"/>
        </w:rPr>
        <w:t>and will include the DGS while still in post. This paper makes the necessary </w:t>
      </w:r>
      <w:r>
        <w:rPr>
          <w:i/>
          <w:w w:val="110"/>
          <w:sz w:val="20"/>
        </w:rPr>
        <w:t>changes to the paragraphs referring to the DGS.</w:t>
      </w:r>
    </w:p>
    <w:p>
      <w:pPr>
        <w:pStyle w:val="BodyText"/>
        <w:spacing w:before="5"/>
        <w:rPr>
          <w:i/>
        </w:rPr>
      </w:pPr>
    </w:p>
    <w:p>
      <w:pPr>
        <w:spacing w:line="213" w:lineRule="auto" w:before="0"/>
        <w:ind w:left="1247" w:right="2019" w:firstLine="0"/>
        <w:jc w:val="left"/>
        <w:rPr>
          <w:rFonts w:ascii="Stone Sans II ITC Std Bk" w:hAnsi="Stone Sans II ITC Std Bk"/>
          <w:b/>
          <w:sz w:val="20"/>
        </w:rPr>
      </w:pPr>
      <w:r>
        <w:rPr>
          <w:w w:val="110"/>
          <w:sz w:val="20"/>
        </w:rPr>
        <w:t>At the end of the definition of </w:t>
      </w:r>
      <w:r>
        <w:rPr>
          <w:rFonts w:ascii="Stone Sans II ITC Std Bk" w:hAnsi="Stone Sans II ITC Std Bk"/>
          <w:b/>
          <w:w w:val="110"/>
          <w:sz w:val="20"/>
        </w:rPr>
        <w:t>“Independent  Safeguarding  Authority” </w:t>
      </w:r>
      <w:r>
        <w:rPr>
          <w:w w:val="110"/>
          <w:sz w:val="20"/>
        </w:rPr>
        <w:t>at  paragraph A.5, add the words </w:t>
      </w:r>
      <w:r>
        <w:rPr>
          <w:rFonts w:ascii="Stone Sans II ITC Std Bk" w:hAnsi="Stone Sans II ITC Std Bk"/>
          <w:b/>
          <w:spacing w:val="-3"/>
          <w:w w:val="110"/>
          <w:sz w:val="20"/>
        </w:rPr>
        <w:t>“….and </w:t>
      </w:r>
      <w:r>
        <w:rPr>
          <w:rFonts w:ascii="Stone Sans II ITC Std Bk" w:hAnsi="Stone Sans II ITC Std Bk"/>
          <w:b/>
          <w:w w:val="110"/>
          <w:sz w:val="20"/>
        </w:rPr>
        <w:t>its intended successor body the Disclosure and Barring Service or any other body which in the future may assume the functions of either of these</w:t>
      </w:r>
      <w:r>
        <w:rPr>
          <w:rFonts w:ascii="Stone Sans II ITC Std Bk" w:hAnsi="Stone Sans II ITC Std Bk"/>
          <w:b/>
          <w:spacing w:val="-1"/>
          <w:w w:val="110"/>
          <w:sz w:val="20"/>
        </w:rPr>
        <w:t> </w:t>
      </w:r>
      <w:r>
        <w:rPr>
          <w:rFonts w:ascii="Stone Sans II ITC Std Bk" w:hAnsi="Stone Sans II ITC Std Bk"/>
          <w:b/>
          <w:spacing w:val="-3"/>
          <w:w w:val="110"/>
          <w:sz w:val="20"/>
        </w:rPr>
        <w:t>bodies”.</w:t>
      </w:r>
    </w:p>
    <w:p>
      <w:pPr>
        <w:pStyle w:val="BodyText"/>
        <w:spacing w:before="2"/>
        <w:rPr>
          <w:rFonts w:ascii="Stone Sans II ITC Std Bk"/>
          <w:b/>
          <w:sz w:val="17"/>
        </w:rPr>
      </w:pPr>
    </w:p>
    <w:p>
      <w:pPr>
        <w:spacing w:line="235" w:lineRule="auto" w:before="0"/>
        <w:ind w:left="1247" w:right="2242" w:firstLine="0"/>
        <w:jc w:val="both"/>
        <w:rPr>
          <w:i/>
          <w:sz w:val="20"/>
        </w:rPr>
      </w:pPr>
      <w:r>
        <w:rPr>
          <w:i/>
          <w:w w:val="110"/>
          <w:sz w:val="20"/>
        </w:rPr>
        <w:t>Section 87 of the Freedom of Information Act 2012 states that there is to be a body called the </w:t>
      </w:r>
      <w:r>
        <w:rPr>
          <w:i/>
          <w:w w:val="110"/>
          <w:sz w:val="20"/>
        </w:rPr>
        <w:t>Disclosure and Barring Service (DBS). Section 88 (1) states that the Secretary of State may by order transfer the functions of the ISA to the DBS and Section 88(4) states that he/she may by order provide for the dissolution of the ISA.</w:t>
      </w:r>
    </w:p>
    <w:p>
      <w:pPr>
        <w:pStyle w:val="BodyText"/>
        <w:spacing w:before="4"/>
        <w:rPr>
          <w:i/>
        </w:rPr>
      </w:pPr>
    </w:p>
    <w:p>
      <w:pPr>
        <w:spacing w:line="213" w:lineRule="auto" w:before="1"/>
        <w:ind w:left="1247" w:right="2254" w:firstLine="0"/>
        <w:jc w:val="both"/>
        <w:rPr>
          <w:sz w:val="20"/>
        </w:rPr>
      </w:pPr>
      <w:r>
        <w:rPr>
          <w:w w:val="115"/>
          <w:sz w:val="20"/>
        </w:rPr>
        <w:t>In the definition of </w:t>
      </w:r>
      <w:r>
        <w:rPr>
          <w:rFonts w:ascii="Stone Sans II ITC Std Bk" w:hAnsi="Stone Sans II ITC Std Bk"/>
          <w:b/>
          <w:w w:val="115"/>
          <w:sz w:val="20"/>
        </w:rPr>
        <w:t>“Synod Appointees” </w:t>
      </w:r>
      <w:r>
        <w:rPr>
          <w:w w:val="115"/>
          <w:sz w:val="20"/>
        </w:rPr>
        <w:t>at paragraph A.5, after the words </w:t>
      </w:r>
      <w:r>
        <w:rPr>
          <w:rFonts w:ascii="Stone Sans II ITC Std Bk" w:hAnsi="Stone Sans II ITC Std Bk"/>
          <w:b/>
          <w:w w:val="115"/>
          <w:sz w:val="20"/>
        </w:rPr>
        <w:t>“persons appointed” </w:t>
      </w:r>
      <w:r>
        <w:rPr>
          <w:w w:val="115"/>
          <w:sz w:val="20"/>
        </w:rPr>
        <w:t>insert the words </w:t>
      </w:r>
      <w:r>
        <w:rPr>
          <w:rFonts w:ascii="Stone Sans II ITC Std Bk" w:hAnsi="Stone Sans II ITC Std Bk"/>
          <w:b/>
          <w:w w:val="115"/>
          <w:sz w:val="20"/>
        </w:rPr>
        <w:t>“under Paragraph AA.2.1.1”</w:t>
      </w:r>
      <w:r>
        <w:rPr>
          <w:w w:val="115"/>
          <w:sz w:val="20"/>
        </w:rPr>
        <w:t>.</w:t>
      </w:r>
    </w:p>
    <w:p>
      <w:pPr>
        <w:pStyle w:val="BodyText"/>
        <w:spacing w:before="8"/>
        <w:rPr>
          <w:sz w:val="17"/>
        </w:rPr>
      </w:pPr>
    </w:p>
    <w:p>
      <w:pPr>
        <w:pStyle w:val="Heading9"/>
        <w:spacing w:line="255" w:lineRule="exact"/>
        <w:ind w:left="1247" w:firstLine="0"/>
      </w:pPr>
      <w:r>
        <w:rPr>
          <w:w w:val="110"/>
        </w:rPr>
        <w:t>A.5^, A.8*, AA.1.4, AA.2.1.2, AA.2.2, B.3.2*, B.3.3, B.3.4, B.3.5, E.4.2, E.5.3,</w:t>
      </w:r>
    </w:p>
    <w:p>
      <w:pPr>
        <w:spacing w:line="218" w:lineRule="auto" w:before="3"/>
        <w:ind w:left="1247" w:right="2167" w:firstLine="0"/>
        <w:jc w:val="left"/>
        <w:rPr>
          <w:i/>
          <w:sz w:val="20"/>
        </w:rPr>
      </w:pPr>
      <w:r>
        <w:rPr>
          <w:rFonts w:ascii="Stone Sans II ITC Std Bk" w:hAnsi="Stone Sans II ITC Std Bk"/>
          <w:b/>
          <w:w w:val="110"/>
          <w:sz w:val="20"/>
        </w:rPr>
        <w:t>F.6.1, G.1.2.2, G.10.2 </w:t>
      </w:r>
      <w:r>
        <w:rPr>
          <w:w w:val="110"/>
          <w:sz w:val="20"/>
        </w:rPr>
        <w:t>In all of these paragraphs replace the words </w:t>
      </w:r>
      <w:r>
        <w:rPr>
          <w:rFonts w:ascii="Stone Sans II ITC Std Bk" w:hAnsi="Stone Sans II ITC Std Bk"/>
          <w:b/>
          <w:w w:val="110"/>
          <w:sz w:val="20"/>
        </w:rPr>
        <w:t>“Deputy General Secretary” </w:t>
      </w:r>
      <w:r>
        <w:rPr>
          <w:w w:val="110"/>
          <w:sz w:val="20"/>
        </w:rPr>
        <w:t>with the words “</w:t>
      </w:r>
      <w:r>
        <w:rPr>
          <w:rFonts w:ascii="Stone Sans II ITC Std Bk" w:hAnsi="Stone Sans II ITC Std Bk"/>
          <w:b/>
          <w:w w:val="110"/>
          <w:sz w:val="20"/>
        </w:rPr>
        <w:t>General Assembly  Representative”</w:t>
      </w:r>
      <w:r>
        <w:rPr>
          <w:w w:val="110"/>
          <w:sz w:val="20"/>
        </w:rPr>
        <w:t>.  </w:t>
      </w:r>
      <w:r>
        <w:rPr>
          <w:i/>
          <w:w w:val="110"/>
          <w:sz w:val="20"/>
        </w:rPr>
        <w:t>^In  Paragraph  A.5 </w:t>
      </w:r>
      <w:r>
        <w:rPr>
          <w:i/>
          <w:w w:val="110"/>
          <w:sz w:val="20"/>
        </w:rPr>
        <w:t>the expression occurs in the definition of “Gross Misconduct. *In Paragraphs A.8 and B.3.2 the</w:t>
      </w:r>
    </w:p>
    <w:p>
      <w:pPr>
        <w:spacing w:line="235" w:lineRule="auto" w:before="4"/>
        <w:ind w:left="1247" w:right="2004" w:firstLine="0"/>
        <w:jc w:val="left"/>
        <w:rPr>
          <w:i/>
          <w:sz w:val="20"/>
        </w:rPr>
      </w:pPr>
      <w:r>
        <w:rPr>
          <w:i/>
          <w:w w:val="110"/>
          <w:sz w:val="20"/>
        </w:rPr>
        <w:t>expression occurs twice. The DGS is also referred to in Paragraphs F.2.3, G.13.4 and G.14.5 – but </w:t>
      </w:r>
      <w:r>
        <w:rPr>
          <w:i/>
          <w:w w:val="110"/>
          <w:sz w:val="20"/>
        </w:rPr>
        <w:t>see later as to those paragraphs.</w:t>
      </w:r>
    </w:p>
    <w:p>
      <w:pPr>
        <w:pStyle w:val="BodyText"/>
        <w:spacing w:before="7"/>
        <w:rPr>
          <w:i/>
          <w:sz w:val="19"/>
        </w:rPr>
      </w:pPr>
    </w:p>
    <w:p>
      <w:pPr>
        <w:pStyle w:val="BodyText"/>
        <w:tabs>
          <w:tab w:pos="3407" w:val="left" w:leader="none"/>
        </w:tabs>
        <w:spacing w:line="223" w:lineRule="auto" w:before="1"/>
        <w:ind w:left="1247" w:right="2167"/>
      </w:pPr>
      <w:r>
        <w:rPr>
          <w:rFonts w:ascii="Stone Sans II ITC Std Bk"/>
          <w:b/>
          <w:spacing w:val="-5"/>
          <w:w w:val="115"/>
        </w:rPr>
        <w:t>AA.2.1.1,</w:t>
      </w:r>
      <w:r>
        <w:rPr>
          <w:rFonts w:ascii="Stone Sans II ITC Std Bk"/>
          <w:b/>
          <w:spacing w:val="-28"/>
          <w:w w:val="115"/>
        </w:rPr>
        <w:t> </w:t>
      </w:r>
      <w:r>
        <w:rPr>
          <w:rFonts w:ascii="Stone Sans II ITC Std Bk"/>
          <w:b/>
          <w:w w:val="115"/>
        </w:rPr>
        <w:t>AA.2.1.2</w:t>
        <w:tab/>
      </w:r>
      <w:r>
        <w:rPr>
          <w:w w:val="120"/>
        </w:rPr>
        <w:t>Add the following words at the beginning of paragraphs </w:t>
      </w:r>
      <w:r>
        <w:rPr>
          <w:spacing w:val="-4"/>
          <w:w w:val="120"/>
        </w:rPr>
        <w:t>AA.2.1.1 </w:t>
      </w:r>
      <w:r>
        <w:rPr>
          <w:w w:val="120"/>
        </w:rPr>
        <w:t>and</w:t>
      </w:r>
      <w:r>
        <w:rPr>
          <w:spacing w:val="5"/>
          <w:w w:val="120"/>
        </w:rPr>
        <w:t> </w:t>
      </w:r>
      <w:r>
        <w:rPr>
          <w:w w:val="120"/>
        </w:rPr>
        <w:t>AA.2.1.2</w:t>
      </w:r>
      <w:r>
        <w:rPr>
          <w:spacing w:val="5"/>
          <w:w w:val="120"/>
        </w:rPr>
        <w:t> </w:t>
      </w:r>
      <w:r>
        <w:rPr>
          <w:w w:val="120"/>
        </w:rPr>
        <w:t>of</w:t>
      </w:r>
      <w:r>
        <w:rPr>
          <w:spacing w:val="5"/>
          <w:w w:val="120"/>
        </w:rPr>
        <w:t> </w:t>
      </w:r>
      <w:r>
        <w:rPr>
          <w:w w:val="120"/>
        </w:rPr>
        <w:t>the</w:t>
      </w:r>
      <w:r>
        <w:rPr>
          <w:spacing w:val="5"/>
          <w:w w:val="120"/>
        </w:rPr>
        <w:t> </w:t>
      </w:r>
      <w:r>
        <w:rPr>
          <w:w w:val="120"/>
        </w:rPr>
        <w:t>process</w:t>
      </w:r>
      <w:r>
        <w:rPr>
          <w:spacing w:val="5"/>
          <w:w w:val="120"/>
        </w:rPr>
        <w:t> </w:t>
      </w:r>
      <w:r>
        <w:rPr>
          <w:w w:val="120"/>
        </w:rPr>
        <w:t>to</w:t>
      </w:r>
      <w:r>
        <w:rPr>
          <w:spacing w:val="5"/>
          <w:w w:val="120"/>
        </w:rPr>
        <w:t> </w:t>
      </w:r>
      <w:r>
        <w:rPr>
          <w:w w:val="120"/>
        </w:rPr>
        <w:t>bring</w:t>
      </w:r>
      <w:r>
        <w:rPr>
          <w:spacing w:val="5"/>
          <w:w w:val="120"/>
        </w:rPr>
        <w:t> </w:t>
      </w:r>
      <w:r>
        <w:rPr>
          <w:w w:val="120"/>
        </w:rPr>
        <w:t>those</w:t>
      </w:r>
      <w:r>
        <w:rPr>
          <w:spacing w:val="5"/>
          <w:w w:val="120"/>
        </w:rPr>
        <w:t> </w:t>
      </w:r>
      <w:r>
        <w:rPr>
          <w:w w:val="120"/>
        </w:rPr>
        <w:t>paragraphs</w:t>
      </w:r>
      <w:r>
        <w:rPr>
          <w:spacing w:val="5"/>
          <w:w w:val="120"/>
        </w:rPr>
        <w:t> </w:t>
      </w:r>
      <w:r>
        <w:rPr>
          <w:w w:val="120"/>
        </w:rPr>
        <w:t>into</w:t>
      </w:r>
      <w:r>
        <w:rPr>
          <w:spacing w:val="5"/>
          <w:w w:val="120"/>
        </w:rPr>
        <w:t> </w:t>
      </w:r>
      <w:r>
        <w:rPr>
          <w:w w:val="120"/>
        </w:rPr>
        <w:t>line</w:t>
      </w:r>
      <w:r>
        <w:rPr>
          <w:spacing w:val="5"/>
          <w:w w:val="120"/>
        </w:rPr>
        <w:t> </w:t>
      </w:r>
      <w:r>
        <w:rPr>
          <w:w w:val="120"/>
        </w:rPr>
        <w:t>with</w:t>
      </w:r>
      <w:r>
        <w:rPr>
          <w:spacing w:val="6"/>
          <w:w w:val="120"/>
        </w:rPr>
        <w:t> </w:t>
      </w:r>
      <w:r>
        <w:rPr>
          <w:spacing w:val="-6"/>
          <w:w w:val="120"/>
        </w:rPr>
        <w:t>B.3.1</w:t>
      </w:r>
      <w:r>
        <w:rPr>
          <w:spacing w:val="5"/>
          <w:w w:val="120"/>
        </w:rPr>
        <w:t> </w:t>
      </w:r>
      <w:r>
        <w:rPr>
          <w:w w:val="120"/>
        </w:rPr>
        <w:t>and</w:t>
      </w:r>
      <w:r>
        <w:rPr>
          <w:spacing w:val="5"/>
          <w:w w:val="120"/>
        </w:rPr>
        <w:t> </w:t>
      </w:r>
      <w:r>
        <w:rPr>
          <w:w w:val="120"/>
        </w:rPr>
        <w:t>B.3.2:-</w:t>
      </w:r>
    </w:p>
    <w:p>
      <w:pPr>
        <w:pStyle w:val="BodyText"/>
        <w:spacing w:before="5"/>
      </w:pPr>
    </w:p>
    <w:p>
      <w:pPr>
        <w:pStyle w:val="Heading9"/>
        <w:tabs>
          <w:tab w:pos="2687" w:val="left" w:leader="none"/>
        </w:tabs>
        <w:spacing w:line="213" w:lineRule="auto"/>
        <w:ind w:left="1247" w:right="2412" w:firstLine="0"/>
      </w:pPr>
      <w:r>
        <w:rPr>
          <w:spacing w:val="-3"/>
          <w:w w:val="110"/>
        </w:rPr>
        <w:t>AA.2.1.1</w:t>
        <w:tab/>
      </w:r>
      <w:r>
        <w:rPr>
          <w:w w:val="110"/>
        </w:rPr>
        <w:t>“In disciplinary cases arising under Paragraph </w:t>
      </w:r>
      <w:r>
        <w:rPr>
          <w:spacing w:val="-6"/>
          <w:w w:val="110"/>
        </w:rPr>
        <w:t>2(4)(A)(xvii) </w:t>
      </w:r>
      <w:r>
        <w:rPr>
          <w:w w:val="110"/>
        </w:rPr>
        <w:t>of the Structure </w:t>
      </w:r>
      <w:r>
        <w:rPr>
          <w:spacing w:val="-4"/>
          <w:w w:val="110"/>
        </w:rPr>
        <w:t>(Synods) </w:t>
      </w:r>
      <w:r>
        <w:rPr>
          <w:w w:val="110"/>
        </w:rPr>
        <w:t>in respect of any Minister in membership or under the authority of the Synod in</w:t>
      </w:r>
      <w:r>
        <w:rPr>
          <w:spacing w:val="-2"/>
          <w:w w:val="110"/>
        </w:rPr>
        <w:t> </w:t>
      </w:r>
      <w:r>
        <w:rPr>
          <w:w w:val="110"/>
        </w:rPr>
        <w:t>question,….”</w:t>
      </w:r>
    </w:p>
    <w:p>
      <w:pPr>
        <w:pStyle w:val="BodyText"/>
        <w:spacing w:before="8"/>
        <w:rPr>
          <w:rFonts w:ascii="Stone Sans II ITC Std Bk"/>
          <w:b/>
          <w:sz w:val="17"/>
        </w:rPr>
      </w:pPr>
    </w:p>
    <w:p>
      <w:pPr>
        <w:tabs>
          <w:tab w:pos="2687" w:val="left" w:leader="none"/>
        </w:tabs>
        <w:spacing w:line="213" w:lineRule="auto" w:before="0"/>
        <w:ind w:left="1247" w:right="2135" w:firstLine="0"/>
        <w:jc w:val="left"/>
        <w:rPr>
          <w:rFonts w:ascii="Stone Sans II ITC Std Bk" w:hAnsi="Stone Sans II ITC Std Bk"/>
          <w:b/>
          <w:sz w:val="20"/>
        </w:rPr>
      </w:pPr>
      <w:r>
        <w:rPr>
          <w:rFonts w:ascii="Stone Sans II ITC Std Bk" w:hAnsi="Stone Sans II ITC Std Bk"/>
          <w:b/>
          <w:w w:val="110"/>
          <w:sz w:val="20"/>
        </w:rPr>
        <w:t>AA.2.1.2</w:t>
        <w:tab/>
        <w:t>“In disciplinary cases arising under Paragraph </w:t>
      </w:r>
      <w:r>
        <w:rPr>
          <w:rFonts w:ascii="Stone Sans II ITC Std Bk" w:hAnsi="Stone Sans II ITC Std Bk"/>
          <w:b/>
          <w:spacing w:val="-5"/>
          <w:w w:val="110"/>
          <w:sz w:val="20"/>
        </w:rPr>
        <w:t>2(6)(A)(xxiii) </w:t>
      </w:r>
      <w:r>
        <w:rPr>
          <w:rFonts w:ascii="Stone Sans II ITC Std Bk" w:hAnsi="Stone Sans II ITC Std Bk"/>
          <w:b/>
          <w:w w:val="110"/>
          <w:sz w:val="20"/>
        </w:rPr>
        <w:t>of the Structure General Assembly </w:t>
      </w:r>
      <w:r>
        <w:rPr>
          <w:rFonts w:ascii="Stone Sans II ITC Std Bk" w:hAnsi="Stone Sans II ITC Std Bk"/>
          <w:b/>
          <w:spacing w:val="-5"/>
          <w:w w:val="110"/>
          <w:sz w:val="20"/>
        </w:rPr>
        <w:t>(or </w:t>
      </w:r>
      <w:r>
        <w:rPr>
          <w:rFonts w:ascii="Stone Sans II ITC Std Bk" w:hAnsi="Stone Sans II ITC Std Bk"/>
          <w:b/>
          <w:w w:val="110"/>
          <w:sz w:val="20"/>
        </w:rPr>
        <w:t>Mission Council on its</w:t>
      </w:r>
      <w:r>
        <w:rPr>
          <w:rFonts w:ascii="Stone Sans II ITC Std Bk" w:hAnsi="Stone Sans II ITC Std Bk"/>
          <w:b/>
          <w:spacing w:val="6"/>
          <w:w w:val="110"/>
          <w:sz w:val="20"/>
        </w:rPr>
        <w:t> </w:t>
      </w:r>
      <w:r>
        <w:rPr>
          <w:rFonts w:ascii="Stone Sans II ITC Std Bk" w:hAnsi="Stone Sans II ITC Std Bk"/>
          <w:b/>
          <w:w w:val="110"/>
          <w:sz w:val="20"/>
        </w:rPr>
        <w:t>behalf)….”</w:t>
      </w:r>
    </w:p>
    <w:p>
      <w:pPr>
        <w:pStyle w:val="BodyText"/>
        <w:spacing w:before="9"/>
        <w:rPr>
          <w:rFonts w:ascii="Stone Sans II ITC Std Bk"/>
          <w:b/>
          <w:sz w:val="17"/>
        </w:rPr>
      </w:pPr>
    </w:p>
    <w:p>
      <w:pPr>
        <w:spacing w:line="213" w:lineRule="auto" w:before="0"/>
        <w:ind w:left="1247" w:right="2442" w:firstLine="0"/>
        <w:jc w:val="left"/>
        <w:rPr>
          <w:rFonts w:ascii="Stone Sans II ITC Std Bk" w:hAnsi="Stone Sans II ITC Std Bk"/>
          <w:b/>
          <w:sz w:val="20"/>
        </w:rPr>
      </w:pPr>
      <w:r>
        <w:rPr>
          <w:w w:val="110"/>
          <w:sz w:val="20"/>
        </w:rPr>
        <w:t>Also at the end of paragraph  AA.2.1.2  replace  the  words  </w:t>
      </w:r>
      <w:r>
        <w:rPr>
          <w:rFonts w:ascii="Stone Sans II ITC Std Bk" w:hAnsi="Stone Sans II ITC Std Bk"/>
          <w:b/>
          <w:w w:val="110"/>
          <w:sz w:val="20"/>
        </w:rPr>
        <w:t>“Synod  Appointees  in that case” </w:t>
      </w:r>
      <w:r>
        <w:rPr>
          <w:w w:val="110"/>
          <w:sz w:val="20"/>
        </w:rPr>
        <w:t>with the words </w:t>
      </w:r>
      <w:r>
        <w:rPr>
          <w:rFonts w:ascii="Stone Sans II ITC Std Bk" w:hAnsi="Stone Sans II ITC Std Bk"/>
          <w:b/>
          <w:w w:val="110"/>
          <w:sz w:val="20"/>
        </w:rPr>
        <w:t>“General Assembly Appointees in that case. </w:t>
      </w:r>
      <w:r>
        <w:rPr>
          <w:rFonts w:ascii="Stone Sans II ITC Std Bk" w:hAnsi="Stone Sans II ITC Std Bk"/>
          <w:b/>
          <w:spacing w:val="3"/>
          <w:w w:val="110"/>
          <w:sz w:val="20"/>
        </w:rPr>
        <w:t>As </w:t>
      </w:r>
      <w:r>
        <w:rPr>
          <w:rFonts w:ascii="Stone Sans II ITC Std Bk" w:hAnsi="Stone Sans II ITC Std Bk"/>
          <w:b/>
          <w:w w:val="110"/>
          <w:sz w:val="20"/>
        </w:rPr>
        <w:t>their functions will be the same as those of the Synod Appointees in a case arising under Paragraph </w:t>
      </w:r>
      <w:r>
        <w:rPr>
          <w:rFonts w:ascii="Stone Sans II ITC Std Bk" w:hAnsi="Stone Sans II ITC Std Bk"/>
          <w:b/>
          <w:spacing w:val="-5"/>
          <w:w w:val="110"/>
          <w:sz w:val="20"/>
        </w:rPr>
        <w:t>AA.2.1.1, </w:t>
      </w:r>
      <w:r>
        <w:rPr>
          <w:rFonts w:ascii="Stone Sans II ITC Std Bk" w:hAnsi="Stone Sans II ITC Std Bk"/>
          <w:b/>
          <w:w w:val="110"/>
          <w:sz w:val="20"/>
        </w:rPr>
        <w:t>the expression “Synod Appointees” shall in a</w:t>
      </w:r>
      <w:r>
        <w:rPr>
          <w:rFonts w:ascii="Stone Sans II ITC Std Bk" w:hAnsi="Stone Sans II ITC Std Bk"/>
          <w:b/>
          <w:spacing w:val="17"/>
          <w:w w:val="110"/>
          <w:sz w:val="20"/>
        </w:rPr>
        <w:t> </w:t>
      </w:r>
      <w:r>
        <w:rPr>
          <w:rFonts w:ascii="Stone Sans II ITC Std Bk" w:hAnsi="Stone Sans II ITC Std Bk"/>
          <w:b/>
          <w:w w:val="110"/>
          <w:sz w:val="20"/>
        </w:rPr>
        <w:t>case</w:t>
      </w:r>
    </w:p>
    <w:p>
      <w:pPr>
        <w:pStyle w:val="Heading9"/>
        <w:spacing w:line="245" w:lineRule="exact"/>
        <w:ind w:left="1247" w:firstLine="0"/>
      </w:pPr>
      <w:r>
        <w:rPr>
          <w:w w:val="110"/>
        </w:rPr>
        <w:t>arising under this Paragraph be taken to include General Assembly Appointees.”</w:t>
      </w:r>
    </w:p>
    <w:p>
      <w:pPr>
        <w:spacing w:after="0" w:line="245" w:lineRule="exact"/>
        <w:sectPr>
          <w:type w:val="continuous"/>
          <w:pgSz w:w="11910" w:h="16840"/>
          <w:pgMar w:top="680" w:bottom="280" w:left="0" w:right="0"/>
        </w:sectPr>
      </w:pPr>
    </w:p>
    <w:p>
      <w:pPr>
        <w:pStyle w:val="BodyText"/>
        <w:rPr>
          <w:rFonts w:ascii="Stone Sans II ITC Std Bk"/>
          <w:b/>
        </w:rPr>
      </w:pPr>
      <w:r>
        <w:rPr/>
        <w:drawing>
          <wp:anchor distT="0" distB="0" distL="0" distR="0" allowOverlap="1" layoutInCell="1" locked="0" behindDoc="0" simplePos="0" relativeHeight="251731968">
            <wp:simplePos x="0" y="0"/>
            <wp:positionH relativeFrom="page">
              <wp:posOffset>6974928</wp:posOffset>
            </wp:positionH>
            <wp:positionV relativeFrom="page">
              <wp:posOffset>0</wp:posOffset>
            </wp:positionV>
            <wp:extent cx="585076" cy="10692003"/>
            <wp:effectExtent l="0" t="0" r="0" b="0"/>
            <wp:wrapNone/>
            <wp:docPr id="39" name="image23.png"/>
            <wp:cNvGraphicFramePr>
              <a:graphicFrameLocks noChangeAspect="1"/>
            </wp:cNvGraphicFramePr>
            <a:graphic>
              <a:graphicData uri="http://schemas.openxmlformats.org/drawingml/2006/picture">
                <pic:pic>
                  <pic:nvPicPr>
                    <pic:cNvPr id="40" name="image23.png"/>
                    <pic:cNvPicPr/>
                  </pic:nvPicPr>
                  <pic:blipFill>
                    <a:blip r:embed="rId35" cstate="print"/>
                    <a:stretch>
                      <a:fillRect/>
                    </a:stretch>
                  </pic:blipFill>
                  <pic:spPr>
                    <a:xfrm>
                      <a:off x="0" y="0"/>
                      <a:ext cx="585076" cy="10692003"/>
                    </a:xfrm>
                    <a:prstGeom prst="rect">
                      <a:avLst/>
                    </a:prstGeom>
                  </pic:spPr>
                </pic:pic>
              </a:graphicData>
            </a:graphic>
          </wp:anchor>
        </w:drawing>
      </w:r>
    </w:p>
    <w:p>
      <w:pPr>
        <w:pStyle w:val="BodyText"/>
        <w:spacing w:before="7"/>
        <w:rPr>
          <w:rFonts w:ascii="Stone Sans II ITC Std Bk"/>
          <w:b/>
          <w:sz w:val="17"/>
        </w:rPr>
      </w:pPr>
    </w:p>
    <w:p>
      <w:pPr>
        <w:spacing w:before="107"/>
        <w:ind w:left="0" w:right="1245" w:firstLine="0"/>
        <w:jc w:val="right"/>
        <w:rPr>
          <w:sz w:val="26"/>
        </w:rPr>
      </w:pPr>
      <w:r>
        <w:rPr/>
        <w:pict>
          <v:shape style="position:absolute;margin-left:554.141174pt;margin-top:22.643946pt;width:25.9pt;height:163.2pt;mso-position-horizontal-relative:page;mso-position-vertical-relative:paragraph;z-index:251732992" type="#_x0000_t202" filled="false" stroked="false">
            <v:textbox inset="0,0,0,0" style="layout-flow:vertical">
              <w:txbxContent>
                <w:p>
                  <w:pPr>
                    <w:spacing w:before="27"/>
                    <w:ind w:left="20" w:right="0" w:firstLine="0"/>
                    <w:jc w:val="left"/>
                    <w:rPr>
                      <w:sz w:val="39"/>
                    </w:rPr>
                  </w:pPr>
                  <w:r>
                    <w:rPr>
                      <w:color w:val="FFFFFF"/>
                      <w:w w:val="125"/>
                      <w:sz w:val="39"/>
                    </w:rPr>
                    <w:t>Mission Council</w:t>
                  </w:r>
                </w:p>
              </w:txbxContent>
            </v:textbox>
            <w10:wrap type="none"/>
          </v:shape>
        </w:pict>
      </w:r>
      <w:r>
        <w:rPr>
          <w:color w:val="7EAABF"/>
          <w:w w:val="120"/>
          <w:sz w:val="26"/>
        </w:rPr>
        <w:t>Mission Council</w:t>
      </w:r>
    </w:p>
    <w:p>
      <w:pPr>
        <w:spacing w:line="235" w:lineRule="auto" w:before="221"/>
        <w:ind w:left="1984" w:right="2004" w:firstLine="0"/>
        <w:jc w:val="left"/>
        <w:rPr>
          <w:i/>
          <w:sz w:val="20"/>
        </w:rPr>
      </w:pPr>
      <w:r>
        <w:rPr>
          <w:i/>
          <w:w w:val="110"/>
          <w:sz w:val="20"/>
        </w:rPr>
        <w:t>The persons appointed under this paragraph are not appointed by Synod but by General </w:t>
      </w:r>
      <w:r>
        <w:rPr>
          <w:i/>
          <w:w w:val="110"/>
          <w:sz w:val="20"/>
        </w:rPr>
        <w:t>Assembly. Hence the need to change the wording as above.</w:t>
      </w:r>
    </w:p>
    <w:p>
      <w:pPr>
        <w:pStyle w:val="BodyText"/>
        <w:spacing w:before="3"/>
        <w:rPr>
          <w:i/>
        </w:rPr>
      </w:pPr>
    </w:p>
    <w:p>
      <w:pPr>
        <w:spacing w:line="213" w:lineRule="auto" w:before="0"/>
        <w:ind w:left="1984" w:right="1352" w:firstLine="0"/>
        <w:jc w:val="left"/>
        <w:rPr>
          <w:rFonts w:ascii="Stone Sans II ITC Std Bk" w:hAnsi="Stone Sans II ITC Std Bk"/>
          <w:b/>
          <w:sz w:val="20"/>
        </w:rPr>
      </w:pPr>
      <w:r>
        <w:rPr>
          <w:w w:val="110"/>
          <w:sz w:val="20"/>
        </w:rPr>
        <w:t>AA.2.4 Replace the words </w:t>
      </w:r>
      <w:r>
        <w:rPr>
          <w:rFonts w:ascii="Stone Sans II ITC Std Bk" w:hAnsi="Stone Sans II ITC Std Bk"/>
          <w:b/>
          <w:w w:val="110"/>
          <w:sz w:val="20"/>
        </w:rPr>
        <w:t>“both the Synod Appointees and the minister” </w:t>
      </w:r>
      <w:r>
        <w:rPr>
          <w:w w:val="110"/>
          <w:sz w:val="20"/>
        </w:rPr>
        <w:t>with the words </w:t>
      </w:r>
      <w:r>
        <w:rPr>
          <w:rFonts w:ascii="Stone Sans II ITC Std Bk" w:hAnsi="Stone Sans II ITC Std Bk"/>
          <w:b/>
          <w:w w:val="110"/>
          <w:sz w:val="20"/>
        </w:rPr>
        <w:t>“the Synod Appointees”.</w:t>
      </w:r>
    </w:p>
    <w:p>
      <w:pPr>
        <w:pStyle w:val="BodyText"/>
        <w:spacing w:before="9"/>
        <w:rPr>
          <w:rFonts w:ascii="Stone Sans II ITC Std Bk"/>
          <w:b/>
          <w:sz w:val="17"/>
        </w:rPr>
      </w:pPr>
    </w:p>
    <w:p>
      <w:pPr>
        <w:spacing w:line="213" w:lineRule="auto" w:before="0"/>
        <w:ind w:left="1984" w:right="1352" w:firstLine="0"/>
        <w:jc w:val="left"/>
        <w:rPr>
          <w:sz w:val="20"/>
        </w:rPr>
      </w:pPr>
      <w:r>
        <w:rPr>
          <w:w w:val="115"/>
          <w:sz w:val="20"/>
        </w:rPr>
        <w:t>AA.2.6 Replace the words </w:t>
      </w:r>
      <w:r>
        <w:rPr>
          <w:rFonts w:ascii="Stone Sans II ITC Std Bk" w:hAnsi="Stone Sans II ITC Std Bk"/>
          <w:b/>
          <w:w w:val="115"/>
          <w:sz w:val="20"/>
        </w:rPr>
        <w:t>“It should also be noted that...” </w:t>
      </w:r>
      <w:r>
        <w:rPr>
          <w:w w:val="115"/>
          <w:sz w:val="20"/>
        </w:rPr>
        <w:t>at the beginning of the second sentence with the word </w:t>
      </w:r>
      <w:r>
        <w:rPr>
          <w:rFonts w:ascii="Stone Sans II ITC Std Bk" w:hAnsi="Stone Sans II ITC Std Bk"/>
          <w:b/>
          <w:w w:val="115"/>
          <w:sz w:val="20"/>
        </w:rPr>
        <w:t>“Also...”</w:t>
      </w:r>
      <w:r>
        <w:rPr>
          <w:w w:val="115"/>
          <w:sz w:val="20"/>
        </w:rPr>
        <w:t>.</w:t>
      </w:r>
    </w:p>
    <w:p>
      <w:pPr>
        <w:pStyle w:val="BodyText"/>
        <w:spacing w:before="9"/>
        <w:rPr>
          <w:sz w:val="17"/>
        </w:rPr>
      </w:pPr>
    </w:p>
    <w:p>
      <w:pPr>
        <w:spacing w:before="0"/>
        <w:ind w:left="1984" w:right="0" w:firstLine="0"/>
        <w:jc w:val="left"/>
        <w:rPr>
          <w:sz w:val="20"/>
        </w:rPr>
      </w:pPr>
      <w:r>
        <w:rPr>
          <w:w w:val="115"/>
          <w:sz w:val="20"/>
        </w:rPr>
        <w:t>AA.9.3 Insert the word </w:t>
      </w:r>
      <w:r>
        <w:rPr>
          <w:rFonts w:ascii="Stone Sans II ITC Std Bk" w:hAnsi="Stone Sans II ITC Std Bk"/>
          <w:b/>
          <w:w w:val="115"/>
          <w:sz w:val="20"/>
        </w:rPr>
        <w:t>“a” </w:t>
      </w:r>
      <w:r>
        <w:rPr>
          <w:w w:val="115"/>
          <w:sz w:val="20"/>
        </w:rPr>
        <w:t>before </w:t>
      </w:r>
      <w:r>
        <w:rPr>
          <w:rFonts w:ascii="Stone Sans II ITC Std Bk" w:hAnsi="Stone Sans II ITC Std Bk"/>
          <w:b/>
          <w:w w:val="115"/>
          <w:sz w:val="20"/>
        </w:rPr>
        <w:t>“Mandated Group”</w:t>
      </w:r>
      <w:r>
        <w:rPr>
          <w:w w:val="115"/>
          <w:sz w:val="20"/>
        </w:rPr>
        <w:t>.</w:t>
      </w:r>
    </w:p>
    <w:p>
      <w:pPr>
        <w:pStyle w:val="BodyText"/>
        <w:spacing w:before="2"/>
        <w:rPr>
          <w:sz w:val="18"/>
        </w:rPr>
      </w:pPr>
    </w:p>
    <w:p>
      <w:pPr>
        <w:pStyle w:val="BodyText"/>
        <w:ind w:left="1984"/>
      </w:pPr>
      <w:r>
        <w:rPr>
          <w:w w:val="120"/>
        </w:rPr>
        <w:t>AA.12 Insert the following additional paragraphs at the end of Section AA:-</w:t>
      </w:r>
    </w:p>
    <w:p>
      <w:pPr>
        <w:pStyle w:val="BodyText"/>
        <w:spacing w:before="2"/>
      </w:pPr>
    </w:p>
    <w:p>
      <w:pPr>
        <w:pStyle w:val="Heading9"/>
        <w:spacing w:line="213" w:lineRule="auto"/>
        <w:ind w:left="1984" w:right="1419" w:firstLine="0"/>
      </w:pPr>
      <w:r>
        <w:rPr/>
        <w:pict>
          <v:shape style="position:absolute;margin-left:554.141174pt;margin-top:7.667429pt;width:25.9pt;height:149.050pt;mso-position-horizontal-relative:page;mso-position-vertical-relative:paragraph;z-index:251734016" type="#_x0000_t202" filled="false" stroked="false">
            <v:textbox inset="0,0,0,0" style="layout-flow:vertical">
              <w:txbxContent>
                <w:p>
                  <w:pPr>
                    <w:spacing w:before="27"/>
                    <w:ind w:left="20" w:right="0" w:firstLine="0"/>
                    <w:jc w:val="left"/>
                    <w:rPr>
                      <w:sz w:val="39"/>
                    </w:rPr>
                  </w:pPr>
                  <w:r>
                    <w:rPr>
                      <w:color w:val="FFFFFF"/>
                      <w:w w:val="125"/>
                      <w:sz w:val="39"/>
                    </w:rPr>
                    <w:t>– </w:t>
                  </w:r>
                  <w:r>
                    <w:rPr>
                      <w:w w:val="125"/>
                      <w:sz w:val="39"/>
                    </w:rPr>
                    <w:t>Appendix 4a</w:t>
                  </w:r>
                </w:p>
              </w:txbxContent>
            </v:textbox>
            <w10:wrap type="none"/>
          </v:shape>
        </w:pict>
      </w:r>
      <w:r>
        <w:rPr>
          <w:spacing w:val="-6"/>
          <w:w w:val="110"/>
        </w:rPr>
        <w:t>“AA.12.1  </w:t>
      </w:r>
      <w:r>
        <w:rPr>
          <w:w w:val="110"/>
        </w:rPr>
        <w:t>Where the Synod Appointees become aware that </w:t>
      </w:r>
      <w:r>
        <w:rPr>
          <w:spacing w:val="-3"/>
          <w:w w:val="110"/>
        </w:rPr>
        <w:t>(i) </w:t>
      </w:r>
      <w:r>
        <w:rPr>
          <w:w w:val="110"/>
        </w:rPr>
        <w:t>the minister is the subject of a criminal charge for an alleged offence falling into any of the categories set out in Paragraph </w:t>
      </w:r>
      <w:r>
        <w:rPr>
          <w:spacing w:val="-4"/>
          <w:w w:val="110"/>
        </w:rPr>
        <w:t>E.7.2 </w:t>
      </w:r>
      <w:r>
        <w:rPr>
          <w:w w:val="110"/>
        </w:rPr>
        <w:t>or </w:t>
      </w:r>
      <w:r>
        <w:rPr>
          <w:spacing w:val="-3"/>
          <w:w w:val="110"/>
        </w:rPr>
        <w:t>(ii) </w:t>
      </w:r>
      <w:r>
        <w:rPr>
          <w:w w:val="110"/>
        </w:rPr>
        <w:t>information has been laid before the Police which may result in a criminal charge being brought against him/ </w:t>
      </w:r>
      <w:r>
        <w:rPr>
          <w:spacing w:val="-4"/>
          <w:w w:val="110"/>
        </w:rPr>
        <w:t>her, </w:t>
      </w:r>
      <w:r>
        <w:rPr>
          <w:w w:val="110"/>
        </w:rPr>
        <w:t>in either such event the Synod Appointees shall adjourn their own enquiry and consult the Synod Moderator or other person who initiated the Caution Stage who </w:t>
      </w:r>
      <w:r>
        <w:rPr>
          <w:spacing w:val="-4"/>
          <w:w w:val="110"/>
        </w:rPr>
        <w:t>may, </w:t>
      </w:r>
      <w:r>
        <w:rPr>
          <w:w w:val="110"/>
        </w:rPr>
        <w:t>on the basis of such information, conclude the Caution Stage  in accordance with Paragraph </w:t>
      </w:r>
      <w:r>
        <w:rPr>
          <w:spacing w:val="-3"/>
          <w:w w:val="110"/>
        </w:rPr>
        <w:t>AA.1.3 </w:t>
      </w:r>
      <w:r>
        <w:rPr>
          <w:w w:val="110"/>
        </w:rPr>
        <w:t>and call in a Mandated Group whereupon the case would be governed by the later Sections of this Process. In the event that the Caution Stage is not so concluded, the Synod Appointees’ enquiry</w:t>
      </w:r>
      <w:r>
        <w:rPr>
          <w:spacing w:val="10"/>
          <w:w w:val="110"/>
        </w:rPr>
        <w:t> </w:t>
      </w:r>
      <w:r>
        <w:rPr>
          <w:w w:val="110"/>
        </w:rPr>
        <w:t>will</w:t>
      </w:r>
    </w:p>
    <w:p>
      <w:pPr>
        <w:spacing w:line="213" w:lineRule="auto" w:before="0"/>
        <w:ind w:left="1984" w:right="1301" w:firstLine="0"/>
        <w:jc w:val="left"/>
        <w:rPr>
          <w:rFonts w:ascii="Stone Sans II ITC Std Bk"/>
          <w:b/>
          <w:sz w:val="20"/>
        </w:rPr>
      </w:pPr>
      <w:r>
        <w:rPr>
          <w:rFonts w:ascii="Stone Sans II ITC Std Bk"/>
          <w:b/>
          <w:w w:val="110"/>
          <w:sz w:val="20"/>
        </w:rPr>
        <w:t>remain adjourned pending the verdict of the criminal courts (whether or not on appeal) on the charges brought against the minister or the withdrawal of the charge (in relation to alternative (i) above) or the notification that no charge is to be brought (in relation to alternative (ii) above).</w:t>
      </w:r>
    </w:p>
    <w:p>
      <w:pPr>
        <w:pStyle w:val="BodyText"/>
        <w:spacing w:before="1"/>
        <w:rPr>
          <w:rFonts w:ascii="Stone Sans II ITC Std Bk"/>
          <w:b/>
          <w:sz w:val="17"/>
        </w:rPr>
      </w:pPr>
    </w:p>
    <w:p>
      <w:pPr>
        <w:spacing w:line="213" w:lineRule="auto" w:before="0"/>
        <w:ind w:left="1984" w:right="1352" w:firstLine="0"/>
        <w:jc w:val="left"/>
        <w:rPr>
          <w:rFonts w:ascii="Stone Sans II ITC Std Bk" w:hAnsi="Stone Sans II ITC Std Bk"/>
          <w:b/>
          <w:sz w:val="20"/>
        </w:rPr>
      </w:pPr>
      <w:r>
        <w:rPr>
          <w:rFonts w:ascii="Stone Sans II ITC Std Bk" w:hAnsi="Stone Sans II ITC Std Bk"/>
          <w:b/>
          <w:w w:val="110"/>
          <w:sz w:val="20"/>
        </w:rPr>
        <w:t>AA.12.2 In cases where Paragraph AA.12.1 applies but where Paragraph AA.1.3 is not invoked, the Synod Appointees may themselves monitor the criminal proceedings, but shall otherwise for the period specified in Paragraph AA.12.1 suspend their own enquiry.”</w:t>
      </w:r>
    </w:p>
    <w:p>
      <w:pPr>
        <w:pStyle w:val="BodyText"/>
        <w:spacing w:before="12"/>
        <w:rPr>
          <w:rFonts w:ascii="Stone Sans II ITC Std Bk"/>
          <w:b/>
          <w:sz w:val="16"/>
        </w:rPr>
      </w:pPr>
    </w:p>
    <w:p>
      <w:pPr>
        <w:pStyle w:val="ListParagraph"/>
        <w:numPr>
          <w:ilvl w:val="2"/>
          <w:numId w:val="11"/>
        </w:numPr>
        <w:tabs>
          <w:tab w:pos="2468" w:val="left" w:leader="none"/>
          <w:tab w:pos="3424" w:val="left" w:leader="none"/>
        </w:tabs>
        <w:spacing w:line="223" w:lineRule="auto" w:before="1" w:after="0"/>
        <w:ind w:left="1984" w:right="1333" w:firstLine="0"/>
        <w:jc w:val="left"/>
        <w:rPr>
          <w:sz w:val="20"/>
        </w:rPr>
      </w:pPr>
      <w:r>
        <w:rPr>
          <w:w w:val="120"/>
          <w:sz w:val="20"/>
        </w:rPr>
        <w:t>,</w:t>
      </w:r>
      <w:r>
        <w:rPr>
          <w:spacing w:val="8"/>
          <w:w w:val="120"/>
          <w:sz w:val="20"/>
        </w:rPr>
        <w:t> </w:t>
      </w:r>
      <w:r>
        <w:rPr>
          <w:w w:val="120"/>
          <w:sz w:val="20"/>
        </w:rPr>
        <w:t>B.3.2</w:t>
        <w:tab/>
        <w:t>Insert</w:t>
      </w:r>
      <w:r>
        <w:rPr>
          <w:spacing w:val="-15"/>
          <w:w w:val="120"/>
          <w:sz w:val="20"/>
        </w:rPr>
        <w:t> </w:t>
      </w:r>
      <w:r>
        <w:rPr>
          <w:w w:val="120"/>
          <w:sz w:val="20"/>
        </w:rPr>
        <w:t>the</w:t>
      </w:r>
      <w:r>
        <w:rPr>
          <w:spacing w:val="-15"/>
          <w:w w:val="120"/>
          <w:sz w:val="20"/>
        </w:rPr>
        <w:t> </w:t>
      </w:r>
      <w:r>
        <w:rPr>
          <w:w w:val="120"/>
          <w:sz w:val="20"/>
        </w:rPr>
        <w:t>word</w:t>
      </w:r>
      <w:r>
        <w:rPr>
          <w:spacing w:val="-15"/>
          <w:w w:val="120"/>
          <w:sz w:val="20"/>
        </w:rPr>
        <w:t> </w:t>
      </w:r>
      <w:r>
        <w:rPr>
          <w:rFonts w:ascii="Stone Sans II ITC Std Bk" w:hAnsi="Stone Sans II ITC Std Bk"/>
          <w:b/>
          <w:w w:val="120"/>
          <w:sz w:val="20"/>
        </w:rPr>
        <w:t>“disciplinary”</w:t>
      </w:r>
      <w:r>
        <w:rPr>
          <w:rFonts w:ascii="Stone Sans II ITC Std Bk" w:hAnsi="Stone Sans II ITC Std Bk"/>
          <w:b/>
          <w:spacing w:val="-23"/>
          <w:w w:val="120"/>
          <w:sz w:val="20"/>
        </w:rPr>
        <w:t> </w:t>
      </w:r>
      <w:r>
        <w:rPr>
          <w:w w:val="120"/>
          <w:sz w:val="20"/>
        </w:rPr>
        <w:t>before</w:t>
      </w:r>
      <w:r>
        <w:rPr>
          <w:spacing w:val="-15"/>
          <w:w w:val="120"/>
          <w:sz w:val="20"/>
        </w:rPr>
        <w:t> </w:t>
      </w:r>
      <w:r>
        <w:rPr>
          <w:rFonts w:ascii="Stone Sans II ITC Std Bk" w:hAnsi="Stone Sans II ITC Std Bk"/>
          <w:b/>
          <w:w w:val="120"/>
          <w:sz w:val="20"/>
        </w:rPr>
        <w:t>“cases”</w:t>
      </w:r>
      <w:r>
        <w:rPr>
          <w:rFonts w:ascii="Stone Sans II ITC Std Bk" w:hAnsi="Stone Sans II ITC Std Bk"/>
          <w:b/>
          <w:spacing w:val="-23"/>
          <w:w w:val="120"/>
          <w:sz w:val="20"/>
        </w:rPr>
        <w:t> </w:t>
      </w:r>
      <w:r>
        <w:rPr>
          <w:w w:val="120"/>
          <w:sz w:val="20"/>
        </w:rPr>
        <w:t>at</w:t>
      </w:r>
      <w:r>
        <w:rPr>
          <w:spacing w:val="-15"/>
          <w:w w:val="120"/>
          <w:sz w:val="20"/>
        </w:rPr>
        <w:t> </w:t>
      </w:r>
      <w:r>
        <w:rPr>
          <w:w w:val="120"/>
          <w:sz w:val="20"/>
        </w:rPr>
        <w:t>the</w:t>
      </w:r>
      <w:r>
        <w:rPr>
          <w:spacing w:val="-15"/>
          <w:w w:val="120"/>
          <w:sz w:val="20"/>
        </w:rPr>
        <w:t> </w:t>
      </w:r>
      <w:r>
        <w:rPr>
          <w:w w:val="120"/>
          <w:sz w:val="20"/>
        </w:rPr>
        <w:t>beginning</w:t>
      </w:r>
      <w:r>
        <w:rPr>
          <w:spacing w:val="-15"/>
          <w:w w:val="120"/>
          <w:sz w:val="20"/>
        </w:rPr>
        <w:t> </w:t>
      </w:r>
      <w:r>
        <w:rPr>
          <w:w w:val="120"/>
          <w:sz w:val="20"/>
        </w:rPr>
        <w:t>of</w:t>
      </w:r>
      <w:r>
        <w:rPr>
          <w:spacing w:val="-15"/>
          <w:w w:val="120"/>
          <w:sz w:val="20"/>
        </w:rPr>
        <w:t> </w:t>
      </w:r>
      <w:r>
        <w:rPr>
          <w:w w:val="120"/>
          <w:sz w:val="20"/>
        </w:rPr>
        <w:t>these paragraphs.</w:t>
      </w:r>
    </w:p>
    <w:p>
      <w:pPr>
        <w:pStyle w:val="BodyText"/>
        <w:spacing w:before="7"/>
        <w:rPr>
          <w:sz w:val="18"/>
        </w:rPr>
      </w:pPr>
    </w:p>
    <w:p>
      <w:pPr>
        <w:pStyle w:val="ListParagraph"/>
        <w:numPr>
          <w:ilvl w:val="2"/>
          <w:numId w:val="11"/>
        </w:numPr>
        <w:tabs>
          <w:tab w:pos="2665" w:val="left" w:leader="none"/>
        </w:tabs>
        <w:spacing w:line="240" w:lineRule="auto" w:before="0" w:after="0"/>
        <w:ind w:left="2664" w:right="0" w:hanging="681"/>
        <w:jc w:val="left"/>
        <w:rPr>
          <w:sz w:val="20"/>
        </w:rPr>
      </w:pPr>
      <w:r>
        <w:rPr>
          <w:w w:val="120"/>
          <w:sz w:val="20"/>
        </w:rPr>
        <w:t>On the second line alter </w:t>
      </w:r>
      <w:r>
        <w:rPr>
          <w:rFonts w:ascii="Stone Sans II ITC Std Bk" w:hAnsi="Stone Sans II ITC Std Bk"/>
          <w:b/>
          <w:spacing w:val="-6"/>
          <w:w w:val="120"/>
          <w:sz w:val="20"/>
        </w:rPr>
        <w:t>“))” </w:t>
      </w:r>
      <w:r>
        <w:rPr>
          <w:w w:val="120"/>
          <w:sz w:val="20"/>
        </w:rPr>
        <w:t>to</w:t>
      </w:r>
      <w:r>
        <w:rPr>
          <w:spacing w:val="7"/>
          <w:w w:val="120"/>
          <w:sz w:val="20"/>
        </w:rPr>
        <w:t> </w:t>
      </w:r>
      <w:r>
        <w:rPr>
          <w:rFonts w:ascii="Stone Sans II ITC Std Bk" w:hAnsi="Stone Sans II ITC Std Bk"/>
          <w:b/>
          <w:spacing w:val="-6"/>
          <w:w w:val="120"/>
          <w:sz w:val="20"/>
        </w:rPr>
        <w:t>“)”</w:t>
      </w:r>
      <w:r>
        <w:rPr>
          <w:spacing w:val="-6"/>
          <w:w w:val="120"/>
          <w:sz w:val="20"/>
        </w:rPr>
        <w:t>.</w:t>
      </w:r>
    </w:p>
    <w:p>
      <w:pPr>
        <w:pStyle w:val="BodyText"/>
        <w:spacing w:before="2"/>
        <w:rPr>
          <w:sz w:val="18"/>
        </w:rPr>
      </w:pPr>
    </w:p>
    <w:p>
      <w:pPr>
        <w:pStyle w:val="BodyText"/>
        <w:tabs>
          <w:tab w:pos="2664" w:val="left" w:leader="none"/>
        </w:tabs>
        <w:spacing w:before="1"/>
        <w:ind w:left="1984"/>
      </w:pPr>
      <w:r>
        <w:rPr>
          <w:spacing w:val="-10"/>
          <w:w w:val="120"/>
        </w:rPr>
        <w:t>B.7.1</w:t>
        <w:tab/>
      </w:r>
      <w:r>
        <w:rPr>
          <w:w w:val="120"/>
        </w:rPr>
        <w:t>Replace the existing paragraph in its entirety with the</w:t>
      </w:r>
      <w:r>
        <w:rPr>
          <w:spacing w:val="24"/>
          <w:w w:val="120"/>
        </w:rPr>
        <w:t> </w:t>
      </w:r>
      <w:r>
        <w:rPr>
          <w:w w:val="120"/>
        </w:rPr>
        <w:t>following:-</w:t>
      </w:r>
    </w:p>
    <w:p>
      <w:pPr>
        <w:pStyle w:val="BodyText"/>
        <w:spacing w:before="1"/>
      </w:pPr>
    </w:p>
    <w:p>
      <w:pPr>
        <w:pStyle w:val="Heading9"/>
        <w:spacing w:line="213" w:lineRule="auto"/>
        <w:ind w:left="1984" w:right="1352" w:firstLine="0"/>
      </w:pPr>
      <w:r>
        <w:rPr>
          <w:w w:val="110"/>
        </w:rPr>
        <w:t>“In every case involving an allegation of Gross Misconduct and in other cases where the Synod Moderator or the General Assembly Representative as the case may be considers that he/she has strong and urgent reasons for so doing, he/ she shall suspend the minister with immediate effect either orally or in writing and shall forthwith call in the Mandated Group in accordance with Paragraph</w:t>
      </w:r>
    </w:p>
    <w:p>
      <w:pPr>
        <w:spacing w:line="213" w:lineRule="auto" w:before="0"/>
        <w:ind w:left="1984" w:right="1352" w:firstLine="0"/>
        <w:jc w:val="left"/>
        <w:rPr>
          <w:rFonts w:ascii="Stone Sans II ITC Std Bk" w:hAnsi="Stone Sans II ITC Std Bk"/>
          <w:b/>
          <w:sz w:val="20"/>
        </w:rPr>
      </w:pPr>
      <w:r>
        <w:rPr>
          <w:rFonts w:ascii="Stone Sans II ITC Std Bk" w:hAnsi="Stone Sans II ITC Std Bk"/>
          <w:b/>
          <w:w w:val="110"/>
          <w:sz w:val="20"/>
        </w:rPr>
        <w:t>B.3.1 or Paragraph B.3.2, whichever applies. Suspension imposed orally shall be immediately confirmed in writing to the minister.”</w:t>
      </w:r>
    </w:p>
    <w:p>
      <w:pPr>
        <w:tabs>
          <w:tab w:pos="2664" w:val="left" w:leader="none"/>
        </w:tabs>
        <w:spacing w:before="213"/>
        <w:ind w:left="1984" w:right="0" w:firstLine="0"/>
        <w:jc w:val="left"/>
        <w:rPr>
          <w:rFonts w:ascii="Stone Sans II ITC Std Bk" w:hAnsi="Stone Sans II ITC Std Bk"/>
          <w:b/>
          <w:sz w:val="20"/>
        </w:rPr>
      </w:pPr>
      <w:r>
        <w:rPr>
          <w:spacing w:val="-4"/>
          <w:w w:val="110"/>
          <w:sz w:val="20"/>
        </w:rPr>
        <w:t>F.2.3</w:t>
        <w:tab/>
      </w:r>
      <w:r>
        <w:rPr>
          <w:w w:val="110"/>
          <w:sz w:val="20"/>
        </w:rPr>
        <w:t>Remove the words </w:t>
      </w:r>
      <w:r>
        <w:rPr>
          <w:rFonts w:ascii="Stone Sans II ITC Std Bk" w:hAnsi="Stone Sans II ITC Std Bk"/>
          <w:b/>
          <w:w w:val="110"/>
          <w:sz w:val="20"/>
        </w:rPr>
        <w:t>“the Deputy General</w:t>
      </w:r>
      <w:r>
        <w:rPr>
          <w:rFonts w:ascii="Stone Sans II ITC Std Bk" w:hAnsi="Stone Sans II ITC Std Bk"/>
          <w:b/>
          <w:spacing w:val="29"/>
          <w:w w:val="110"/>
          <w:sz w:val="20"/>
        </w:rPr>
        <w:t> </w:t>
      </w:r>
      <w:r>
        <w:rPr>
          <w:rFonts w:ascii="Stone Sans II ITC Std Bk" w:hAnsi="Stone Sans II ITC Std Bk"/>
          <w:b/>
          <w:w w:val="110"/>
          <w:sz w:val="20"/>
        </w:rPr>
        <w:t>Secretary,”</w:t>
      </w:r>
    </w:p>
    <w:p>
      <w:pPr>
        <w:pStyle w:val="BodyText"/>
        <w:spacing w:before="10"/>
        <w:rPr>
          <w:rFonts w:ascii="Stone Sans II ITC Std Bk"/>
          <w:b/>
          <w:sz w:val="16"/>
        </w:rPr>
      </w:pPr>
    </w:p>
    <w:p>
      <w:pPr>
        <w:spacing w:line="235" w:lineRule="auto" w:before="0"/>
        <w:ind w:left="1984" w:right="1684" w:firstLine="0"/>
        <w:jc w:val="left"/>
        <w:rPr>
          <w:i/>
          <w:sz w:val="20"/>
        </w:rPr>
      </w:pPr>
      <w:r>
        <w:rPr>
          <w:i/>
          <w:w w:val="110"/>
          <w:sz w:val="20"/>
        </w:rPr>
        <w:t>Should the Assembly Commission or the Appeals Commission decide to delete the name of   </w:t>
      </w:r>
      <w:r>
        <w:rPr>
          <w:i/>
          <w:w w:val="110"/>
          <w:sz w:val="20"/>
        </w:rPr>
        <w:t>a</w:t>
      </w:r>
      <w:r>
        <w:rPr>
          <w:i/>
          <w:spacing w:val="13"/>
          <w:w w:val="110"/>
          <w:sz w:val="20"/>
        </w:rPr>
        <w:t> </w:t>
      </w:r>
      <w:r>
        <w:rPr>
          <w:i/>
          <w:w w:val="110"/>
          <w:sz w:val="20"/>
        </w:rPr>
        <w:t>minister</w:t>
      </w:r>
      <w:r>
        <w:rPr>
          <w:i/>
          <w:spacing w:val="13"/>
          <w:w w:val="110"/>
          <w:sz w:val="20"/>
        </w:rPr>
        <w:t> </w:t>
      </w:r>
      <w:r>
        <w:rPr>
          <w:i/>
          <w:w w:val="110"/>
          <w:sz w:val="20"/>
        </w:rPr>
        <w:t>from</w:t>
      </w:r>
      <w:r>
        <w:rPr>
          <w:i/>
          <w:spacing w:val="13"/>
          <w:w w:val="110"/>
          <w:sz w:val="20"/>
        </w:rPr>
        <w:t> </w:t>
      </w:r>
      <w:r>
        <w:rPr>
          <w:i/>
          <w:w w:val="110"/>
          <w:sz w:val="20"/>
        </w:rPr>
        <w:t>the</w:t>
      </w:r>
      <w:r>
        <w:rPr>
          <w:i/>
          <w:spacing w:val="13"/>
          <w:w w:val="110"/>
          <w:sz w:val="20"/>
        </w:rPr>
        <w:t> </w:t>
      </w:r>
      <w:r>
        <w:rPr>
          <w:i/>
          <w:w w:val="110"/>
          <w:sz w:val="20"/>
        </w:rPr>
        <w:t>Roll,</w:t>
      </w:r>
      <w:r>
        <w:rPr>
          <w:i/>
          <w:spacing w:val="14"/>
          <w:w w:val="110"/>
          <w:sz w:val="20"/>
        </w:rPr>
        <w:t> </w:t>
      </w:r>
      <w:r>
        <w:rPr>
          <w:i/>
          <w:w w:val="110"/>
          <w:sz w:val="20"/>
        </w:rPr>
        <w:t>it</w:t>
      </w:r>
      <w:r>
        <w:rPr>
          <w:i/>
          <w:spacing w:val="13"/>
          <w:w w:val="110"/>
          <w:sz w:val="20"/>
        </w:rPr>
        <w:t> </w:t>
      </w:r>
      <w:r>
        <w:rPr>
          <w:i/>
          <w:w w:val="110"/>
          <w:sz w:val="20"/>
        </w:rPr>
        <w:t>may</w:t>
      </w:r>
      <w:r>
        <w:rPr>
          <w:i/>
          <w:spacing w:val="13"/>
          <w:w w:val="110"/>
          <w:sz w:val="20"/>
        </w:rPr>
        <w:t> </w:t>
      </w:r>
      <w:r>
        <w:rPr>
          <w:i/>
          <w:w w:val="110"/>
          <w:sz w:val="20"/>
        </w:rPr>
        <w:t>append</w:t>
      </w:r>
      <w:r>
        <w:rPr>
          <w:i/>
          <w:spacing w:val="13"/>
          <w:w w:val="110"/>
          <w:sz w:val="20"/>
        </w:rPr>
        <w:t> </w:t>
      </w:r>
      <w:r>
        <w:rPr>
          <w:i/>
          <w:w w:val="110"/>
          <w:sz w:val="20"/>
        </w:rPr>
        <w:t>guidance</w:t>
      </w:r>
      <w:r>
        <w:rPr>
          <w:i/>
          <w:spacing w:val="13"/>
          <w:w w:val="110"/>
          <w:sz w:val="20"/>
        </w:rPr>
        <w:t> </w:t>
      </w:r>
      <w:r>
        <w:rPr>
          <w:i/>
          <w:w w:val="110"/>
          <w:sz w:val="20"/>
        </w:rPr>
        <w:t>to</w:t>
      </w:r>
      <w:r>
        <w:rPr>
          <w:i/>
          <w:spacing w:val="14"/>
          <w:w w:val="110"/>
          <w:sz w:val="20"/>
        </w:rPr>
        <w:t> </w:t>
      </w:r>
      <w:r>
        <w:rPr>
          <w:i/>
          <w:w w:val="110"/>
          <w:sz w:val="20"/>
        </w:rPr>
        <w:t>that</w:t>
      </w:r>
      <w:r>
        <w:rPr>
          <w:i/>
          <w:spacing w:val="13"/>
          <w:w w:val="110"/>
          <w:sz w:val="20"/>
        </w:rPr>
        <w:t> </w:t>
      </w:r>
      <w:r>
        <w:rPr>
          <w:i/>
          <w:w w:val="110"/>
          <w:sz w:val="20"/>
        </w:rPr>
        <w:t>decision.</w:t>
      </w:r>
      <w:r>
        <w:rPr>
          <w:i/>
          <w:spacing w:val="13"/>
          <w:w w:val="110"/>
          <w:sz w:val="20"/>
        </w:rPr>
        <w:t> </w:t>
      </w:r>
      <w:r>
        <w:rPr>
          <w:i/>
          <w:w w:val="110"/>
          <w:sz w:val="20"/>
        </w:rPr>
        <w:t>Paragraphs</w:t>
      </w:r>
      <w:r>
        <w:rPr>
          <w:i/>
          <w:spacing w:val="13"/>
          <w:w w:val="110"/>
          <w:sz w:val="20"/>
        </w:rPr>
        <w:t> </w:t>
      </w:r>
      <w:r>
        <w:rPr>
          <w:i/>
          <w:spacing w:val="-4"/>
          <w:w w:val="110"/>
          <w:sz w:val="20"/>
        </w:rPr>
        <w:t>F.2.3,</w:t>
      </w:r>
      <w:r>
        <w:rPr>
          <w:i/>
          <w:spacing w:val="14"/>
          <w:w w:val="110"/>
          <w:sz w:val="20"/>
        </w:rPr>
        <w:t> </w:t>
      </w:r>
      <w:r>
        <w:rPr>
          <w:i/>
          <w:spacing w:val="-8"/>
          <w:w w:val="110"/>
          <w:sz w:val="20"/>
        </w:rPr>
        <w:t>G.13.4</w:t>
      </w:r>
    </w:p>
    <w:p>
      <w:pPr>
        <w:spacing w:line="235" w:lineRule="auto" w:before="1"/>
        <w:ind w:left="1984" w:right="1521" w:firstLine="0"/>
        <w:jc w:val="left"/>
        <w:rPr>
          <w:i/>
          <w:sz w:val="20"/>
        </w:rPr>
      </w:pPr>
      <w:r>
        <w:rPr>
          <w:i/>
          <w:w w:val="110"/>
          <w:sz w:val="20"/>
        </w:rPr>
        <w:t>and </w:t>
      </w:r>
      <w:r>
        <w:rPr>
          <w:i/>
          <w:spacing w:val="-6"/>
          <w:w w:val="110"/>
          <w:sz w:val="20"/>
        </w:rPr>
        <w:t>G.14.5 </w:t>
      </w:r>
      <w:r>
        <w:rPr>
          <w:i/>
          <w:w w:val="110"/>
          <w:sz w:val="20"/>
        </w:rPr>
        <w:t>all deal with the passing on of that guidance to persons on a “need to know” basis.  </w:t>
      </w:r>
      <w:r>
        <w:rPr>
          <w:i/>
          <w:w w:val="110"/>
          <w:sz w:val="20"/>
        </w:rPr>
        <w:t>In the light of </w:t>
      </w:r>
      <w:r>
        <w:rPr>
          <w:i/>
          <w:spacing w:val="-3"/>
          <w:w w:val="110"/>
          <w:sz w:val="20"/>
        </w:rPr>
        <w:t>his/her </w:t>
      </w:r>
      <w:r>
        <w:rPr>
          <w:i/>
          <w:w w:val="110"/>
          <w:sz w:val="20"/>
        </w:rPr>
        <w:t>wide-ranging responsibilities the DGS is currently included in the list of  such persons. However the role of the “General Assembly Representative” will simply be to   carry out the specific functions set out in the Process. Once the case in which </w:t>
      </w:r>
      <w:r>
        <w:rPr>
          <w:i/>
          <w:spacing w:val="-3"/>
          <w:w w:val="110"/>
          <w:sz w:val="20"/>
        </w:rPr>
        <w:t>s/he </w:t>
      </w:r>
      <w:r>
        <w:rPr>
          <w:i/>
          <w:w w:val="110"/>
          <w:sz w:val="20"/>
        </w:rPr>
        <w:t>has been concerned is concluded, </w:t>
      </w:r>
      <w:r>
        <w:rPr>
          <w:i/>
          <w:spacing w:val="-3"/>
          <w:w w:val="110"/>
          <w:sz w:val="20"/>
        </w:rPr>
        <w:t>his/her </w:t>
      </w:r>
      <w:r>
        <w:rPr>
          <w:i/>
          <w:w w:val="110"/>
          <w:sz w:val="20"/>
        </w:rPr>
        <w:t>involvement comes to an end and </w:t>
      </w:r>
      <w:r>
        <w:rPr>
          <w:i/>
          <w:spacing w:val="-3"/>
          <w:w w:val="110"/>
          <w:sz w:val="20"/>
        </w:rPr>
        <w:t>s/he </w:t>
      </w:r>
      <w:r>
        <w:rPr>
          <w:i/>
          <w:w w:val="110"/>
          <w:sz w:val="20"/>
        </w:rPr>
        <w:t>will have no future monitoring responsibilities. Consequently </w:t>
      </w:r>
      <w:r>
        <w:rPr>
          <w:i/>
          <w:spacing w:val="-3"/>
          <w:w w:val="110"/>
          <w:sz w:val="20"/>
        </w:rPr>
        <w:t>s/he </w:t>
      </w:r>
      <w:r>
        <w:rPr>
          <w:i/>
          <w:w w:val="110"/>
          <w:sz w:val="20"/>
        </w:rPr>
        <w:t>should not be included in the list of persons in these</w:t>
      </w:r>
      <w:r>
        <w:rPr>
          <w:i/>
          <w:spacing w:val="3"/>
          <w:w w:val="110"/>
          <w:sz w:val="20"/>
        </w:rPr>
        <w:t> </w:t>
      </w:r>
      <w:r>
        <w:rPr>
          <w:i/>
          <w:w w:val="110"/>
          <w:sz w:val="20"/>
        </w:rPr>
        <w:t>paragraphs.</w:t>
      </w:r>
    </w:p>
    <w:p>
      <w:pPr>
        <w:spacing w:after="0" w:line="235" w:lineRule="auto"/>
        <w:jc w:val="left"/>
        <w:rPr>
          <w:sz w:val="20"/>
        </w:rPr>
        <w:sectPr>
          <w:headerReference w:type="default" r:id="rId67"/>
          <w:pgSz w:w="11910" w:h="16840"/>
          <w:pgMar w:header="0" w:footer="647" w:top="0" w:bottom="840" w:left="0" w:right="0"/>
        </w:sectPr>
      </w:pPr>
    </w:p>
    <w:p>
      <w:pPr>
        <w:pStyle w:val="BodyText"/>
        <w:rPr>
          <w:i/>
        </w:rPr>
      </w:pPr>
      <w:r>
        <w:rPr/>
        <w:drawing>
          <wp:anchor distT="0" distB="0" distL="0" distR="0" allowOverlap="1" layoutInCell="1" locked="0" behindDoc="0" simplePos="0" relativeHeight="251735040">
            <wp:simplePos x="0" y="0"/>
            <wp:positionH relativeFrom="page">
              <wp:posOffset>0</wp:posOffset>
            </wp:positionH>
            <wp:positionV relativeFrom="page">
              <wp:posOffset>0</wp:posOffset>
            </wp:positionV>
            <wp:extent cx="594067" cy="10692003"/>
            <wp:effectExtent l="0" t="0" r="0" b="0"/>
            <wp:wrapNone/>
            <wp:docPr id="41" name="image22.png"/>
            <wp:cNvGraphicFramePr>
              <a:graphicFrameLocks noChangeAspect="1"/>
            </wp:cNvGraphicFramePr>
            <a:graphic>
              <a:graphicData uri="http://schemas.openxmlformats.org/drawingml/2006/picture">
                <pic:pic>
                  <pic:nvPicPr>
                    <pic:cNvPr id="42" name="image22.png"/>
                    <pic:cNvPicPr/>
                  </pic:nvPicPr>
                  <pic:blipFill>
                    <a:blip r:embed="rId33" cstate="print"/>
                    <a:stretch>
                      <a:fillRect/>
                    </a:stretch>
                  </pic:blipFill>
                  <pic:spPr>
                    <a:xfrm>
                      <a:off x="0" y="0"/>
                      <a:ext cx="594067" cy="10692003"/>
                    </a:xfrm>
                    <a:prstGeom prst="rect">
                      <a:avLst/>
                    </a:prstGeom>
                  </pic:spPr>
                </pic:pic>
              </a:graphicData>
            </a:graphic>
          </wp:anchor>
        </w:drawing>
      </w:r>
    </w:p>
    <w:p>
      <w:pPr>
        <w:pStyle w:val="BodyText"/>
        <w:spacing w:before="7"/>
        <w:rPr>
          <w:i/>
          <w:sz w:val="21"/>
        </w:rPr>
      </w:pPr>
    </w:p>
    <w:p>
      <w:pPr>
        <w:pStyle w:val="Heading5"/>
      </w:pPr>
      <w:r>
        <w:rPr/>
        <w:pict>
          <v:shape style="position:absolute;margin-left:20.519100pt;margin-top:22.593945pt;width:25.9pt;height:163.2pt;mso-position-horizontal-relative:page;mso-position-vertical-relative:paragraph;z-index:251736064" type="#_x0000_t202" filled="false" stroked="false">
            <v:textbox inset="0,0,0,0" style="layout-flow:vertical">
              <w:txbxContent>
                <w:p>
                  <w:pPr>
                    <w:spacing w:before="27"/>
                    <w:ind w:left="20" w:right="0" w:firstLine="0"/>
                    <w:jc w:val="left"/>
                    <w:rPr>
                      <w:sz w:val="39"/>
                    </w:rPr>
                  </w:pPr>
                  <w:r>
                    <w:rPr>
                      <w:color w:val="FFFFFF"/>
                      <w:w w:val="125"/>
                      <w:sz w:val="39"/>
                    </w:rPr>
                    <w:t>Mission Council</w:t>
                  </w:r>
                </w:p>
              </w:txbxContent>
            </v:textbox>
            <w10:wrap type="none"/>
          </v:shape>
        </w:pict>
      </w:r>
      <w:r>
        <w:rPr>
          <w:color w:val="7EAABF"/>
          <w:w w:val="120"/>
        </w:rPr>
        <w:t>Mission Council</w:t>
      </w:r>
    </w:p>
    <w:p>
      <w:pPr>
        <w:spacing w:line="255" w:lineRule="exact" w:before="205"/>
        <w:ind w:left="1247" w:right="0" w:firstLine="0"/>
        <w:jc w:val="left"/>
        <w:rPr>
          <w:sz w:val="20"/>
        </w:rPr>
      </w:pPr>
      <w:r>
        <w:rPr>
          <w:rFonts w:ascii="Stone Sans II ITC Std Bk" w:hAnsi="Stone Sans II ITC Std Bk"/>
          <w:b/>
          <w:w w:val="115"/>
          <w:sz w:val="20"/>
        </w:rPr>
        <w:t>F.6.1 </w:t>
      </w:r>
      <w:r>
        <w:rPr>
          <w:w w:val="115"/>
          <w:sz w:val="20"/>
        </w:rPr>
        <w:t>Replace the reference in the text to </w:t>
      </w:r>
      <w:r>
        <w:rPr>
          <w:rFonts w:ascii="Stone Sans II ITC Std Bk" w:hAnsi="Stone Sans II ITC Std Bk"/>
          <w:b/>
          <w:w w:val="115"/>
          <w:sz w:val="20"/>
        </w:rPr>
        <w:t>“Paragraph B.9.3” </w:t>
      </w:r>
      <w:r>
        <w:rPr>
          <w:w w:val="115"/>
          <w:sz w:val="20"/>
        </w:rPr>
        <w:t>with a reference to</w:t>
      </w:r>
    </w:p>
    <w:p>
      <w:pPr>
        <w:pStyle w:val="Heading9"/>
        <w:spacing w:line="255" w:lineRule="exact"/>
        <w:ind w:left="1247" w:firstLine="0"/>
        <w:rPr>
          <w:rFonts w:ascii="Calibri" w:hAnsi="Calibri"/>
          <w:b w:val="0"/>
        </w:rPr>
      </w:pPr>
      <w:r>
        <w:rPr>
          <w:w w:val="110"/>
        </w:rPr>
        <w:t>“Paragraph B.3.2”</w:t>
      </w:r>
      <w:r>
        <w:rPr>
          <w:rFonts w:ascii="Calibri" w:hAnsi="Calibri"/>
          <w:b w:val="0"/>
          <w:w w:val="110"/>
        </w:rPr>
        <w:t>.</w:t>
      </w:r>
    </w:p>
    <w:p>
      <w:pPr>
        <w:tabs>
          <w:tab w:pos="2154" w:val="left" w:leader="none"/>
        </w:tabs>
        <w:spacing w:before="210"/>
        <w:ind w:left="1247" w:right="0" w:firstLine="0"/>
        <w:jc w:val="left"/>
        <w:rPr>
          <w:rFonts w:ascii="Stone Sans II ITC Std Bk" w:hAnsi="Stone Sans II ITC Std Bk"/>
          <w:b/>
          <w:sz w:val="20"/>
        </w:rPr>
      </w:pPr>
      <w:r>
        <w:rPr>
          <w:rFonts w:ascii="Stone Sans II ITC Std Bk" w:hAnsi="Stone Sans II ITC Std Bk"/>
          <w:b/>
          <w:spacing w:val="-7"/>
          <w:w w:val="110"/>
          <w:sz w:val="20"/>
        </w:rPr>
        <w:t>G.13.4</w:t>
        <w:tab/>
      </w:r>
      <w:r>
        <w:rPr>
          <w:w w:val="110"/>
          <w:sz w:val="20"/>
        </w:rPr>
        <w:t>Remove the words </w:t>
      </w:r>
      <w:r>
        <w:rPr>
          <w:rFonts w:ascii="Stone Sans II ITC Std Bk" w:hAnsi="Stone Sans II ITC Std Bk"/>
          <w:b/>
          <w:w w:val="110"/>
          <w:sz w:val="20"/>
        </w:rPr>
        <w:t>“the Deputy General</w:t>
      </w:r>
      <w:r>
        <w:rPr>
          <w:rFonts w:ascii="Stone Sans II ITC Std Bk" w:hAnsi="Stone Sans II ITC Std Bk"/>
          <w:b/>
          <w:spacing w:val="28"/>
          <w:w w:val="110"/>
          <w:sz w:val="20"/>
        </w:rPr>
        <w:t> </w:t>
      </w:r>
      <w:r>
        <w:rPr>
          <w:rFonts w:ascii="Stone Sans II ITC Std Bk" w:hAnsi="Stone Sans II ITC Std Bk"/>
          <w:b/>
          <w:w w:val="110"/>
          <w:sz w:val="20"/>
        </w:rPr>
        <w:t>Secretary,”</w:t>
      </w:r>
    </w:p>
    <w:p>
      <w:pPr>
        <w:tabs>
          <w:tab w:pos="2154" w:val="left" w:leader="none"/>
        </w:tabs>
        <w:spacing w:line="255" w:lineRule="exact" w:before="209"/>
        <w:ind w:left="1247" w:right="0" w:firstLine="0"/>
        <w:jc w:val="left"/>
        <w:rPr>
          <w:sz w:val="20"/>
        </w:rPr>
      </w:pPr>
      <w:r>
        <w:rPr>
          <w:rFonts w:ascii="Stone Sans II ITC Std Bk" w:hAnsi="Stone Sans II ITC Std Bk"/>
          <w:b/>
          <w:spacing w:val="-5"/>
          <w:w w:val="115"/>
          <w:sz w:val="20"/>
        </w:rPr>
        <w:t>G.14.5</w:t>
        <w:tab/>
      </w:r>
      <w:r>
        <w:rPr>
          <w:w w:val="115"/>
          <w:sz w:val="20"/>
        </w:rPr>
        <w:t>After the words </w:t>
      </w:r>
      <w:r>
        <w:rPr>
          <w:rFonts w:ascii="Stone Sans II ITC Std Bk" w:hAnsi="Stone Sans II ITC Std Bk"/>
          <w:b/>
          <w:w w:val="115"/>
          <w:sz w:val="20"/>
        </w:rPr>
        <w:t>“the Press Officer”</w:t>
      </w:r>
      <w:r>
        <w:rPr>
          <w:w w:val="115"/>
          <w:sz w:val="20"/>
        </w:rPr>
        <w:t>remove the comma and insert the</w:t>
      </w:r>
      <w:r>
        <w:rPr>
          <w:spacing w:val="5"/>
          <w:w w:val="115"/>
          <w:sz w:val="20"/>
        </w:rPr>
        <w:t> </w:t>
      </w:r>
      <w:r>
        <w:rPr>
          <w:w w:val="115"/>
          <w:sz w:val="20"/>
        </w:rPr>
        <w:t>word</w:t>
      </w:r>
    </w:p>
    <w:p>
      <w:pPr>
        <w:spacing w:line="255" w:lineRule="exact" w:before="0"/>
        <w:ind w:left="1247" w:right="0" w:firstLine="0"/>
        <w:jc w:val="left"/>
        <w:rPr>
          <w:sz w:val="20"/>
        </w:rPr>
      </w:pPr>
      <w:r>
        <w:rPr>
          <w:rFonts w:ascii="Stone Sans II ITC Std Bk" w:hAnsi="Stone Sans II ITC Std Bk"/>
          <w:b/>
          <w:w w:val="115"/>
          <w:sz w:val="20"/>
        </w:rPr>
        <w:t>“and”</w:t>
      </w:r>
      <w:r>
        <w:rPr>
          <w:w w:val="115"/>
          <w:sz w:val="20"/>
        </w:rPr>
        <w:t>. Also remove the words </w:t>
      </w:r>
      <w:r>
        <w:rPr>
          <w:rFonts w:ascii="Stone Sans II ITC Std Bk" w:hAnsi="Stone Sans II ITC Std Bk"/>
          <w:b/>
          <w:w w:val="115"/>
          <w:sz w:val="20"/>
        </w:rPr>
        <w:t>“and the Deputy General Secretary”</w:t>
      </w:r>
      <w:r>
        <w:rPr>
          <w:w w:val="115"/>
          <w:sz w:val="20"/>
        </w:rPr>
        <w:t>.</w:t>
      </w:r>
    </w:p>
    <w:p>
      <w:pPr>
        <w:pStyle w:val="BodyText"/>
        <w:rPr>
          <w:sz w:val="19"/>
        </w:rPr>
      </w:pPr>
    </w:p>
    <w:p>
      <w:pPr>
        <w:spacing w:line="213" w:lineRule="auto" w:before="0"/>
        <w:ind w:left="1247" w:right="2200" w:firstLine="0"/>
        <w:jc w:val="left"/>
        <w:rPr>
          <w:rFonts w:ascii="Stone Sans II ITC Std Bk"/>
          <w:b/>
          <w:sz w:val="20"/>
        </w:rPr>
      </w:pPr>
      <w:r>
        <w:rPr>
          <w:w w:val="115"/>
          <w:sz w:val="20"/>
        </w:rPr>
        <w:t>In the following cases, the main paragraph numbers occupy a separate line: </w:t>
      </w:r>
      <w:r>
        <w:rPr>
          <w:rFonts w:ascii="Stone Sans II ITC Std Bk"/>
          <w:b/>
          <w:w w:val="115"/>
          <w:sz w:val="20"/>
        </w:rPr>
        <w:t>A.4, A.6,</w:t>
      </w:r>
      <w:r>
        <w:rPr>
          <w:rFonts w:ascii="Stone Sans II ITC Std Bk"/>
          <w:b/>
          <w:spacing w:val="60"/>
          <w:w w:val="115"/>
          <w:sz w:val="20"/>
        </w:rPr>
        <w:t> </w:t>
      </w:r>
      <w:r>
        <w:rPr>
          <w:rFonts w:ascii="Stone Sans II ITC Std Bk"/>
          <w:b/>
          <w:spacing w:val="-6"/>
          <w:w w:val="115"/>
          <w:sz w:val="20"/>
        </w:rPr>
        <w:t>A.7,</w:t>
      </w:r>
      <w:r>
        <w:rPr>
          <w:rFonts w:ascii="Stone Sans II ITC Std Bk"/>
          <w:b/>
          <w:spacing w:val="-21"/>
          <w:w w:val="115"/>
          <w:sz w:val="20"/>
        </w:rPr>
        <w:t> </w:t>
      </w:r>
      <w:r>
        <w:rPr>
          <w:rFonts w:ascii="Stone Sans II ITC Std Bk"/>
          <w:b/>
          <w:spacing w:val="-8"/>
          <w:w w:val="115"/>
          <w:sz w:val="20"/>
        </w:rPr>
        <w:t>B.1,</w:t>
      </w:r>
      <w:r>
        <w:rPr>
          <w:rFonts w:ascii="Stone Sans II ITC Std Bk"/>
          <w:b/>
          <w:spacing w:val="-20"/>
          <w:w w:val="115"/>
          <w:sz w:val="20"/>
        </w:rPr>
        <w:t> </w:t>
      </w:r>
      <w:r>
        <w:rPr>
          <w:rFonts w:ascii="Stone Sans II ITC Std Bk"/>
          <w:b/>
          <w:w w:val="115"/>
          <w:sz w:val="20"/>
        </w:rPr>
        <w:t>B.2,</w:t>
      </w:r>
      <w:r>
        <w:rPr>
          <w:rFonts w:ascii="Stone Sans II ITC Std Bk"/>
          <w:b/>
          <w:spacing w:val="-21"/>
          <w:w w:val="115"/>
          <w:sz w:val="20"/>
        </w:rPr>
        <w:t> </w:t>
      </w:r>
      <w:r>
        <w:rPr>
          <w:rFonts w:ascii="Stone Sans II ITC Std Bk"/>
          <w:b/>
          <w:w w:val="115"/>
          <w:sz w:val="20"/>
        </w:rPr>
        <w:t>B.5,</w:t>
      </w:r>
      <w:r>
        <w:rPr>
          <w:rFonts w:ascii="Stone Sans II ITC Std Bk"/>
          <w:b/>
          <w:spacing w:val="-20"/>
          <w:w w:val="115"/>
          <w:sz w:val="20"/>
        </w:rPr>
        <w:t> </w:t>
      </w:r>
      <w:r>
        <w:rPr>
          <w:rFonts w:ascii="Stone Sans II ITC Std Bk"/>
          <w:b/>
          <w:w w:val="115"/>
          <w:sz w:val="20"/>
        </w:rPr>
        <w:t>B.6,</w:t>
      </w:r>
      <w:r>
        <w:rPr>
          <w:rFonts w:ascii="Stone Sans II ITC Std Bk"/>
          <w:b/>
          <w:spacing w:val="-21"/>
          <w:w w:val="115"/>
          <w:sz w:val="20"/>
        </w:rPr>
        <w:t> </w:t>
      </w:r>
      <w:r>
        <w:rPr>
          <w:rFonts w:ascii="Stone Sans II ITC Std Bk"/>
          <w:b/>
          <w:spacing w:val="-5"/>
          <w:w w:val="115"/>
          <w:sz w:val="20"/>
        </w:rPr>
        <w:t>B.9,</w:t>
      </w:r>
      <w:r>
        <w:rPr>
          <w:rFonts w:ascii="Stone Sans II ITC Std Bk"/>
          <w:b/>
          <w:spacing w:val="-20"/>
          <w:w w:val="115"/>
          <w:sz w:val="20"/>
        </w:rPr>
        <w:t> </w:t>
      </w:r>
      <w:r>
        <w:rPr>
          <w:rFonts w:ascii="Stone Sans II ITC Std Bk"/>
          <w:b/>
          <w:spacing w:val="2"/>
          <w:w w:val="115"/>
          <w:sz w:val="20"/>
        </w:rPr>
        <w:t>C.2,</w:t>
      </w:r>
      <w:r>
        <w:rPr>
          <w:rFonts w:ascii="Stone Sans II ITC Std Bk"/>
          <w:b/>
          <w:spacing w:val="-21"/>
          <w:w w:val="115"/>
          <w:sz w:val="20"/>
        </w:rPr>
        <w:t> </w:t>
      </w:r>
      <w:r>
        <w:rPr>
          <w:rFonts w:ascii="Stone Sans II ITC Std Bk"/>
          <w:b/>
          <w:w w:val="115"/>
          <w:sz w:val="20"/>
        </w:rPr>
        <w:t>C.3,</w:t>
      </w:r>
      <w:r>
        <w:rPr>
          <w:rFonts w:ascii="Stone Sans II ITC Std Bk"/>
          <w:b/>
          <w:spacing w:val="-20"/>
          <w:w w:val="115"/>
          <w:sz w:val="20"/>
        </w:rPr>
        <w:t> </w:t>
      </w:r>
      <w:r>
        <w:rPr>
          <w:rFonts w:ascii="Stone Sans II ITC Std Bk"/>
          <w:b/>
          <w:w w:val="115"/>
          <w:sz w:val="20"/>
        </w:rPr>
        <w:t>C.4,</w:t>
      </w:r>
      <w:r>
        <w:rPr>
          <w:rFonts w:ascii="Stone Sans II ITC Std Bk"/>
          <w:b/>
          <w:spacing w:val="-21"/>
          <w:w w:val="115"/>
          <w:sz w:val="20"/>
        </w:rPr>
        <w:t> </w:t>
      </w:r>
      <w:r>
        <w:rPr>
          <w:rFonts w:ascii="Stone Sans II ITC Std Bk"/>
          <w:b/>
          <w:w w:val="115"/>
          <w:sz w:val="20"/>
        </w:rPr>
        <w:t>C.5,</w:t>
      </w:r>
      <w:r>
        <w:rPr>
          <w:rFonts w:ascii="Stone Sans II ITC Std Bk"/>
          <w:b/>
          <w:spacing w:val="-20"/>
          <w:w w:val="115"/>
          <w:sz w:val="20"/>
        </w:rPr>
        <w:t> </w:t>
      </w:r>
      <w:r>
        <w:rPr>
          <w:rFonts w:ascii="Stone Sans II ITC Std Bk"/>
          <w:b/>
          <w:spacing w:val="-7"/>
          <w:w w:val="115"/>
          <w:sz w:val="20"/>
        </w:rPr>
        <w:t>C.7,</w:t>
      </w:r>
      <w:r>
        <w:rPr>
          <w:rFonts w:ascii="Stone Sans II ITC Std Bk"/>
          <w:b/>
          <w:spacing w:val="-21"/>
          <w:w w:val="115"/>
          <w:sz w:val="20"/>
        </w:rPr>
        <w:t> </w:t>
      </w:r>
      <w:r>
        <w:rPr>
          <w:rFonts w:ascii="Stone Sans II ITC Std Bk"/>
          <w:b/>
          <w:w w:val="115"/>
          <w:sz w:val="20"/>
        </w:rPr>
        <w:t>D.2,</w:t>
      </w:r>
      <w:r>
        <w:rPr>
          <w:rFonts w:ascii="Stone Sans II ITC Std Bk"/>
          <w:b/>
          <w:spacing w:val="-20"/>
          <w:w w:val="115"/>
          <w:sz w:val="20"/>
        </w:rPr>
        <w:t> </w:t>
      </w:r>
      <w:r>
        <w:rPr>
          <w:rFonts w:ascii="Stone Sans II ITC Std Bk"/>
          <w:b/>
          <w:spacing w:val="-7"/>
          <w:w w:val="115"/>
          <w:sz w:val="20"/>
        </w:rPr>
        <w:t>E.1,</w:t>
      </w:r>
      <w:r>
        <w:rPr>
          <w:rFonts w:ascii="Stone Sans II ITC Std Bk"/>
          <w:b/>
          <w:spacing w:val="-20"/>
          <w:w w:val="115"/>
          <w:sz w:val="20"/>
        </w:rPr>
        <w:t> </w:t>
      </w:r>
      <w:r>
        <w:rPr>
          <w:rFonts w:ascii="Stone Sans II ITC Std Bk"/>
          <w:b/>
          <w:spacing w:val="3"/>
          <w:w w:val="115"/>
          <w:sz w:val="20"/>
        </w:rPr>
        <w:t>E.2,</w:t>
      </w:r>
      <w:r>
        <w:rPr>
          <w:rFonts w:ascii="Stone Sans II ITC Std Bk"/>
          <w:b/>
          <w:spacing w:val="-21"/>
          <w:w w:val="115"/>
          <w:sz w:val="20"/>
        </w:rPr>
        <w:t> </w:t>
      </w:r>
      <w:r>
        <w:rPr>
          <w:rFonts w:ascii="Stone Sans II ITC Std Bk"/>
          <w:b/>
          <w:w w:val="115"/>
          <w:sz w:val="20"/>
        </w:rPr>
        <w:t>E.3,</w:t>
      </w:r>
      <w:r>
        <w:rPr>
          <w:rFonts w:ascii="Stone Sans II ITC Std Bk"/>
          <w:b/>
          <w:spacing w:val="-20"/>
          <w:w w:val="115"/>
          <w:sz w:val="20"/>
        </w:rPr>
        <w:t> </w:t>
      </w:r>
      <w:r>
        <w:rPr>
          <w:rFonts w:ascii="Stone Sans II ITC Std Bk"/>
          <w:b/>
          <w:w w:val="115"/>
          <w:sz w:val="20"/>
        </w:rPr>
        <w:t>E.5,</w:t>
      </w:r>
      <w:r>
        <w:rPr>
          <w:rFonts w:ascii="Stone Sans II ITC Std Bk"/>
          <w:b/>
          <w:spacing w:val="-21"/>
          <w:w w:val="115"/>
          <w:sz w:val="20"/>
        </w:rPr>
        <w:t> </w:t>
      </w:r>
      <w:r>
        <w:rPr>
          <w:rFonts w:ascii="Stone Sans II ITC Std Bk"/>
          <w:b/>
          <w:w w:val="115"/>
          <w:sz w:val="20"/>
        </w:rPr>
        <w:t>E.6,</w:t>
      </w:r>
      <w:r>
        <w:rPr>
          <w:rFonts w:ascii="Stone Sans II ITC Std Bk"/>
          <w:b/>
          <w:spacing w:val="-20"/>
          <w:w w:val="115"/>
          <w:sz w:val="20"/>
        </w:rPr>
        <w:t> </w:t>
      </w:r>
      <w:r>
        <w:rPr>
          <w:rFonts w:ascii="Stone Sans II ITC Std Bk"/>
          <w:b/>
          <w:spacing w:val="-6"/>
          <w:w w:val="115"/>
          <w:sz w:val="20"/>
        </w:rPr>
        <w:t>E.7,</w:t>
      </w:r>
    </w:p>
    <w:p>
      <w:pPr>
        <w:pStyle w:val="Heading9"/>
        <w:spacing w:line="232" w:lineRule="exact"/>
        <w:ind w:left="1247" w:firstLine="0"/>
      </w:pPr>
      <w:r>
        <w:rPr>
          <w:w w:val="110"/>
        </w:rPr>
        <w:t>E.9, E.10, E.12, E.13, E.14, E.16, F.1, F.5, F.6, F.7, G.1, G.3, G.4, G.5, G.7, G.10, G16</w:t>
      </w:r>
    </w:p>
    <w:p>
      <w:pPr>
        <w:pStyle w:val="BodyText"/>
        <w:spacing w:line="223" w:lineRule="auto"/>
        <w:ind w:left="1247" w:right="2004"/>
      </w:pPr>
      <w:r>
        <w:rPr>
          <w:rFonts w:ascii="Stone Sans II ITC Std Bk"/>
          <w:b/>
          <w:w w:val="120"/>
        </w:rPr>
        <w:t>and H.2. </w:t>
      </w:r>
      <w:r>
        <w:rPr>
          <w:w w:val="120"/>
        </w:rPr>
        <w:t>This uses up space unnecessarily. Those numbers can be removed so that the numbering of the relevant paragraph would begin with the first sub-number, e.g. A.4.1,</w:t>
      </w:r>
    </w:p>
    <w:p>
      <w:pPr>
        <w:pStyle w:val="BodyText"/>
        <w:ind w:left="1247"/>
      </w:pPr>
      <w:r>
        <w:rPr/>
        <w:pict>
          <v:shape style="position:absolute;margin-left:20.519100pt;margin-top:8.155414pt;width:25.9pt;height:149.050pt;mso-position-horizontal-relative:page;mso-position-vertical-relative:paragraph;z-index:251737088" type="#_x0000_t202" filled="false" stroked="false">
            <v:textbox inset="0,0,0,0" style="layout-flow:vertical">
              <w:txbxContent>
                <w:p>
                  <w:pPr>
                    <w:spacing w:before="27"/>
                    <w:ind w:left="20" w:right="0" w:firstLine="0"/>
                    <w:jc w:val="left"/>
                    <w:rPr>
                      <w:sz w:val="39"/>
                    </w:rPr>
                  </w:pPr>
                  <w:r>
                    <w:rPr>
                      <w:color w:val="FFFFFF"/>
                      <w:w w:val="125"/>
                      <w:sz w:val="39"/>
                    </w:rPr>
                    <w:t>– </w:t>
                  </w:r>
                  <w:r>
                    <w:rPr>
                      <w:w w:val="125"/>
                      <w:sz w:val="39"/>
                    </w:rPr>
                    <w:t>Appendix 4a</w:t>
                  </w:r>
                </w:p>
              </w:txbxContent>
            </v:textbox>
            <w10:wrap type="none"/>
          </v:shape>
        </w:pict>
      </w:r>
      <w:r>
        <w:rPr>
          <w:w w:val="125"/>
        </w:rPr>
        <w:t>A.6.1 etc.</w:t>
      </w:r>
    </w:p>
    <w:p>
      <w:pPr>
        <w:spacing w:after="0"/>
        <w:sectPr>
          <w:headerReference w:type="even" r:id="rId68"/>
          <w:footerReference w:type="even" r:id="rId69"/>
          <w:footerReference w:type="default" r:id="rId70"/>
          <w:pgSz w:w="11910" w:h="16840"/>
          <w:pgMar w:header="0" w:footer="647" w:top="0" w:bottom="840" w:left="0" w:right="0"/>
          <w:pgNumType w:start="24"/>
        </w:sectPr>
      </w:pPr>
    </w:p>
    <w:p>
      <w:pPr>
        <w:pStyle w:val="BodyText"/>
      </w:pPr>
    </w:p>
    <w:p>
      <w:pPr>
        <w:pStyle w:val="BodyText"/>
        <w:spacing w:before="7"/>
        <w:rPr>
          <w:sz w:val="21"/>
        </w:rPr>
      </w:pPr>
    </w:p>
    <w:p>
      <w:pPr>
        <w:spacing w:after="0"/>
        <w:rPr>
          <w:sz w:val="21"/>
        </w:rPr>
        <w:sectPr>
          <w:headerReference w:type="default" r:id="rId71"/>
          <w:pgSz w:w="11910" w:h="16840"/>
          <w:pgMar w:header="0" w:footer="647" w:top="0" w:bottom="840" w:left="0" w:right="0"/>
        </w:sectPr>
      </w:pPr>
    </w:p>
    <w:p>
      <w:pPr>
        <w:pStyle w:val="BodyText"/>
        <w:spacing w:before="4"/>
        <w:rPr>
          <w:sz w:val="52"/>
        </w:rPr>
      </w:pPr>
    </w:p>
    <w:p>
      <w:pPr>
        <w:pStyle w:val="Heading4"/>
        <w:tabs>
          <w:tab w:pos="5292" w:val="left" w:leader="none"/>
          <w:tab w:pos="7724" w:val="left" w:leader="none"/>
        </w:tabs>
        <w:ind w:left="4889" w:firstLine="0"/>
        <w:rPr>
          <w:rFonts w:ascii="Stone Sans II ITC Std X Bd"/>
          <w:b/>
        </w:rPr>
      </w:pPr>
      <w:r>
        <w:rPr>
          <w:rFonts w:ascii="Stone Sans II ITC Std X Bd"/>
          <w:b/>
          <w:w w:val="110"/>
          <w:shd w:fill="FFDB7B" w:color="auto" w:val="clear"/>
        </w:rPr>
        <w:t> </w:t>
      </w:r>
      <w:r>
        <w:rPr>
          <w:rFonts w:ascii="Stone Sans II ITC Std X Bd"/>
          <w:b/>
          <w:shd w:fill="FFDB7B" w:color="auto" w:val="clear"/>
        </w:rPr>
        <w:tab/>
      </w:r>
      <w:r>
        <w:rPr>
          <w:rFonts w:ascii="Stone Sans II ITC Std X Bd"/>
          <w:b/>
          <w:w w:val="110"/>
          <w:shd w:fill="FFDB7B" w:color="auto" w:val="clear"/>
        </w:rPr>
        <w:t>Appendix 4b</w:t>
      </w:r>
      <w:r>
        <w:rPr>
          <w:rFonts w:ascii="Stone Sans II ITC Std X Bd"/>
          <w:b/>
          <w:shd w:fill="FFDB7B" w:color="auto" w:val="clear"/>
        </w:rPr>
        <w:tab/>
      </w:r>
    </w:p>
    <w:p>
      <w:pPr>
        <w:pStyle w:val="Heading5"/>
        <w:ind w:left="947"/>
      </w:pPr>
      <w:r>
        <w:rPr/>
        <w:br w:type="column"/>
      </w:r>
      <w:r>
        <w:rPr>
          <w:color w:val="7EAABF"/>
          <w:w w:val="120"/>
        </w:rPr>
        <w:t>Mission Council</w:t>
      </w:r>
    </w:p>
    <w:p>
      <w:pPr>
        <w:spacing w:after="0"/>
        <w:sectPr>
          <w:type w:val="continuous"/>
          <w:pgSz w:w="11910" w:h="16840"/>
          <w:pgMar w:top="680" w:bottom="280" w:left="0" w:right="0"/>
          <w:cols w:num="2" w:equalWidth="0">
            <w:col w:w="7725" w:space="40"/>
            <w:col w:w="4145"/>
          </w:cols>
        </w:sectPr>
      </w:pPr>
    </w:p>
    <w:p>
      <w:pPr>
        <w:pStyle w:val="BodyText"/>
        <w:spacing w:before="2"/>
        <w:rPr>
          <w:sz w:val="19"/>
        </w:rPr>
      </w:pPr>
      <w:r>
        <w:rPr/>
        <w:drawing>
          <wp:anchor distT="0" distB="0" distL="0" distR="0" allowOverlap="1" layoutInCell="1" locked="0" behindDoc="0" simplePos="0" relativeHeight="251738112">
            <wp:simplePos x="0" y="0"/>
            <wp:positionH relativeFrom="page">
              <wp:posOffset>6974928</wp:posOffset>
            </wp:positionH>
            <wp:positionV relativeFrom="page">
              <wp:posOffset>0</wp:posOffset>
            </wp:positionV>
            <wp:extent cx="585076" cy="10692003"/>
            <wp:effectExtent l="0" t="0" r="0" b="0"/>
            <wp:wrapNone/>
            <wp:docPr id="43" name="image23.png"/>
            <wp:cNvGraphicFramePr>
              <a:graphicFrameLocks noChangeAspect="1"/>
            </wp:cNvGraphicFramePr>
            <a:graphic>
              <a:graphicData uri="http://schemas.openxmlformats.org/drawingml/2006/picture">
                <pic:pic>
                  <pic:nvPicPr>
                    <pic:cNvPr id="44" name="image23.png"/>
                    <pic:cNvPicPr/>
                  </pic:nvPicPr>
                  <pic:blipFill>
                    <a:blip r:embed="rId35" cstate="print"/>
                    <a:stretch>
                      <a:fillRect/>
                    </a:stretch>
                  </pic:blipFill>
                  <pic:spPr>
                    <a:xfrm>
                      <a:off x="0" y="0"/>
                      <a:ext cx="585076" cy="10692003"/>
                    </a:xfrm>
                    <a:prstGeom prst="rect">
                      <a:avLst/>
                    </a:prstGeom>
                  </pic:spPr>
                </pic:pic>
              </a:graphicData>
            </a:graphic>
          </wp:anchor>
        </w:drawing>
      </w:r>
    </w:p>
    <w:p>
      <w:pPr>
        <w:spacing w:line="220" w:lineRule="auto" w:before="117"/>
        <w:ind w:left="4907" w:right="1352" w:hanging="2294"/>
        <w:jc w:val="left"/>
        <w:rPr>
          <w:rFonts w:ascii="Stone Sans II ITC Std X Bd"/>
          <w:b/>
          <w:sz w:val="29"/>
        </w:rPr>
      </w:pPr>
      <w:r>
        <w:rPr/>
        <w:pict>
          <v:shape style="position:absolute;margin-left:554.141174pt;margin-top:-40.652992pt;width:25.9pt;height:163.2pt;mso-position-horizontal-relative:page;mso-position-vertical-relative:paragraph;z-index:251739136" type="#_x0000_t202" filled="false" stroked="false">
            <v:textbox inset="0,0,0,0" style="layout-flow:vertical">
              <w:txbxContent>
                <w:p>
                  <w:pPr>
                    <w:spacing w:before="27"/>
                    <w:ind w:left="20" w:right="0" w:firstLine="0"/>
                    <w:jc w:val="left"/>
                    <w:rPr>
                      <w:sz w:val="39"/>
                    </w:rPr>
                  </w:pPr>
                  <w:r>
                    <w:rPr>
                      <w:color w:val="FFFFFF"/>
                      <w:w w:val="125"/>
                      <w:sz w:val="39"/>
                    </w:rPr>
                    <w:t>Mission Council</w:t>
                  </w:r>
                </w:p>
              </w:txbxContent>
            </v:textbox>
            <w10:wrap type="none"/>
          </v:shape>
        </w:pict>
      </w:r>
      <w:r>
        <w:rPr>
          <w:rFonts w:ascii="Stone Sans II ITC Std X Bd"/>
          <w:b/>
          <w:w w:val="110"/>
          <w:sz w:val="29"/>
        </w:rPr>
        <w:t>Changes to the ministerial disciplinary process (November 2013)</w:t>
      </w:r>
    </w:p>
    <w:p>
      <w:pPr>
        <w:pStyle w:val="BodyText"/>
        <w:spacing w:before="7"/>
        <w:rPr>
          <w:rFonts w:ascii="Stone Sans II ITC Std X Bd"/>
          <w:b/>
          <w:sz w:val="32"/>
        </w:rPr>
      </w:pPr>
    </w:p>
    <w:p>
      <w:pPr>
        <w:pStyle w:val="BodyText"/>
        <w:ind w:left="1984"/>
      </w:pPr>
      <w:r>
        <w:rPr>
          <w:w w:val="125"/>
        </w:rPr>
        <w:t>DISCIPLINARY PROCESS</w:t>
      </w:r>
    </w:p>
    <w:p>
      <w:pPr>
        <w:pStyle w:val="BodyText"/>
        <w:spacing w:before="3"/>
        <w:rPr>
          <w:sz w:val="18"/>
        </w:rPr>
      </w:pPr>
    </w:p>
    <w:p>
      <w:pPr>
        <w:pStyle w:val="Heading9"/>
        <w:ind w:left="1984" w:firstLine="0"/>
      </w:pPr>
      <w:r>
        <w:rPr>
          <w:w w:val="110"/>
        </w:rPr>
        <w:t>A.3</w:t>
      </w:r>
    </w:p>
    <w:p>
      <w:pPr>
        <w:pStyle w:val="BodyText"/>
        <w:spacing w:line="233" w:lineRule="exact"/>
        <w:ind w:left="1984"/>
      </w:pPr>
      <w:r>
        <w:rPr>
          <w:w w:val="120"/>
        </w:rPr>
        <w:t>Replace the whole of this paragraph with the following:</w:t>
      </w:r>
    </w:p>
    <w:p>
      <w:pPr>
        <w:pStyle w:val="BodyText"/>
        <w:spacing w:line="235" w:lineRule="auto" w:before="2"/>
        <w:ind w:left="1984" w:right="1414"/>
      </w:pPr>
      <w:r>
        <w:rPr/>
        <w:pict>
          <v:shape style="position:absolute;margin-left:554.141174pt;margin-top:20.989971pt;width:25.9pt;height:151.9pt;mso-position-horizontal-relative:page;mso-position-vertical-relative:paragraph;z-index:251740160" type="#_x0000_t202" filled="false" stroked="false">
            <v:textbox inset="0,0,0,0" style="layout-flow:vertical">
              <w:txbxContent>
                <w:p>
                  <w:pPr>
                    <w:spacing w:before="27"/>
                    <w:ind w:left="20" w:right="0" w:firstLine="0"/>
                    <w:jc w:val="left"/>
                    <w:rPr>
                      <w:sz w:val="39"/>
                    </w:rPr>
                  </w:pPr>
                  <w:r>
                    <w:rPr>
                      <w:color w:val="FFFFFF"/>
                      <w:w w:val="125"/>
                      <w:sz w:val="39"/>
                    </w:rPr>
                    <w:t>– </w:t>
                  </w:r>
                  <w:r>
                    <w:rPr>
                      <w:spacing w:val="9"/>
                      <w:w w:val="125"/>
                      <w:sz w:val="39"/>
                    </w:rPr>
                    <w:t>Appendix</w:t>
                  </w:r>
                  <w:r>
                    <w:rPr>
                      <w:spacing w:val="62"/>
                      <w:w w:val="125"/>
                      <w:sz w:val="39"/>
                    </w:rPr>
                    <w:t> </w:t>
                  </w:r>
                  <w:r>
                    <w:rPr>
                      <w:spacing w:val="11"/>
                      <w:w w:val="125"/>
                      <w:sz w:val="39"/>
                    </w:rPr>
                    <w:t>4b</w:t>
                  </w:r>
                </w:p>
              </w:txbxContent>
            </v:textbox>
            <w10:wrap type="none"/>
          </v:shape>
        </w:pict>
      </w:r>
      <w:r>
        <w:rPr>
          <w:spacing w:val="-3"/>
          <w:w w:val="120"/>
        </w:rPr>
        <w:t>“Accordingly, </w:t>
      </w:r>
      <w:r>
        <w:rPr>
          <w:w w:val="120"/>
        </w:rPr>
        <w:t>where under the provisions of this disciplinary process, any notice specifies a time limit for a certain action to be taken by the recipient and that action is not carried out within the time specified in the notice to the satisfaction of the person or body sending the notice, that person or body shall have a discretion to allow a reasonable further period for such compliance, except as regards the strict time limit imposed on the right of appeal under paragraphs AA.8.1, </w:t>
      </w:r>
      <w:r>
        <w:rPr>
          <w:spacing w:val="-4"/>
          <w:w w:val="120"/>
        </w:rPr>
        <w:t>E.5.3.1 </w:t>
      </w:r>
      <w:r>
        <w:rPr>
          <w:w w:val="120"/>
        </w:rPr>
        <w:t>and </w:t>
      </w:r>
      <w:r>
        <w:rPr>
          <w:spacing w:val="-5"/>
          <w:w w:val="120"/>
        </w:rPr>
        <w:t>G.1 </w:t>
      </w:r>
      <w:r>
        <w:rPr>
          <w:w w:val="120"/>
        </w:rPr>
        <w:t>and upon the steps to be taken by the synod moderator under paragraphs </w:t>
      </w:r>
      <w:r>
        <w:rPr>
          <w:spacing w:val="-3"/>
          <w:w w:val="120"/>
        </w:rPr>
        <w:t>AA.10.2.4 </w:t>
      </w:r>
      <w:r>
        <w:rPr>
          <w:w w:val="120"/>
        </w:rPr>
        <w:t>and AA.10.2.5.  In other cases, if the person or body sending the notice considers that sufficient time has been allowed and the action required has still not been carried out or there has been an unreasonable delay in the carrying out of the action (whether or not the disciplinary process imposes a time limit for the carrying out of the </w:t>
      </w:r>
      <w:r>
        <w:rPr>
          <w:spacing w:val="-3"/>
          <w:w w:val="120"/>
        </w:rPr>
        <w:t>action), </w:t>
      </w:r>
      <w:r>
        <w:rPr>
          <w:w w:val="120"/>
        </w:rPr>
        <w:t>that person or body may proceed, bearing in mind the need for the Process to be conducted as expeditiously as</w:t>
      </w:r>
      <w:r>
        <w:rPr>
          <w:spacing w:val="4"/>
          <w:w w:val="120"/>
        </w:rPr>
        <w:t> </w:t>
      </w:r>
      <w:r>
        <w:rPr>
          <w:w w:val="120"/>
        </w:rPr>
        <w:t>possible.”</w:t>
      </w:r>
    </w:p>
    <w:p>
      <w:pPr>
        <w:pStyle w:val="BodyText"/>
        <w:spacing w:before="1"/>
        <w:rPr>
          <w:sz w:val="19"/>
        </w:rPr>
      </w:pPr>
    </w:p>
    <w:p>
      <w:pPr>
        <w:pStyle w:val="Heading9"/>
        <w:ind w:left="1984" w:firstLine="0"/>
      </w:pPr>
      <w:r>
        <w:rPr>
          <w:w w:val="110"/>
        </w:rPr>
        <w:t>AA.1.5.3</w:t>
      </w:r>
    </w:p>
    <w:p>
      <w:pPr>
        <w:pStyle w:val="BodyText"/>
        <w:spacing w:line="227" w:lineRule="exact"/>
        <w:ind w:left="1984"/>
      </w:pPr>
      <w:r>
        <w:rPr>
          <w:w w:val="120"/>
        </w:rPr>
        <w:t>Replace the existing paragraph in its entirety with the following:</w:t>
      </w:r>
    </w:p>
    <w:p>
      <w:pPr>
        <w:pStyle w:val="Heading9"/>
        <w:spacing w:line="213" w:lineRule="auto" w:before="14"/>
        <w:ind w:left="1984" w:right="1701" w:firstLine="0"/>
      </w:pPr>
      <w:r>
        <w:rPr>
          <w:w w:val="110"/>
        </w:rPr>
        <w:t>“If any member of a Synod Panel or the Joint Panel is a member of a local church connected with the case or has any pastoral or personal involvement in the case or is the subject of a disciplinary complaint, that person shall not be one of the Synod Appointees for that case.”</w:t>
      </w:r>
    </w:p>
    <w:p>
      <w:pPr>
        <w:spacing w:line="255" w:lineRule="exact" w:before="215"/>
        <w:ind w:left="1984" w:right="0" w:firstLine="0"/>
        <w:jc w:val="left"/>
        <w:rPr>
          <w:rFonts w:ascii="Stone Sans II ITC Std Bk"/>
          <w:b/>
          <w:sz w:val="20"/>
        </w:rPr>
      </w:pPr>
      <w:r>
        <w:rPr>
          <w:rFonts w:ascii="Stone Sans II ITC Std Bk"/>
          <w:b/>
          <w:w w:val="110"/>
          <w:sz w:val="20"/>
        </w:rPr>
        <w:t>B.3.2</w:t>
      </w:r>
    </w:p>
    <w:p>
      <w:pPr>
        <w:spacing w:line="255" w:lineRule="exact" w:before="0"/>
        <w:ind w:left="1984" w:right="0" w:firstLine="0"/>
        <w:jc w:val="left"/>
        <w:rPr>
          <w:rFonts w:ascii="Stone Sans II ITC Std Bk" w:hAnsi="Stone Sans II ITC Std Bk"/>
          <w:b/>
          <w:sz w:val="20"/>
        </w:rPr>
      </w:pPr>
      <w:r>
        <w:rPr>
          <w:w w:val="120"/>
          <w:sz w:val="20"/>
        </w:rPr>
        <w:t>Delete the word </w:t>
      </w:r>
      <w:r>
        <w:rPr>
          <w:rFonts w:ascii="Stone Sans II ITC Std Bk" w:hAnsi="Stone Sans II ITC Std Bk"/>
          <w:b/>
          <w:w w:val="120"/>
          <w:sz w:val="20"/>
        </w:rPr>
        <w:t>“other”.</w:t>
      </w:r>
    </w:p>
    <w:p>
      <w:pPr>
        <w:pStyle w:val="Heading9"/>
        <w:spacing w:line="255" w:lineRule="exact" w:before="210"/>
        <w:ind w:left="1984" w:firstLine="0"/>
      </w:pPr>
      <w:r>
        <w:rPr>
          <w:w w:val="110"/>
        </w:rPr>
        <w:t>B.3.3</w:t>
      </w:r>
    </w:p>
    <w:p>
      <w:pPr>
        <w:spacing w:line="255" w:lineRule="exact" w:before="0"/>
        <w:ind w:left="1984" w:right="0" w:firstLine="0"/>
        <w:jc w:val="left"/>
        <w:rPr>
          <w:rFonts w:ascii="Stone Sans II ITC Std Bk" w:hAnsi="Stone Sans II ITC Std Bk"/>
          <w:b/>
          <w:sz w:val="20"/>
        </w:rPr>
      </w:pPr>
      <w:r>
        <w:rPr>
          <w:w w:val="120"/>
          <w:sz w:val="20"/>
        </w:rPr>
        <w:t>Delete the word </w:t>
      </w:r>
      <w:r>
        <w:rPr>
          <w:rFonts w:ascii="Stone Sans II ITC Std Bk" w:hAnsi="Stone Sans II ITC Std Bk"/>
          <w:b/>
          <w:w w:val="120"/>
          <w:sz w:val="20"/>
        </w:rPr>
        <w:t>“other”.</w:t>
      </w:r>
    </w:p>
    <w:p>
      <w:pPr>
        <w:pStyle w:val="Heading9"/>
        <w:spacing w:line="255" w:lineRule="exact" w:before="210"/>
        <w:ind w:left="1984" w:firstLine="0"/>
      </w:pPr>
      <w:r>
        <w:rPr>
          <w:w w:val="110"/>
        </w:rPr>
        <w:t>B.4</w:t>
      </w:r>
    </w:p>
    <w:p>
      <w:pPr>
        <w:spacing w:line="240" w:lineRule="exact" w:before="0"/>
        <w:ind w:left="1984" w:right="0" w:firstLine="0"/>
        <w:jc w:val="left"/>
        <w:rPr>
          <w:rFonts w:ascii="Stone Sans II ITC Std Bk" w:hAnsi="Stone Sans II ITC Std Bk"/>
          <w:b/>
          <w:sz w:val="20"/>
        </w:rPr>
      </w:pPr>
      <w:r>
        <w:rPr>
          <w:w w:val="110"/>
          <w:sz w:val="20"/>
        </w:rPr>
        <w:t>In each of the expressions </w:t>
      </w:r>
      <w:r>
        <w:rPr>
          <w:rFonts w:ascii="Stone Sans II ITC Std Bk" w:hAnsi="Stone Sans II ITC Std Bk"/>
          <w:b/>
          <w:w w:val="110"/>
          <w:sz w:val="20"/>
        </w:rPr>
        <w:t>“connected with a case” </w:t>
      </w:r>
      <w:r>
        <w:rPr>
          <w:w w:val="110"/>
          <w:sz w:val="20"/>
        </w:rPr>
        <w:t>and </w:t>
      </w:r>
      <w:r>
        <w:rPr>
          <w:rFonts w:ascii="Stone Sans II ITC Std Bk" w:hAnsi="Stone Sans II ITC Std Bk"/>
          <w:b/>
          <w:w w:val="110"/>
          <w:sz w:val="20"/>
        </w:rPr>
        <w:t>“involvement in a case”</w:t>
      </w:r>
    </w:p>
    <w:p>
      <w:pPr>
        <w:spacing w:line="255" w:lineRule="exact" w:before="0"/>
        <w:ind w:left="1984" w:right="0" w:firstLine="0"/>
        <w:jc w:val="left"/>
        <w:rPr>
          <w:rFonts w:ascii="Stone Sans II ITC Std Bk" w:hAnsi="Stone Sans II ITC Std Bk"/>
          <w:b/>
          <w:sz w:val="20"/>
        </w:rPr>
      </w:pPr>
      <w:r>
        <w:rPr>
          <w:w w:val="115"/>
          <w:sz w:val="20"/>
        </w:rPr>
        <w:t>insert the word </w:t>
      </w:r>
      <w:r>
        <w:rPr>
          <w:rFonts w:ascii="Stone Sans II ITC Std Bk" w:hAnsi="Stone Sans II ITC Std Bk"/>
          <w:b/>
          <w:w w:val="115"/>
          <w:sz w:val="20"/>
        </w:rPr>
        <w:t>“particular” </w:t>
      </w:r>
      <w:r>
        <w:rPr>
          <w:w w:val="115"/>
          <w:sz w:val="20"/>
        </w:rPr>
        <w:t>between </w:t>
      </w:r>
      <w:r>
        <w:rPr>
          <w:rFonts w:ascii="Stone Sans II ITC Std Bk" w:hAnsi="Stone Sans II ITC Std Bk"/>
          <w:b/>
          <w:w w:val="115"/>
          <w:sz w:val="20"/>
        </w:rPr>
        <w:t>“a” </w:t>
      </w:r>
      <w:r>
        <w:rPr>
          <w:w w:val="115"/>
          <w:sz w:val="20"/>
        </w:rPr>
        <w:t>and </w:t>
      </w:r>
      <w:r>
        <w:rPr>
          <w:rFonts w:ascii="Stone Sans II ITC Std Bk" w:hAnsi="Stone Sans II ITC Std Bk"/>
          <w:b/>
          <w:w w:val="115"/>
          <w:sz w:val="20"/>
        </w:rPr>
        <w:t>“case”.</w:t>
      </w:r>
    </w:p>
    <w:p>
      <w:pPr>
        <w:pStyle w:val="Heading9"/>
        <w:spacing w:line="255" w:lineRule="exact" w:before="209"/>
        <w:ind w:left="1984" w:firstLine="0"/>
      </w:pPr>
      <w:r>
        <w:rPr>
          <w:w w:val="110"/>
        </w:rPr>
        <w:t>E.9.1</w:t>
      </w:r>
    </w:p>
    <w:p>
      <w:pPr>
        <w:spacing w:line="213" w:lineRule="auto" w:before="7"/>
        <w:ind w:left="1984" w:right="2004" w:firstLine="0"/>
        <w:jc w:val="left"/>
        <w:rPr>
          <w:rFonts w:ascii="Stone Sans II ITC Std Bk" w:hAnsi="Stone Sans II ITC Std Bk"/>
          <w:b/>
          <w:sz w:val="20"/>
        </w:rPr>
      </w:pPr>
      <w:r>
        <w:rPr>
          <w:w w:val="110"/>
          <w:sz w:val="20"/>
        </w:rPr>
        <w:t>In the last sentence, after the words </w:t>
      </w:r>
      <w:r>
        <w:rPr>
          <w:rFonts w:ascii="Stone Sans II ITC Std Bk" w:hAnsi="Stone Sans II ITC Std Bk"/>
          <w:b/>
          <w:w w:val="110"/>
          <w:sz w:val="20"/>
        </w:rPr>
        <w:t>“…appropriate so to do…” </w:t>
      </w:r>
      <w:r>
        <w:rPr>
          <w:w w:val="110"/>
          <w:sz w:val="20"/>
        </w:rPr>
        <w:t>insert the words </w:t>
      </w:r>
      <w:r>
        <w:rPr>
          <w:rFonts w:ascii="Stone Sans II ITC Std Bk" w:hAnsi="Stone Sans II ITC Std Bk"/>
          <w:b/>
          <w:w w:val="110"/>
          <w:sz w:val="20"/>
        </w:rPr>
        <w:t>“…and having supplied the Mandated Group with a copy of the minister’s statement…”.</w:t>
      </w:r>
    </w:p>
    <w:p>
      <w:pPr>
        <w:pStyle w:val="BodyText"/>
        <w:rPr>
          <w:rFonts w:ascii="Stone Sans II ITC Std Bk"/>
          <w:b/>
          <w:sz w:val="16"/>
        </w:rPr>
      </w:pPr>
    </w:p>
    <w:p>
      <w:pPr>
        <w:pStyle w:val="BodyText"/>
        <w:spacing w:line="255" w:lineRule="exact"/>
        <w:ind w:left="1984"/>
      </w:pPr>
      <w:r>
        <w:rPr>
          <w:rFonts w:ascii="Stone Sans II ITC Std Bk"/>
          <w:b/>
          <w:w w:val="120"/>
        </w:rPr>
        <w:t>E.9.2 </w:t>
      </w:r>
      <w:r>
        <w:rPr>
          <w:w w:val="120"/>
        </w:rPr>
        <w:t>Insert a new second sentence as follows:</w:t>
      </w:r>
    </w:p>
    <w:p>
      <w:pPr>
        <w:pStyle w:val="Heading9"/>
        <w:spacing w:line="213" w:lineRule="auto" w:before="7"/>
        <w:ind w:left="1984" w:right="1244" w:firstLine="0"/>
      </w:pPr>
      <w:r>
        <w:rPr>
          <w:w w:val="110"/>
        </w:rPr>
        <w:t>“The Secretary of the Assembly Commission shall supply the minister with a copy of the Mandated Group’s Notice.”</w:t>
      </w:r>
    </w:p>
    <w:p>
      <w:pPr>
        <w:pStyle w:val="BodyText"/>
        <w:rPr>
          <w:rFonts w:ascii="Stone Sans II ITC Std Bk"/>
          <w:b/>
          <w:sz w:val="16"/>
        </w:rPr>
      </w:pPr>
    </w:p>
    <w:p>
      <w:pPr>
        <w:spacing w:line="261" w:lineRule="exact" w:before="0"/>
        <w:ind w:left="1984" w:right="0" w:firstLine="0"/>
        <w:jc w:val="left"/>
        <w:rPr>
          <w:rFonts w:ascii="Stone Sans II ITC Std Bk"/>
          <w:b/>
          <w:sz w:val="20"/>
        </w:rPr>
      </w:pPr>
      <w:r>
        <w:rPr>
          <w:rFonts w:ascii="Stone Sans II ITC Std Bk"/>
          <w:b/>
          <w:w w:val="110"/>
          <w:sz w:val="20"/>
        </w:rPr>
        <w:t>G.8.</w:t>
      </w:r>
    </w:p>
    <w:p>
      <w:pPr>
        <w:pStyle w:val="BodyText"/>
        <w:spacing w:line="235" w:lineRule="auto"/>
        <w:ind w:left="1984" w:right="1352"/>
      </w:pPr>
      <w:r>
        <w:rPr>
          <w:w w:val="120"/>
        </w:rPr>
        <w:t>Add the following to the list at G.8.5 and move the existing G.8.5 and renumber the following accordingly:</w:t>
      </w:r>
    </w:p>
    <w:p>
      <w:pPr>
        <w:pStyle w:val="BodyText"/>
        <w:rPr>
          <w:sz w:val="18"/>
        </w:rPr>
      </w:pPr>
    </w:p>
    <w:p>
      <w:pPr>
        <w:pStyle w:val="Heading9"/>
        <w:spacing w:line="240" w:lineRule="auto"/>
        <w:ind w:left="1984" w:firstLine="0"/>
      </w:pPr>
      <w:r>
        <w:rPr>
          <w:w w:val="110"/>
        </w:rPr>
        <w:t>G.8.5 “Any Cautions (other than those successfully appealed against).”</w:t>
      </w:r>
    </w:p>
    <w:p>
      <w:pPr>
        <w:spacing w:after="0" w:line="240" w:lineRule="auto"/>
        <w:sectPr>
          <w:type w:val="continuous"/>
          <w:pgSz w:w="11910" w:h="16840"/>
          <w:pgMar w:top="680" w:bottom="280" w:left="0" w:right="0"/>
        </w:sectPr>
      </w:pPr>
    </w:p>
    <w:p>
      <w:pPr>
        <w:pStyle w:val="BodyText"/>
        <w:rPr>
          <w:rFonts w:ascii="Stone Sans II ITC Std Bk"/>
          <w:b/>
        </w:rPr>
      </w:pPr>
    </w:p>
    <w:p>
      <w:pPr>
        <w:pStyle w:val="BodyText"/>
        <w:spacing w:before="7"/>
        <w:rPr>
          <w:rFonts w:ascii="Stone Sans II ITC Std Bk"/>
          <w:b/>
          <w:sz w:val="17"/>
        </w:rPr>
      </w:pPr>
    </w:p>
    <w:p>
      <w:pPr>
        <w:spacing w:after="0"/>
        <w:rPr>
          <w:rFonts w:ascii="Stone Sans II ITC Std Bk"/>
          <w:sz w:val="17"/>
        </w:rPr>
        <w:sectPr>
          <w:headerReference w:type="even" r:id="rId72"/>
          <w:footerReference w:type="even" r:id="rId73"/>
          <w:footerReference w:type="default" r:id="rId74"/>
          <w:pgSz w:w="11910" w:h="16840"/>
          <w:pgMar w:header="0" w:footer="647" w:top="0" w:bottom="840" w:left="0" w:right="0"/>
          <w:pgNumType w:start="26"/>
        </w:sectPr>
      </w:pPr>
    </w:p>
    <w:p>
      <w:pPr>
        <w:spacing w:before="107"/>
        <w:ind w:left="1247" w:right="0" w:firstLine="0"/>
        <w:jc w:val="left"/>
        <w:rPr>
          <w:sz w:val="26"/>
        </w:rPr>
      </w:pPr>
      <w:r>
        <w:rPr>
          <w:color w:val="7EAABF"/>
          <w:w w:val="120"/>
          <w:sz w:val="26"/>
        </w:rPr>
        <w:t>Mission</w:t>
      </w:r>
      <w:r>
        <w:rPr>
          <w:color w:val="7EAABF"/>
          <w:spacing w:val="-31"/>
          <w:w w:val="120"/>
          <w:sz w:val="26"/>
        </w:rPr>
        <w:t> </w:t>
      </w:r>
      <w:r>
        <w:rPr>
          <w:color w:val="7EAABF"/>
          <w:spacing w:val="-3"/>
          <w:w w:val="120"/>
          <w:sz w:val="26"/>
        </w:rPr>
        <w:t>Council</w:t>
      </w:r>
    </w:p>
    <w:p>
      <w:pPr>
        <w:pStyle w:val="BodyText"/>
        <w:spacing w:before="4"/>
        <w:rPr>
          <w:sz w:val="52"/>
        </w:rPr>
      </w:pPr>
      <w:r>
        <w:rPr/>
        <w:br w:type="column"/>
      </w:r>
      <w:r>
        <w:rPr>
          <w:sz w:val="52"/>
        </w:rPr>
      </w:r>
    </w:p>
    <w:p>
      <w:pPr>
        <w:tabs>
          <w:tab w:pos="1337" w:val="left" w:leader="none"/>
          <w:tab w:pos="3739" w:val="left" w:leader="none"/>
        </w:tabs>
        <w:spacing w:before="0"/>
        <w:ind w:left="904" w:right="0" w:firstLine="0"/>
        <w:jc w:val="left"/>
        <w:rPr>
          <w:rFonts w:ascii="Stone Sans II ITC Std X Bd"/>
          <w:b/>
          <w:sz w:val="29"/>
        </w:rPr>
      </w:pPr>
      <w:r>
        <w:rPr>
          <w:rFonts w:ascii="Stone Sans II ITC Std X Bd"/>
          <w:b/>
          <w:w w:val="110"/>
          <w:sz w:val="29"/>
          <w:shd w:fill="FFDB7B" w:color="auto" w:val="clear"/>
        </w:rPr>
        <w:t> </w:t>
      </w:r>
      <w:r>
        <w:rPr>
          <w:rFonts w:ascii="Stone Sans II ITC Std X Bd"/>
          <w:b/>
          <w:sz w:val="29"/>
          <w:shd w:fill="FFDB7B" w:color="auto" w:val="clear"/>
        </w:rPr>
        <w:tab/>
      </w:r>
      <w:r>
        <w:rPr>
          <w:rFonts w:ascii="Stone Sans II ITC Std X Bd"/>
          <w:b/>
          <w:w w:val="110"/>
          <w:sz w:val="29"/>
          <w:shd w:fill="FFDB7B" w:color="auto" w:val="clear"/>
        </w:rPr>
        <w:t>Appendix</w:t>
      </w:r>
      <w:r>
        <w:rPr>
          <w:rFonts w:ascii="Stone Sans II ITC Std X Bd"/>
          <w:b/>
          <w:spacing w:val="-1"/>
          <w:w w:val="110"/>
          <w:sz w:val="29"/>
          <w:shd w:fill="FFDB7B" w:color="auto" w:val="clear"/>
        </w:rPr>
        <w:t> </w:t>
      </w:r>
      <w:r>
        <w:rPr>
          <w:rFonts w:ascii="Stone Sans II ITC Std X Bd"/>
          <w:b/>
          <w:spacing w:val="-5"/>
          <w:w w:val="110"/>
          <w:sz w:val="29"/>
          <w:shd w:fill="FFDB7B" w:color="auto" w:val="clear"/>
        </w:rPr>
        <w:t>5a</w:t>
      </w:r>
      <w:r>
        <w:rPr>
          <w:rFonts w:ascii="Stone Sans II ITC Std X Bd"/>
          <w:b/>
          <w:spacing w:val="-5"/>
          <w:sz w:val="29"/>
          <w:shd w:fill="FFDB7B" w:color="auto" w:val="clear"/>
        </w:rPr>
        <w:tab/>
      </w:r>
    </w:p>
    <w:p>
      <w:pPr>
        <w:spacing w:after="0"/>
        <w:jc w:val="left"/>
        <w:rPr>
          <w:rFonts w:ascii="Stone Sans II ITC Std X Bd"/>
          <w:sz w:val="29"/>
        </w:rPr>
        <w:sectPr>
          <w:type w:val="continuous"/>
          <w:pgSz w:w="11910" w:h="16840"/>
          <w:pgMar w:top="680" w:bottom="280" w:left="0" w:right="0"/>
          <w:cols w:num="2" w:equalWidth="0">
            <w:col w:w="3194" w:space="40"/>
            <w:col w:w="8676"/>
          </w:cols>
        </w:sectPr>
      </w:pPr>
    </w:p>
    <w:p>
      <w:pPr>
        <w:pStyle w:val="BodyText"/>
        <w:spacing w:before="4"/>
        <w:rPr>
          <w:rFonts w:ascii="Stone Sans II ITC Std X Bd"/>
          <w:b/>
          <w:sz w:val="17"/>
        </w:rPr>
      </w:pPr>
      <w:r>
        <w:rPr/>
        <w:drawing>
          <wp:anchor distT="0" distB="0" distL="0" distR="0" allowOverlap="1" layoutInCell="1" locked="0" behindDoc="0" simplePos="0" relativeHeight="251741184">
            <wp:simplePos x="0" y="0"/>
            <wp:positionH relativeFrom="page">
              <wp:posOffset>0</wp:posOffset>
            </wp:positionH>
            <wp:positionV relativeFrom="page">
              <wp:posOffset>0</wp:posOffset>
            </wp:positionV>
            <wp:extent cx="594067" cy="10692003"/>
            <wp:effectExtent l="0" t="0" r="0" b="0"/>
            <wp:wrapNone/>
            <wp:docPr id="45" name="image22.png"/>
            <wp:cNvGraphicFramePr>
              <a:graphicFrameLocks noChangeAspect="1"/>
            </wp:cNvGraphicFramePr>
            <a:graphic>
              <a:graphicData uri="http://schemas.openxmlformats.org/drawingml/2006/picture">
                <pic:pic>
                  <pic:nvPicPr>
                    <pic:cNvPr id="46" name="image22.png"/>
                    <pic:cNvPicPr/>
                  </pic:nvPicPr>
                  <pic:blipFill>
                    <a:blip r:embed="rId33" cstate="print"/>
                    <a:stretch>
                      <a:fillRect/>
                    </a:stretch>
                  </pic:blipFill>
                  <pic:spPr>
                    <a:xfrm>
                      <a:off x="0" y="0"/>
                      <a:ext cx="594067" cy="10692003"/>
                    </a:xfrm>
                    <a:prstGeom prst="rect">
                      <a:avLst/>
                    </a:prstGeom>
                  </pic:spPr>
                </pic:pic>
              </a:graphicData>
            </a:graphic>
          </wp:anchor>
        </w:drawing>
      </w:r>
    </w:p>
    <w:p>
      <w:pPr>
        <w:spacing w:line="220" w:lineRule="auto" w:before="118"/>
        <w:ind w:left="4170" w:right="2004" w:hanging="1511"/>
        <w:jc w:val="left"/>
        <w:rPr>
          <w:rFonts w:ascii="Stone Sans II ITC Std X Bd"/>
          <w:b/>
          <w:sz w:val="29"/>
        </w:rPr>
      </w:pPr>
      <w:r>
        <w:rPr/>
        <w:pict>
          <v:shape style="position:absolute;margin-left:20.519100pt;margin-top:-40.602989pt;width:25.9pt;height:163.2pt;mso-position-horizontal-relative:page;mso-position-vertical-relative:paragraph;z-index:251742208" type="#_x0000_t202" filled="false" stroked="false">
            <v:textbox inset="0,0,0,0" style="layout-flow:vertical">
              <w:txbxContent>
                <w:p>
                  <w:pPr>
                    <w:spacing w:before="27"/>
                    <w:ind w:left="20" w:right="0" w:firstLine="0"/>
                    <w:jc w:val="left"/>
                    <w:rPr>
                      <w:sz w:val="39"/>
                    </w:rPr>
                  </w:pPr>
                  <w:r>
                    <w:rPr>
                      <w:color w:val="FFFFFF"/>
                      <w:w w:val="125"/>
                      <w:sz w:val="39"/>
                    </w:rPr>
                    <w:t>Mission Council</w:t>
                  </w:r>
                </w:p>
              </w:txbxContent>
            </v:textbox>
            <w10:wrap type="none"/>
          </v:shape>
        </w:pict>
      </w:r>
      <w:r>
        <w:rPr>
          <w:rFonts w:ascii="Stone Sans II ITC Std X Bd"/>
          <w:b/>
          <w:w w:val="110"/>
          <w:sz w:val="29"/>
        </w:rPr>
        <w:t>Changes to the incapacity procedure (November 2013)</w:t>
      </w:r>
    </w:p>
    <w:p>
      <w:pPr>
        <w:pStyle w:val="BodyText"/>
        <w:spacing w:before="10"/>
        <w:rPr>
          <w:rFonts w:ascii="Stone Sans II ITC Std X Bd"/>
          <w:b/>
          <w:sz w:val="32"/>
        </w:rPr>
      </w:pPr>
    </w:p>
    <w:p>
      <w:pPr>
        <w:pStyle w:val="BodyText"/>
        <w:spacing w:line="235" w:lineRule="auto"/>
        <w:ind w:left="1247" w:right="2167"/>
      </w:pPr>
      <w:r>
        <w:rPr>
          <w:w w:val="120"/>
        </w:rPr>
        <w:t>Renumber current paragraph </w:t>
      </w:r>
      <w:r>
        <w:rPr>
          <w:spacing w:val="-10"/>
          <w:w w:val="120"/>
        </w:rPr>
        <w:t>B.1.1 </w:t>
      </w:r>
      <w:r>
        <w:rPr>
          <w:w w:val="120"/>
        </w:rPr>
        <w:t>to become </w:t>
      </w:r>
      <w:r>
        <w:rPr>
          <w:spacing w:val="-12"/>
          <w:w w:val="120"/>
        </w:rPr>
        <w:t>B.1.1.1. </w:t>
      </w:r>
      <w:r>
        <w:rPr>
          <w:w w:val="120"/>
        </w:rPr>
        <w:t>and add a new paragraph </w:t>
      </w:r>
      <w:r>
        <w:rPr>
          <w:spacing w:val="-9"/>
          <w:w w:val="120"/>
        </w:rPr>
        <w:t>B.1.1.2 </w:t>
      </w:r>
      <w:r>
        <w:rPr>
          <w:w w:val="120"/>
        </w:rPr>
        <w:t>as</w:t>
      </w:r>
      <w:r>
        <w:rPr>
          <w:spacing w:val="1"/>
          <w:w w:val="120"/>
        </w:rPr>
        <w:t> </w:t>
      </w:r>
      <w:r>
        <w:rPr>
          <w:w w:val="120"/>
        </w:rPr>
        <w:t>follows:</w:t>
      </w:r>
    </w:p>
    <w:p>
      <w:pPr>
        <w:pStyle w:val="BodyText"/>
        <w:spacing w:before="3"/>
      </w:pPr>
    </w:p>
    <w:p>
      <w:pPr>
        <w:pStyle w:val="Heading9"/>
        <w:spacing w:line="213" w:lineRule="auto"/>
        <w:ind w:left="1247" w:right="2004" w:firstLine="0"/>
      </w:pPr>
      <w:r>
        <w:rPr/>
        <w:pict>
          <v:shape style="position:absolute;margin-left:20.519100pt;margin-top:32.592419pt;width:25.9pt;height:149.050pt;mso-position-horizontal-relative:page;mso-position-vertical-relative:paragraph;z-index:251743232" type="#_x0000_t202" filled="false" stroked="false">
            <v:textbox inset="0,0,0,0" style="layout-flow:vertical">
              <w:txbxContent>
                <w:p>
                  <w:pPr>
                    <w:spacing w:before="27"/>
                    <w:ind w:left="20" w:right="0" w:firstLine="0"/>
                    <w:jc w:val="left"/>
                    <w:rPr>
                      <w:sz w:val="39"/>
                    </w:rPr>
                  </w:pPr>
                  <w:r>
                    <w:rPr>
                      <w:color w:val="FFFFFF"/>
                      <w:w w:val="125"/>
                      <w:sz w:val="39"/>
                    </w:rPr>
                    <w:t>– </w:t>
                  </w:r>
                  <w:r>
                    <w:rPr>
                      <w:w w:val="125"/>
                      <w:sz w:val="39"/>
                    </w:rPr>
                    <w:t>Appendix 5a</w:t>
                  </w:r>
                </w:p>
              </w:txbxContent>
            </v:textbox>
            <w10:wrap type="none"/>
          </v:shape>
        </w:pict>
      </w:r>
      <w:r>
        <w:rPr>
          <w:rFonts w:ascii="Calibri" w:hAnsi="Calibri"/>
          <w:b w:val="0"/>
          <w:w w:val="110"/>
        </w:rPr>
        <w:t>“</w:t>
      </w:r>
      <w:r>
        <w:rPr>
          <w:w w:val="110"/>
        </w:rPr>
        <w:t>Should the General Assembly Representative make the enquiry specified in Paragraph B.1.1.1, the officers of the General Assembly shall appoint a Synod Moderator or other member of Mission Council to be the third member of the Consultation Group along with the General Assembly Representative and the Convener of the PRWC.”</w:t>
      </w:r>
    </w:p>
    <w:p>
      <w:pPr>
        <w:spacing w:line="255" w:lineRule="exact" w:before="215"/>
        <w:ind w:left="1247" w:right="0" w:firstLine="0"/>
        <w:jc w:val="left"/>
        <w:rPr>
          <w:rFonts w:ascii="Stone Sans II ITC Std Bk"/>
          <w:b/>
          <w:sz w:val="20"/>
        </w:rPr>
      </w:pPr>
      <w:r>
        <w:rPr>
          <w:rFonts w:ascii="Stone Sans II ITC Std Bk"/>
          <w:b/>
          <w:w w:val="110"/>
          <w:sz w:val="20"/>
        </w:rPr>
        <w:t>K.5.2</w:t>
      </w:r>
    </w:p>
    <w:p>
      <w:pPr>
        <w:spacing w:line="255" w:lineRule="exact" w:before="0"/>
        <w:ind w:left="1247" w:right="0" w:firstLine="0"/>
        <w:jc w:val="left"/>
        <w:rPr>
          <w:rFonts w:ascii="Stone Sans II ITC Std Bk" w:hAnsi="Stone Sans II ITC Std Bk"/>
          <w:b/>
          <w:sz w:val="20"/>
        </w:rPr>
      </w:pPr>
      <w:r>
        <w:rPr>
          <w:w w:val="110"/>
          <w:sz w:val="20"/>
        </w:rPr>
        <w:t>After the word </w:t>
      </w:r>
      <w:r>
        <w:rPr>
          <w:rFonts w:ascii="Stone Sans II ITC Std Bk" w:hAnsi="Stone Sans II ITC Std Bk"/>
          <w:b/>
          <w:w w:val="110"/>
          <w:sz w:val="20"/>
        </w:rPr>
        <w:t>“include” </w:t>
      </w:r>
      <w:r>
        <w:rPr>
          <w:w w:val="110"/>
          <w:sz w:val="20"/>
        </w:rPr>
        <w:t>insert the words </w:t>
      </w:r>
      <w:r>
        <w:rPr>
          <w:rFonts w:ascii="Stone Sans II ITC Std Bk" w:hAnsi="Stone Sans II ITC Std Bk"/>
          <w:b/>
          <w:w w:val="110"/>
          <w:sz w:val="20"/>
        </w:rPr>
        <w:t>“in the Decision Record”.</w:t>
      </w:r>
    </w:p>
    <w:p>
      <w:pPr>
        <w:spacing w:before="209"/>
        <w:ind w:left="1247" w:right="0" w:firstLine="0"/>
        <w:jc w:val="left"/>
        <w:rPr>
          <w:rFonts w:ascii="Stone Sans II ITC Std Bk" w:hAnsi="Stone Sans II ITC Std Bk"/>
          <w:b/>
          <w:sz w:val="20"/>
        </w:rPr>
      </w:pPr>
      <w:r>
        <w:rPr>
          <w:w w:val="115"/>
          <w:sz w:val="20"/>
        </w:rPr>
        <w:t>Delete the words “</w:t>
      </w:r>
      <w:r>
        <w:rPr>
          <w:rFonts w:ascii="Stone Sans II ITC Std Bk" w:hAnsi="Stone Sans II ITC Std Bk"/>
          <w:b/>
          <w:w w:val="115"/>
          <w:sz w:val="20"/>
        </w:rPr>
        <w:t>the General Assembly Representative”.</w:t>
      </w:r>
    </w:p>
    <w:p>
      <w:pPr>
        <w:pStyle w:val="BodyText"/>
        <w:spacing w:before="6"/>
        <w:rPr>
          <w:rFonts w:ascii="Stone Sans II ITC Std Bk"/>
          <w:b/>
          <w:sz w:val="16"/>
        </w:rPr>
      </w:pPr>
    </w:p>
    <w:p>
      <w:pPr>
        <w:pStyle w:val="BodyText"/>
        <w:spacing w:line="236" w:lineRule="exact"/>
        <w:ind w:left="1247"/>
      </w:pPr>
      <w:r>
        <w:rPr>
          <w:w w:val="125"/>
        </w:rPr>
        <w:t>L.11.2</w:t>
      </w:r>
    </w:p>
    <w:p>
      <w:pPr>
        <w:spacing w:line="262" w:lineRule="exact" w:before="0"/>
        <w:ind w:left="1247" w:right="0" w:firstLine="0"/>
        <w:jc w:val="left"/>
        <w:rPr>
          <w:rFonts w:ascii="Stone Sans II ITC Std Bk" w:hAnsi="Stone Sans II ITC Std Bk"/>
          <w:b/>
          <w:sz w:val="20"/>
        </w:rPr>
      </w:pPr>
      <w:r>
        <w:rPr>
          <w:w w:val="110"/>
          <w:sz w:val="20"/>
        </w:rPr>
        <w:t>After the word </w:t>
      </w:r>
      <w:r>
        <w:rPr>
          <w:rFonts w:ascii="Stone Sans II ITC Std Bk" w:hAnsi="Stone Sans II ITC Std Bk"/>
          <w:b/>
          <w:w w:val="110"/>
          <w:sz w:val="20"/>
        </w:rPr>
        <w:t>“include” </w:t>
      </w:r>
      <w:r>
        <w:rPr>
          <w:w w:val="110"/>
          <w:sz w:val="20"/>
        </w:rPr>
        <w:t>insert the words </w:t>
      </w:r>
      <w:r>
        <w:rPr>
          <w:rFonts w:ascii="Stone Sans II ITC Std Bk" w:hAnsi="Stone Sans II ITC Std Bk"/>
          <w:b/>
          <w:w w:val="110"/>
          <w:sz w:val="20"/>
        </w:rPr>
        <w:t>“in the Decision Record”.</w:t>
      </w:r>
    </w:p>
    <w:p>
      <w:pPr>
        <w:spacing w:before="210"/>
        <w:ind w:left="1247" w:right="0" w:firstLine="0"/>
        <w:jc w:val="left"/>
        <w:rPr>
          <w:rFonts w:ascii="Stone Sans II ITC Std Bk" w:hAnsi="Stone Sans II ITC Std Bk"/>
          <w:b/>
          <w:sz w:val="20"/>
        </w:rPr>
      </w:pPr>
      <w:r>
        <w:rPr>
          <w:w w:val="115"/>
          <w:sz w:val="20"/>
        </w:rPr>
        <w:t>Delete the words “</w:t>
      </w:r>
      <w:r>
        <w:rPr>
          <w:rFonts w:ascii="Stone Sans II ITC Std Bk" w:hAnsi="Stone Sans II ITC Std Bk"/>
          <w:b/>
          <w:w w:val="115"/>
          <w:sz w:val="20"/>
        </w:rPr>
        <w:t>the General Assembly Representative”.</w:t>
      </w:r>
    </w:p>
    <w:p>
      <w:pPr>
        <w:spacing w:after="0"/>
        <w:jc w:val="left"/>
        <w:rPr>
          <w:rFonts w:ascii="Stone Sans II ITC Std Bk" w:hAnsi="Stone Sans II ITC Std Bk"/>
          <w:sz w:val="20"/>
        </w:rPr>
        <w:sectPr>
          <w:type w:val="continuous"/>
          <w:pgSz w:w="11910" w:h="16840"/>
          <w:pgMar w:top="680" w:bottom="280" w:left="0" w:right="0"/>
        </w:sectPr>
      </w:pPr>
    </w:p>
    <w:p>
      <w:pPr>
        <w:pStyle w:val="BodyText"/>
        <w:rPr>
          <w:rFonts w:ascii="Stone Sans II ITC Std Bk"/>
          <w:b/>
        </w:rPr>
      </w:pPr>
    </w:p>
    <w:p>
      <w:pPr>
        <w:pStyle w:val="BodyText"/>
        <w:spacing w:before="7"/>
        <w:rPr>
          <w:rFonts w:ascii="Stone Sans II ITC Std Bk"/>
          <w:b/>
          <w:sz w:val="17"/>
        </w:rPr>
      </w:pPr>
    </w:p>
    <w:p>
      <w:pPr>
        <w:spacing w:after="0"/>
        <w:rPr>
          <w:rFonts w:ascii="Stone Sans II ITC Std Bk"/>
          <w:sz w:val="17"/>
        </w:rPr>
        <w:sectPr>
          <w:headerReference w:type="default" r:id="rId75"/>
          <w:pgSz w:w="11910" w:h="16840"/>
          <w:pgMar w:header="0" w:footer="647" w:top="0" w:bottom="840" w:left="0" w:right="0"/>
        </w:sectPr>
      </w:pPr>
    </w:p>
    <w:p>
      <w:pPr>
        <w:pStyle w:val="BodyText"/>
        <w:spacing w:before="3"/>
        <w:rPr>
          <w:rFonts w:ascii="Stone Sans II ITC Std Bk"/>
          <w:b/>
          <w:sz w:val="47"/>
        </w:rPr>
      </w:pPr>
    </w:p>
    <w:p>
      <w:pPr>
        <w:pStyle w:val="Heading4"/>
        <w:tabs>
          <w:tab w:pos="5297" w:val="left" w:leader="none"/>
          <w:tab w:pos="7724" w:val="left" w:leader="none"/>
        </w:tabs>
        <w:spacing w:before="1"/>
        <w:ind w:left="4889" w:firstLine="0"/>
        <w:rPr>
          <w:rFonts w:ascii="Stone Sans II ITC Std X Bd"/>
          <w:b/>
        </w:rPr>
      </w:pPr>
      <w:r>
        <w:rPr>
          <w:rFonts w:ascii="Stone Sans II ITC Std X Bd"/>
          <w:b/>
          <w:w w:val="110"/>
          <w:shd w:fill="FFDB7B" w:color="auto" w:val="clear"/>
        </w:rPr>
        <w:t> </w:t>
      </w:r>
      <w:r>
        <w:rPr>
          <w:rFonts w:ascii="Stone Sans II ITC Std X Bd"/>
          <w:b/>
          <w:shd w:fill="FFDB7B" w:color="auto" w:val="clear"/>
        </w:rPr>
        <w:tab/>
      </w:r>
      <w:r>
        <w:rPr>
          <w:rFonts w:ascii="Stone Sans II ITC Std X Bd"/>
          <w:b/>
          <w:w w:val="110"/>
          <w:shd w:fill="FFDB7B" w:color="auto" w:val="clear"/>
        </w:rPr>
        <w:t>Appendix</w:t>
      </w:r>
      <w:r>
        <w:rPr>
          <w:rFonts w:ascii="Stone Sans II ITC Std X Bd"/>
          <w:b/>
          <w:spacing w:val="-1"/>
          <w:w w:val="110"/>
          <w:shd w:fill="FFDB7B" w:color="auto" w:val="clear"/>
        </w:rPr>
        <w:t> </w:t>
      </w:r>
      <w:r>
        <w:rPr>
          <w:rFonts w:ascii="Stone Sans II ITC Std X Bd"/>
          <w:b/>
          <w:spacing w:val="-5"/>
          <w:w w:val="110"/>
          <w:shd w:fill="FFDB7B" w:color="auto" w:val="clear"/>
        </w:rPr>
        <w:t>5b</w:t>
      </w:r>
      <w:r>
        <w:rPr>
          <w:rFonts w:ascii="Stone Sans II ITC Std X Bd"/>
          <w:b/>
          <w:spacing w:val="-5"/>
          <w:shd w:fill="FFDB7B" w:color="auto" w:val="clear"/>
        </w:rPr>
        <w:tab/>
      </w:r>
    </w:p>
    <w:p>
      <w:pPr>
        <w:pStyle w:val="Heading5"/>
        <w:spacing w:before="107"/>
        <w:ind w:left="947"/>
      </w:pPr>
      <w:r>
        <w:rPr/>
        <w:br w:type="column"/>
      </w:r>
      <w:r>
        <w:rPr>
          <w:color w:val="7EAABF"/>
          <w:w w:val="120"/>
        </w:rPr>
        <w:t>Mission Council</w:t>
      </w:r>
    </w:p>
    <w:p>
      <w:pPr>
        <w:spacing w:after="0"/>
        <w:sectPr>
          <w:type w:val="continuous"/>
          <w:pgSz w:w="11910" w:h="16840"/>
          <w:pgMar w:top="680" w:bottom="280" w:left="0" w:right="0"/>
          <w:cols w:num="2" w:equalWidth="0">
            <w:col w:w="7725" w:space="40"/>
            <w:col w:w="4145"/>
          </w:cols>
        </w:sectPr>
      </w:pPr>
    </w:p>
    <w:p>
      <w:pPr>
        <w:pStyle w:val="BodyText"/>
        <w:spacing w:before="1"/>
        <w:rPr>
          <w:sz w:val="19"/>
        </w:rPr>
      </w:pPr>
      <w:r>
        <w:rPr/>
        <w:drawing>
          <wp:anchor distT="0" distB="0" distL="0" distR="0" allowOverlap="1" layoutInCell="1" locked="0" behindDoc="0" simplePos="0" relativeHeight="251744256">
            <wp:simplePos x="0" y="0"/>
            <wp:positionH relativeFrom="page">
              <wp:posOffset>6974928</wp:posOffset>
            </wp:positionH>
            <wp:positionV relativeFrom="page">
              <wp:posOffset>0</wp:posOffset>
            </wp:positionV>
            <wp:extent cx="585076" cy="10692003"/>
            <wp:effectExtent l="0" t="0" r="0" b="0"/>
            <wp:wrapNone/>
            <wp:docPr id="47" name="image23.png"/>
            <wp:cNvGraphicFramePr>
              <a:graphicFrameLocks noChangeAspect="1"/>
            </wp:cNvGraphicFramePr>
            <a:graphic>
              <a:graphicData uri="http://schemas.openxmlformats.org/drawingml/2006/picture">
                <pic:pic>
                  <pic:nvPicPr>
                    <pic:cNvPr id="48" name="image23.png"/>
                    <pic:cNvPicPr/>
                  </pic:nvPicPr>
                  <pic:blipFill>
                    <a:blip r:embed="rId35" cstate="print"/>
                    <a:stretch>
                      <a:fillRect/>
                    </a:stretch>
                  </pic:blipFill>
                  <pic:spPr>
                    <a:xfrm>
                      <a:off x="0" y="0"/>
                      <a:ext cx="585076" cy="10692003"/>
                    </a:xfrm>
                    <a:prstGeom prst="rect">
                      <a:avLst/>
                    </a:prstGeom>
                  </pic:spPr>
                </pic:pic>
              </a:graphicData>
            </a:graphic>
          </wp:anchor>
        </w:drawing>
      </w:r>
    </w:p>
    <w:p>
      <w:pPr>
        <w:spacing w:line="220" w:lineRule="auto" w:before="118"/>
        <w:ind w:left="5408" w:right="1352" w:hanging="2918"/>
        <w:jc w:val="left"/>
        <w:rPr>
          <w:rFonts w:ascii="Stone Sans II ITC Std X Bd"/>
          <w:b/>
          <w:sz w:val="29"/>
        </w:rPr>
      </w:pPr>
      <w:r>
        <w:rPr/>
        <w:pict>
          <v:shape style="position:absolute;margin-left:554.141174pt;margin-top:-40.602989pt;width:25.9pt;height:163.2pt;mso-position-horizontal-relative:page;mso-position-vertical-relative:paragraph;z-index:251745280" type="#_x0000_t202" filled="false" stroked="false">
            <v:textbox inset="0,0,0,0" style="layout-flow:vertical">
              <w:txbxContent>
                <w:p>
                  <w:pPr>
                    <w:spacing w:before="27"/>
                    <w:ind w:left="20" w:right="0" w:firstLine="0"/>
                    <w:jc w:val="left"/>
                    <w:rPr>
                      <w:sz w:val="39"/>
                    </w:rPr>
                  </w:pPr>
                  <w:r>
                    <w:rPr>
                      <w:color w:val="FFFFFF"/>
                      <w:w w:val="125"/>
                      <w:sz w:val="39"/>
                    </w:rPr>
                    <w:t>Mission Council</w:t>
                  </w:r>
                </w:p>
              </w:txbxContent>
            </v:textbox>
            <w10:wrap type="none"/>
          </v:shape>
        </w:pict>
      </w:r>
      <w:r>
        <w:rPr>
          <w:rFonts w:ascii="Stone Sans II ITC Std X Bd"/>
          <w:b/>
          <w:w w:val="110"/>
          <w:sz w:val="29"/>
        </w:rPr>
        <w:t>Changes to the ministerial incapacity procedure (May 2013)</w:t>
      </w:r>
    </w:p>
    <w:p>
      <w:pPr>
        <w:pStyle w:val="BodyText"/>
        <w:spacing w:before="7"/>
        <w:rPr>
          <w:rFonts w:ascii="Stone Sans II ITC Std X Bd"/>
          <w:b/>
          <w:sz w:val="31"/>
        </w:rPr>
      </w:pPr>
    </w:p>
    <w:p>
      <w:pPr>
        <w:pStyle w:val="Heading9"/>
        <w:ind w:left="1984" w:firstLine="0"/>
      </w:pPr>
      <w:r>
        <w:rPr>
          <w:w w:val="110"/>
        </w:rPr>
        <w:t>A.1.1</w:t>
      </w:r>
    </w:p>
    <w:p>
      <w:pPr>
        <w:pStyle w:val="BodyText"/>
        <w:spacing w:line="235" w:lineRule="exact"/>
        <w:ind w:left="1984"/>
      </w:pPr>
      <w:r>
        <w:rPr>
          <w:w w:val="120"/>
        </w:rPr>
        <w:t>Add the following definition at Paragraph A.1.1:</w:t>
      </w:r>
    </w:p>
    <w:p>
      <w:pPr>
        <w:pStyle w:val="BodyText"/>
        <w:spacing w:before="2"/>
      </w:pPr>
    </w:p>
    <w:p>
      <w:pPr>
        <w:pStyle w:val="Heading9"/>
        <w:spacing w:line="213" w:lineRule="auto"/>
        <w:ind w:left="1984" w:right="1352" w:firstLine="0"/>
      </w:pPr>
      <w:r>
        <w:rPr/>
        <w:pict>
          <v:shape style="position:absolute;margin-left:554.141174pt;margin-top:32.592419pt;width:25.9pt;height:151.9pt;mso-position-horizontal-relative:page;mso-position-vertical-relative:paragraph;z-index:251746304" type="#_x0000_t202" filled="false" stroked="false">
            <v:textbox inset="0,0,0,0" style="layout-flow:vertical">
              <w:txbxContent>
                <w:p>
                  <w:pPr>
                    <w:spacing w:before="27"/>
                    <w:ind w:left="20" w:right="0" w:firstLine="0"/>
                    <w:jc w:val="left"/>
                    <w:rPr>
                      <w:sz w:val="39"/>
                    </w:rPr>
                  </w:pPr>
                  <w:r>
                    <w:rPr>
                      <w:color w:val="FFFFFF"/>
                      <w:w w:val="125"/>
                      <w:sz w:val="39"/>
                    </w:rPr>
                    <w:t>– </w:t>
                  </w:r>
                  <w:r>
                    <w:rPr>
                      <w:spacing w:val="9"/>
                      <w:w w:val="125"/>
                      <w:sz w:val="39"/>
                    </w:rPr>
                    <w:t>Appendix</w:t>
                  </w:r>
                  <w:r>
                    <w:rPr>
                      <w:spacing w:val="62"/>
                      <w:w w:val="125"/>
                      <w:sz w:val="39"/>
                    </w:rPr>
                    <w:t> </w:t>
                  </w:r>
                  <w:r>
                    <w:rPr>
                      <w:spacing w:val="11"/>
                      <w:w w:val="125"/>
                      <w:sz w:val="39"/>
                    </w:rPr>
                    <w:t>5b</w:t>
                  </w:r>
                </w:p>
              </w:txbxContent>
            </v:textbox>
            <w10:wrap type="none"/>
          </v:shape>
        </w:pict>
      </w:r>
      <w:r>
        <w:rPr>
          <w:w w:val="110"/>
        </w:rPr>
        <w:t>“General Assembly Representative” shall mean the person appointed (whether individually or as the holder of a particular office) to act in the name of General Assembly (or Mission Council on its behalf) in carrying out the responsibilities assigned to that person within this Incapacity Procedure.”</w:t>
      </w:r>
    </w:p>
    <w:p>
      <w:pPr>
        <w:spacing w:line="255" w:lineRule="exact" w:before="215"/>
        <w:ind w:left="1984" w:right="0" w:firstLine="0"/>
        <w:jc w:val="left"/>
        <w:rPr>
          <w:rFonts w:ascii="Stone Sans II ITC Std Bk"/>
          <w:b/>
          <w:sz w:val="20"/>
        </w:rPr>
      </w:pPr>
      <w:r>
        <w:rPr>
          <w:rFonts w:ascii="Stone Sans II ITC Std Bk"/>
          <w:b/>
          <w:w w:val="110"/>
          <w:sz w:val="20"/>
        </w:rPr>
        <w:t>A.8</w:t>
      </w:r>
    </w:p>
    <w:p>
      <w:pPr>
        <w:spacing w:line="255" w:lineRule="exact" w:before="0"/>
        <w:ind w:left="1984" w:right="0" w:firstLine="0"/>
        <w:jc w:val="left"/>
        <w:rPr>
          <w:sz w:val="20"/>
        </w:rPr>
      </w:pPr>
      <w:r>
        <w:rPr>
          <w:w w:val="115"/>
          <w:sz w:val="20"/>
        </w:rPr>
        <w:t>In Paragraph A.8. Replace the words </w:t>
      </w:r>
      <w:r>
        <w:rPr>
          <w:rFonts w:ascii="Stone Sans II ITC Std Bk" w:hAnsi="Stone Sans II ITC Std Bk"/>
          <w:b/>
          <w:w w:val="115"/>
          <w:sz w:val="20"/>
        </w:rPr>
        <w:t>“Part II” </w:t>
      </w:r>
      <w:r>
        <w:rPr>
          <w:w w:val="115"/>
          <w:sz w:val="20"/>
        </w:rPr>
        <w:t>with the word </w:t>
      </w:r>
      <w:r>
        <w:rPr>
          <w:rFonts w:ascii="Stone Sans II ITC Std Bk" w:hAnsi="Stone Sans II ITC Std Bk"/>
          <w:b/>
          <w:w w:val="115"/>
          <w:sz w:val="20"/>
        </w:rPr>
        <w:t>“Procedure”</w:t>
      </w:r>
      <w:r>
        <w:rPr>
          <w:w w:val="115"/>
          <w:sz w:val="20"/>
        </w:rPr>
        <w:t>.</w:t>
      </w:r>
    </w:p>
    <w:p>
      <w:pPr>
        <w:pStyle w:val="Heading9"/>
        <w:spacing w:line="255" w:lineRule="exact" w:before="209"/>
        <w:ind w:left="1984" w:firstLine="0"/>
      </w:pPr>
      <w:r>
        <w:rPr>
          <w:w w:val="110"/>
        </w:rPr>
        <w:t>B.1.1</w:t>
      </w:r>
    </w:p>
    <w:p>
      <w:pPr>
        <w:spacing w:line="240" w:lineRule="exact" w:before="0"/>
        <w:ind w:left="1984" w:right="0" w:firstLine="0"/>
        <w:jc w:val="left"/>
        <w:rPr>
          <w:sz w:val="20"/>
        </w:rPr>
      </w:pPr>
      <w:r>
        <w:rPr>
          <w:w w:val="115"/>
          <w:sz w:val="20"/>
        </w:rPr>
        <w:t>In Paragraph B.1.1 replace the words </w:t>
      </w:r>
      <w:r>
        <w:rPr>
          <w:rFonts w:ascii="Stone Sans II ITC Std Bk" w:hAnsi="Stone Sans II ITC Std Bk"/>
          <w:b/>
          <w:w w:val="115"/>
          <w:sz w:val="20"/>
        </w:rPr>
        <w:t>“Paragraph 1 of Part I” </w:t>
      </w:r>
      <w:r>
        <w:rPr>
          <w:w w:val="115"/>
          <w:sz w:val="20"/>
        </w:rPr>
        <w:t>with the words</w:t>
      </w:r>
    </w:p>
    <w:p>
      <w:pPr>
        <w:pStyle w:val="Heading9"/>
        <w:spacing w:line="255" w:lineRule="exact"/>
        <w:ind w:left="1984" w:firstLine="0"/>
        <w:rPr>
          <w:rFonts w:ascii="Calibri" w:hAnsi="Calibri"/>
          <w:b w:val="0"/>
        </w:rPr>
      </w:pPr>
      <w:r>
        <w:rPr>
          <w:w w:val="110"/>
        </w:rPr>
        <w:t>“Paragraph LP.1”</w:t>
      </w:r>
      <w:r>
        <w:rPr>
          <w:rFonts w:ascii="Calibri" w:hAnsi="Calibri"/>
          <w:b w:val="0"/>
          <w:w w:val="110"/>
        </w:rPr>
        <w:t>.</w:t>
      </w:r>
    </w:p>
    <w:p>
      <w:pPr>
        <w:spacing w:line="255" w:lineRule="exact" w:before="210"/>
        <w:ind w:left="1984" w:right="0" w:firstLine="0"/>
        <w:jc w:val="left"/>
        <w:rPr>
          <w:rFonts w:ascii="Stone Sans II ITC Std Bk"/>
          <w:b/>
          <w:sz w:val="20"/>
        </w:rPr>
      </w:pPr>
      <w:r>
        <w:rPr>
          <w:rFonts w:ascii="Stone Sans II ITC Std Bk"/>
          <w:b/>
          <w:w w:val="110"/>
          <w:sz w:val="20"/>
        </w:rPr>
        <w:t>Certificate of suitability for entry into the procedure</w:t>
      </w:r>
    </w:p>
    <w:p>
      <w:pPr>
        <w:spacing w:line="255" w:lineRule="exact" w:before="0"/>
        <w:ind w:left="1984" w:right="0" w:firstLine="0"/>
        <w:jc w:val="left"/>
        <w:rPr>
          <w:sz w:val="20"/>
        </w:rPr>
      </w:pPr>
      <w:r>
        <w:rPr>
          <w:w w:val="115"/>
          <w:sz w:val="20"/>
        </w:rPr>
        <w:t>In the certificate delete the words </w:t>
      </w:r>
      <w:r>
        <w:rPr>
          <w:rFonts w:ascii="Stone Sans II ITC Std Bk" w:hAnsi="Stone Sans II ITC Std Bk"/>
          <w:b/>
          <w:w w:val="115"/>
          <w:sz w:val="20"/>
        </w:rPr>
        <w:t>“of Part II”</w:t>
      </w:r>
      <w:r>
        <w:rPr>
          <w:w w:val="115"/>
          <w:sz w:val="20"/>
        </w:rPr>
        <w:t>.</w:t>
      </w:r>
    </w:p>
    <w:p>
      <w:pPr>
        <w:spacing w:line="255" w:lineRule="exact" w:before="210"/>
        <w:ind w:left="1984" w:right="0" w:firstLine="0"/>
        <w:jc w:val="left"/>
        <w:rPr>
          <w:rFonts w:ascii="Stone Sans II ITC Std Bk" w:hAnsi="Stone Sans II ITC Std Bk"/>
          <w:b/>
          <w:sz w:val="20"/>
        </w:rPr>
      </w:pPr>
      <w:r>
        <w:rPr>
          <w:w w:val="120"/>
          <w:sz w:val="20"/>
        </w:rPr>
        <w:t>Throughout the procedure, replace the words </w:t>
      </w:r>
      <w:r>
        <w:rPr>
          <w:rFonts w:ascii="Stone Sans II ITC Std Bk" w:hAnsi="Stone Sans II ITC Std Bk"/>
          <w:b/>
          <w:w w:val="120"/>
          <w:sz w:val="20"/>
        </w:rPr>
        <w:t>“Deputy General Secretary”</w:t>
      </w:r>
    </w:p>
    <w:p>
      <w:pPr>
        <w:spacing w:line="255" w:lineRule="exact" w:before="0"/>
        <w:ind w:left="1984" w:right="0" w:firstLine="0"/>
        <w:jc w:val="left"/>
        <w:rPr>
          <w:sz w:val="20"/>
        </w:rPr>
      </w:pPr>
      <w:r>
        <w:rPr>
          <w:w w:val="115"/>
          <w:sz w:val="20"/>
        </w:rPr>
        <w:t>with the words </w:t>
      </w:r>
      <w:r>
        <w:rPr>
          <w:rFonts w:ascii="Stone Sans II ITC Std Bk" w:hAnsi="Stone Sans II ITC Std Bk"/>
          <w:b/>
          <w:w w:val="115"/>
          <w:sz w:val="20"/>
        </w:rPr>
        <w:t>“General Assembly Representative”</w:t>
      </w:r>
      <w:r>
        <w:rPr>
          <w:w w:val="115"/>
          <w:sz w:val="20"/>
        </w:rPr>
        <w:t>.</w:t>
      </w:r>
    </w:p>
    <w:p>
      <w:pPr>
        <w:spacing w:after="0" w:line="255" w:lineRule="exact"/>
        <w:jc w:val="left"/>
        <w:rPr>
          <w:sz w:val="20"/>
        </w:rPr>
        <w:sectPr>
          <w:type w:val="continuous"/>
          <w:pgSz w:w="11910" w:h="16840"/>
          <w:pgMar w:top="680" w:bottom="280" w:left="0" w:right="0"/>
        </w:sectPr>
      </w:pPr>
    </w:p>
    <w:p>
      <w:pPr>
        <w:pStyle w:val="BodyText"/>
      </w:pPr>
    </w:p>
    <w:p>
      <w:pPr>
        <w:pStyle w:val="BodyText"/>
        <w:spacing w:before="7"/>
        <w:rPr>
          <w:sz w:val="21"/>
        </w:rPr>
      </w:pPr>
    </w:p>
    <w:p>
      <w:pPr>
        <w:spacing w:after="0"/>
        <w:rPr>
          <w:sz w:val="21"/>
        </w:rPr>
        <w:sectPr>
          <w:headerReference w:type="even" r:id="rId76"/>
          <w:footerReference w:type="even" r:id="rId77"/>
          <w:footerReference w:type="default" r:id="rId78"/>
          <w:pgSz w:w="11910" w:h="16840"/>
          <w:pgMar w:header="0" w:footer="647" w:top="0" w:bottom="840" w:left="0" w:right="0"/>
          <w:pgNumType w:start="28"/>
        </w:sectPr>
      </w:pPr>
    </w:p>
    <w:p>
      <w:pPr>
        <w:pStyle w:val="Heading5"/>
      </w:pPr>
      <w:r>
        <w:rPr>
          <w:color w:val="7EAABF"/>
          <w:w w:val="120"/>
        </w:rPr>
        <w:t>Mission</w:t>
      </w:r>
      <w:r>
        <w:rPr>
          <w:color w:val="7EAABF"/>
          <w:spacing w:val="-31"/>
          <w:w w:val="120"/>
        </w:rPr>
        <w:t> </w:t>
      </w:r>
      <w:r>
        <w:rPr>
          <w:color w:val="7EAABF"/>
          <w:spacing w:val="-3"/>
          <w:w w:val="120"/>
        </w:rPr>
        <w:t>Council</w:t>
      </w:r>
    </w:p>
    <w:p>
      <w:pPr>
        <w:pStyle w:val="BodyText"/>
        <w:spacing w:before="4"/>
        <w:rPr>
          <w:sz w:val="52"/>
        </w:rPr>
      </w:pPr>
      <w:r>
        <w:rPr/>
        <w:br w:type="column"/>
      </w:r>
      <w:r>
        <w:rPr>
          <w:sz w:val="52"/>
        </w:rPr>
      </w:r>
    </w:p>
    <w:p>
      <w:pPr>
        <w:tabs>
          <w:tab w:pos="1428" w:val="left" w:leader="none"/>
          <w:tab w:pos="3739" w:val="left" w:leader="none"/>
        </w:tabs>
        <w:spacing w:before="0"/>
        <w:ind w:left="904" w:right="0" w:firstLine="0"/>
        <w:jc w:val="left"/>
        <w:rPr>
          <w:rFonts w:ascii="Stone Sans II ITC Std X Bd"/>
          <w:b/>
          <w:sz w:val="29"/>
        </w:rPr>
      </w:pPr>
      <w:r>
        <w:rPr>
          <w:rFonts w:ascii="Stone Sans II ITC Std X Bd"/>
          <w:b/>
          <w:w w:val="110"/>
          <w:sz w:val="29"/>
          <w:shd w:fill="FFDB7B" w:color="auto" w:val="clear"/>
        </w:rPr>
        <w:t> </w:t>
      </w:r>
      <w:r>
        <w:rPr>
          <w:rFonts w:ascii="Stone Sans II ITC Std X Bd"/>
          <w:b/>
          <w:sz w:val="29"/>
          <w:shd w:fill="FFDB7B" w:color="auto" w:val="clear"/>
        </w:rPr>
        <w:tab/>
      </w:r>
      <w:r>
        <w:rPr>
          <w:rFonts w:ascii="Stone Sans II ITC Std X Bd"/>
          <w:b/>
          <w:w w:val="110"/>
          <w:sz w:val="29"/>
          <w:shd w:fill="FFDB7B" w:color="auto" w:val="clear"/>
        </w:rPr>
        <w:t>Appendix</w:t>
      </w:r>
      <w:r>
        <w:rPr>
          <w:rFonts w:ascii="Stone Sans II ITC Std X Bd"/>
          <w:b/>
          <w:spacing w:val="-2"/>
          <w:w w:val="110"/>
          <w:sz w:val="29"/>
          <w:shd w:fill="FFDB7B" w:color="auto" w:val="clear"/>
        </w:rPr>
        <w:t> </w:t>
      </w:r>
      <w:r>
        <w:rPr>
          <w:rFonts w:ascii="Stone Sans II ITC Std X Bd"/>
          <w:b/>
          <w:w w:val="110"/>
          <w:sz w:val="29"/>
          <w:shd w:fill="FFDB7B" w:color="auto" w:val="clear"/>
        </w:rPr>
        <w:t>6</w:t>
      </w:r>
      <w:r>
        <w:rPr>
          <w:rFonts w:ascii="Stone Sans II ITC Std X Bd"/>
          <w:b/>
          <w:sz w:val="29"/>
          <w:shd w:fill="FFDB7B" w:color="auto" w:val="clear"/>
        </w:rPr>
        <w:tab/>
      </w:r>
    </w:p>
    <w:p>
      <w:pPr>
        <w:spacing w:after="0"/>
        <w:jc w:val="left"/>
        <w:rPr>
          <w:rFonts w:ascii="Stone Sans II ITC Std X Bd"/>
          <w:sz w:val="29"/>
        </w:rPr>
        <w:sectPr>
          <w:type w:val="continuous"/>
          <w:pgSz w:w="11910" w:h="16840"/>
          <w:pgMar w:top="680" w:bottom="280" w:left="0" w:right="0"/>
          <w:cols w:num="2" w:equalWidth="0">
            <w:col w:w="3194" w:space="40"/>
            <w:col w:w="8676"/>
          </w:cols>
        </w:sectPr>
      </w:pPr>
    </w:p>
    <w:p>
      <w:pPr>
        <w:pStyle w:val="BodyText"/>
        <w:spacing w:before="4"/>
        <w:rPr>
          <w:rFonts w:ascii="Stone Sans II ITC Std X Bd"/>
          <w:b/>
          <w:sz w:val="17"/>
        </w:rPr>
      </w:pPr>
      <w:r>
        <w:rPr/>
        <w:drawing>
          <wp:anchor distT="0" distB="0" distL="0" distR="0" allowOverlap="1" layoutInCell="1" locked="0" behindDoc="0" simplePos="0" relativeHeight="251747328">
            <wp:simplePos x="0" y="0"/>
            <wp:positionH relativeFrom="page">
              <wp:posOffset>0</wp:posOffset>
            </wp:positionH>
            <wp:positionV relativeFrom="page">
              <wp:posOffset>0</wp:posOffset>
            </wp:positionV>
            <wp:extent cx="594067" cy="10692003"/>
            <wp:effectExtent l="0" t="0" r="0" b="0"/>
            <wp:wrapNone/>
            <wp:docPr id="49" name="image22.png"/>
            <wp:cNvGraphicFramePr>
              <a:graphicFrameLocks noChangeAspect="1"/>
            </wp:cNvGraphicFramePr>
            <a:graphic>
              <a:graphicData uri="http://schemas.openxmlformats.org/drawingml/2006/picture">
                <pic:pic>
                  <pic:nvPicPr>
                    <pic:cNvPr id="50" name="image22.png"/>
                    <pic:cNvPicPr/>
                  </pic:nvPicPr>
                  <pic:blipFill>
                    <a:blip r:embed="rId33" cstate="print"/>
                    <a:stretch>
                      <a:fillRect/>
                    </a:stretch>
                  </pic:blipFill>
                  <pic:spPr>
                    <a:xfrm>
                      <a:off x="0" y="0"/>
                      <a:ext cx="594067" cy="10692003"/>
                    </a:xfrm>
                    <a:prstGeom prst="rect">
                      <a:avLst/>
                    </a:prstGeom>
                  </pic:spPr>
                </pic:pic>
              </a:graphicData>
            </a:graphic>
          </wp:anchor>
        </w:drawing>
      </w:r>
    </w:p>
    <w:p>
      <w:pPr>
        <w:spacing w:before="94"/>
        <w:ind w:left="2160" w:right="0" w:firstLine="0"/>
        <w:jc w:val="left"/>
        <w:rPr>
          <w:rFonts w:ascii="Stone Sans II ITC Std X Bd"/>
          <w:b/>
          <w:sz w:val="29"/>
        </w:rPr>
      </w:pPr>
      <w:r>
        <w:rPr/>
        <w:pict>
          <v:shape style="position:absolute;margin-left:20.519100pt;margin-top:-40.625591pt;width:25.9pt;height:163.2pt;mso-position-horizontal-relative:page;mso-position-vertical-relative:paragraph;z-index:251748352" type="#_x0000_t202" filled="false" stroked="false">
            <v:textbox inset="0,0,0,0" style="layout-flow:vertical">
              <w:txbxContent>
                <w:p>
                  <w:pPr>
                    <w:spacing w:before="27"/>
                    <w:ind w:left="20" w:right="0" w:firstLine="0"/>
                    <w:jc w:val="left"/>
                    <w:rPr>
                      <w:sz w:val="39"/>
                    </w:rPr>
                  </w:pPr>
                  <w:r>
                    <w:rPr>
                      <w:color w:val="FFFFFF"/>
                      <w:w w:val="125"/>
                      <w:sz w:val="39"/>
                    </w:rPr>
                    <w:t>Mission Council</w:t>
                  </w:r>
                </w:p>
              </w:txbxContent>
            </v:textbox>
            <w10:wrap type="none"/>
          </v:shape>
        </w:pict>
      </w:r>
      <w:r>
        <w:rPr>
          <w:rFonts w:ascii="Stone Sans II ITC Std X Bd"/>
          <w:b/>
          <w:w w:val="110"/>
          <w:sz w:val="29"/>
        </w:rPr>
        <w:t>The United Reformed Church pension fund</w:t>
      </w:r>
    </w:p>
    <w:p>
      <w:pPr>
        <w:pStyle w:val="BodyText"/>
        <w:spacing w:before="13"/>
        <w:rPr>
          <w:rFonts w:ascii="Stone Sans II ITC Std X Bd"/>
          <w:b/>
          <w:sz w:val="31"/>
        </w:rPr>
      </w:pPr>
    </w:p>
    <w:p>
      <w:pPr>
        <w:pStyle w:val="BodyText"/>
        <w:spacing w:line="242" w:lineRule="exact"/>
        <w:ind w:left="1247"/>
      </w:pPr>
      <w:r>
        <w:rPr>
          <w:w w:val="120"/>
        </w:rPr>
        <w:t>DEED OF AMENDMENT</w:t>
      </w:r>
    </w:p>
    <w:p>
      <w:pPr>
        <w:pStyle w:val="BodyText"/>
        <w:spacing w:line="242" w:lineRule="exact"/>
        <w:ind w:left="1247"/>
      </w:pPr>
      <w:r>
        <w:rPr>
          <w:w w:val="125"/>
        </w:rPr>
        <w:t>29 October 2012</w:t>
      </w:r>
    </w:p>
    <w:p>
      <w:pPr>
        <w:pStyle w:val="BodyText"/>
        <w:spacing w:before="7"/>
        <w:rPr>
          <w:sz w:val="19"/>
        </w:rPr>
      </w:pPr>
    </w:p>
    <w:p>
      <w:pPr>
        <w:pStyle w:val="BodyText"/>
        <w:spacing w:line="235" w:lineRule="auto"/>
        <w:ind w:left="1247" w:right="5011"/>
      </w:pPr>
      <w:r>
        <w:rPr>
          <w:w w:val="120"/>
        </w:rPr>
        <w:t>THIS DEED OF AMENDMENT is made on 29 October 2012 BY:</w:t>
      </w:r>
    </w:p>
    <w:p>
      <w:pPr>
        <w:pStyle w:val="BodyText"/>
        <w:spacing w:before="10"/>
        <w:rPr>
          <w:sz w:val="19"/>
        </w:rPr>
      </w:pPr>
    </w:p>
    <w:p>
      <w:pPr>
        <w:pStyle w:val="ListParagraph"/>
        <w:numPr>
          <w:ilvl w:val="0"/>
          <w:numId w:val="12"/>
        </w:numPr>
        <w:tabs>
          <w:tab w:pos="1927" w:val="left" w:leader="none"/>
          <w:tab w:pos="1928" w:val="left" w:leader="none"/>
        </w:tabs>
        <w:spacing w:line="235" w:lineRule="auto" w:before="0" w:after="0"/>
        <w:ind w:left="1927" w:right="2230" w:hanging="681"/>
        <w:jc w:val="left"/>
        <w:rPr>
          <w:sz w:val="20"/>
        </w:rPr>
      </w:pPr>
      <w:r>
        <w:rPr/>
        <w:pict>
          <v:shape style="position:absolute;margin-left:20.519100pt;margin-top:14.889972pt;width:25.9pt;height:137.4pt;mso-position-horizontal-relative:page;mso-position-vertical-relative:paragraph;z-index:251749376" type="#_x0000_t202" filled="false" stroked="false">
            <v:textbox inset="0,0,0,0" style="layout-flow:vertical">
              <w:txbxContent>
                <w:p>
                  <w:pPr>
                    <w:spacing w:before="27"/>
                    <w:ind w:left="20" w:right="0" w:firstLine="0"/>
                    <w:jc w:val="left"/>
                    <w:rPr>
                      <w:sz w:val="39"/>
                    </w:rPr>
                  </w:pPr>
                  <w:r>
                    <w:rPr>
                      <w:color w:val="FFFFFF"/>
                      <w:w w:val="125"/>
                      <w:sz w:val="39"/>
                    </w:rPr>
                    <w:t>– </w:t>
                  </w:r>
                  <w:r>
                    <w:rPr>
                      <w:spacing w:val="9"/>
                      <w:w w:val="125"/>
                      <w:sz w:val="39"/>
                    </w:rPr>
                    <w:t>Appendix </w:t>
                  </w:r>
                  <w:r>
                    <w:rPr>
                      <w:w w:val="125"/>
                      <w:sz w:val="39"/>
                    </w:rPr>
                    <w:t>6</w:t>
                  </w:r>
                </w:p>
              </w:txbxContent>
            </v:textbox>
            <w10:wrap type="none"/>
          </v:shape>
        </w:pict>
      </w:r>
      <w:r>
        <w:rPr>
          <w:w w:val="120"/>
          <w:sz w:val="20"/>
        </w:rPr>
        <w:t>THE UNITED REFORMED CHURCH acting by the Revd Dr Michael Jagessar and Margaret Carrick Smith being respectively Moderator and Clerk of the General Assembly of the United Reformed Church and duly authorised by the General Assembly to execute this deed on behalf of the United Reformed</w:t>
      </w:r>
      <w:r>
        <w:rPr>
          <w:spacing w:val="36"/>
          <w:w w:val="120"/>
          <w:sz w:val="20"/>
        </w:rPr>
        <w:t> </w:t>
      </w:r>
      <w:r>
        <w:rPr>
          <w:w w:val="120"/>
          <w:sz w:val="20"/>
        </w:rPr>
        <w:t>Church</w:t>
      </w:r>
    </w:p>
    <w:p>
      <w:pPr>
        <w:pStyle w:val="BodyText"/>
        <w:spacing w:line="243" w:lineRule="exact"/>
        <w:ind w:left="1927"/>
      </w:pPr>
      <w:r>
        <w:rPr>
          <w:w w:val="125"/>
        </w:rPr>
        <w:t>(the “URC”).</w:t>
      </w:r>
    </w:p>
    <w:p>
      <w:pPr>
        <w:pStyle w:val="BodyText"/>
        <w:spacing w:before="4"/>
        <w:rPr>
          <w:sz w:val="19"/>
        </w:rPr>
      </w:pPr>
    </w:p>
    <w:p>
      <w:pPr>
        <w:pStyle w:val="BodyText"/>
        <w:spacing w:line="242" w:lineRule="exact"/>
        <w:ind w:left="1247"/>
      </w:pPr>
      <w:r>
        <w:rPr>
          <w:w w:val="120"/>
        </w:rPr>
        <w:t>WHEREAS:</w:t>
      </w:r>
    </w:p>
    <w:p>
      <w:pPr>
        <w:pStyle w:val="ListParagraph"/>
        <w:numPr>
          <w:ilvl w:val="1"/>
          <w:numId w:val="12"/>
        </w:numPr>
        <w:tabs>
          <w:tab w:pos="1927" w:val="left" w:leader="none"/>
          <w:tab w:pos="1928" w:val="left" w:leader="none"/>
        </w:tabs>
        <w:spacing w:line="235" w:lineRule="auto" w:before="2" w:after="0"/>
        <w:ind w:left="1927" w:right="2402" w:hanging="681"/>
        <w:jc w:val="left"/>
        <w:rPr>
          <w:sz w:val="20"/>
        </w:rPr>
      </w:pPr>
      <w:r>
        <w:rPr>
          <w:w w:val="120"/>
          <w:sz w:val="20"/>
        </w:rPr>
        <w:t>The United Reformed Church Ministers’ Pension Fund </w:t>
      </w:r>
      <w:r>
        <w:rPr>
          <w:spacing w:val="-3"/>
          <w:w w:val="120"/>
          <w:sz w:val="20"/>
        </w:rPr>
        <w:t>(the </w:t>
      </w:r>
      <w:r>
        <w:rPr>
          <w:w w:val="120"/>
          <w:sz w:val="20"/>
        </w:rPr>
        <w:t>“Scheme”) was established by an interim trust deed dated 29 May </w:t>
      </w:r>
      <w:r>
        <w:rPr>
          <w:spacing w:val="-4"/>
          <w:w w:val="120"/>
          <w:sz w:val="20"/>
        </w:rPr>
        <w:t>1980 </w:t>
      </w:r>
      <w:r>
        <w:rPr>
          <w:w w:val="120"/>
          <w:sz w:val="20"/>
        </w:rPr>
        <w:t>and is presently governed by a Definitive Trust Deed with Rules attached, as approved by the General Assembly of the URC in May </w:t>
      </w:r>
      <w:r>
        <w:rPr>
          <w:spacing w:val="-6"/>
          <w:w w:val="120"/>
          <w:sz w:val="20"/>
        </w:rPr>
        <w:t>1993 (as </w:t>
      </w:r>
      <w:r>
        <w:rPr>
          <w:w w:val="120"/>
          <w:sz w:val="20"/>
        </w:rPr>
        <w:t>amended), </w:t>
      </w:r>
      <w:r>
        <w:rPr>
          <w:spacing w:val="-3"/>
          <w:w w:val="120"/>
          <w:sz w:val="20"/>
        </w:rPr>
        <w:t>(the </w:t>
      </w:r>
      <w:r>
        <w:rPr>
          <w:w w:val="120"/>
          <w:sz w:val="20"/>
        </w:rPr>
        <w:t>“Trust Deed and</w:t>
      </w:r>
      <w:r>
        <w:rPr>
          <w:spacing w:val="2"/>
          <w:w w:val="120"/>
          <w:sz w:val="20"/>
        </w:rPr>
        <w:t> </w:t>
      </w:r>
      <w:r>
        <w:rPr>
          <w:w w:val="120"/>
          <w:sz w:val="20"/>
        </w:rPr>
        <w:t>Rules”).</w:t>
      </w:r>
    </w:p>
    <w:p>
      <w:pPr>
        <w:pStyle w:val="BodyText"/>
        <w:spacing w:before="11"/>
        <w:rPr>
          <w:sz w:val="19"/>
        </w:rPr>
      </w:pPr>
    </w:p>
    <w:p>
      <w:pPr>
        <w:pStyle w:val="ListParagraph"/>
        <w:numPr>
          <w:ilvl w:val="1"/>
          <w:numId w:val="12"/>
        </w:numPr>
        <w:tabs>
          <w:tab w:pos="1927" w:val="left" w:leader="none"/>
          <w:tab w:pos="1928" w:val="left" w:leader="none"/>
        </w:tabs>
        <w:spacing w:line="235" w:lineRule="auto" w:before="0" w:after="0"/>
        <w:ind w:left="1927" w:right="2879" w:hanging="681"/>
        <w:jc w:val="left"/>
        <w:rPr>
          <w:sz w:val="20"/>
        </w:rPr>
      </w:pPr>
      <w:r>
        <w:rPr>
          <w:w w:val="120"/>
          <w:sz w:val="20"/>
        </w:rPr>
        <w:t>The URC is the current principal employer and United Reformed Church Ministers’ Pensions Trust Limited is the current trustee of the Scheme respectively.</w:t>
      </w:r>
    </w:p>
    <w:p>
      <w:pPr>
        <w:pStyle w:val="BodyText"/>
        <w:spacing w:before="11"/>
        <w:rPr>
          <w:sz w:val="19"/>
        </w:rPr>
      </w:pPr>
    </w:p>
    <w:p>
      <w:pPr>
        <w:pStyle w:val="ListParagraph"/>
        <w:numPr>
          <w:ilvl w:val="1"/>
          <w:numId w:val="12"/>
        </w:numPr>
        <w:tabs>
          <w:tab w:pos="1927" w:val="left" w:leader="none"/>
          <w:tab w:pos="1928" w:val="left" w:leader="none"/>
        </w:tabs>
        <w:spacing w:line="235" w:lineRule="auto" w:before="0" w:after="0"/>
        <w:ind w:left="1927" w:right="2981" w:hanging="681"/>
        <w:jc w:val="left"/>
        <w:rPr>
          <w:sz w:val="20"/>
        </w:rPr>
      </w:pPr>
      <w:r>
        <w:rPr>
          <w:w w:val="120"/>
          <w:sz w:val="20"/>
        </w:rPr>
        <w:t>Definitions used in the Trust Deed and Rules have the same meaning in this</w:t>
      </w:r>
      <w:r>
        <w:rPr>
          <w:spacing w:val="2"/>
          <w:w w:val="120"/>
          <w:sz w:val="20"/>
        </w:rPr>
        <w:t> </w:t>
      </w:r>
      <w:r>
        <w:rPr>
          <w:w w:val="120"/>
          <w:sz w:val="20"/>
        </w:rPr>
        <w:t>deed.</w:t>
      </w:r>
    </w:p>
    <w:p>
      <w:pPr>
        <w:pStyle w:val="BodyText"/>
        <w:spacing w:before="9"/>
        <w:rPr>
          <w:sz w:val="19"/>
        </w:rPr>
      </w:pPr>
    </w:p>
    <w:p>
      <w:pPr>
        <w:pStyle w:val="ListParagraph"/>
        <w:numPr>
          <w:ilvl w:val="1"/>
          <w:numId w:val="12"/>
        </w:numPr>
        <w:tabs>
          <w:tab w:pos="1927" w:val="left" w:leader="none"/>
          <w:tab w:pos="1928" w:val="left" w:leader="none"/>
        </w:tabs>
        <w:spacing w:line="235" w:lineRule="auto" w:before="0" w:after="0"/>
        <w:ind w:left="1927" w:right="2059" w:hanging="681"/>
        <w:jc w:val="left"/>
        <w:rPr>
          <w:sz w:val="20"/>
        </w:rPr>
      </w:pPr>
      <w:r>
        <w:rPr>
          <w:w w:val="120"/>
          <w:sz w:val="20"/>
        </w:rPr>
        <w:t>By Rule </w:t>
      </w:r>
      <w:r>
        <w:rPr>
          <w:spacing w:val="-6"/>
          <w:w w:val="120"/>
          <w:sz w:val="20"/>
        </w:rPr>
        <w:t>34.1 </w:t>
      </w:r>
      <w:r>
        <w:rPr>
          <w:w w:val="120"/>
          <w:sz w:val="20"/>
        </w:rPr>
        <w:t>of the Trust Deed and Rules, the URC </w:t>
      </w:r>
      <w:r>
        <w:rPr>
          <w:spacing w:val="-4"/>
          <w:w w:val="120"/>
          <w:sz w:val="20"/>
        </w:rPr>
        <w:t>may, </w:t>
      </w:r>
      <w:r>
        <w:rPr>
          <w:w w:val="120"/>
          <w:sz w:val="20"/>
        </w:rPr>
        <w:t>acting by the authority   of the Assembly, amend the provisions of the Trust Deed and Rules, provided no amendment shall be made until a </w:t>
      </w:r>
      <w:r>
        <w:rPr>
          <w:spacing w:val="2"/>
          <w:w w:val="120"/>
          <w:sz w:val="20"/>
        </w:rPr>
        <w:t>report </w:t>
      </w:r>
      <w:r>
        <w:rPr>
          <w:w w:val="120"/>
          <w:sz w:val="20"/>
        </w:rPr>
        <w:t>on its financial effect on the Fund has been obtained from the</w:t>
      </w:r>
      <w:r>
        <w:rPr>
          <w:spacing w:val="8"/>
          <w:w w:val="120"/>
          <w:sz w:val="20"/>
        </w:rPr>
        <w:t> </w:t>
      </w:r>
      <w:r>
        <w:rPr>
          <w:w w:val="120"/>
          <w:sz w:val="20"/>
        </w:rPr>
        <w:t>Actuary.</w:t>
      </w:r>
    </w:p>
    <w:p>
      <w:pPr>
        <w:pStyle w:val="BodyText"/>
        <w:spacing w:before="7"/>
        <w:rPr>
          <w:sz w:val="19"/>
        </w:rPr>
      </w:pPr>
    </w:p>
    <w:p>
      <w:pPr>
        <w:pStyle w:val="ListParagraph"/>
        <w:numPr>
          <w:ilvl w:val="1"/>
          <w:numId w:val="12"/>
        </w:numPr>
        <w:tabs>
          <w:tab w:pos="1927" w:val="left" w:leader="none"/>
          <w:tab w:pos="1928" w:val="left" w:leader="none"/>
        </w:tabs>
        <w:spacing w:line="240" w:lineRule="auto" w:before="1" w:after="0"/>
        <w:ind w:left="1927" w:right="0" w:hanging="681"/>
        <w:jc w:val="left"/>
        <w:rPr>
          <w:sz w:val="20"/>
        </w:rPr>
      </w:pPr>
      <w:r>
        <w:rPr>
          <w:w w:val="120"/>
          <w:sz w:val="20"/>
        </w:rPr>
        <w:t>The URC wishes to amend the Trust Deed and Rules as set out in this</w:t>
      </w:r>
      <w:r>
        <w:rPr>
          <w:spacing w:val="33"/>
          <w:w w:val="120"/>
          <w:sz w:val="20"/>
        </w:rPr>
        <w:t> </w:t>
      </w:r>
      <w:r>
        <w:rPr>
          <w:w w:val="120"/>
          <w:sz w:val="20"/>
        </w:rPr>
        <w:t>deed.</w:t>
      </w:r>
    </w:p>
    <w:p>
      <w:pPr>
        <w:pStyle w:val="BodyText"/>
        <w:spacing w:before="7"/>
        <w:rPr>
          <w:sz w:val="19"/>
        </w:rPr>
      </w:pPr>
    </w:p>
    <w:p>
      <w:pPr>
        <w:pStyle w:val="ListParagraph"/>
        <w:numPr>
          <w:ilvl w:val="1"/>
          <w:numId w:val="12"/>
        </w:numPr>
        <w:tabs>
          <w:tab w:pos="1927" w:val="left" w:leader="none"/>
          <w:tab w:pos="1928" w:val="left" w:leader="none"/>
        </w:tabs>
        <w:spacing w:line="235" w:lineRule="auto" w:before="0" w:after="0"/>
        <w:ind w:left="1927" w:right="2567" w:hanging="681"/>
        <w:jc w:val="left"/>
        <w:rPr>
          <w:sz w:val="20"/>
        </w:rPr>
      </w:pPr>
      <w:r>
        <w:rPr>
          <w:w w:val="120"/>
          <w:sz w:val="20"/>
        </w:rPr>
        <w:t>The amendments made by this deed are not regulated modifications of the Scheme within the meaning of section </w:t>
      </w:r>
      <w:r>
        <w:rPr>
          <w:spacing w:val="-8"/>
          <w:w w:val="120"/>
          <w:sz w:val="20"/>
        </w:rPr>
        <w:t>67A(2) </w:t>
      </w:r>
      <w:r>
        <w:rPr>
          <w:w w:val="120"/>
          <w:sz w:val="20"/>
        </w:rPr>
        <w:t>of the Pensions Act</w:t>
      </w:r>
      <w:r>
        <w:rPr>
          <w:spacing w:val="35"/>
          <w:w w:val="120"/>
          <w:sz w:val="20"/>
        </w:rPr>
        <w:t> </w:t>
      </w:r>
      <w:r>
        <w:rPr>
          <w:spacing w:val="-6"/>
          <w:w w:val="120"/>
          <w:sz w:val="20"/>
        </w:rPr>
        <w:t>1995.</w:t>
      </w:r>
    </w:p>
    <w:p>
      <w:pPr>
        <w:pStyle w:val="BodyText"/>
        <w:spacing w:before="6"/>
        <w:rPr>
          <w:sz w:val="19"/>
        </w:rPr>
      </w:pPr>
    </w:p>
    <w:p>
      <w:pPr>
        <w:pStyle w:val="BodyText"/>
        <w:ind w:left="1247"/>
      </w:pPr>
      <w:r>
        <w:rPr>
          <w:w w:val="120"/>
        </w:rPr>
        <w:t>THIS DEED WITNESSES as follows:</w:t>
      </w:r>
    </w:p>
    <w:p>
      <w:pPr>
        <w:pStyle w:val="BodyText"/>
        <w:spacing w:before="8"/>
        <w:rPr>
          <w:sz w:val="19"/>
        </w:rPr>
      </w:pPr>
    </w:p>
    <w:p>
      <w:pPr>
        <w:pStyle w:val="ListParagraph"/>
        <w:numPr>
          <w:ilvl w:val="0"/>
          <w:numId w:val="13"/>
        </w:numPr>
        <w:tabs>
          <w:tab w:pos="1927" w:val="left" w:leader="none"/>
          <w:tab w:pos="1928" w:val="left" w:leader="none"/>
        </w:tabs>
        <w:spacing w:line="235" w:lineRule="auto" w:before="0" w:after="0"/>
        <w:ind w:left="1247" w:right="2369" w:firstLine="0"/>
        <w:jc w:val="left"/>
        <w:rPr>
          <w:sz w:val="20"/>
        </w:rPr>
      </w:pPr>
      <w:r>
        <w:rPr>
          <w:w w:val="120"/>
          <w:sz w:val="20"/>
        </w:rPr>
        <w:t>In exercise of its powers under Rule </w:t>
      </w:r>
      <w:r>
        <w:rPr>
          <w:spacing w:val="-6"/>
          <w:w w:val="120"/>
          <w:sz w:val="20"/>
        </w:rPr>
        <w:t>34.1 </w:t>
      </w:r>
      <w:r>
        <w:rPr>
          <w:w w:val="120"/>
          <w:sz w:val="20"/>
        </w:rPr>
        <w:t>of the Trust Deed and Rules the URC makes the following amendments with effect from 1 January</w:t>
      </w:r>
      <w:r>
        <w:rPr>
          <w:spacing w:val="16"/>
          <w:w w:val="120"/>
          <w:sz w:val="20"/>
        </w:rPr>
        <w:t> </w:t>
      </w:r>
      <w:r>
        <w:rPr>
          <w:spacing w:val="-7"/>
          <w:w w:val="120"/>
          <w:sz w:val="20"/>
        </w:rPr>
        <w:t>2013:-</w:t>
      </w:r>
    </w:p>
    <w:p>
      <w:pPr>
        <w:pStyle w:val="BodyText"/>
        <w:spacing w:before="5"/>
        <w:rPr>
          <w:sz w:val="19"/>
        </w:rPr>
      </w:pPr>
    </w:p>
    <w:p>
      <w:pPr>
        <w:pStyle w:val="ListParagraph"/>
        <w:numPr>
          <w:ilvl w:val="1"/>
          <w:numId w:val="13"/>
        </w:numPr>
        <w:tabs>
          <w:tab w:pos="1927" w:val="left" w:leader="none"/>
          <w:tab w:pos="1928" w:val="left" w:leader="none"/>
        </w:tabs>
        <w:spacing w:line="240" w:lineRule="auto" w:before="1" w:after="0"/>
        <w:ind w:left="1927" w:right="0" w:hanging="681"/>
        <w:jc w:val="left"/>
        <w:rPr>
          <w:sz w:val="20"/>
        </w:rPr>
      </w:pPr>
      <w:r>
        <w:rPr>
          <w:w w:val="120"/>
          <w:sz w:val="20"/>
        </w:rPr>
        <w:t>The DEFINITIONS section is amended as</w:t>
      </w:r>
      <w:r>
        <w:rPr>
          <w:spacing w:val="14"/>
          <w:w w:val="120"/>
          <w:sz w:val="20"/>
        </w:rPr>
        <w:t> </w:t>
      </w:r>
      <w:r>
        <w:rPr>
          <w:w w:val="120"/>
          <w:sz w:val="20"/>
        </w:rPr>
        <w:t>follows:</w:t>
      </w:r>
    </w:p>
    <w:p>
      <w:pPr>
        <w:pStyle w:val="BodyText"/>
        <w:spacing w:before="3"/>
        <w:rPr>
          <w:sz w:val="19"/>
        </w:rPr>
      </w:pPr>
    </w:p>
    <w:p>
      <w:pPr>
        <w:pStyle w:val="BodyText"/>
        <w:tabs>
          <w:tab w:pos="1927" w:val="left" w:leader="none"/>
        </w:tabs>
        <w:ind w:left="1247"/>
      </w:pPr>
      <w:r>
        <w:rPr>
          <w:spacing w:val="-9"/>
          <w:w w:val="120"/>
        </w:rPr>
        <w:t>1.1.2</w:t>
        <w:tab/>
      </w:r>
      <w:r>
        <w:rPr>
          <w:w w:val="120"/>
        </w:rPr>
        <w:t>The definition of “Normal Pension Age” is amended by replacing </w:t>
      </w:r>
      <w:r>
        <w:rPr>
          <w:spacing w:val="-7"/>
          <w:w w:val="120"/>
        </w:rPr>
        <w:t>“65”</w:t>
      </w:r>
      <w:r>
        <w:rPr>
          <w:spacing w:val="12"/>
          <w:w w:val="120"/>
        </w:rPr>
        <w:t> </w:t>
      </w:r>
      <w:r>
        <w:rPr>
          <w:w w:val="120"/>
        </w:rPr>
        <w:t>with </w:t>
      </w:r>
      <w:r>
        <w:rPr>
          <w:spacing w:val="-6"/>
          <w:w w:val="120"/>
        </w:rPr>
        <w:t>“68”;</w:t>
      </w:r>
    </w:p>
    <w:p>
      <w:pPr>
        <w:pStyle w:val="BodyText"/>
        <w:spacing w:before="8"/>
        <w:rPr>
          <w:sz w:val="19"/>
        </w:rPr>
      </w:pPr>
    </w:p>
    <w:p>
      <w:pPr>
        <w:pStyle w:val="ListParagraph"/>
        <w:numPr>
          <w:ilvl w:val="2"/>
          <w:numId w:val="14"/>
        </w:numPr>
        <w:tabs>
          <w:tab w:pos="1928" w:val="left" w:leader="none"/>
        </w:tabs>
        <w:spacing w:line="235" w:lineRule="auto" w:before="0" w:after="0"/>
        <w:ind w:left="1247" w:right="2451" w:firstLine="0"/>
        <w:jc w:val="left"/>
        <w:rPr>
          <w:sz w:val="20"/>
        </w:rPr>
      </w:pPr>
      <w:r>
        <w:rPr>
          <w:w w:val="120"/>
          <w:sz w:val="20"/>
        </w:rPr>
        <w:t>The definition of “The Pension Trustee” is amended by inserting the words “Ministers’ Pensions” in between the words “Church” and </w:t>
      </w:r>
      <w:r>
        <w:rPr>
          <w:spacing w:val="-3"/>
          <w:w w:val="120"/>
          <w:sz w:val="20"/>
        </w:rPr>
        <w:t>“Trust”, </w:t>
      </w:r>
      <w:r>
        <w:rPr>
          <w:w w:val="120"/>
          <w:sz w:val="20"/>
        </w:rPr>
        <w:t>by inserting the word “Limited” after the word </w:t>
      </w:r>
      <w:r>
        <w:rPr>
          <w:spacing w:val="-3"/>
          <w:w w:val="120"/>
          <w:sz w:val="20"/>
        </w:rPr>
        <w:t>“Trust”, </w:t>
      </w:r>
      <w:r>
        <w:rPr>
          <w:w w:val="120"/>
          <w:sz w:val="20"/>
        </w:rPr>
        <w:t>and by removing the word “the” before the word</w:t>
      </w:r>
      <w:r>
        <w:rPr>
          <w:spacing w:val="1"/>
          <w:w w:val="120"/>
          <w:sz w:val="20"/>
        </w:rPr>
        <w:t> </w:t>
      </w:r>
      <w:r>
        <w:rPr>
          <w:w w:val="120"/>
          <w:sz w:val="20"/>
        </w:rPr>
        <w:t>“trustees”.</w:t>
      </w:r>
    </w:p>
    <w:p>
      <w:pPr>
        <w:pStyle w:val="BodyText"/>
        <w:spacing w:before="7"/>
        <w:rPr>
          <w:sz w:val="19"/>
        </w:rPr>
      </w:pPr>
    </w:p>
    <w:p>
      <w:pPr>
        <w:pStyle w:val="ListParagraph"/>
        <w:numPr>
          <w:ilvl w:val="2"/>
          <w:numId w:val="14"/>
        </w:numPr>
        <w:tabs>
          <w:tab w:pos="1928" w:val="left" w:leader="none"/>
        </w:tabs>
        <w:spacing w:line="240" w:lineRule="auto" w:before="0" w:after="0"/>
        <w:ind w:left="1927" w:right="0" w:hanging="681"/>
        <w:jc w:val="left"/>
        <w:rPr>
          <w:sz w:val="20"/>
        </w:rPr>
      </w:pPr>
      <w:r>
        <w:rPr>
          <w:w w:val="120"/>
          <w:sz w:val="20"/>
        </w:rPr>
        <w:t>A new definition is added at the end of the DEFINITIONS section as</w:t>
      </w:r>
      <w:r>
        <w:rPr>
          <w:spacing w:val="35"/>
          <w:w w:val="120"/>
          <w:sz w:val="20"/>
        </w:rPr>
        <w:t> </w:t>
      </w:r>
      <w:r>
        <w:rPr>
          <w:w w:val="120"/>
          <w:sz w:val="20"/>
        </w:rPr>
        <w:t>follows:</w:t>
      </w:r>
    </w:p>
    <w:p>
      <w:pPr>
        <w:spacing w:after="0" w:line="240" w:lineRule="auto"/>
        <w:jc w:val="left"/>
        <w:rPr>
          <w:sz w:val="20"/>
        </w:rPr>
        <w:sectPr>
          <w:type w:val="continuous"/>
          <w:pgSz w:w="11910" w:h="16840"/>
          <w:pgMar w:top="680" w:bottom="280" w:left="0" w:right="0"/>
        </w:sectPr>
      </w:pPr>
    </w:p>
    <w:p>
      <w:pPr>
        <w:pStyle w:val="BodyText"/>
      </w:pPr>
      <w:r>
        <w:rPr/>
        <w:drawing>
          <wp:anchor distT="0" distB="0" distL="0" distR="0" allowOverlap="1" layoutInCell="1" locked="0" behindDoc="0" simplePos="0" relativeHeight="251750400">
            <wp:simplePos x="0" y="0"/>
            <wp:positionH relativeFrom="page">
              <wp:posOffset>6974928</wp:posOffset>
            </wp:positionH>
            <wp:positionV relativeFrom="page">
              <wp:posOffset>0</wp:posOffset>
            </wp:positionV>
            <wp:extent cx="585076" cy="10692003"/>
            <wp:effectExtent l="0" t="0" r="0" b="0"/>
            <wp:wrapNone/>
            <wp:docPr id="51" name="image23.png"/>
            <wp:cNvGraphicFramePr>
              <a:graphicFrameLocks noChangeAspect="1"/>
            </wp:cNvGraphicFramePr>
            <a:graphic>
              <a:graphicData uri="http://schemas.openxmlformats.org/drawingml/2006/picture">
                <pic:pic>
                  <pic:nvPicPr>
                    <pic:cNvPr id="52" name="image23.png"/>
                    <pic:cNvPicPr/>
                  </pic:nvPicPr>
                  <pic:blipFill>
                    <a:blip r:embed="rId35" cstate="print"/>
                    <a:stretch>
                      <a:fillRect/>
                    </a:stretch>
                  </pic:blipFill>
                  <pic:spPr>
                    <a:xfrm>
                      <a:off x="0" y="0"/>
                      <a:ext cx="585076" cy="10692003"/>
                    </a:xfrm>
                    <a:prstGeom prst="rect">
                      <a:avLst/>
                    </a:prstGeom>
                  </pic:spPr>
                </pic:pic>
              </a:graphicData>
            </a:graphic>
          </wp:anchor>
        </w:drawing>
      </w:r>
    </w:p>
    <w:p>
      <w:pPr>
        <w:pStyle w:val="BodyText"/>
        <w:spacing w:before="7"/>
        <w:rPr>
          <w:sz w:val="21"/>
        </w:rPr>
      </w:pPr>
    </w:p>
    <w:p>
      <w:pPr>
        <w:pStyle w:val="Heading5"/>
        <w:ind w:left="0" w:right="1245"/>
        <w:jc w:val="right"/>
      </w:pPr>
      <w:r>
        <w:rPr/>
        <w:pict>
          <v:shape style="position:absolute;margin-left:554.141174pt;margin-top:22.593945pt;width:25.9pt;height:163.2pt;mso-position-horizontal-relative:page;mso-position-vertical-relative:paragraph;z-index:251751424" type="#_x0000_t202" filled="false" stroked="false">
            <v:textbox inset="0,0,0,0" style="layout-flow:vertical">
              <w:txbxContent>
                <w:p>
                  <w:pPr>
                    <w:spacing w:before="27"/>
                    <w:ind w:left="20" w:right="0" w:firstLine="0"/>
                    <w:jc w:val="left"/>
                    <w:rPr>
                      <w:sz w:val="39"/>
                    </w:rPr>
                  </w:pPr>
                  <w:r>
                    <w:rPr>
                      <w:color w:val="FFFFFF"/>
                      <w:w w:val="125"/>
                      <w:sz w:val="39"/>
                    </w:rPr>
                    <w:t>Mission Council</w:t>
                  </w:r>
                </w:p>
              </w:txbxContent>
            </v:textbox>
            <w10:wrap type="none"/>
          </v:shape>
        </w:pict>
      </w:r>
      <w:r>
        <w:rPr>
          <w:color w:val="7EAABF"/>
          <w:w w:val="120"/>
        </w:rPr>
        <w:t>Mission Council</w:t>
      </w:r>
    </w:p>
    <w:p>
      <w:pPr>
        <w:pStyle w:val="BodyText"/>
        <w:tabs>
          <w:tab w:pos="3424" w:val="left" w:leader="none"/>
        </w:tabs>
        <w:spacing w:line="242" w:lineRule="exact" w:before="218"/>
        <w:ind w:left="2664"/>
      </w:pPr>
      <w:r>
        <w:rPr>
          <w:spacing w:val="-3"/>
          <w:w w:val="120"/>
        </w:rPr>
        <w:t>“30.</w:t>
        <w:tab/>
      </w:r>
      <w:r>
        <w:rPr>
          <w:w w:val="120"/>
        </w:rPr>
        <w:t>Residuary Member means a member in Pensionable Service</w:t>
      </w:r>
      <w:r>
        <w:rPr>
          <w:spacing w:val="15"/>
          <w:w w:val="120"/>
        </w:rPr>
        <w:t> </w:t>
      </w:r>
      <w:r>
        <w:rPr>
          <w:w w:val="120"/>
        </w:rPr>
        <w:t>on</w:t>
      </w:r>
    </w:p>
    <w:p>
      <w:pPr>
        <w:pStyle w:val="BodyText"/>
        <w:spacing w:line="235" w:lineRule="auto" w:before="1"/>
        <w:ind w:left="2664" w:right="1521"/>
      </w:pPr>
      <w:r>
        <w:rPr>
          <w:w w:val="120"/>
        </w:rPr>
        <w:t>31 December 2012 or a member who had been in Pensionable Service at any time prior to 31 December 2012 and in relation to whom the Trustee exercises its discretion under Rule 14.2 upon him re-entering Pensionable Service after 31 December 2012.”</w:t>
      </w:r>
    </w:p>
    <w:p>
      <w:pPr>
        <w:pStyle w:val="BodyText"/>
        <w:spacing w:before="8"/>
        <w:rPr>
          <w:sz w:val="19"/>
        </w:rPr>
      </w:pPr>
    </w:p>
    <w:p>
      <w:pPr>
        <w:pStyle w:val="ListParagraph"/>
        <w:numPr>
          <w:ilvl w:val="1"/>
          <w:numId w:val="13"/>
        </w:numPr>
        <w:tabs>
          <w:tab w:pos="2664" w:val="left" w:leader="none"/>
          <w:tab w:pos="2665" w:val="left" w:leader="none"/>
        </w:tabs>
        <w:spacing w:line="240" w:lineRule="auto" w:before="0" w:after="0"/>
        <w:ind w:left="2664" w:right="0" w:hanging="681"/>
        <w:jc w:val="left"/>
        <w:rPr>
          <w:sz w:val="20"/>
        </w:rPr>
      </w:pPr>
      <w:r>
        <w:rPr>
          <w:w w:val="120"/>
          <w:sz w:val="20"/>
        </w:rPr>
        <w:t>Rule </w:t>
      </w:r>
      <w:r>
        <w:rPr>
          <w:spacing w:val="-6"/>
          <w:w w:val="120"/>
          <w:sz w:val="20"/>
        </w:rPr>
        <w:t>13.2 </w:t>
      </w:r>
      <w:r>
        <w:rPr>
          <w:w w:val="120"/>
          <w:sz w:val="20"/>
        </w:rPr>
        <w:t>is amended as</w:t>
      </w:r>
      <w:r>
        <w:rPr>
          <w:spacing w:val="15"/>
          <w:w w:val="120"/>
          <w:sz w:val="20"/>
        </w:rPr>
        <w:t> </w:t>
      </w:r>
      <w:r>
        <w:rPr>
          <w:w w:val="120"/>
          <w:sz w:val="20"/>
        </w:rPr>
        <w:t>follows:</w:t>
      </w:r>
    </w:p>
    <w:p>
      <w:pPr>
        <w:pStyle w:val="BodyText"/>
        <w:spacing w:before="7"/>
        <w:rPr>
          <w:sz w:val="19"/>
        </w:rPr>
      </w:pPr>
    </w:p>
    <w:p>
      <w:pPr>
        <w:pStyle w:val="ListParagraph"/>
        <w:numPr>
          <w:ilvl w:val="2"/>
          <w:numId w:val="13"/>
        </w:numPr>
        <w:tabs>
          <w:tab w:pos="2665" w:val="left" w:leader="none"/>
        </w:tabs>
        <w:spacing w:line="235" w:lineRule="auto" w:before="0" w:after="0"/>
        <w:ind w:left="1984" w:right="1777" w:firstLine="0"/>
        <w:jc w:val="left"/>
        <w:rPr>
          <w:sz w:val="20"/>
        </w:rPr>
      </w:pPr>
      <w:r>
        <w:rPr>
          <w:w w:val="120"/>
          <w:sz w:val="20"/>
        </w:rPr>
        <w:t>By replacing the words “the pension age shall normally be” with the words, “Normal Pension Age shall be admitted to membership </w:t>
      </w:r>
      <w:r>
        <w:rPr>
          <w:spacing w:val="-4"/>
          <w:w w:val="120"/>
          <w:sz w:val="20"/>
        </w:rPr>
        <w:t>as”;</w:t>
      </w:r>
      <w:r>
        <w:rPr>
          <w:spacing w:val="27"/>
          <w:w w:val="120"/>
          <w:sz w:val="20"/>
        </w:rPr>
        <w:t> </w:t>
      </w:r>
      <w:r>
        <w:rPr>
          <w:w w:val="120"/>
          <w:sz w:val="20"/>
        </w:rPr>
        <w:t>and</w:t>
      </w:r>
    </w:p>
    <w:p>
      <w:pPr>
        <w:pStyle w:val="BodyText"/>
        <w:spacing w:before="6"/>
        <w:rPr>
          <w:sz w:val="19"/>
        </w:rPr>
      </w:pPr>
    </w:p>
    <w:p>
      <w:pPr>
        <w:pStyle w:val="ListParagraph"/>
        <w:numPr>
          <w:ilvl w:val="2"/>
          <w:numId w:val="13"/>
        </w:numPr>
        <w:tabs>
          <w:tab w:pos="2665" w:val="left" w:leader="none"/>
        </w:tabs>
        <w:spacing w:line="242" w:lineRule="exact" w:before="0" w:after="0"/>
        <w:ind w:left="2664" w:right="0" w:hanging="681"/>
        <w:jc w:val="left"/>
        <w:rPr>
          <w:sz w:val="20"/>
        </w:rPr>
      </w:pPr>
      <w:r>
        <w:rPr>
          <w:w w:val="120"/>
          <w:sz w:val="20"/>
        </w:rPr>
        <w:t>By the addition of the following words at the end of the</w:t>
      </w:r>
      <w:r>
        <w:rPr>
          <w:spacing w:val="25"/>
          <w:w w:val="120"/>
          <w:sz w:val="20"/>
        </w:rPr>
        <w:t> </w:t>
      </w:r>
      <w:r>
        <w:rPr>
          <w:w w:val="120"/>
          <w:sz w:val="20"/>
        </w:rPr>
        <w:t>Rule:</w:t>
      </w:r>
    </w:p>
    <w:p>
      <w:pPr>
        <w:pStyle w:val="BodyText"/>
        <w:spacing w:line="242" w:lineRule="exact"/>
        <w:ind w:left="1984"/>
      </w:pPr>
      <w:r>
        <w:rPr>
          <w:w w:val="120"/>
        </w:rPr>
        <w:t>“Members may continue in Pensionable Service until their actual date of retirement.”</w:t>
      </w:r>
    </w:p>
    <w:p>
      <w:pPr>
        <w:pStyle w:val="BodyText"/>
        <w:spacing w:before="4"/>
        <w:rPr>
          <w:sz w:val="19"/>
        </w:rPr>
      </w:pPr>
    </w:p>
    <w:p>
      <w:pPr>
        <w:pStyle w:val="ListParagraph"/>
        <w:numPr>
          <w:ilvl w:val="2"/>
          <w:numId w:val="13"/>
        </w:numPr>
        <w:tabs>
          <w:tab w:pos="2665" w:val="left" w:leader="none"/>
        </w:tabs>
        <w:spacing w:line="240" w:lineRule="auto" w:before="0" w:after="0"/>
        <w:ind w:left="2664" w:right="0" w:hanging="681"/>
        <w:jc w:val="left"/>
        <w:rPr>
          <w:sz w:val="20"/>
        </w:rPr>
      </w:pPr>
      <w:r>
        <w:rPr/>
        <w:pict>
          <v:shape style="position:absolute;margin-left:554.141174pt;margin-top:-3.844586pt;width:25.9pt;height:137.4pt;mso-position-horizontal-relative:page;mso-position-vertical-relative:paragraph;z-index:251752448" type="#_x0000_t202" filled="false" stroked="false">
            <v:textbox inset="0,0,0,0" style="layout-flow:vertical">
              <w:txbxContent>
                <w:p>
                  <w:pPr>
                    <w:spacing w:before="27"/>
                    <w:ind w:left="20" w:right="0" w:firstLine="0"/>
                    <w:jc w:val="left"/>
                    <w:rPr>
                      <w:sz w:val="39"/>
                    </w:rPr>
                  </w:pPr>
                  <w:r>
                    <w:rPr>
                      <w:color w:val="FFFFFF"/>
                      <w:w w:val="125"/>
                      <w:sz w:val="39"/>
                    </w:rPr>
                    <w:t>– </w:t>
                  </w:r>
                  <w:r>
                    <w:rPr>
                      <w:spacing w:val="9"/>
                      <w:w w:val="125"/>
                      <w:sz w:val="39"/>
                    </w:rPr>
                    <w:t>Appendix </w:t>
                  </w:r>
                  <w:r>
                    <w:rPr>
                      <w:w w:val="125"/>
                      <w:sz w:val="39"/>
                    </w:rPr>
                    <w:t>6</w:t>
                  </w:r>
                </w:p>
              </w:txbxContent>
            </v:textbox>
            <w10:wrap type="none"/>
          </v:shape>
        </w:pict>
      </w:r>
      <w:r>
        <w:rPr>
          <w:w w:val="120"/>
          <w:sz w:val="20"/>
        </w:rPr>
        <w:t>A new Rule </w:t>
      </w:r>
      <w:r>
        <w:rPr>
          <w:spacing w:val="-6"/>
          <w:w w:val="120"/>
          <w:sz w:val="20"/>
        </w:rPr>
        <w:t>13.5 </w:t>
      </w:r>
      <w:r>
        <w:rPr>
          <w:w w:val="120"/>
          <w:sz w:val="20"/>
        </w:rPr>
        <w:t>is inserted as</w:t>
      </w:r>
      <w:r>
        <w:rPr>
          <w:spacing w:val="18"/>
          <w:w w:val="120"/>
          <w:sz w:val="20"/>
        </w:rPr>
        <w:t> </w:t>
      </w:r>
      <w:r>
        <w:rPr>
          <w:w w:val="120"/>
          <w:sz w:val="20"/>
        </w:rPr>
        <w:t>follows:</w:t>
      </w:r>
    </w:p>
    <w:p>
      <w:pPr>
        <w:pStyle w:val="BodyText"/>
        <w:spacing w:before="8"/>
        <w:rPr>
          <w:sz w:val="19"/>
        </w:rPr>
      </w:pPr>
    </w:p>
    <w:p>
      <w:pPr>
        <w:pStyle w:val="BodyText"/>
        <w:spacing w:line="235" w:lineRule="auto"/>
        <w:ind w:left="1984" w:right="1820"/>
      </w:pPr>
      <w:r>
        <w:rPr>
          <w:spacing w:val="-6"/>
          <w:w w:val="120"/>
        </w:rPr>
        <w:t>“13.5 </w:t>
      </w:r>
      <w:r>
        <w:rPr>
          <w:w w:val="120"/>
        </w:rPr>
        <w:t>A minister or CRCW not eligible for admission to membership under Rule </w:t>
      </w:r>
      <w:r>
        <w:rPr>
          <w:spacing w:val="-8"/>
          <w:w w:val="120"/>
        </w:rPr>
        <w:t>14  </w:t>
      </w:r>
      <w:r>
        <w:rPr>
          <w:w w:val="120"/>
        </w:rPr>
        <w:t>as it applied immediately before 1 January </w:t>
      </w:r>
      <w:r>
        <w:rPr>
          <w:spacing w:val="-8"/>
          <w:w w:val="120"/>
        </w:rPr>
        <w:t>2013 </w:t>
      </w:r>
      <w:r>
        <w:rPr>
          <w:w w:val="120"/>
        </w:rPr>
        <w:t>shall be permitted to become a member on a contributory member basis on 1 January</w:t>
      </w:r>
      <w:r>
        <w:rPr>
          <w:spacing w:val="27"/>
          <w:w w:val="120"/>
        </w:rPr>
        <w:t> </w:t>
      </w:r>
      <w:r>
        <w:rPr>
          <w:spacing w:val="-9"/>
          <w:w w:val="120"/>
        </w:rPr>
        <w:t>2013.”</w:t>
      </w:r>
    </w:p>
    <w:p>
      <w:pPr>
        <w:pStyle w:val="BodyText"/>
        <w:spacing w:before="6"/>
        <w:rPr>
          <w:sz w:val="19"/>
        </w:rPr>
      </w:pPr>
    </w:p>
    <w:p>
      <w:pPr>
        <w:pStyle w:val="ListParagraph"/>
        <w:numPr>
          <w:ilvl w:val="2"/>
          <w:numId w:val="13"/>
        </w:numPr>
        <w:tabs>
          <w:tab w:pos="2665" w:val="left" w:leader="none"/>
        </w:tabs>
        <w:spacing w:line="240" w:lineRule="auto" w:before="0" w:after="0"/>
        <w:ind w:left="2664" w:right="0" w:hanging="681"/>
        <w:jc w:val="left"/>
        <w:rPr>
          <w:sz w:val="20"/>
        </w:rPr>
      </w:pPr>
      <w:r>
        <w:rPr>
          <w:w w:val="120"/>
          <w:sz w:val="20"/>
        </w:rPr>
        <w:t>A new Rule </w:t>
      </w:r>
      <w:r>
        <w:rPr>
          <w:spacing w:val="-7"/>
          <w:w w:val="120"/>
          <w:sz w:val="20"/>
        </w:rPr>
        <w:t>13.6 </w:t>
      </w:r>
      <w:r>
        <w:rPr>
          <w:w w:val="120"/>
          <w:sz w:val="20"/>
        </w:rPr>
        <w:t>is inserted as</w:t>
      </w:r>
      <w:r>
        <w:rPr>
          <w:spacing w:val="19"/>
          <w:w w:val="120"/>
          <w:sz w:val="20"/>
        </w:rPr>
        <w:t> </w:t>
      </w:r>
      <w:r>
        <w:rPr>
          <w:w w:val="120"/>
          <w:sz w:val="20"/>
        </w:rPr>
        <w:t>follows:</w:t>
      </w:r>
    </w:p>
    <w:p>
      <w:pPr>
        <w:pStyle w:val="BodyText"/>
        <w:spacing w:before="8"/>
        <w:rPr>
          <w:sz w:val="19"/>
        </w:rPr>
      </w:pPr>
    </w:p>
    <w:p>
      <w:pPr>
        <w:pStyle w:val="BodyText"/>
        <w:tabs>
          <w:tab w:pos="3424" w:val="left" w:leader="none"/>
        </w:tabs>
        <w:spacing w:line="235" w:lineRule="auto"/>
        <w:ind w:left="2664" w:right="1352"/>
      </w:pPr>
      <w:r>
        <w:rPr>
          <w:spacing w:val="-7"/>
          <w:w w:val="120"/>
        </w:rPr>
        <w:t>“13.6</w:t>
        <w:tab/>
      </w:r>
      <w:r>
        <w:rPr>
          <w:w w:val="120"/>
        </w:rPr>
        <w:t>In all other cases where a minister or CRCW has elected either not to become a member at the first opportunity to do so or to opt-out of membership whilst remaining in the service of the URC under Rule </w:t>
      </w:r>
      <w:r>
        <w:rPr>
          <w:spacing w:val="-6"/>
          <w:w w:val="120"/>
        </w:rPr>
        <w:t>14.3, </w:t>
      </w:r>
      <w:r>
        <w:rPr>
          <w:w w:val="120"/>
        </w:rPr>
        <w:t>that minister or  CRCW may be admitted to membership as a contributory member at a later  date before Normal Pension Age, subject to the prior written consent of the Pension Trustee and membership being granted on such terms as to benefits  and contributions, including the provision of death and ill-health benefits, as    the Pension Trustee determines at its absolute discretion. Where however the Committee in order to meet its legislative obligations requires the Pension Trustee to admit a minister or CRCW to membership, such that the prior written consent</w:t>
      </w:r>
      <w:r>
        <w:rPr>
          <w:spacing w:val="-4"/>
          <w:w w:val="120"/>
        </w:rPr>
        <w:t> </w:t>
      </w:r>
      <w:r>
        <w:rPr>
          <w:w w:val="120"/>
        </w:rPr>
        <w:t>of</w:t>
      </w:r>
      <w:r>
        <w:rPr>
          <w:spacing w:val="-4"/>
          <w:w w:val="120"/>
        </w:rPr>
        <w:t> </w:t>
      </w:r>
      <w:r>
        <w:rPr>
          <w:w w:val="120"/>
        </w:rPr>
        <w:t>the</w:t>
      </w:r>
      <w:r>
        <w:rPr>
          <w:spacing w:val="-4"/>
          <w:w w:val="120"/>
        </w:rPr>
        <w:t> </w:t>
      </w:r>
      <w:r>
        <w:rPr>
          <w:w w:val="120"/>
        </w:rPr>
        <w:t>Pension</w:t>
      </w:r>
      <w:r>
        <w:rPr>
          <w:spacing w:val="-4"/>
          <w:w w:val="120"/>
        </w:rPr>
        <w:t> </w:t>
      </w:r>
      <w:r>
        <w:rPr>
          <w:w w:val="120"/>
        </w:rPr>
        <w:t>Trustee</w:t>
      </w:r>
      <w:r>
        <w:rPr>
          <w:spacing w:val="-3"/>
          <w:w w:val="120"/>
        </w:rPr>
        <w:t> </w:t>
      </w:r>
      <w:r>
        <w:rPr>
          <w:w w:val="120"/>
        </w:rPr>
        <w:t>shall</w:t>
      </w:r>
      <w:r>
        <w:rPr>
          <w:spacing w:val="-4"/>
          <w:w w:val="120"/>
        </w:rPr>
        <w:t> </w:t>
      </w:r>
      <w:r>
        <w:rPr>
          <w:w w:val="120"/>
        </w:rPr>
        <w:t>not</w:t>
      </w:r>
      <w:r>
        <w:rPr>
          <w:spacing w:val="-4"/>
          <w:w w:val="120"/>
        </w:rPr>
        <w:t> </w:t>
      </w:r>
      <w:r>
        <w:rPr>
          <w:w w:val="120"/>
        </w:rPr>
        <w:t>be</w:t>
      </w:r>
      <w:r>
        <w:rPr>
          <w:spacing w:val="-4"/>
          <w:w w:val="120"/>
        </w:rPr>
        <w:t> </w:t>
      </w:r>
      <w:r>
        <w:rPr>
          <w:w w:val="120"/>
        </w:rPr>
        <w:t>required,</w:t>
      </w:r>
      <w:r>
        <w:rPr>
          <w:spacing w:val="-3"/>
          <w:w w:val="120"/>
        </w:rPr>
        <w:t> </w:t>
      </w:r>
      <w:r>
        <w:rPr>
          <w:w w:val="120"/>
        </w:rPr>
        <w:t>the</w:t>
      </w:r>
      <w:r>
        <w:rPr>
          <w:spacing w:val="-4"/>
          <w:w w:val="120"/>
        </w:rPr>
        <w:t> </w:t>
      </w:r>
      <w:r>
        <w:rPr>
          <w:w w:val="120"/>
        </w:rPr>
        <w:t>Pension</w:t>
      </w:r>
      <w:r>
        <w:rPr>
          <w:spacing w:val="-4"/>
          <w:w w:val="120"/>
        </w:rPr>
        <w:t> </w:t>
      </w:r>
      <w:r>
        <w:rPr>
          <w:w w:val="120"/>
        </w:rPr>
        <w:t>Trustee</w:t>
      </w:r>
      <w:r>
        <w:rPr>
          <w:spacing w:val="-4"/>
          <w:w w:val="120"/>
        </w:rPr>
        <w:t> </w:t>
      </w:r>
      <w:r>
        <w:rPr>
          <w:w w:val="120"/>
        </w:rPr>
        <w:t>retains</w:t>
      </w:r>
    </w:p>
    <w:p>
      <w:pPr>
        <w:pStyle w:val="BodyText"/>
        <w:spacing w:line="235" w:lineRule="auto" w:before="8"/>
        <w:ind w:left="2664" w:right="1284"/>
      </w:pPr>
      <w:r>
        <w:rPr>
          <w:w w:val="120"/>
        </w:rPr>
        <w:t>a discretion to grant membership on such terms as to benefits and contributions, including the provision of death and ill-health benefits, as it sees fit, subject to any legislative minima required by the Committee to meet its said</w:t>
      </w:r>
      <w:r>
        <w:rPr>
          <w:spacing w:val="47"/>
          <w:w w:val="120"/>
        </w:rPr>
        <w:t> </w:t>
      </w:r>
      <w:r>
        <w:rPr>
          <w:w w:val="120"/>
        </w:rPr>
        <w:t>obligations.”</w:t>
      </w:r>
    </w:p>
    <w:p>
      <w:pPr>
        <w:pStyle w:val="BodyText"/>
        <w:spacing w:before="7"/>
        <w:rPr>
          <w:sz w:val="19"/>
        </w:rPr>
      </w:pPr>
    </w:p>
    <w:p>
      <w:pPr>
        <w:pStyle w:val="ListParagraph"/>
        <w:numPr>
          <w:ilvl w:val="1"/>
          <w:numId w:val="13"/>
        </w:numPr>
        <w:tabs>
          <w:tab w:pos="2664" w:val="left" w:leader="none"/>
          <w:tab w:pos="2665" w:val="left" w:leader="none"/>
        </w:tabs>
        <w:spacing w:line="240" w:lineRule="auto" w:before="0" w:after="0"/>
        <w:ind w:left="2664" w:right="0" w:hanging="681"/>
        <w:jc w:val="left"/>
        <w:rPr>
          <w:sz w:val="20"/>
        </w:rPr>
      </w:pPr>
      <w:r>
        <w:rPr>
          <w:w w:val="120"/>
          <w:sz w:val="20"/>
        </w:rPr>
        <w:t>Rule </w:t>
      </w:r>
      <w:r>
        <w:rPr>
          <w:spacing w:val="-8"/>
          <w:w w:val="120"/>
          <w:sz w:val="20"/>
        </w:rPr>
        <w:t>14 </w:t>
      </w:r>
      <w:r>
        <w:rPr>
          <w:w w:val="120"/>
          <w:sz w:val="20"/>
        </w:rPr>
        <w:t>is amended as</w:t>
      </w:r>
      <w:r>
        <w:rPr>
          <w:spacing w:val="17"/>
          <w:w w:val="120"/>
          <w:sz w:val="20"/>
        </w:rPr>
        <w:t> </w:t>
      </w:r>
      <w:r>
        <w:rPr>
          <w:w w:val="120"/>
          <w:sz w:val="20"/>
        </w:rPr>
        <w:t>follows:</w:t>
      </w:r>
    </w:p>
    <w:p>
      <w:pPr>
        <w:pStyle w:val="BodyText"/>
        <w:spacing w:before="7"/>
        <w:rPr>
          <w:sz w:val="19"/>
        </w:rPr>
      </w:pPr>
    </w:p>
    <w:p>
      <w:pPr>
        <w:pStyle w:val="ListParagraph"/>
        <w:numPr>
          <w:ilvl w:val="2"/>
          <w:numId w:val="13"/>
        </w:numPr>
        <w:tabs>
          <w:tab w:pos="2665" w:val="left" w:leader="none"/>
        </w:tabs>
        <w:spacing w:line="235" w:lineRule="auto" w:before="0" w:after="0"/>
        <w:ind w:left="1984" w:right="1683" w:firstLine="0"/>
        <w:jc w:val="left"/>
        <w:rPr>
          <w:sz w:val="20"/>
        </w:rPr>
      </w:pPr>
      <w:r>
        <w:rPr>
          <w:w w:val="120"/>
          <w:sz w:val="20"/>
        </w:rPr>
        <w:t>Rule </w:t>
      </w:r>
      <w:r>
        <w:rPr>
          <w:spacing w:val="-13"/>
          <w:w w:val="120"/>
          <w:sz w:val="20"/>
        </w:rPr>
        <w:t>14.1.1.1. </w:t>
      </w:r>
      <w:r>
        <w:rPr>
          <w:w w:val="120"/>
          <w:sz w:val="20"/>
        </w:rPr>
        <w:t>is amended by inserting the words “With effect from 1 January </w:t>
      </w:r>
      <w:r>
        <w:rPr>
          <w:spacing w:val="-8"/>
          <w:w w:val="120"/>
          <w:sz w:val="20"/>
        </w:rPr>
        <w:t>2013” </w:t>
      </w:r>
      <w:r>
        <w:rPr>
          <w:w w:val="120"/>
          <w:sz w:val="20"/>
        </w:rPr>
        <w:t>at the </w:t>
      </w:r>
      <w:r>
        <w:rPr>
          <w:spacing w:val="2"/>
          <w:w w:val="120"/>
          <w:sz w:val="20"/>
        </w:rPr>
        <w:t>start </w:t>
      </w:r>
      <w:r>
        <w:rPr>
          <w:w w:val="120"/>
          <w:sz w:val="20"/>
        </w:rPr>
        <w:t>of the Rule, and by inserting the words </w:t>
      </w:r>
      <w:r>
        <w:rPr>
          <w:spacing w:val="-3"/>
          <w:w w:val="120"/>
          <w:sz w:val="20"/>
        </w:rPr>
        <w:t>“or </w:t>
      </w:r>
      <w:r>
        <w:rPr>
          <w:spacing w:val="2"/>
          <w:w w:val="120"/>
          <w:sz w:val="20"/>
        </w:rPr>
        <w:t>CRCW” </w:t>
      </w:r>
      <w:r>
        <w:rPr>
          <w:w w:val="120"/>
          <w:sz w:val="20"/>
        </w:rPr>
        <w:t>after the word “minister” and before the word</w:t>
      </w:r>
      <w:r>
        <w:rPr>
          <w:spacing w:val="11"/>
          <w:w w:val="120"/>
          <w:sz w:val="20"/>
        </w:rPr>
        <w:t> </w:t>
      </w:r>
      <w:r>
        <w:rPr>
          <w:w w:val="120"/>
          <w:sz w:val="20"/>
        </w:rPr>
        <w:t>“under”;</w:t>
      </w:r>
    </w:p>
    <w:p>
      <w:pPr>
        <w:pStyle w:val="BodyText"/>
        <w:spacing w:before="11"/>
        <w:rPr>
          <w:sz w:val="19"/>
        </w:rPr>
      </w:pPr>
    </w:p>
    <w:p>
      <w:pPr>
        <w:pStyle w:val="ListParagraph"/>
        <w:numPr>
          <w:ilvl w:val="2"/>
          <w:numId w:val="13"/>
        </w:numPr>
        <w:tabs>
          <w:tab w:pos="2665" w:val="left" w:leader="none"/>
        </w:tabs>
        <w:spacing w:line="235" w:lineRule="auto" w:before="0" w:after="0"/>
        <w:ind w:left="1984" w:right="1694" w:firstLine="0"/>
        <w:jc w:val="left"/>
        <w:rPr>
          <w:sz w:val="20"/>
        </w:rPr>
      </w:pPr>
      <w:r>
        <w:rPr>
          <w:w w:val="120"/>
          <w:sz w:val="20"/>
        </w:rPr>
        <w:t>Rule </w:t>
      </w:r>
      <w:r>
        <w:rPr>
          <w:spacing w:val="-13"/>
          <w:w w:val="120"/>
          <w:sz w:val="20"/>
        </w:rPr>
        <w:t>14.1.1.1. </w:t>
      </w:r>
      <w:r>
        <w:rPr>
          <w:w w:val="120"/>
          <w:sz w:val="20"/>
        </w:rPr>
        <w:t>is further amended by replacing the words “the age of </w:t>
      </w:r>
      <w:r>
        <w:rPr>
          <w:spacing w:val="3"/>
          <w:w w:val="120"/>
          <w:sz w:val="20"/>
        </w:rPr>
        <w:t>fifty </w:t>
      </w:r>
      <w:r>
        <w:rPr>
          <w:w w:val="120"/>
          <w:sz w:val="20"/>
        </w:rPr>
        <w:t>five years” with the words “Normal Pension </w:t>
      </w:r>
      <w:r>
        <w:rPr>
          <w:spacing w:val="-3"/>
          <w:w w:val="120"/>
          <w:sz w:val="20"/>
        </w:rPr>
        <w:t>Age”;</w:t>
      </w:r>
      <w:r>
        <w:rPr>
          <w:spacing w:val="17"/>
          <w:w w:val="120"/>
          <w:sz w:val="20"/>
        </w:rPr>
        <w:t> </w:t>
      </w:r>
      <w:r>
        <w:rPr>
          <w:w w:val="120"/>
          <w:sz w:val="20"/>
        </w:rPr>
        <w:t>and</w:t>
      </w:r>
    </w:p>
    <w:p>
      <w:pPr>
        <w:pStyle w:val="BodyText"/>
        <w:spacing w:before="5"/>
        <w:rPr>
          <w:sz w:val="19"/>
        </w:rPr>
      </w:pPr>
    </w:p>
    <w:p>
      <w:pPr>
        <w:pStyle w:val="ListParagraph"/>
        <w:numPr>
          <w:ilvl w:val="2"/>
          <w:numId w:val="13"/>
        </w:numPr>
        <w:tabs>
          <w:tab w:pos="2665" w:val="left" w:leader="none"/>
        </w:tabs>
        <w:spacing w:line="240" w:lineRule="auto" w:before="0" w:after="0"/>
        <w:ind w:left="2664" w:right="0" w:hanging="681"/>
        <w:jc w:val="left"/>
        <w:rPr>
          <w:sz w:val="20"/>
        </w:rPr>
      </w:pPr>
      <w:r>
        <w:rPr>
          <w:w w:val="120"/>
          <w:sz w:val="20"/>
        </w:rPr>
        <w:t>Rule </w:t>
      </w:r>
      <w:r>
        <w:rPr>
          <w:spacing w:val="-15"/>
          <w:w w:val="120"/>
          <w:sz w:val="20"/>
        </w:rPr>
        <w:t>14.1.1.1. </w:t>
      </w:r>
      <w:r>
        <w:rPr>
          <w:w w:val="120"/>
          <w:sz w:val="20"/>
        </w:rPr>
        <w:t>is further amended by replacing the word </w:t>
      </w:r>
      <w:r>
        <w:rPr>
          <w:spacing w:val="-3"/>
          <w:w w:val="120"/>
          <w:sz w:val="20"/>
        </w:rPr>
        <w:t>“became” </w:t>
      </w:r>
      <w:r>
        <w:rPr>
          <w:w w:val="120"/>
          <w:sz w:val="20"/>
        </w:rPr>
        <w:t>with</w:t>
      </w:r>
      <w:r>
        <w:rPr>
          <w:spacing w:val="-22"/>
          <w:w w:val="120"/>
          <w:sz w:val="20"/>
        </w:rPr>
        <w:t> </w:t>
      </w:r>
      <w:r>
        <w:rPr>
          <w:spacing w:val="-5"/>
          <w:w w:val="120"/>
          <w:sz w:val="20"/>
        </w:rPr>
        <w:t>“become”.</w:t>
      </w:r>
    </w:p>
    <w:p>
      <w:pPr>
        <w:pStyle w:val="BodyText"/>
        <w:spacing w:before="8"/>
        <w:rPr>
          <w:sz w:val="19"/>
        </w:rPr>
      </w:pPr>
    </w:p>
    <w:p>
      <w:pPr>
        <w:pStyle w:val="ListParagraph"/>
        <w:numPr>
          <w:ilvl w:val="2"/>
          <w:numId w:val="13"/>
        </w:numPr>
        <w:tabs>
          <w:tab w:pos="2665" w:val="left" w:leader="none"/>
        </w:tabs>
        <w:spacing w:line="235" w:lineRule="auto" w:before="0" w:after="0"/>
        <w:ind w:left="1984" w:right="1344" w:firstLine="0"/>
        <w:jc w:val="left"/>
        <w:rPr>
          <w:sz w:val="20"/>
        </w:rPr>
      </w:pPr>
      <w:r>
        <w:rPr>
          <w:w w:val="120"/>
          <w:sz w:val="20"/>
        </w:rPr>
        <w:t>Rule </w:t>
      </w:r>
      <w:r>
        <w:rPr>
          <w:spacing w:val="-5"/>
          <w:w w:val="120"/>
          <w:sz w:val="20"/>
        </w:rPr>
        <w:t>14.2 </w:t>
      </w:r>
      <w:r>
        <w:rPr>
          <w:w w:val="120"/>
          <w:sz w:val="20"/>
        </w:rPr>
        <w:t>is amending by deleting the numbers </w:t>
      </w:r>
      <w:r>
        <w:rPr>
          <w:spacing w:val="-8"/>
          <w:w w:val="120"/>
          <w:sz w:val="20"/>
        </w:rPr>
        <w:t>“14.2.1.” </w:t>
      </w:r>
      <w:r>
        <w:rPr>
          <w:w w:val="120"/>
          <w:sz w:val="20"/>
        </w:rPr>
        <w:t>and </w:t>
      </w:r>
      <w:r>
        <w:rPr>
          <w:spacing w:val="-5"/>
          <w:w w:val="120"/>
          <w:sz w:val="20"/>
        </w:rPr>
        <w:t>“14.2.2.” </w:t>
      </w:r>
      <w:r>
        <w:rPr>
          <w:w w:val="120"/>
          <w:sz w:val="20"/>
        </w:rPr>
        <w:t>such that the text of those sub-rules becomes </w:t>
      </w:r>
      <w:r>
        <w:rPr>
          <w:spacing w:val="2"/>
          <w:w w:val="120"/>
          <w:sz w:val="20"/>
        </w:rPr>
        <w:t>part </w:t>
      </w:r>
      <w:r>
        <w:rPr>
          <w:w w:val="120"/>
          <w:sz w:val="20"/>
        </w:rPr>
        <w:t>of the main body of Rule</w:t>
      </w:r>
      <w:r>
        <w:rPr>
          <w:spacing w:val="28"/>
          <w:w w:val="120"/>
          <w:sz w:val="20"/>
        </w:rPr>
        <w:t> </w:t>
      </w:r>
      <w:r>
        <w:rPr>
          <w:spacing w:val="-4"/>
          <w:w w:val="120"/>
          <w:sz w:val="20"/>
        </w:rPr>
        <w:t>14.2.</w:t>
      </w:r>
    </w:p>
    <w:p>
      <w:pPr>
        <w:pStyle w:val="BodyText"/>
        <w:spacing w:before="6"/>
        <w:rPr>
          <w:sz w:val="19"/>
        </w:rPr>
      </w:pPr>
    </w:p>
    <w:p>
      <w:pPr>
        <w:pStyle w:val="ListParagraph"/>
        <w:numPr>
          <w:ilvl w:val="2"/>
          <w:numId w:val="13"/>
        </w:numPr>
        <w:tabs>
          <w:tab w:pos="2665" w:val="left" w:leader="none"/>
        </w:tabs>
        <w:spacing w:line="240" w:lineRule="auto" w:before="0" w:after="0"/>
        <w:ind w:left="2664" w:right="0" w:hanging="681"/>
        <w:jc w:val="left"/>
        <w:rPr>
          <w:sz w:val="20"/>
        </w:rPr>
      </w:pPr>
      <w:r>
        <w:rPr>
          <w:w w:val="120"/>
          <w:sz w:val="20"/>
        </w:rPr>
        <w:t>A new Rule </w:t>
      </w:r>
      <w:r>
        <w:rPr>
          <w:spacing w:val="-6"/>
          <w:w w:val="120"/>
          <w:sz w:val="20"/>
        </w:rPr>
        <w:t>14.3 </w:t>
      </w:r>
      <w:r>
        <w:rPr>
          <w:w w:val="120"/>
          <w:sz w:val="20"/>
        </w:rPr>
        <w:t>is inserted as</w:t>
      </w:r>
      <w:r>
        <w:rPr>
          <w:spacing w:val="18"/>
          <w:w w:val="120"/>
          <w:sz w:val="20"/>
        </w:rPr>
        <w:t> </w:t>
      </w:r>
      <w:r>
        <w:rPr>
          <w:w w:val="120"/>
          <w:sz w:val="20"/>
        </w:rPr>
        <w:t>follows:</w:t>
      </w:r>
    </w:p>
    <w:p>
      <w:pPr>
        <w:pStyle w:val="BodyText"/>
        <w:spacing w:before="8"/>
        <w:rPr>
          <w:sz w:val="19"/>
        </w:rPr>
      </w:pPr>
    </w:p>
    <w:p>
      <w:pPr>
        <w:pStyle w:val="BodyText"/>
        <w:tabs>
          <w:tab w:pos="3424" w:val="left" w:leader="none"/>
        </w:tabs>
        <w:spacing w:line="235" w:lineRule="auto"/>
        <w:ind w:left="2664" w:right="1284"/>
      </w:pPr>
      <w:r>
        <w:rPr>
          <w:spacing w:val="-7"/>
          <w:w w:val="120"/>
        </w:rPr>
        <w:t>“14.3</w:t>
        <w:tab/>
      </w:r>
      <w:r>
        <w:rPr>
          <w:w w:val="120"/>
        </w:rPr>
        <w:t>Any member may opt-out of membership at any time on giving 3  months’ notice in writing to the Pension Trustee, or on such shorter notice as the Pension Trustee may</w:t>
      </w:r>
      <w:r>
        <w:rPr>
          <w:spacing w:val="4"/>
          <w:w w:val="120"/>
        </w:rPr>
        <w:t> </w:t>
      </w:r>
      <w:r>
        <w:rPr>
          <w:w w:val="120"/>
        </w:rPr>
        <w:t>agree.”</w:t>
      </w:r>
    </w:p>
    <w:p>
      <w:pPr>
        <w:pStyle w:val="BodyText"/>
        <w:spacing w:before="6"/>
        <w:rPr>
          <w:sz w:val="19"/>
        </w:rPr>
      </w:pPr>
    </w:p>
    <w:p>
      <w:pPr>
        <w:pStyle w:val="ListParagraph"/>
        <w:numPr>
          <w:ilvl w:val="1"/>
          <w:numId w:val="13"/>
        </w:numPr>
        <w:tabs>
          <w:tab w:pos="2664" w:val="left" w:leader="none"/>
          <w:tab w:pos="2665" w:val="left" w:leader="none"/>
        </w:tabs>
        <w:spacing w:line="240" w:lineRule="auto" w:before="0" w:after="0"/>
        <w:ind w:left="2664" w:right="0" w:hanging="681"/>
        <w:jc w:val="left"/>
        <w:rPr>
          <w:sz w:val="20"/>
        </w:rPr>
      </w:pPr>
      <w:r>
        <w:rPr>
          <w:w w:val="120"/>
          <w:sz w:val="20"/>
        </w:rPr>
        <w:t>Rule </w:t>
      </w:r>
      <w:r>
        <w:rPr>
          <w:spacing w:val="-11"/>
          <w:w w:val="120"/>
          <w:sz w:val="20"/>
        </w:rPr>
        <w:t>17.2.1 </w:t>
      </w:r>
      <w:r>
        <w:rPr>
          <w:w w:val="120"/>
          <w:sz w:val="20"/>
        </w:rPr>
        <w:t>is amended by replacing the word “advise” with the word</w:t>
      </w:r>
      <w:r>
        <w:rPr>
          <w:spacing w:val="29"/>
          <w:w w:val="120"/>
          <w:sz w:val="20"/>
        </w:rPr>
        <w:t> </w:t>
      </w:r>
      <w:r>
        <w:rPr>
          <w:spacing w:val="-4"/>
          <w:w w:val="120"/>
          <w:sz w:val="20"/>
        </w:rPr>
        <w:t>“advice”.</w:t>
      </w:r>
    </w:p>
    <w:p>
      <w:pPr>
        <w:pStyle w:val="BodyText"/>
        <w:spacing w:before="4"/>
        <w:rPr>
          <w:sz w:val="19"/>
        </w:rPr>
      </w:pPr>
    </w:p>
    <w:p>
      <w:pPr>
        <w:pStyle w:val="ListParagraph"/>
        <w:numPr>
          <w:ilvl w:val="1"/>
          <w:numId w:val="13"/>
        </w:numPr>
        <w:tabs>
          <w:tab w:pos="2664" w:val="left" w:leader="none"/>
          <w:tab w:pos="2665" w:val="left" w:leader="none"/>
        </w:tabs>
        <w:spacing w:line="240" w:lineRule="auto" w:before="0" w:after="0"/>
        <w:ind w:left="2664" w:right="0" w:hanging="681"/>
        <w:jc w:val="left"/>
        <w:rPr>
          <w:sz w:val="20"/>
        </w:rPr>
      </w:pPr>
      <w:r>
        <w:rPr>
          <w:w w:val="120"/>
          <w:sz w:val="20"/>
        </w:rPr>
        <w:t>Rule 20 is amended as</w:t>
      </w:r>
      <w:r>
        <w:rPr>
          <w:spacing w:val="9"/>
          <w:w w:val="120"/>
          <w:sz w:val="20"/>
        </w:rPr>
        <w:t> </w:t>
      </w:r>
      <w:r>
        <w:rPr>
          <w:w w:val="120"/>
          <w:sz w:val="20"/>
        </w:rPr>
        <w:t>follows:</w:t>
      </w:r>
    </w:p>
    <w:p>
      <w:pPr>
        <w:spacing w:after="0" w:line="240" w:lineRule="auto"/>
        <w:jc w:val="left"/>
        <w:rPr>
          <w:sz w:val="20"/>
        </w:rPr>
        <w:sectPr>
          <w:headerReference w:type="default" r:id="rId79"/>
          <w:pgSz w:w="11910" w:h="16840"/>
          <w:pgMar w:header="0" w:footer="647" w:top="0" w:bottom="840" w:left="0" w:right="0"/>
        </w:sectPr>
      </w:pPr>
    </w:p>
    <w:p>
      <w:pPr>
        <w:pStyle w:val="BodyText"/>
      </w:pPr>
      <w:r>
        <w:rPr/>
        <w:drawing>
          <wp:anchor distT="0" distB="0" distL="0" distR="0" allowOverlap="1" layoutInCell="1" locked="0" behindDoc="0" simplePos="0" relativeHeight="251753472">
            <wp:simplePos x="0" y="0"/>
            <wp:positionH relativeFrom="page">
              <wp:posOffset>0</wp:posOffset>
            </wp:positionH>
            <wp:positionV relativeFrom="page">
              <wp:posOffset>0</wp:posOffset>
            </wp:positionV>
            <wp:extent cx="594067" cy="10692003"/>
            <wp:effectExtent l="0" t="0" r="0" b="0"/>
            <wp:wrapNone/>
            <wp:docPr id="53" name="image22.png"/>
            <wp:cNvGraphicFramePr>
              <a:graphicFrameLocks noChangeAspect="1"/>
            </wp:cNvGraphicFramePr>
            <a:graphic>
              <a:graphicData uri="http://schemas.openxmlformats.org/drawingml/2006/picture">
                <pic:pic>
                  <pic:nvPicPr>
                    <pic:cNvPr id="54" name="image22.png"/>
                    <pic:cNvPicPr/>
                  </pic:nvPicPr>
                  <pic:blipFill>
                    <a:blip r:embed="rId33"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shape style="position:absolute;margin-left:20.519100pt;margin-top:22.593945pt;width:25.9pt;height:163.2pt;mso-position-horizontal-relative:page;mso-position-vertical-relative:paragraph;z-index:251754496" type="#_x0000_t202" filled="false" stroked="false">
            <v:textbox inset="0,0,0,0" style="layout-flow:vertical">
              <w:txbxContent>
                <w:p>
                  <w:pPr>
                    <w:spacing w:before="27"/>
                    <w:ind w:left="20" w:right="0" w:firstLine="0"/>
                    <w:jc w:val="left"/>
                    <w:rPr>
                      <w:sz w:val="39"/>
                    </w:rPr>
                  </w:pPr>
                  <w:r>
                    <w:rPr>
                      <w:color w:val="FFFFFF"/>
                      <w:w w:val="125"/>
                      <w:sz w:val="39"/>
                    </w:rPr>
                    <w:t>Mission Council</w:t>
                  </w:r>
                </w:p>
              </w:txbxContent>
            </v:textbox>
            <w10:wrap type="none"/>
          </v:shape>
        </w:pict>
      </w:r>
      <w:r>
        <w:rPr>
          <w:color w:val="7EAABF"/>
          <w:w w:val="120"/>
        </w:rPr>
        <w:t>Mission</w:t>
      </w:r>
      <w:r>
        <w:rPr>
          <w:color w:val="7EAABF"/>
          <w:spacing w:val="-41"/>
          <w:w w:val="120"/>
        </w:rPr>
        <w:t> </w:t>
      </w:r>
      <w:r>
        <w:rPr>
          <w:color w:val="7EAABF"/>
          <w:w w:val="120"/>
        </w:rPr>
        <w:t>Council</w:t>
      </w:r>
    </w:p>
    <w:p>
      <w:pPr>
        <w:pStyle w:val="ListParagraph"/>
        <w:numPr>
          <w:ilvl w:val="2"/>
          <w:numId w:val="13"/>
        </w:numPr>
        <w:tabs>
          <w:tab w:pos="2687" w:val="left" w:leader="none"/>
          <w:tab w:pos="2688" w:val="left" w:leader="none"/>
        </w:tabs>
        <w:spacing w:line="235" w:lineRule="auto" w:before="222" w:after="0"/>
        <w:ind w:left="1247" w:right="2143" w:firstLine="680"/>
        <w:jc w:val="left"/>
        <w:rPr>
          <w:sz w:val="20"/>
        </w:rPr>
      </w:pPr>
      <w:r>
        <w:rPr>
          <w:w w:val="120"/>
          <w:sz w:val="20"/>
        </w:rPr>
        <w:t>The heading to the Rule is amended by the insertion of </w:t>
      </w:r>
      <w:r>
        <w:rPr>
          <w:spacing w:val="-5"/>
          <w:w w:val="120"/>
          <w:sz w:val="20"/>
        </w:rPr>
        <w:t>“: </w:t>
      </w:r>
      <w:r>
        <w:rPr>
          <w:w w:val="120"/>
          <w:sz w:val="20"/>
        </w:rPr>
        <w:t>general” after the word</w:t>
      </w:r>
      <w:r>
        <w:rPr>
          <w:spacing w:val="3"/>
          <w:w w:val="120"/>
          <w:sz w:val="20"/>
        </w:rPr>
        <w:t> </w:t>
      </w:r>
      <w:r>
        <w:rPr>
          <w:w w:val="120"/>
          <w:sz w:val="20"/>
        </w:rPr>
        <w:t>“Retirement”.</w:t>
      </w:r>
    </w:p>
    <w:p>
      <w:pPr>
        <w:pStyle w:val="ListParagraph"/>
        <w:numPr>
          <w:ilvl w:val="2"/>
          <w:numId w:val="13"/>
        </w:numPr>
        <w:tabs>
          <w:tab w:pos="1928" w:val="left" w:leader="none"/>
          <w:tab w:pos="2687" w:val="left" w:leader="none"/>
        </w:tabs>
        <w:spacing w:line="480" w:lineRule="atLeast" w:before="1" w:after="0"/>
        <w:ind w:left="1927" w:right="3431" w:hanging="681"/>
        <w:jc w:val="left"/>
        <w:rPr>
          <w:sz w:val="20"/>
        </w:rPr>
      </w:pPr>
      <w:r>
        <w:rPr>
          <w:w w:val="120"/>
          <w:sz w:val="20"/>
        </w:rPr>
        <w:t>Rule </w:t>
      </w:r>
      <w:r>
        <w:rPr>
          <w:spacing w:val="-6"/>
          <w:w w:val="120"/>
          <w:sz w:val="20"/>
        </w:rPr>
        <w:t>20.1 </w:t>
      </w:r>
      <w:r>
        <w:rPr>
          <w:w w:val="120"/>
          <w:sz w:val="20"/>
        </w:rPr>
        <w:t>is deleted in its entirety and replaced with the following: </w:t>
      </w:r>
      <w:r>
        <w:rPr>
          <w:spacing w:val="-6"/>
          <w:w w:val="120"/>
          <w:sz w:val="20"/>
        </w:rPr>
        <w:t>“20.1</w:t>
        <w:tab/>
      </w:r>
      <w:r>
        <w:rPr>
          <w:w w:val="120"/>
          <w:sz w:val="20"/>
        </w:rPr>
        <w:t>If,</w:t>
      </w:r>
    </w:p>
    <w:p>
      <w:pPr>
        <w:pStyle w:val="ListParagraph"/>
        <w:numPr>
          <w:ilvl w:val="2"/>
          <w:numId w:val="15"/>
        </w:numPr>
        <w:tabs>
          <w:tab w:pos="2688" w:val="left" w:leader="none"/>
        </w:tabs>
        <w:spacing w:line="235" w:lineRule="auto" w:before="0" w:after="0"/>
        <w:ind w:left="1927" w:right="2190" w:firstLine="0"/>
        <w:jc w:val="left"/>
        <w:rPr>
          <w:sz w:val="20"/>
        </w:rPr>
      </w:pPr>
      <w:r>
        <w:rPr>
          <w:w w:val="120"/>
          <w:sz w:val="20"/>
        </w:rPr>
        <w:t>before 1 January </w:t>
      </w:r>
      <w:r>
        <w:rPr>
          <w:spacing w:val="-7"/>
          <w:w w:val="120"/>
          <w:sz w:val="20"/>
        </w:rPr>
        <w:t>2013, </w:t>
      </w:r>
      <w:r>
        <w:rPr>
          <w:w w:val="120"/>
          <w:sz w:val="20"/>
        </w:rPr>
        <w:t>a member retires before age 65 on account of incapacity to undertake the duties of a stipendiary minister or CRCW or such similar occupation acceptable to the Committee due to ill-health duly certified to the satisfaction of the Pension Trustee in accordance with the requirements of Rule 20.2, the member shall be entitled to an immediate pension which   shall be calculated as provided in Rule </w:t>
      </w:r>
      <w:r>
        <w:rPr>
          <w:spacing w:val="-7"/>
          <w:w w:val="120"/>
          <w:sz w:val="20"/>
        </w:rPr>
        <w:t>18 </w:t>
      </w:r>
      <w:r>
        <w:rPr>
          <w:w w:val="120"/>
          <w:sz w:val="20"/>
        </w:rPr>
        <w:t>but by reference to the member’s full prospective Pensionable Service up to attaining age</w:t>
      </w:r>
      <w:r>
        <w:rPr>
          <w:spacing w:val="23"/>
          <w:w w:val="120"/>
          <w:sz w:val="20"/>
        </w:rPr>
        <w:t> </w:t>
      </w:r>
      <w:r>
        <w:rPr>
          <w:spacing w:val="-3"/>
          <w:w w:val="120"/>
          <w:sz w:val="20"/>
        </w:rPr>
        <w:t>65.</w:t>
      </w:r>
    </w:p>
    <w:p>
      <w:pPr>
        <w:pStyle w:val="BodyText"/>
        <w:spacing w:before="1"/>
      </w:pPr>
    </w:p>
    <w:p>
      <w:pPr>
        <w:pStyle w:val="ListParagraph"/>
        <w:numPr>
          <w:ilvl w:val="2"/>
          <w:numId w:val="15"/>
        </w:numPr>
        <w:tabs>
          <w:tab w:pos="2688" w:val="left" w:leader="none"/>
        </w:tabs>
        <w:spacing w:line="235" w:lineRule="auto" w:before="0" w:after="0"/>
        <w:ind w:left="1927" w:right="2309" w:firstLine="0"/>
        <w:jc w:val="left"/>
        <w:rPr>
          <w:sz w:val="20"/>
        </w:rPr>
      </w:pPr>
      <w:r>
        <w:rPr/>
        <w:pict>
          <v:shape style="position:absolute;margin-left:20.519100pt;margin-top:-4.035016pt;width:25.9pt;height:137.4pt;mso-position-horizontal-relative:page;mso-position-vertical-relative:paragraph;z-index:251755520" type="#_x0000_t202" filled="false" stroked="false">
            <v:textbox inset="0,0,0,0" style="layout-flow:vertical">
              <w:txbxContent>
                <w:p>
                  <w:pPr>
                    <w:spacing w:before="27"/>
                    <w:ind w:left="20" w:right="0" w:firstLine="0"/>
                    <w:jc w:val="left"/>
                    <w:rPr>
                      <w:sz w:val="39"/>
                    </w:rPr>
                  </w:pPr>
                  <w:r>
                    <w:rPr>
                      <w:color w:val="FFFFFF"/>
                      <w:w w:val="125"/>
                      <w:sz w:val="39"/>
                    </w:rPr>
                    <w:t>– </w:t>
                  </w:r>
                  <w:r>
                    <w:rPr>
                      <w:spacing w:val="9"/>
                      <w:w w:val="125"/>
                      <w:sz w:val="39"/>
                    </w:rPr>
                    <w:t>Appendix </w:t>
                  </w:r>
                  <w:r>
                    <w:rPr>
                      <w:w w:val="125"/>
                      <w:sz w:val="39"/>
                    </w:rPr>
                    <w:t>6</w:t>
                  </w:r>
                </w:p>
              </w:txbxContent>
            </v:textbox>
            <w10:wrap type="none"/>
          </v:shape>
        </w:pict>
      </w:r>
      <w:r>
        <w:rPr>
          <w:w w:val="120"/>
          <w:sz w:val="20"/>
        </w:rPr>
        <w:t>on or after 1 January </w:t>
      </w:r>
      <w:r>
        <w:rPr>
          <w:spacing w:val="-7"/>
          <w:w w:val="120"/>
          <w:sz w:val="20"/>
        </w:rPr>
        <w:t>2013, </w:t>
      </w:r>
      <w:r>
        <w:rPr>
          <w:w w:val="120"/>
          <w:sz w:val="20"/>
        </w:rPr>
        <w:t>a member retires before Normal Pension Age on account of incapacity to undertake the duties of a stipendiary minister or</w:t>
      </w:r>
      <w:r>
        <w:rPr>
          <w:spacing w:val="5"/>
          <w:w w:val="120"/>
          <w:sz w:val="20"/>
        </w:rPr>
        <w:t> </w:t>
      </w:r>
      <w:r>
        <w:rPr>
          <w:w w:val="120"/>
          <w:sz w:val="20"/>
        </w:rPr>
        <w:t>CRCW</w:t>
      </w:r>
      <w:r>
        <w:rPr>
          <w:spacing w:val="6"/>
          <w:w w:val="120"/>
          <w:sz w:val="20"/>
        </w:rPr>
        <w:t> </w:t>
      </w:r>
      <w:r>
        <w:rPr>
          <w:w w:val="120"/>
          <w:sz w:val="20"/>
        </w:rPr>
        <w:t>or</w:t>
      </w:r>
      <w:r>
        <w:rPr>
          <w:spacing w:val="5"/>
          <w:w w:val="120"/>
          <w:sz w:val="20"/>
        </w:rPr>
        <w:t> </w:t>
      </w:r>
      <w:r>
        <w:rPr>
          <w:w w:val="120"/>
          <w:sz w:val="20"/>
        </w:rPr>
        <w:t>such</w:t>
      </w:r>
      <w:r>
        <w:rPr>
          <w:spacing w:val="6"/>
          <w:w w:val="120"/>
          <w:sz w:val="20"/>
        </w:rPr>
        <w:t> </w:t>
      </w:r>
      <w:r>
        <w:rPr>
          <w:w w:val="120"/>
          <w:sz w:val="20"/>
        </w:rPr>
        <w:t>similar</w:t>
      </w:r>
      <w:r>
        <w:rPr>
          <w:spacing w:val="5"/>
          <w:w w:val="120"/>
          <w:sz w:val="20"/>
        </w:rPr>
        <w:t> </w:t>
      </w:r>
      <w:r>
        <w:rPr>
          <w:w w:val="120"/>
          <w:sz w:val="20"/>
        </w:rPr>
        <w:t>occupation</w:t>
      </w:r>
      <w:r>
        <w:rPr>
          <w:spacing w:val="6"/>
          <w:w w:val="120"/>
          <w:sz w:val="20"/>
        </w:rPr>
        <w:t> </w:t>
      </w:r>
      <w:r>
        <w:rPr>
          <w:w w:val="120"/>
          <w:sz w:val="20"/>
        </w:rPr>
        <w:t>acceptable</w:t>
      </w:r>
      <w:r>
        <w:rPr>
          <w:spacing w:val="5"/>
          <w:w w:val="120"/>
          <w:sz w:val="20"/>
        </w:rPr>
        <w:t> </w:t>
      </w:r>
      <w:r>
        <w:rPr>
          <w:w w:val="120"/>
          <w:sz w:val="20"/>
        </w:rPr>
        <w:t>to</w:t>
      </w:r>
      <w:r>
        <w:rPr>
          <w:spacing w:val="6"/>
          <w:w w:val="120"/>
          <w:sz w:val="20"/>
        </w:rPr>
        <w:t> </w:t>
      </w:r>
      <w:r>
        <w:rPr>
          <w:w w:val="120"/>
          <w:sz w:val="20"/>
        </w:rPr>
        <w:t>the</w:t>
      </w:r>
      <w:r>
        <w:rPr>
          <w:spacing w:val="5"/>
          <w:w w:val="120"/>
          <w:sz w:val="20"/>
        </w:rPr>
        <w:t> </w:t>
      </w:r>
      <w:r>
        <w:rPr>
          <w:w w:val="120"/>
          <w:sz w:val="20"/>
        </w:rPr>
        <w:t>Committee</w:t>
      </w:r>
      <w:r>
        <w:rPr>
          <w:spacing w:val="6"/>
          <w:w w:val="120"/>
          <w:sz w:val="20"/>
        </w:rPr>
        <w:t> </w:t>
      </w:r>
      <w:r>
        <w:rPr>
          <w:w w:val="120"/>
          <w:sz w:val="20"/>
        </w:rPr>
        <w:t>due</w:t>
      </w:r>
      <w:r>
        <w:rPr>
          <w:spacing w:val="5"/>
          <w:w w:val="120"/>
          <w:sz w:val="20"/>
        </w:rPr>
        <w:t> </w:t>
      </w:r>
      <w:r>
        <w:rPr>
          <w:w w:val="120"/>
          <w:sz w:val="20"/>
        </w:rPr>
        <w:t>to</w:t>
      </w:r>
      <w:r>
        <w:rPr>
          <w:spacing w:val="6"/>
          <w:w w:val="120"/>
          <w:sz w:val="20"/>
        </w:rPr>
        <w:t> </w:t>
      </w:r>
      <w:r>
        <w:rPr>
          <w:w w:val="120"/>
          <w:sz w:val="20"/>
        </w:rPr>
        <w:t>ill-</w:t>
      </w:r>
    </w:p>
    <w:p>
      <w:pPr>
        <w:pStyle w:val="BodyText"/>
        <w:spacing w:line="235" w:lineRule="auto" w:before="2"/>
        <w:ind w:left="1927" w:right="2004"/>
      </w:pPr>
      <w:r>
        <w:rPr>
          <w:w w:val="120"/>
        </w:rPr>
        <w:t>health duly certified to the satisfaction of the Pension Trustee in accordance with the requirements of Rule 20.2, the member shall be entitled to an immediate pension which shall be calculated as provided in Rule 20A below.”</w:t>
      </w:r>
    </w:p>
    <w:p>
      <w:pPr>
        <w:pStyle w:val="BodyText"/>
        <w:spacing w:before="10"/>
        <w:rPr>
          <w:sz w:val="19"/>
        </w:rPr>
      </w:pPr>
    </w:p>
    <w:p>
      <w:pPr>
        <w:pStyle w:val="ListParagraph"/>
        <w:numPr>
          <w:ilvl w:val="2"/>
          <w:numId w:val="13"/>
        </w:numPr>
        <w:tabs>
          <w:tab w:pos="1928" w:val="left" w:leader="none"/>
        </w:tabs>
        <w:spacing w:line="235" w:lineRule="auto" w:before="1" w:after="0"/>
        <w:ind w:left="1247" w:right="2060" w:firstLine="0"/>
        <w:jc w:val="both"/>
        <w:rPr>
          <w:sz w:val="20"/>
        </w:rPr>
      </w:pPr>
      <w:r>
        <w:rPr>
          <w:w w:val="120"/>
          <w:sz w:val="20"/>
        </w:rPr>
        <w:t>Rule 20.2 is amended by inserting the words “appointed by the Pension Trustee </w:t>
      </w:r>
      <w:r>
        <w:rPr>
          <w:spacing w:val="-3"/>
          <w:w w:val="120"/>
          <w:sz w:val="20"/>
        </w:rPr>
        <w:t>(unless </w:t>
      </w:r>
      <w:r>
        <w:rPr>
          <w:w w:val="120"/>
          <w:sz w:val="20"/>
        </w:rPr>
        <w:t>otherwise agreed by the Pension </w:t>
      </w:r>
      <w:r>
        <w:rPr>
          <w:spacing w:val="-4"/>
          <w:w w:val="120"/>
          <w:sz w:val="20"/>
        </w:rPr>
        <w:t>Trustee)” </w:t>
      </w:r>
      <w:r>
        <w:rPr>
          <w:w w:val="120"/>
          <w:sz w:val="20"/>
        </w:rPr>
        <w:t>in between the words “practitioner” and</w:t>
      </w:r>
      <w:r>
        <w:rPr>
          <w:spacing w:val="2"/>
          <w:w w:val="120"/>
          <w:sz w:val="20"/>
        </w:rPr>
        <w:t> </w:t>
      </w:r>
      <w:r>
        <w:rPr>
          <w:spacing w:val="-3"/>
          <w:w w:val="120"/>
          <w:sz w:val="20"/>
        </w:rPr>
        <w:t>“that”.</w:t>
      </w:r>
    </w:p>
    <w:p>
      <w:pPr>
        <w:pStyle w:val="BodyText"/>
        <w:spacing w:before="6"/>
        <w:rPr>
          <w:sz w:val="19"/>
        </w:rPr>
      </w:pPr>
    </w:p>
    <w:p>
      <w:pPr>
        <w:pStyle w:val="ListParagraph"/>
        <w:numPr>
          <w:ilvl w:val="2"/>
          <w:numId w:val="13"/>
        </w:numPr>
        <w:tabs>
          <w:tab w:pos="1928" w:val="left" w:leader="none"/>
        </w:tabs>
        <w:spacing w:line="240" w:lineRule="auto" w:before="0" w:after="0"/>
        <w:ind w:left="1927" w:right="0" w:hanging="681"/>
        <w:jc w:val="both"/>
        <w:rPr>
          <w:sz w:val="20"/>
        </w:rPr>
      </w:pPr>
      <w:r>
        <w:rPr>
          <w:w w:val="120"/>
          <w:sz w:val="20"/>
        </w:rPr>
        <w:t>Rule 20.5 is deleted in its entirety and replaced with the</w:t>
      </w:r>
      <w:r>
        <w:rPr>
          <w:spacing w:val="28"/>
          <w:w w:val="120"/>
          <w:sz w:val="20"/>
        </w:rPr>
        <w:t> </w:t>
      </w:r>
      <w:r>
        <w:rPr>
          <w:w w:val="120"/>
          <w:sz w:val="20"/>
        </w:rPr>
        <w:t>following:</w:t>
      </w:r>
    </w:p>
    <w:p>
      <w:pPr>
        <w:pStyle w:val="BodyText"/>
        <w:spacing w:before="4"/>
        <w:rPr>
          <w:sz w:val="19"/>
        </w:rPr>
      </w:pPr>
    </w:p>
    <w:p>
      <w:pPr>
        <w:pStyle w:val="BodyText"/>
        <w:tabs>
          <w:tab w:pos="2687" w:val="left" w:leader="none"/>
        </w:tabs>
        <w:ind w:left="1927"/>
      </w:pPr>
      <w:r>
        <w:rPr>
          <w:w w:val="120"/>
        </w:rPr>
        <w:t>“20.5</w:t>
        <w:tab/>
        <w:t>Where a member who receives a pension under this Rule 20</w:t>
      </w:r>
      <w:r>
        <w:rPr>
          <w:spacing w:val="19"/>
          <w:w w:val="120"/>
        </w:rPr>
        <w:t> </w:t>
      </w:r>
      <w:r>
        <w:rPr>
          <w:w w:val="120"/>
        </w:rPr>
        <w:t>either:</w:t>
      </w:r>
    </w:p>
    <w:p>
      <w:pPr>
        <w:pStyle w:val="BodyText"/>
        <w:spacing w:before="8"/>
        <w:rPr>
          <w:sz w:val="19"/>
        </w:rPr>
      </w:pPr>
    </w:p>
    <w:p>
      <w:pPr>
        <w:pStyle w:val="ListParagraph"/>
        <w:numPr>
          <w:ilvl w:val="2"/>
          <w:numId w:val="16"/>
        </w:numPr>
        <w:tabs>
          <w:tab w:pos="2688" w:val="left" w:leader="none"/>
        </w:tabs>
        <w:spacing w:line="235" w:lineRule="auto" w:before="0" w:after="0"/>
        <w:ind w:left="1927" w:right="2660" w:firstLine="0"/>
        <w:jc w:val="left"/>
        <w:rPr>
          <w:sz w:val="20"/>
        </w:rPr>
      </w:pPr>
      <w:r>
        <w:rPr>
          <w:w w:val="120"/>
          <w:sz w:val="20"/>
        </w:rPr>
        <w:t>does not submit to an examination under Rule 20.3 above within a reasonable period as decided by the Pension Trustee,</w:t>
      </w:r>
      <w:r>
        <w:rPr>
          <w:spacing w:val="18"/>
          <w:w w:val="120"/>
          <w:sz w:val="20"/>
        </w:rPr>
        <w:t> </w:t>
      </w:r>
      <w:r>
        <w:rPr>
          <w:w w:val="120"/>
          <w:sz w:val="20"/>
        </w:rPr>
        <w:t>or</w:t>
      </w:r>
    </w:p>
    <w:p>
      <w:pPr>
        <w:pStyle w:val="BodyText"/>
        <w:spacing w:before="9"/>
        <w:rPr>
          <w:sz w:val="19"/>
        </w:rPr>
      </w:pPr>
    </w:p>
    <w:p>
      <w:pPr>
        <w:pStyle w:val="ListParagraph"/>
        <w:numPr>
          <w:ilvl w:val="2"/>
          <w:numId w:val="16"/>
        </w:numPr>
        <w:tabs>
          <w:tab w:pos="2688" w:val="left" w:leader="none"/>
        </w:tabs>
        <w:spacing w:line="235" w:lineRule="auto" w:before="0" w:after="0"/>
        <w:ind w:left="1927" w:right="2317" w:firstLine="0"/>
        <w:jc w:val="left"/>
        <w:rPr>
          <w:sz w:val="20"/>
        </w:rPr>
      </w:pPr>
      <w:r>
        <w:rPr>
          <w:w w:val="120"/>
          <w:sz w:val="20"/>
        </w:rPr>
        <w:t>in the opinion of the Pension Trustee, no longer satisfies the condition described in Rule 20.2 for the payment of an ill-health pension,</w:t>
      </w:r>
      <w:r>
        <w:rPr>
          <w:spacing w:val="30"/>
          <w:w w:val="120"/>
          <w:sz w:val="20"/>
        </w:rPr>
        <w:t> </w:t>
      </w:r>
      <w:r>
        <w:rPr>
          <w:w w:val="120"/>
          <w:sz w:val="20"/>
        </w:rPr>
        <w:t>or</w:t>
      </w:r>
    </w:p>
    <w:p>
      <w:pPr>
        <w:pStyle w:val="BodyText"/>
        <w:spacing w:before="10"/>
        <w:rPr>
          <w:sz w:val="19"/>
        </w:rPr>
      </w:pPr>
    </w:p>
    <w:p>
      <w:pPr>
        <w:pStyle w:val="ListParagraph"/>
        <w:numPr>
          <w:ilvl w:val="2"/>
          <w:numId w:val="16"/>
        </w:numPr>
        <w:tabs>
          <w:tab w:pos="2688" w:val="left" w:leader="none"/>
        </w:tabs>
        <w:spacing w:line="235" w:lineRule="auto" w:before="0" w:after="0"/>
        <w:ind w:left="1927" w:right="1997" w:firstLine="0"/>
        <w:jc w:val="left"/>
        <w:rPr>
          <w:sz w:val="20"/>
        </w:rPr>
      </w:pPr>
      <w:r>
        <w:rPr>
          <w:w w:val="120"/>
          <w:sz w:val="20"/>
        </w:rPr>
        <w:t>in the case of a member who is not a Residuary Member and is capable, in the opinion of the Pension Trustee, of undertaking remunerated employment, then the Pension Trustee may suspend the pension for any period or periods before Normal Pension Age (in which case the pension may also be reduced).  The Pension Trustee shall not be required to pay any such suspended payments of pension should pension recommence but the Pension Trustee must be reasonably satisfied that the benefits (including death benefits) for a member who retires under this Rule are at least equal in value to the benefits to which the member would otherwise have become entitled on leaving the</w:t>
      </w:r>
      <w:r>
        <w:rPr>
          <w:spacing w:val="42"/>
          <w:w w:val="120"/>
          <w:sz w:val="20"/>
        </w:rPr>
        <w:t> </w:t>
      </w:r>
      <w:r>
        <w:rPr>
          <w:spacing w:val="-3"/>
          <w:w w:val="120"/>
          <w:sz w:val="20"/>
        </w:rPr>
        <w:t>Fund.”</w:t>
      </w:r>
    </w:p>
    <w:p>
      <w:pPr>
        <w:pStyle w:val="BodyText"/>
        <w:spacing w:before="2"/>
      </w:pPr>
    </w:p>
    <w:p>
      <w:pPr>
        <w:pStyle w:val="ListParagraph"/>
        <w:numPr>
          <w:ilvl w:val="2"/>
          <w:numId w:val="13"/>
        </w:numPr>
        <w:tabs>
          <w:tab w:pos="1928" w:val="left" w:leader="none"/>
        </w:tabs>
        <w:spacing w:line="235" w:lineRule="auto" w:before="0" w:after="0"/>
        <w:ind w:left="1247" w:right="2793" w:firstLine="0"/>
        <w:jc w:val="left"/>
        <w:rPr>
          <w:sz w:val="20"/>
        </w:rPr>
      </w:pPr>
      <w:r>
        <w:rPr>
          <w:w w:val="120"/>
          <w:sz w:val="20"/>
        </w:rPr>
        <w:t>Rule 20.6 is amended by inserting the words “if an ill-health pension is in payment and not suspended” at the end of the</w:t>
      </w:r>
      <w:r>
        <w:rPr>
          <w:spacing w:val="20"/>
          <w:w w:val="120"/>
          <w:sz w:val="20"/>
        </w:rPr>
        <w:t> </w:t>
      </w:r>
      <w:r>
        <w:rPr>
          <w:w w:val="120"/>
          <w:sz w:val="20"/>
        </w:rPr>
        <w:t>Rule.</w:t>
      </w:r>
    </w:p>
    <w:p>
      <w:pPr>
        <w:pStyle w:val="BodyText"/>
        <w:spacing w:before="6"/>
        <w:rPr>
          <w:sz w:val="19"/>
        </w:rPr>
      </w:pPr>
    </w:p>
    <w:p>
      <w:pPr>
        <w:pStyle w:val="ListParagraph"/>
        <w:numPr>
          <w:ilvl w:val="1"/>
          <w:numId w:val="13"/>
        </w:numPr>
        <w:tabs>
          <w:tab w:pos="1927" w:val="left" w:leader="none"/>
          <w:tab w:pos="1928" w:val="left" w:leader="none"/>
        </w:tabs>
        <w:spacing w:line="240" w:lineRule="auto" w:before="0" w:after="0"/>
        <w:ind w:left="1927" w:right="0" w:hanging="681"/>
        <w:jc w:val="left"/>
        <w:rPr>
          <w:sz w:val="20"/>
        </w:rPr>
      </w:pPr>
      <w:r>
        <w:rPr>
          <w:w w:val="120"/>
          <w:sz w:val="20"/>
        </w:rPr>
        <w:t>A new Rule 20A is inserted as</w:t>
      </w:r>
      <w:r>
        <w:rPr>
          <w:spacing w:val="12"/>
          <w:w w:val="120"/>
          <w:sz w:val="20"/>
        </w:rPr>
        <w:t> </w:t>
      </w:r>
      <w:r>
        <w:rPr>
          <w:w w:val="120"/>
          <w:sz w:val="20"/>
        </w:rPr>
        <w:t>follows:</w:t>
      </w:r>
    </w:p>
    <w:p>
      <w:pPr>
        <w:pStyle w:val="BodyText"/>
        <w:spacing w:before="4"/>
        <w:rPr>
          <w:sz w:val="19"/>
        </w:rPr>
      </w:pPr>
    </w:p>
    <w:p>
      <w:pPr>
        <w:pStyle w:val="BodyText"/>
        <w:tabs>
          <w:tab w:pos="2687" w:val="left" w:leader="none"/>
        </w:tabs>
        <w:spacing w:line="242" w:lineRule="exact"/>
        <w:ind w:left="1927"/>
      </w:pPr>
      <w:r>
        <w:rPr>
          <w:spacing w:val="-3"/>
          <w:w w:val="120"/>
        </w:rPr>
        <w:t>“20A</w:t>
        <w:tab/>
      </w:r>
      <w:r>
        <w:rPr>
          <w:w w:val="120"/>
        </w:rPr>
        <w:t>Ill Health Retirement from 1 January</w:t>
      </w:r>
      <w:r>
        <w:rPr>
          <w:spacing w:val="10"/>
          <w:w w:val="120"/>
        </w:rPr>
        <w:t> </w:t>
      </w:r>
      <w:r>
        <w:rPr>
          <w:spacing w:val="-8"/>
          <w:w w:val="120"/>
        </w:rPr>
        <w:t>2013</w:t>
      </w:r>
    </w:p>
    <w:p>
      <w:pPr>
        <w:pStyle w:val="BodyText"/>
        <w:spacing w:line="235" w:lineRule="auto" w:before="2"/>
        <w:ind w:left="1927" w:right="2004"/>
      </w:pPr>
      <w:r>
        <w:rPr>
          <w:w w:val="120"/>
        </w:rPr>
        <w:t>A member entitled to receive a pension under Rule 20.1.2 on or after 1 January 2013 shall receive an immediate pension calculated as follows.</w:t>
      </w:r>
    </w:p>
    <w:p>
      <w:pPr>
        <w:pStyle w:val="BodyText"/>
        <w:spacing w:before="9"/>
        <w:rPr>
          <w:sz w:val="19"/>
        </w:rPr>
      </w:pPr>
    </w:p>
    <w:p>
      <w:pPr>
        <w:pStyle w:val="BodyText"/>
        <w:spacing w:line="235" w:lineRule="auto"/>
        <w:ind w:left="1927" w:right="2442"/>
      </w:pPr>
      <w:r>
        <w:rPr>
          <w:spacing w:val="-3"/>
          <w:w w:val="120"/>
        </w:rPr>
        <w:t>20A.1  </w:t>
      </w:r>
      <w:r>
        <w:rPr>
          <w:w w:val="120"/>
        </w:rPr>
        <w:t>Where a member has less than </w:t>
      </w:r>
      <w:r>
        <w:rPr>
          <w:spacing w:val="-6"/>
          <w:w w:val="120"/>
        </w:rPr>
        <w:t>10 </w:t>
      </w:r>
      <w:r>
        <w:rPr>
          <w:w w:val="120"/>
        </w:rPr>
        <w:t>years of membership in the Fund the pension shall be calculated as provided in Rule </w:t>
      </w:r>
      <w:r>
        <w:rPr>
          <w:spacing w:val="-8"/>
          <w:w w:val="120"/>
        </w:rPr>
        <w:t>18.1 </w:t>
      </w:r>
      <w:r>
        <w:rPr>
          <w:w w:val="120"/>
        </w:rPr>
        <w:t>but disregarding any pensionable service after attaining age</w:t>
      </w:r>
      <w:r>
        <w:rPr>
          <w:spacing w:val="12"/>
          <w:w w:val="120"/>
        </w:rPr>
        <w:t> </w:t>
      </w:r>
      <w:r>
        <w:rPr>
          <w:spacing w:val="-3"/>
          <w:w w:val="120"/>
        </w:rPr>
        <w:t>65.</w:t>
      </w:r>
    </w:p>
    <w:p>
      <w:pPr>
        <w:spacing w:after="0" w:line="235" w:lineRule="auto"/>
        <w:sectPr>
          <w:headerReference w:type="even" r:id="rId80"/>
          <w:footerReference w:type="even" r:id="rId81"/>
          <w:footerReference w:type="default" r:id="rId82"/>
          <w:pgSz w:w="11910" w:h="16840"/>
          <w:pgMar w:header="0" w:footer="647" w:top="0" w:bottom="840" w:left="0" w:right="0"/>
          <w:pgNumType w:start="30"/>
        </w:sectPr>
      </w:pPr>
    </w:p>
    <w:p>
      <w:pPr>
        <w:pStyle w:val="BodyText"/>
      </w:pPr>
      <w:r>
        <w:rPr/>
        <w:drawing>
          <wp:anchor distT="0" distB="0" distL="0" distR="0" allowOverlap="1" layoutInCell="1" locked="0" behindDoc="0" simplePos="0" relativeHeight="251756544">
            <wp:simplePos x="0" y="0"/>
            <wp:positionH relativeFrom="page">
              <wp:posOffset>6974928</wp:posOffset>
            </wp:positionH>
            <wp:positionV relativeFrom="page">
              <wp:posOffset>0</wp:posOffset>
            </wp:positionV>
            <wp:extent cx="585076" cy="10692003"/>
            <wp:effectExtent l="0" t="0" r="0" b="0"/>
            <wp:wrapNone/>
            <wp:docPr id="55" name="image23.png"/>
            <wp:cNvGraphicFramePr>
              <a:graphicFrameLocks noChangeAspect="1"/>
            </wp:cNvGraphicFramePr>
            <a:graphic>
              <a:graphicData uri="http://schemas.openxmlformats.org/drawingml/2006/picture">
                <pic:pic>
                  <pic:nvPicPr>
                    <pic:cNvPr id="56" name="image23.png"/>
                    <pic:cNvPicPr/>
                  </pic:nvPicPr>
                  <pic:blipFill>
                    <a:blip r:embed="rId35" cstate="print"/>
                    <a:stretch>
                      <a:fillRect/>
                    </a:stretch>
                  </pic:blipFill>
                  <pic:spPr>
                    <a:xfrm>
                      <a:off x="0" y="0"/>
                      <a:ext cx="585076" cy="10692003"/>
                    </a:xfrm>
                    <a:prstGeom prst="rect">
                      <a:avLst/>
                    </a:prstGeom>
                  </pic:spPr>
                </pic:pic>
              </a:graphicData>
            </a:graphic>
          </wp:anchor>
        </w:drawing>
      </w:r>
    </w:p>
    <w:p>
      <w:pPr>
        <w:pStyle w:val="BodyText"/>
        <w:spacing w:before="7"/>
        <w:rPr>
          <w:sz w:val="21"/>
        </w:rPr>
      </w:pPr>
    </w:p>
    <w:p>
      <w:pPr>
        <w:pStyle w:val="Heading5"/>
        <w:ind w:left="0" w:right="1245"/>
        <w:jc w:val="right"/>
      </w:pPr>
      <w:r>
        <w:rPr/>
        <w:pict>
          <v:shape style="position:absolute;margin-left:554.141174pt;margin-top:22.593945pt;width:25.9pt;height:163.2pt;mso-position-horizontal-relative:page;mso-position-vertical-relative:paragraph;z-index:251757568" type="#_x0000_t202" filled="false" stroked="false">
            <v:textbox inset="0,0,0,0" style="layout-flow:vertical">
              <w:txbxContent>
                <w:p>
                  <w:pPr>
                    <w:spacing w:before="27"/>
                    <w:ind w:left="20" w:right="0" w:firstLine="0"/>
                    <w:jc w:val="left"/>
                    <w:rPr>
                      <w:sz w:val="39"/>
                    </w:rPr>
                  </w:pPr>
                  <w:r>
                    <w:rPr>
                      <w:color w:val="FFFFFF"/>
                      <w:w w:val="125"/>
                      <w:sz w:val="39"/>
                    </w:rPr>
                    <w:t>Mission Council</w:t>
                  </w:r>
                </w:p>
              </w:txbxContent>
            </v:textbox>
            <w10:wrap type="none"/>
          </v:shape>
        </w:pict>
      </w:r>
      <w:r>
        <w:rPr>
          <w:color w:val="7EAABF"/>
          <w:w w:val="120"/>
        </w:rPr>
        <w:t>Mission Council</w:t>
      </w:r>
    </w:p>
    <w:p>
      <w:pPr>
        <w:pStyle w:val="BodyText"/>
        <w:spacing w:line="235" w:lineRule="auto" w:before="222"/>
        <w:ind w:left="2664" w:right="1301"/>
      </w:pPr>
      <w:r>
        <w:rPr>
          <w:w w:val="120"/>
        </w:rPr>
        <w:t>20A.2 Where a member has completed more than 20 years’ membership in the Fund the pension shall be calculated as provided in Rule 18.1 but by reference to the member’s full prospective Pensionable Service up to attaining age 65. In the case of a part-time member this shall be on the basis that Pensionable Service remains part-time unless a concession has been granted under Rule 14.1.2.</w:t>
      </w:r>
    </w:p>
    <w:p>
      <w:pPr>
        <w:pStyle w:val="BodyText"/>
        <w:spacing w:before="11"/>
        <w:rPr>
          <w:sz w:val="19"/>
        </w:rPr>
      </w:pPr>
    </w:p>
    <w:p>
      <w:pPr>
        <w:pStyle w:val="BodyText"/>
        <w:spacing w:line="235" w:lineRule="auto"/>
        <w:ind w:left="2664" w:right="1701"/>
      </w:pPr>
      <w:r>
        <w:rPr>
          <w:w w:val="120"/>
        </w:rPr>
        <w:t>20A.3 Where a member has completed between 10 years’ and 20 years’ membership in the Fund the pension shall be as calculated in Rule 20A.1 but the member shall be credited with an additional portion of pension benefits calculated as follows:</w:t>
      </w:r>
    </w:p>
    <w:p>
      <w:pPr>
        <w:pStyle w:val="BodyText"/>
        <w:spacing w:line="243" w:lineRule="exact"/>
        <w:ind w:left="3424"/>
      </w:pPr>
      <w:r>
        <w:rPr>
          <w:w w:val="125"/>
        </w:rPr>
        <w:t>(Pension B – Pension A) x (C / 120)</w:t>
      </w:r>
    </w:p>
    <w:p>
      <w:pPr>
        <w:pStyle w:val="BodyText"/>
        <w:spacing w:before="4"/>
        <w:rPr>
          <w:sz w:val="19"/>
        </w:rPr>
      </w:pPr>
    </w:p>
    <w:p>
      <w:pPr>
        <w:pStyle w:val="BodyText"/>
        <w:spacing w:line="242" w:lineRule="exact"/>
        <w:ind w:left="3424"/>
      </w:pPr>
      <w:r>
        <w:rPr>
          <w:w w:val="115"/>
        </w:rPr>
        <w:t>Where:</w:t>
      </w:r>
    </w:p>
    <w:p>
      <w:pPr>
        <w:pStyle w:val="BodyText"/>
        <w:spacing w:line="235" w:lineRule="auto" w:before="2"/>
        <w:ind w:left="2664" w:right="2074"/>
      </w:pPr>
      <w:r>
        <w:rPr/>
        <w:pict>
          <v:shape style="position:absolute;margin-left:554.141174pt;margin-top:8.064984pt;width:25.9pt;height:137.4pt;mso-position-horizontal-relative:page;mso-position-vertical-relative:paragraph;z-index:251758592" type="#_x0000_t202" filled="false" stroked="false">
            <v:textbox inset="0,0,0,0" style="layout-flow:vertical">
              <w:txbxContent>
                <w:p>
                  <w:pPr>
                    <w:spacing w:before="27"/>
                    <w:ind w:left="20" w:right="0" w:firstLine="0"/>
                    <w:jc w:val="left"/>
                    <w:rPr>
                      <w:sz w:val="39"/>
                    </w:rPr>
                  </w:pPr>
                  <w:r>
                    <w:rPr>
                      <w:color w:val="FFFFFF"/>
                      <w:w w:val="125"/>
                      <w:sz w:val="39"/>
                    </w:rPr>
                    <w:t>– </w:t>
                  </w:r>
                  <w:r>
                    <w:rPr>
                      <w:spacing w:val="9"/>
                      <w:w w:val="125"/>
                      <w:sz w:val="39"/>
                    </w:rPr>
                    <w:t>Appendix </w:t>
                  </w:r>
                  <w:r>
                    <w:rPr>
                      <w:w w:val="125"/>
                      <w:sz w:val="39"/>
                    </w:rPr>
                    <w:t>6</w:t>
                  </w:r>
                </w:p>
              </w:txbxContent>
            </v:textbox>
            <w10:wrap type="none"/>
          </v:shape>
        </w:pict>
      </w:r>
      <w:r>
        <w:rPr>
          <w:w w:val="120"/>
        </w:rPr>
        <w:t>Pension A is the pension calculated in accordance with Rule 20A.1 by reference to the member’s actual Pensionable Service at the date of their ill-health retirement.</w:t>
      </w:r>
    </w:p>
    <w:p>
      <w:pPr>
        <w:pStyle w:val="BodyText"/>
        <w:spacing w:line="235" w:lineRule="auto" w:before="2"/>
        <w:ind w:left="2664" w:right="1701"/>
      </w:pPr>
      <w:r>
        <w:rPr>
          <w:w w:val="120"/>
        </w:rPr>
        <w:t>Pension B is the full prospective pension calculated in accordance with Rule 20A.2 (disregarding the requirement under that Rule that the member must have completed 20 years’ membership in the Fund for that Rule to apply).</w:t>
      </w:r>
    </w:p>
    <w:p>
      <w:pPr>
        <w:pStyle w:val="BodyText"/>
        <w:spacing w:line="235" w:lineRule="auto" w:before="2"/>
        <w:ind w:left="2664" w:right="1820"/>
      </w:pPr>
      <w:r>
        <w:rPr>
          <w:w w:val="120"/>
        </w:rPr>
        <w:t>C is the number of complete months’ in excess of 120 that the member has been a member of the Fund.</w:t>
      </w:r>
    </w:p>
    <w:p>
      <w:pPr>
        <w:pStyle w:val="BodyText"/>
        <w:spacing w:before="10"/>
        <w:rPr>
          <w:sz w:val="19"/>
        </w:rPr>
      </w:pPr>
    </w:p>
    <w:p>
      <w:pPr>
        <w:pStyle w:val="BodyText"/>
        <w:spacing w:line="235" w:lineRule="auto"/>
        <w:ind w:left="2664" w:right="2004"/>
      </w:pPr>
      <w:r>
        <w:rPr>
          <w:w w:val="120"/>
        </w:rPr>
        <w:t>20A.4 Where Rule 20A.1, Rule 20A.2 or Rule 20A.3 applies in relation to a Residuary Member then the member shall receive pension benefits equal to those calculated under the applicable Rule save where the pension</w:t>
      </w:r>
    </w:p>
    <w:p>
      <w:pPr>
        <w:pStyle w:val="BodyText"/>
        <w:spacing w:line="235" w:lineRule="auto" w:before="2"/>
        <w:ind w:left="2664" w:right="1521"/>
      </w:pPr>
      <w:r>
        <w:rPr>
          <w:w w:val="120"/>
        </w:rPr>
        <w:t>calculated under either Rule 20A.4.1 or Rule 20A.4.2 below is greater, in which case the Residuary Member shall receive a pension equal to the greater of those two amounts.</w:t>
      </w:r>
    </w:p>
    <w:p>
      <w:pPr>
        <w:pStyle w:val="BodyText"/>
        <w:spacing w:before="10"/>
        <w:rPr>
          <w:sz w:val="19"/>
        </w:rPr>
      </w:pPr>
    </w:p>
    <w:p>
      <w:pPr>
        <w:pStyle w:val="BodyText"/>
        <w:spacing w:line="235" w:lineRule="auto" w:before="1"/>
        <w:ind w:left="2664" w:right="1484"/>
      </w:pPr>
      <w:r>
        <w:rPr>
          <w:spacing w:val="-4"/>
          <w:w w:val="120"/>
        </w:rPr>
        <w:t>20A.4.1   </w:t>
      </w:r>
      <w:r>
        <w:rPr>
          <w:w w:val="120"/>
        </w:rPr>
        <w:t>The pension calculated in accordance with Rule 20A.2 (disregarding  the requirement under that Rule that the member must have completed 20 years’ membership in the Fund for that Rule to apply) but calculated as if the Residuary Member had retired due to ill health on 1 January </w:t>
      </w:r>
      <w:r>
        <w:rPr>
          <w:spacing w:val="-8"/>
          <w:w w:val="120"/>
        </w:rPr>
        <w:t>2013 </w:t>
      </w:r>
      <w:r>
        <w:rPr>
          <w:spacing w:val="-3"/>
          <w:w w:val="120"/>
        </w:rPr>
        <w:t>(i.e. </w:t>
      </w:r>
      <w:r>
        <w:rPr>
          <w:w w:val="120"/>
        </w:rPr>
        <w:t>based on Pensionable Service up to 1 January </w:t>
      </w:r>
      <w:r>
        <w:rPr>
          <w:spacing w:val="-7"/>
          <w:w w:val="120"/>
        </w:rPr>
        <w:t>2013, </w:t>
      </w:r>
      <w:r>
        <w:rPr>
          <w:w w:val="120"/>
        </w:rPr>
        <w:t>prospective service at that date and the Member’s Basic Stipend at that</w:t>
      </w:r>
      <w:r>
        <w:rPr>
          <w:spacing w:val="11"/>
          <w:w w:val="120"/>
        </w:rPr>
        <w:t> </w:t>
      </w:r>
      <w:r>
        <w:rPr>
          <w:spacing w:val="-5"/>
          <w:w w:val="120"/>
        </w:rPr>
        <w:t>date).</w:t>
      </w:r>
    </w:p>
    <w:p>
      <w:pPr>
        <w:pStyle w:val="BodyText"/>
      </w:pPr>
    </w:p>
    <w:p>
      <w:pPr>
        <w:pStyle w:val="BodyText"/>
        <w:spacing w:line="235" w:lineRule="auto"/>
        <w:ind w:left="2664" w:right="1352"/>
      </w:pPr>
      <w:r>
        <w:rPr>
          <w:w w:val="120"/>
        </w:rPr>
        <w:t>20A.4.2 The pension equal to the Residuary Member’s “Pension B” </w:t>
      </w:r>
      <w:r>
        <w:rPr>
          <w:spacing w:val="-6"/>
          <w:w w:val="120"/>
        </w:rPr>
        <w:t>(as </w:t>
      </w:r>
      <w:r>
        <w:rPr>
          <w:w w:val="120"/>
        </w:rPr>
        <w:t>defined under Rule 20A.3 </w:t>
      </w:r>
      <w:r>
        <w:rPr>
          <w:spacing w:val="-4"/>
          <w:w w:val="120"/>
        </w:rPr>
        <w:t>above) </w:t>
      </w:r>
      <w:r>
        <w:rPr>
          <w:w w:val="120"/>
        </w:rPr>
        <w:t>but multiplied by the following fraction: the Residuary Member’s period of membership in the Fund prior to </w:t>
      </w:r>
      <w:r>
        <w:rPr>
          <w:spacing w:val="-7"/>
          <w:w w:val="120"/>
        </w:rPr>
        <w:t>31 </w:t>
      </w:r>
      <w:r>
        <w:rPr>
          <w:w w:val="120"/>
        </w:rPr>
        <w:t>December </w:t>
      </w:r>
      <w:r>
        <w:rPr>
          <w:spacing w:val="-7"/>
          <w:w w:val="120"/>
        </w:rPr>
        <w:t>2012 </w:t>
      </w:r>
      <w:r>
        <w:rPr>
          <w:w w:val="120"/>
        </w:rPr>
        <w:t>as divided by the Residuary Member’s total period of membership in the</w:t>
      </w:r>
      <w:r>
        <w:rPr>
          <w:spacing w:val="52"/>
          <w:w w:val="120"/>
        </w:rPr>
        <w:t> </w:t>
      </w:r>
      <w:r>
        <w:rPr>
          <w:w w:val="120"/>
        </w:rPr>
        <w:t>Fund</w:t>
      </w:r>
    </w:p>
    <w:p>
      <w:pPr>
        <w:pStyle w:val="BodyText"/>
        <w:spacing w:line="235" w:lineRule="auto" w:before="3"/>
        <w:ind w:left="2664" w:right="1820"/>
      </w:pPr>
      <w:r>
        <w:rPr>
          <w:w w:val="120"/>
        </w:rPr>
        <w:t>to date of retirement (or attainment of age 65 if earlier) (each period being calculated in complete months).”</w:t>
      </w:r>
    </w:p>
    <w:p>
      <w:pPr>
        <w:pStyle w:val="BodyText"/>
        <w:spacing w:before="9"/>
        <w:rPr>
          <w:sz w:val="19"/>
        </w:rPr>
      </w:pPr>
    </w:p>
    <w:p>
      <w:pPr>
        <w:pStyle w:val="BodyText"/>
        <w:spacing w:line="235" w:lineRule="auto"/>
        <w:ind w:left="2664" w:right="1244"/>
      </w:pPr>
      <w:r>
        <w:rPr>
          <w:w w:val="120"/>
        </w:rPr>
        <w:t>20A.5 Where a member has been granted aggregated membership under Rule 14.2, Pensionable Service for the purposes of this Rule (Ill-health Retirement from 1 January 2013) shall include such periods of service whilst having an entitlement to a pension in accordance with Rule 29 (Leaving Service) as the Committee shall in its absolute discretion direct, provided that the Committee shall first have satisfied itself that such service is of an appropriate ecumenical nature”.</w:t>
      </w:r>
    </w:p>
    <w:p>
      <w:pPr>
        <w:pStyle w:val="ListParagraph"/>
        <w:numPr>
          <w:ilvl w:val="1"/>
          <w:numId w:val="13"/>
        </w:numPr>
        <w:tabs>
          <w:tab w:pos="2664" w:val="left" w:leader="none"/>
          <w:tab w:pos="2665" w:val="left" w:leader="none"/>
          <w:tab w:pos="3424" w:val="left" w:leader="none"/>
        </w:tabs>
        <w:spacing w:line="480" w:lineRule="atLeast" w:before="5" w:after="0"/>
        <w:ind w:left="2664" w:right="2871" w:hanging="681"/>
        <w:jc w:val="left"/>
        <w:rPr>
          <w:sz w:val="20"/>
        </w:rPr>
      </w:pPr>
      <w:r>
        <w:rPr>
          <w:w w:val="120"/>
          <w:sz w:val="20"/>
        </w:rPr>
        <w:t>Rule </w:t>
      </w:r>
      <w:r>
        <w:rPr>
          <w:spacing w:val="-4"/>
          <w:w w:val="120"/>
          <w:sz w:val="20"/>
        </w:rPr>
        <w:t>21 </w:t>
      </w:r>
      <w:r>
        <w:rPr>
          <w:w w:val="120"/>
          <w:sz w:val="20"/>
        </w:rPr>
        <w:t>is deleted in its entirety and replaced with the following: </w:t>
      </w:r>
      <w:r>
        <w:rPr>
          <w:spacing w:val="-8"/>
          <w:w w:val="120"/>
          <w:sz w:val="20"/>
        </w:rPr>
        <w:t>“21.</w:t>
        <w:tab/>
      </w:r>
      <w:r>
        <w:rPr>
          <w:w w:val="120"/>
          <w:sz w:val="20"/>
        </w:rPr>
        <w:t>Early</w:t>
      </w:r>
      <w:r>
        <w:rPr>
          <w:spacing w:val="1"/>
          <w:w w:val="120"/>
          <w:sz w:val="20"/>
        </w:rPr>
        <w:t> </w:t>
      </w:r>
      <w:r>
        <w:rPr>
          <w:w w:val="120"/>
          <w:sz w:val="20"/>
        </w:rPr>
        <w:t>Retirement</w:t>
      </w:r>
    </w:p>
    <w:p>
      <w:pPr>
        <w:pStyle w:val="BodyText"/>
        <w:tabs>
          <w:tab w:pos="3424" w:val="left" w:leader="none"/>
        </w:tabs>
        <w:spacing w:line="235" w:lineRule="auto"/>
        <w:ind w:left="2664" w:right="1484"/>
      </w:pPr>
      <w:r>
        <w:rPr>
          <w:spacing w:val="-10"/>
          <w:w w:val="120"/>
        </w:rPr>
        <w:t>21.1</w:t>
        <w:tab/>
      </w:r>
      <w:r>
        <w:rPr>
          <w:w w:val="120"/>
        </w:rPr>
        <w:t>Save in those cases where Rule 20 applies, a member may only retire before Normal Pension Age if the member is over age </w:t>
      </w:r>
      <w:r>
        <w:rPr>
          <w:spacing w:val="-5"/>
          <w:w w:val="120"/>
        </w:rPr>
        <w:t>55. </w:t>
      </w:r>
      <w:r>
        <w:rPr>
          <w:w w:val="120"/>
        </w:rPr>
        <w:t>A member wishing to retire early will be entitled to an immediate pension based on the actual years of pensionable service and the amount of pension so calculated shall then</w:t>
      </w:r>
      <w:r>
        <w:rPr>
          <w:spacing w:val="35"/>
          <w:w w:val="120"/>
        </w:rPr>
        <w:t> </w:t>
      </w:r>
      <w:r>
        <w:rPr>
          <w:w w:val="120"/>
        </w:rPr>
        <w:t>be</w:t>
      </w:r>
    </w:p>
    <w:p>
      <w:pPr>
        <w:pStyle w:val="BodyText"/>
        <w:spacing w:line="235" w:lineRule="auto" w:before="3"/>
        <w:ind w:left="2664" w:right="1352"/>
      </w:pPr>
      <w:r>
        <w:rPr>
          <w:w w:val="120"/>
        </w:rPr>
        <w:t>reduced on the advice of the Actuary having regard to the age of the member at the date of retirement, save that:</w:t>
      </w:r>
    </w:p>
    <w:p>
      <w:pPr>
        <w:spacing w:after="0" w:line="235" w:lineRule="auto"/>
        <w:sectPr>
          <w:headerReference w:type="default" r:id="rId83"/>
          <w:pgSz w:w="11910" w:h="16840"/>
          <w:pgMar w:header="0" w:footer="647" w:top="0" w:bottom="840" w:left="0" w:right="0"/>
        </w:sectPr>
      </w:pPr>
    </w:p>
    <w:p>
      <w:pPr>
        <w:pStyle w:val="BodyText"/>
      </w:pPr>
      <w:r>
        <w:rPr/>
        <w:drawing>
          <wp:anchor distT="0" distB="0" distL="0" distR="0" allowOverlap="1" layoutInCell="1" locked="0" behindDoc="0" simplePos="0" relativeHeight="251759616">
            <wp:simplePos x="0" y="0"/>
            <wp:positionH relativeFrom="page">
              <wp:posOffset>0</wp:posOffset>
            </wp:positionH>
            <wp:positionV relativeFrom="page">
              <wp:posOffset>0</wp:posOffset>
            </wp:positionV>
            <wp:extent cx="594067" cy="10692003"/>
            <wp:effectExtent l="0" t="0" r="0" b="0"/>
            <wp:wrapNone/>
            <wp:docPr id="57" name="image22.png"/>
            <wp:cNvGraphicFramePr>
              <a:graphicFrameLocks noChangeAspect="1"/>
            </wp:cNvGraphicFramePr>
            <a:graphic>
              <a:graphicData uri="http://schemas.openxmlformats.org/drawingml/2006/picture">
                <pic:pic>
                  <pic:nvPicPr>
                    <pic:cNvPr id="58" name="image22.png"/>
                    <pic:cNvPicPr/>
                  </pic:nvPicPr>
                  <pic:blipFill>
                    <a:blip r:embed="rId33"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shape style="position:absolute;margin-left:20.519100pt;margin-top:22.593945pt;width:25.9pt;height:163.2pt;mso-position-horizontal-relative:page;mso-position-vertical-relative:paragraph;z-index:251760640" type="#_x0000_t202" filled="false" stroked="false">
            <v:textbox inset="0,0,0,0" style="layout-flow:vertical">
              <w:txbxContent>
                <w:p>
                  <w:pPr>
                    <w:spacing w:before="27"/>
                    <w:ind w:left="20" w:right="0" w:firstLine="0"/>
                    <w:jc w:val="left"/>
                    <w:rPr>
                      <w:sz w:val="39"/>
                    </w:rPr>
                  </w:pPr>
                  <w:r>
                    <w:rPr>
                      <w:color w:val="FFFFFF"/>
                      <w:w w:val="125"/>
                      <w:sz w:val="39"/>
                    </w:rPr>
                    <w:t>Mission Council</w:t>
                  </w:r>
                </w:p>
              </w:txbxContent>
            </v:textbox>
            <w10:wrap type="none"/>
          </v:shape>
        </w:pict>
      </w:r>
      <w:r>
        <w:rPr>
          <w:color w:val="7EAABF"/>
          <w:w w:val="120"/>
        </w:rPr>
        <w:t>Mission Council</w:t>
      </w:r>
    </w:p>
    <w:p>
      <w:pPr>
        <w:pStyle w:val="BodyText"/>
        <w:spacing w:line="235" w:lineRule="auto" w:before="222"/>
        <w:ind w:left="1927" w:right="2451"/>
      </w:pPr>
      <w:r>
        <w:rPr>
          <w:spacing w:val="-12"/>
          <w:w w:val="120"/>
        </w:rPr>
        <w:t>21.1.1   </w:t>
      </w:r>
      <w:r>
        <w:rPr>
          <w:w w:val="120"/>
        </w:rPr>
        <w:t>No reduction will be required in respect of the pension attributable  to stipendiary service accrued up to and including 30 November 2006 if the member </w:t>
      </w:r>
      <w:r>
        <w:rPr>
          <w:spacing w:val="-7"/>
          <w:w w:val="120"/>
        </w:rPr>
        <w:t>(at </w:t>
      </w:r>
      <w:r>
        <w:rPr>
          <w:w w:val="120"/>
        </w:rPr>
        <w:t>retirement) has completed 40 years of stipendiary service to the URC or its constituent</w:t>
      </w:r>
      <w:r>
        <w:rPr>
          <w:spacing w:val="8"/>
          <w:w w:val="120"/>
        </w:rPr>
        <w:t> </w:t>
      </w:r>
      <w:r>
        <w:rPr>
          <w:w w:val="120"/>
        </w:rPr>
        <w:t>denominations.</w:t>
      </w:r>
    </w:p>
    <w:p>
      <w:pPr>
        <w:pStyle w:val="BodyText"/>
        <w:spacing w:before="10"/>
        <w:rPr>
          <w:sz w:val="19"/>
        </w:rPr>
      </w:pPr>
    </w:p>
    <w:p>
      <w:pPr>
        <w:pStyle w:val="ListParagraph"/>
        <w:numPr>
          <w:ilvl w:val="1"/>
          <w:numId w:val="13"/>
        </w:numPr>
        <w:tabs>
          <w:tab w:pos="1927" w:val="left" w:leader="none"/>
          <w:tab w:pos="1928" w:val="left" w:leader="none"/>
        </w:tabs>
        <w:spacing w:line="235" w:lineRule="auto" w:before="1" w:after="0"/>
        <w:ind w:left="1247" w:right="2604" w:firstLine="0"/>
        <w:jc w:val="left"/>
        <w:rPr>
          <w:sz w:val="20"/>
        </w:rPr>
      </w:pPr>
      <w:r>
        <w:rPr>
          <w:w w:val="125"/>
          <w:sz w:val="20"/>
        </w:rPr>
        <w:t>Rules</w:t>
      </w:r>
      <w:r>
        <w:rPr>
          <w:spacing w:val="-10"/>
          <w:w w:val="125"/>
          <w:sz w:val="20"/>
        </w:rPr>
        <w:t> </w:t>
      </w:r>
      <w:r>
        <w:rPr>
          <w:spacing w:val="-4"/>
          <w:w w:val="125"/>
          <w:sz w:val="20"/>
        </w:rPr>
        <w:t>23.3,</w:t>
      </w:r>
      <w:r>
        <w:rPr>
          <w:spacing w:val="-10"/>
          <w:w w:val="125"/>
          <w:sz w:val="20"/>
        </w:rPr>
        <w:t> </w:t>
      </w:r>
      <w:r>
        <w:rPr>
          <w:spacing w:val="-12"/>
          <w:w w:val="125"/>
          <w:sz w:val="20"/>
        </w:rPr>
        <w:t>29.1.1,</w:t>
      </w:r>
      <w:r>
        <w:rPr>
          <w:spacing w:val="-9"/>
          <w:w w:val="125"/>
          <w:sz w:val="20"/>
        </w:rPr>
        <w:t> 42.1,</w:t>
      </w:r>
      <w:r>
        <w:rPr>
          <w:spacing w:val="-10"/>
          <w:w w:val="125"/>
          <w:sz w:val="20"/>
        </w:rPr>
        <w:t> </w:t>
      </w:r>
      <w:r>
        <w:rPr>
          <w:spacing w:val="-3"/>
          <w:w w:val="125"/>
          <w:sz w:val="20"/>
        </w:rPr>
        <w:t>42.2</w:t>
      </w:r>
      <w:r>
        <w:rPr>
          <w:spacing w:val="-9"/>
          <w:w w:val="125"/>
          <w:sz w:val="20"/>
        </w:rPr>
        <w:t> </w:t>
      </w:r>
      <w:r>
        <w:rPr>
          <w:w w:val="125"/>
          <w:sz w:val="20"/>
        </w:rPr>
        <w:t>and</w:t>
      </w:r>
      <w:r>
        <w:rPr>
          <w:spacing w:val="-10"/>
          <w:w w:val="125"/>
          <w:sz w:val="20"/>
        </w:rPr>
        <w:t> </w:t>
      </w:r>
      <w:r>
        <w:rPr>
          <w:spacing w:val="-4"/>
          <w:w w:val="125"/>
          <w:sz w:val="20"/>
        </w:rPr>
        <w:t>42.3</w:t>
      </w:r>
      <w:r>
        <w:rPr>
          <w:spacing w:val="-9"/>
          <w:w w:val="125"/>
          <w:sz w:val="20"/>
        </w:rPr>
        <w:t> </w:t>
      </w:r>
      <w:r>
        <w:rPr>
          <w:w w:val="125"/>
          <w:sz w:val="20"/>
        </w:rPr>
        <w:t>are</w:t>
      </w:r>
      <w:r>
        <w:rPr>
          <w:spacing w:val="-10"/>
          <w:w w:val="125"/>
          <w:sz w:val="20"/>
        </w:rPr>
        <w:t> </w:t>
      </w:r>
      <w:r>
        <w:rPr>
          <w:w w:val="125"/>
          <w:sz w:val="20"/>
        </w:rPr>
        <w:t>amended</w:t>
      </w:r>
      <w:r>
        <w:rPr>
          <w:spacing w:val="-9"/>
          <w:w w:val="125"/>
          <w:sz w:val="20"/>
        </w:rPr>
        <w:t> </w:t>
      </w:r>
      <w:r>
        <w:rPr>
          <w:w w:val="125"/>
          <w:sz w:val="20"/>
        </w:rPr>
        <w:t>by</w:t>
      </w:r>
      <w:r>
        <w:rPr>
          <w:spacing w:val="-10"/>
          <w:w w:val="125"/>
          <w:sz w:val="20"/>
        </w:rPr>
        <w:t> </w:t>
      </w:r>
      <w:r>
        <w:rPr>
          <w:w w:val="125"/>
          <w:sz w:val="20"/>
        </w:rPr>
        <w:t>replacing</w:t>
      </w:r>
      <w:r>
        <w:rPr>
          <w:spacing w:val="-9"/>
          <w:w w:val="125"/>
          <w:sz w:val="20"/>
        </w:rPr>
        <w:t> </w:t>
      </w:r>
      <w:r>
        <w:rPr>
          <w:w w:val="125"/>
          <w:sz w:val="20"/>
        </w:rPr>
        <w:t>the</w:t>
      </w:r>
      <w:r>
        <w:rPr>
          <w:spacing w:val="-10"/>
          <w:w w:val="125"/>
          <w:sz w:val="20"/>
        </w:rPr>
        <w:t> </w:t>
      </w:r>
      <w:r>
        <w:rPr>
          <w:w w:val="125"/>
          <w:sz w:val="20"/>
        </w:rPr>
        <w:t>words “normal pension age” with the words “Normal Pension</w:t>
      </w:r>
      <w:r>
        <w:rPr>
          <w:spacing w:val="-32"/>
          <w:w w:val="125"/>
          <w:sz w:val="20"/>
        </w:rPr>
        <w:t> </w:t>
      </w:r>
      <w:r>
        <w:rPr>
          <w:spacing w:val="-4"/>
          <w:w w:val="125"/>
          <w:sz w:val="20"/>
        </w:rPr>
        <w:t>Age”.</w:t>
      </w:r>
    </w:p>
    <w:p>
      <w:pPr>
        <w:pStyle w:val="ListParagraph"/>
        <w:numPr>
          <w:ilvl w:val="1"/>
          <w:numId w:val="13"/>
        </w:numPr>
        <w:tabs>
          <w:tab w:pos="1927" w:val="left" w:leader="none"/>
          <w:tab w:pos="1928" w:val="left" w:leader="none"/>
        </w:tabs>
        <w:spacing w:line="480" w:lineRule="atLeast" w:before="1" w:after="0"/>
        <w:ind w:left="1927" w:right="2620" w:hanging="681"/>
        <w:jc w:val="left"/>
        <w:rPr>
          <w:sz w:val="20"/>
        </w:rPr>
      </w:pPr>
      <w:r>
        <w:rPr>
          <w:w w:val="120"/>
          <w:sz w:val="20"/>
        </w:rPr>
        <w:t>Rule </w:t>
      </w:r>
      <w:r>
        <w:rPr>
          <w:spacing w:val="-3"/>
          <w:w w:val="120"/>
          <w:sz w:val="20"/>
        </w:rPr>
        <w:t>29.2.2 </w:t>
      </w:r>
      <w:r>
        <w:rPr>
          <w:w w:val="120"/>
          <w:sz w:val="20"/>
        </w:rPr>
        <w:t>is amended by inserting the following at the end of the Rule:   </w:t>
      </w:r>
      <w:r>
        <w:rPr>
          <w:spacing w:val="-7"/>
          <w:w w:val="120"/>
          <w:sz w:val="20"/>
        </w:rPr>
        <w:t>“A </w:t>
      </w:r>
      <w:r>
        <w:rPr>
          <w:w w:val="120"/>
          <w:sz w:val="20"/>
        </w:rPr>
        <w:t>transfer payment can only be made under this Rule where permitted</w:t>
      </w:r>
      <w:r>
        <w:rPr>
          <w:spacing w:val="53"/>
          <w:w w:val="120"/>
          <w:sz w:val="20"/>
        </w:rPr>
        <w:t> </w:t>
      </w:r>
      <w:r>
        <w:rPr>
          <w:w w:val="120"/>
          <w:sz w:val="20"/>
        </w:rPr>
        <w:t>by</w:t>
      </w:r>
    </w:p>
    <w:p>
      <w:pPr>
        <w:pStyle w:val="BodyText"/>
        <w:spacing w:line="235" w:lineRule="auto"/>
        <w:ind w:left="1927" w:right="2004"/>
      </w:pPr>
      <w:r>
        <w:rPr>
          <w:w w:val="120"/>
        </w:rPr>
        <w:t>overriding legislation and where the transfer would be a recognised transfer within the meaning in the Finance Act 2004.”</w:t>
      </w:r>
    </w:p>
    <w:p>
      <w:pPr>
        <w:pStyle w:val="BodyText"/>
        <w:spacing w:before="6"/>
        <w:rPr>
          <w:sz w:val="19"/>
        </w:rPr>
      </w:pPr>
    </w:p>
    <w:p>
      <w:pPr>
        <w:pStyle w:val="ListParagraph"/>
        <w:numPr>
          <w:ilvl w:val="1"/>
          <w:numId w:val="13"/>
        </w:numPr>
        <w:tabs>
          <w:tab w:pos="1927" w:val="left" w:leader="none"/>
          <w:tab w:pos="1928" w:val="left" w:leader="none"/>
        </w:tabs>
        <w:spacing w:line="240" w:lineRule="auto" w:before="0" w:after="0"/>
        <w:ind w:left="1927" w:right="0" w:hanging="681"/>
        <w:jc w:val="left"/>
        <w:rPr>
          <w:sz w:val="20"/>
        </w:rPr>
      </w:pPr>
      <w:r>
        <w:rPr/>
        <w:pict>
          <v:shape style="position:absolute;margin-left:20.519100pt;margin-top:-3.844586pt;width:25.9pt;height:137.4pt;mso-position-horizontal-relative:page;mso-position-vertical-relative:paragraph;z-index:251761664" type="#_x0000_t202" filled="false" stroked="false">
            <v:textbox inset="0,0,0,0" style="layout-flow:vertical">
              <w:txbxContent>
                <w:p>
                  <w:pPr>
                    <w:spacing w:before="27"/>
                    <w:ind w:left="20" w:right="0" w:firstLine="0"/>
                    <w:jc w:val="left"/>
                    <w:rPr>
                      <w:sz w:val="39"/>
                    </w:rPr>
                  </w:pPr>
                  <w:r>
                    <w:rPr>
                      <w:color w:val="FFFFFF"/>
                      <w:w w:val="125"/>
                      <w:sz w:val="39"/>
                    </w:rPr>
                    <w:t>– </w:t>
                  </w:r>
                  <w:r>
                    <w:rPr>
                      <w:spacing w:val="9"/>
                      <w:w w:val="125"/>
                      <w:sz w:val="39"/>
                    </w:rPr>
                    <w:t>Appendix </w:t>
                  </w:r>
                  <w:r>
                    <w:rPr>
                      <w:w w:val="125"/>
                      <w:sz w:val="39"/>
                    </w:rPr>
                    <w:t>6</w:t>
                  </w:r>
                </w:p>
              </w:txbxContent>
            </v:textbox>
            <w10:wrap type="none"/>
          </v:shape>
        </w:pict>
      </w:r>
      <w:r>
        <w:rPr>
          <w:w w:val="120"/>
          <w:sz w:val="20"/>
        </w:rPr>
        <w:t>Rule </w:t>
      </w:r>
      <w:r>
        <w:rPr>
          <w:spacing w:val="-6"/>
          <w:w w:val="120"/>
          <w:sz w:val="20"/>
        </w:rPr>
        <w:t>41.2.3 </w:t>
      </w:r>
      <w:r>
        <w:rPr>
          <w:w w:val="120"/>
          <w:sz w:val="20"/>
        </w:rPr>
        <w:t>is amended as</w:t>
      </w:r>
      <w:r>
        <w:rPr>
          <w:spacing w:val="16"/>
          <w:w w:val="120"/>
          <w:sz w:val="20"/>
        </w:rPr>
        <w:t> </w:t>
      </w:r>
      <w:r>
        <w:rPr>
          <w:w w:val="120"/>
          <w:sz w:val="20"/>
        </w:rPr>
        <w:t>follows:</w:t>
      </w:r>
    </w:p>
    <w:p>
      <w:pPr>
        <w:pStyle w:val="BodyText"/>
        <w:spacing w:before="7"/>
        <w:rPr>
          <w:sz w:val="19"/>
        </w:rPr>
      </w:pPr>
    </w:p>
    <w:p>
      <w:pPr>
        <w:pStyle w:val="ListParagraph"/>
        <w:numPr>
          <w:ilvl w:val="2"/>
          <w:numId w:val="13"/>
        </w:numPr>
        <w:tabs>
          <w:tab w:pos="2688" w:val="left" w:leader="none"/>
        </w:tabs>
        <w:spacing w:line="235" w:lineRule="auto" w:before="1" w:after="0"/>
        <w:ind w:left="1927" w:right="2047" w:firstLine="0"/>
        <w:jc w:val="left"/>
        <w:rPr>
          <w:sz w:val="20"/>
        </w:rPr>
      </w:pPr>
      <w:r>
        <w:rPr>
          <w:w w:val="120"/>
          <w:sz w:val="20"/>
        </w:rPr>
        <w:t>in the first line of the Rule the word “is” is replaced by the words “before 6 April 2006 would have</w:t>
      </w:r>
      <w:r>
        <w:rPr>
          <w:spacing w:val="13"/>
          <w:w w:val="120"/>
          <w:sz w:val="20"/>
        </w:rPr>
        <w:t> </w:t>
      </w:r>
      <w:r>
        <w:rPr>
          <w:spacing w:val="-4"/>
          <w:w w:val="120"/>
          <w:sz w:val="20"/>
        </w:rPr>
        <w:t>been”.</w:t>
      </w:r>
    </w:p>
    <w:p>
      <w:pPr>
        <w:pStyle w:val="BodyText"/>
        <w:spacing w:before="5"/>
        <w:rPr>
          <w:sz w:val="19"/>
        </w:rPr>
      </w:pPr>
    </w:p>
    <w:p>
      <w:pPr>
        <w:pStyle w:val="ListParagraph"/>
        <w:numPr>
          <w:ilvl w:val="2"/>
          <w:numId w:val="13"/>
        </w:numPr>
        <w:tabs>
          <w:tab w:pos="2688" w:val="left" w:leader="none"/>
        </w:tabs>
        <w:spacing w:line="240" w:lineRule="auto" w:before="0" w:after="0"/>
        <w:ind w:left="2687" w:right="0" w:hanging="761"/>
        <w:jc w:val="left"/>
        <w:rPr>
          <w:sz w:val="20"/>
        </w:rPr>
      </w:pPr>
      <w:r>
        <w:rPr>
          <w:w w:val="120"/>
          <w:sz w:val="20"/>
        </w:rPr>
        <w:t>the following is inserted at the end of the</w:t>
      </w:r>
      <w:r>
        <w:rPr>
          <w:spacing w:val="17"/>
          <w:w w:val="120"/>
          <w:sz w:val="20"/>
        </w:rPr>
        <w:t> </w:t>
      </w:r>
      <w:r>
        <w:rPr>
          <w:w w:val="120"/>
          <w:sz w:val="20"/>
        </w:rPr>
        <w:t>Rule:</w:t>
      </w:r>
    </w:p>
    <w:p>
      <w:pPr>
        <w:pStyle w:val="BodyText"/>
        <w:spacing w:before="8"/>
        <w:rPr>
          <w:sz w:val="19"/>
        </w:rPr>
      </w:pPr>
    </w:p>
    <w:p>
      <w:pPr>
        <w:pStyle w:val="BodyText"/>
        <w:spacing w:line="235" w:lineRule="auto"/>
        <w:ind w:left="1927" w:right="2004"/>
      </w:pPr>
      <w:r>
        <w:rPr>
          <w:w w:val="120"/>
        </w:rPr>
        <w:t>“, or since 6 April 2006, is a fund to which the Fund may make a transfer which is an authorised payment for the purposes of the Finance Act 2004.”</w:t>
      </w:r>
    </w:p>
    <w:p>
      <w:pPr>
        <w:pStyle w:val="BodyText"/>
        <w:spacing w:before="6"/>
        <w:rPr>
          <w:sz w:val="19"/>
        </w:rPr>
      </w:pPr>
    </w:p>
    <w:p>
      <w:pPr>
        <w:pStyle w:val="ListParagraph"/>
        <w:numPr>
          <w:ilvl w:val="1"/>
          <w:numId w:val="13"/>
        </w:numPr>
        <w:tabs>
          <w:tab w:pos="1927" w:val="left" w:leader="none"/>
          <w:tab w:pos="1928" w:val="left" w:leader="none"/>
        </w:tabs>
        <w:spacing w:line="240" w:lineRule="auto" w:before="0" w:after="0"/>
        <w:ind w:left="1927" w:right="0" w:hanging="681"/>
        <w:jc w:val="left"/>
        <w:rPr>
          <w:sz w:val="20"/>
        </w:rPr>
      </w:pPr>
      <w:r>
        <w:rPr>
          <w:w w:val="120"/>
          <w:sz w:val="20"/>
        </w:rPr>
        <w:t>The heading to Rule </w:t>
      </w:r>
      <w:r>
        <w:rPr>
          <w:spacing w:val="-5"/>
          <w:w w:val="120"/>
          <w:sz w:val="20"/>
        </w:rPr>
        <w:t>42 </w:t>
      </w:r>
      <w:r>
        <w:rPr>
          <w:w w:val="120"/>
          <w:sz w:val="20"/>
        </w:rPr>
        <w:t>is amended by deleting the words “before age</w:t>
      </w:r>
      <w:r>
        <w:rPr>
          <w:spacing w:val="2"/>
          <w:w w:val="120"/>
          <w:sz w:val="20"/>
        </w:rPr>
        <w:t> </w:t>
      </w:r>
      <w:r>
        <w:rPr>
          <w:spacing w:val="-9"/>
          <w:w w:val="120"/>
          <w:sz w:val="20"/>
        </w:rPr>
        <w:t>65”.</w:t>
      </w:r>
    </w:p>
    <w:p>
      <w:pPr>
        <w:pStyle w:val="BodyText"/>
        <w:spacing w:before="7"/>
        <w:rPr>
          <w:sz w:val="19"/>
        </w:rPr>
      </w:pPr>
    </w:p>
    <w:p>
      <w:pPr>
        <w:pStyle w:val="ListParagraph"/>
        <w:numPr>
          <w:ilvl w:val="1"/>
          <w:numId w:val="13"/>
        </w:numPr>
        <w:tabs>
          <w:tab w:pos="1927" w:val="left" w:leader="none"/>
          <w:tab w:pos="1928" w:val="left" w:leader="none"/>
        </w:tabs>
        <w:spacing w:line="235" w:lineRule="auto" w:before="1" w:after="0"/>
        <w:ind w:left="1247" w:right="2211" w:firstLine="0"/>
        <w:jc w:val="left"/>
        <w:rPr>
          <w:sz w:val="20"/>
        </w:rPr>
      </w:pPr>
      <w:r>
        <w:rPr>
          <w:w w:val="120"/>
          <w:sz w:val="20"/>
        </w:rPr>
        <w:t>The </w:t>
      </w:r>
      <w:r>
        <w:rPr>
          <w:spacing w:val="3"/>
          <w:w w:val="120"/>
          <w:sz w:val="20"/>
        </w:rPr>
        <w:t>INLAND </w:t>
      </w:r>
      <w:r>
        <w:rPr>
          <w:w w:val="120"/>
          <w:sz w:val="20"/>
        </w:rPr>
        <w:t>REVENUE LIMITS section is amended by inserting the following at the end of PART 1 – TAX</w:t>
      </w:r>
      <w:r>
        <w:rPr>
          <w:spacing w:val="14"/>
          <w:w w:val="120"/>
          <w:sz w:val="20"/>
        </w:rPr>
        <w:t> </w:t>
      </w:r>
      <w:r>
        <w:rPr>
          <w:w w:val="120"/>
          <w:sz w:val="20"/>
        </w:rPr>
        <w:t>RULES:</w:t>
      </w:r>
    </w:p>
    <w:p>
      <w:pPr>
        <w:pStyle w:val="BodyText"/>
        <w:tabs>
          <w:tab w:pos="2687" w:val="left" w:leader="none"/>
        </w:tabs>
        <w:spacing w:line="235" w:lineRule="auto" w:before="1"/>
        <w:ind w:left="1927" w:right="2280"/>
      </w:pPr>
      <w:r>
        <w:rPr>
          <w:spacing w:val="-6"/>
          <w:w w:val="120"/>
        </w:rPr>
        <w:t>“10.</w:t>
        <w:tab/>
      </w:r>
      <w:r>
        <w:rPr>
          <w:w w:val="120"/>
        </w:rPr>
        <w:t>Late payment of benefits: No provision in the Rules or Part II of the Schedule shall apply to restrict the payment of benefits after age </w:t>
      </w:r>
      <w:r>
        <w:rPr>
          <w:spacing w:val="-6"/>
          <w:w w:val="120"/>
        </w:rPr>
        <w:t>75 </w:t>
      </w:r>
      <w:r>
        <w:rPr>
          <w:w w:val="120"/>
        </w:rPr>
        <w:t>where the Pension Trustee so determines that benefits may be paid after that</w:t>
      </w:r>
      <w:r>
        <w:rPr>
          <w:spacing w:val="1"/>
          <w:w w:val="120"/>
        </w:rPr>
        <w:t> </w:t>
      </w:r>
      <w:r>
        <w:rPr>
          <w:spacing w:val="-3"/>
          <w:w w:val="120"/>
        </w:rPr>
        <w:t>age.”</w:t>
      </w:r>
    </w:p>
    <w:p>
      <w:pPr>
        <w:pStyle w:val="BodyText"/>
        <w:rPr>
          <w:sz w:val="24"/>
        </w:rPr>
      </w:pPr>
    </w:p>
    <w:p>
      <w:pPr>
        <w:pStyle w:val="Heading4"/>
        <w:numPr>
          <w:ilvl w:val="0"/>
          <w:numId w:val="17"/>
        </w:numPr>
        <w:tabs>
          <w:tab w:pos="1927" w:val="left" w:leader="none"/>
          <w:tab w:pos="1928" w:val="left" w:leader="none"/>
        </w:tabs>
        <w:spacing w:line="240" w:lineRule="auto" w:before="162" w:after="0"/>
        <w:ind w:left="1927" w:right="0" w:hanging="681"/>
        <w:jc w:val="left"/>
      </w:pPr>
      <w:r>
        <w:rPr>
          <w:spacing w:val="4"/>
          <w:w w:val="110"/>
        </w:rPr>
        <w:t>Overriding</w:t>
      </w:r>
      <w:r>
        <w:rPr>
          <w:spacing w:val="12"/>
          <w:w w:val="110"/>
        </w:rPr>
        <w:t> </w:t>
      </w:r>
      <w:r>
        <w:rPr>
          <w:spacing w:val="4"/>
          <w:w w:val="110"/>
        </w:rPr>
        <w:t>amendments</w:t>
      </w:r>
    </w:p>
    <w:p>
      <w:pPr>
        <w:pStyle w:val="ListParagraph"/>
        <w:numPr>
          <w:ilvl w:val="1"/>
          <w:numId w:val="17"/>
        </w:numPr>
        <w:tabs>
          <w:tab w:pos="1927" w:val="left" w:leader="none"/>
          <w:tab w:pos="1928" w:val="left" w:leader="none"/>
        </w:tabs>
        <w:spacing w:line="235" w:lineRule="auto" w:before="69" w:after="0"/>
        <w:ind w:left="1247" w:right="2161" w:firstLine="0"/>
        <w:jc w:val="left"/>
        <w:rPr>
          <w:sz w:val="20"/>
        </w:rPr>
      </w:pPr>
      <w:r>
        <w:rPr>
          <w:w w:val="120"/>
          <w:sz w:val="20"/>
        </w:rPr>
        <w:t>This Clause 2 makes overriding amendments to the Rules. Notwithstanding any Rule to the</w:t>
      </w:r>
      <w:r>
        <w:rPr>
          <w:spacing w:val="5"/>
          <w:w w:val="120"/>
          <w:sz w:val="20"/>
        </w:rPr>
        <w:t> </w:t>
      </w:r>
      <w:r>
        <w:rPr>
          <w:w w:val="120"/>
          <w:sz w:val="20"/>
        </w:rPr>
        <w:t>contrary:</w:t>
      </w:r>
    </w:p>
    <w:p>
      <w:pPr>
        <w:pStyle w:val="BodyText"/>
        <w:spacing w:before="9"/>
        <w:rPr>
          <w:sz w:val="19"/>
        </w:rPr>
      </w:pPr>
    </w:p>
    <w:p>
      <w:pPr>
        <w:pStyle w:val="ListParagraph"/>
        <w:numPr>
          <w:ilvl w:val="2"/>
          <w:numId w:val="17"/>
        </w:numPr>
        <w:tabs>
          <w:tab w:pos="1927" w:val="left" w:leader="none"/>
          <w:tab w:pos="1928" w:val="left" w:leader="none"/>
        </w:tabs>
        <w:spacing w:line="235" w:lineRule="auto" w:before="0" w:after="0"/>
        <w:ind w:left="1247" w:right="1999" w:firstLine="0"/>
        <w:jc w:val="left"/>
        <w:rPr>
          <w:sz w:val="20"/>
        </w:rPr>
      </w:pPr>
      <w:r>
        <w:rPr>
          <w:w w:val="120"/>
          <w:sz w:val="20"/>
        </w:rPr>
        <w:t>In </w:t>
      </w:r>
      <w:r>
        <w:rPr>
          <w:spacing w:val="-3"/>
          <w:w w:val="120"/>
          <w:sz w:val="20"/>
        </w:rPr>
        <w:t>any circumstance </w:t>
      </w:r>
      <w:r>
        <w:rPr>
          <w:w w:val="120"/>
          <w:sz w:val="20"/>
        </w:rPr>
        <w:t>in which the Rules require the application of an early or </w:t>
      </w:r>
      <w:r>
        <w:rPr>
          <w:spacing w:val="-3"/>
          <w:w w:val="120"/>
          <w:sz w:val="20"/>
        </w:rPr>
        <w:t>late </w:t>
      </w:r>
      <w:r>
        <w:rPr>
          <w:w w:val="120"/>
          <w:sz w:val="20"/>
        </w:rPr>
        <w:t>retirement factor </w:t>
      </w:r>
      <w:r>
        <w:rPr>
          <w:spacing w:val="-3"/>
          <w:w w:val="120"/>
          <w:sz w:val="20"/>
        </w:rPr>
        <w:t>to </w:t>
      </w:r>
      <w:r>
        <w:rPr>
          <w:w w:val="120"/>
          <w:sz w:val="20"/>
        </w:rPr>
        <w:t>be applied </w:t>
      </w:r>
      <w:r>
        <w:rPr>
          <w:spacing w:val="-3"/>
          <w:w w:val="120"/>
          <w:sz w:val="20"/>
        </w:rPr>
        <w:t>to </w:t>
      </w:r>
      <w:r>
        <w:rPr>
          <w:w w:val="120"/>
          <w:sz w:val="20"/>
        </w:rPr>
        <w:t>the pension payable </w:t>
      </w:r>
      <w:r>
        <w:rPr>
          <w:spacing w:val="-3"/>
          <w:w w:val="120"/>
          <w:sz w:val="20"/>
        </w:rPr>
        <w:t>to </w:t>
      </w:r>
      <w:r>
        <w:rPr>
          <w:w w:val="120"/>
          <w:sz w:val="20"/>
        </w:rPr>
        <w:t>a member who is </w:t>
      </w:r>
      <w:r>
        <w:rPr>
          <w:spacing w:val="-7"/>
          <w:w w:val="120"/>
          <w:sz w:val="20"/>
        </w:rPr>
        <w:t>(or </w:t>
      </w:r>
      <w:r>
        <w:rPr>
          <w:w w:val="120"/>
          <w:sz w:val="20"/>
        </w:rPr>
        <w:t>is </w:t>
      </w:r>
      <w:r>
        <w:rPr>
          <w:spacing w:val="-3"/>
          <w:w w:val="120"/>
          <w:sz w:val="20"/>
        </w:rPr>
        <w:t>treated </w:t>
      </w:r>
      <w:r>
        <w:rPr>
          <w:w w:val="120"/>
          <w:sz w:val="20"/>
        </w:rPr>
        <w:t>as </w:t>
      </w:r>
      <w:r>
        <w:rPr>
          <w:spacing w:val="-3"/>
          <w:w w:val="120"/>
          <w:sz w:val="20"/>
        </w:rPr>
        <w:t>being) </w:t>
      </w:r>
      <w:r>
        <w:rPr>
          <w:w w:val="120"/>
          <w:sz w:val="20"/>
        </w:rPr>
        <w:t>in </w:t>
      </w:r>
      <w:r>
        <w:rPr>
          <w:spacing w:val="-3"/>
          <w:w w:val="120"/>
          <w:sz w:val="20"/>
        </w:rPr>
        <w:t>Pensionable </w:t>
      </w:r>
      <w:r>
        <w:rPr>
          <w:w w:val="120"/>
          <w:sz w:val="20"/>
        </w:rPr>
        <w:t>Service both before and after 1 January </w:t>
      </w:r>
      <w:r>
        <w:rPr>
          <w:spacing w:val="-9"/>
          <w:w w:val="120"/>
          <w:sz w:val="20"/>
        </w:rPr>
        <w:t>2013, </w:t>
      </w:r>
      <w:r>
        <w:rPr>
          <w:w w:val="120"/>
          <w:sz w:val="20"/>
        </w:rPr>
        <w:t>in relation </w:t>
      </w:r>
      <w:r>
        <w:rPr>
          <w:spacing w:val="-3"/>
          <w:w w:val="120"/>
          <w:sz w:val="20"/>
        </w:rPr>
        <w:t>to </w:t>
      </w:r>
      <w:r>
        <w:rPr>
          <w:w w:val="120"/>
          <w:sz w:val="20"/>
        </w:rPr>
        <w:t>the period of </w:t>
      </w:r>
      <w:r>
        <w:rPr>
          <w:spacing w:val="-3"/>
          <w:w w:val="120"/>
          <w:sz w:val="20"/>
        </w:rPr>
        <w:t>Pensionable </w:t>
      </w:r>
      <w:r>
        <w:rPr>
          <w:w w:val="120"/>
          <w:sz w:val="20"/>
        </w:rPr>
        <w:t>Service up </w:t>
      </w:r>
      <w:r>
        <w:rPr>
          <w:spacing w:val="-3"/>
          <w:w w:val="120"/>
          <w:sz w:val="20"/>
        </w:rPr>
        <w:t>to </w:t>
      </w:r>
      <w:r>
        <w:rPr>
          <w:w w:val="120"/>
          <w:sz w:val="20"/>
        </w:rPr>
        <w:t>and </w:t>
      </w:r>
      <w:r>
        <w:rPr>
          <w:spacing w:val="-3"/>
          <w:w w:val="120"/>
          <w:sz w:val="20"/>
        </w:rPr>
        <w:t>including </w:t>
      </w:r>
      <w:r>
        <w:rPr>
          <w:spacing w:val="-8"/>
          <w:w w:val="120"/>
          <w:sz w:val="20"/>
        </w:rPr>
        <w:t>31 </w:t>
      </w:r>
      <w:r>
        <w:rPr>
          <w:w w:val="120"/>
          <w:sz w:val="20"/>
        </w:rPr>
        <w:t>December </w:t>
      </w:r>
      <w:r>
        <w:rPr>
          <w:spacing w:val="-8"/>
          <w:w w:val="120"/>
          <w:sz w:val="20"/>
        </w:rPr>
        <w:t>2012, </w:t>
      </w:r>
      <w:r>
        <w:rPr>
          <w:spacing w:val="-3"/>
          <w:w w:val="120"/>
          <w:sz w:val="20"/>
        </w:rPr>
        <w:t>any </w:t>
      </w:r>
      <w:r>
        <w:rPr>
          <w:w w:val="120"/>
          <w:sz w:val="20"/>
        </w:rPr>
        <w:t>early or </w:t>
      </w:r>
      <w:r>
        <w:rPr>
          <w:spacing w:val="-3"/>
          <w:w w:val="120"/>
          <w:sz w:val="20"/>
        </w:rPr>
        <w:t>late </w:t>
      </w:r>
      <w:r>
        <w:rPr>
          <w:w w:val="120"/>
          <w:sz w:val="20"/>
        </w:rPr>
        <w:t>retirement factor </w:t>
      </w:r>
      <w:r>
        <w:rPr>
          <w:spacing w:val="-8"/>
          <w:w w:val="120"/>
          <w:sz w:val="20"/>
        </w:rPr>
        <w:t>(as </w:t>
      </w:r>
      <w:r>
        <w:rPr>
          <w:spacing w:val="-4"/>
          <w:w w:val="120"/>
          <w:sz w:val="20"/>
        </w:rPr>
        <w:t>applicable) </w:t>
      </w:r>
      <w:r>
        <w:rPr>
          <w:w w:val="120"/>
          <w:sz w:val="20"/>
        </w:rPr>
        <w:t>will be </w:t>
      </w:r>
      <w:r>
        <w:rPr>
          <w:spacing w:val="-3"/>
          <w:w w:val="120"/>
          <w:sz w:val="20"/>
        </w:rPr>
        <w:t>calculated </w:t>
      </w:r>
      <w:r>
        <w:rPr>
          <w:w w:val="120"/>
          <w:sz w:val="20"/>
        </w:rPr>
        <w:t>by </w:t>
      </w:r>
      <w:r>
        <w:rPr>
          <w:spacing w:val="-3"/>
          <w:w w:val="120"/>
          <w:sz w:val="20"/>
        </w:rPr>
        <w:t>reference to </w:t>
      </w:r>
      <w:r>
        <w:rPr>
          <w:w w:val="120"/>
          <w:sz w:val="20"/>
        </w:rPr>
        <w:t>age </w:t>
      </w:r>
      <w:r>
        <w:rPr>
          <w:spacing w:val="-5"/>
          <w:w w:val="120"/>
          <w:sz w:val="20"/>
        </w:rPr>
        <w:t>65. </w:t>
      </w:r>
      <w:r>
        <w:rPr>
          <w:w w:val="120"/>
          <w:sz w:val="20"/>
        </w:rPr>
        <w:t>In respect of the</w:t>
      </w:r>
      <w:r>
        <w:rPr>
          <w:spacing w:val="-8"/>
          <w:w w:val="120"/>
          <w:sz w:val="20"/>
        </w:rPr>
        <w:t> </w:t>
      </w:r>
      <w:r>
        <w:rPr>
          <w:w w:val="120"/>
          <w:sz w:val="20"/>
        </w:rPr>
        <w:t>period</w:t>
      </w:r>
      <w:r>
        <w:rPr>
          <w:spacing w:val="-8"/>
          <w:w w:val="120"/>
          <w:sz w:val="20"/>
        </w:rPr>
        <w:t> </w:t>
      </w:r>
      <w:r>
        <w:rPr>
          <w:w w:val="120"/>
          <w:sz w:val="20"/>
        </w:rPr>
        <w:t>of</w:t>
      </w:r>
      <w:r>
        <w:rPr>
          <w:spacing w:val="-7"/>
          <w:w w:val="120"/>
          <w:sz w:val="20"/>
        </w:rPr>
        <w:t> </w:t>
      </w:r>
      <w:r>
        <w:rPr>
          <w:spacing w:val="-3"/>
          <w:w w:val="120"/>
          <w:sz w:val="20"/>
        </w:rPr>
        <w:t>Pensionable</w:t>
      </w:r>
      <w:r>
        <w:rPr>
          <w:spacing w:val="-8"/>
          <w:w w:val="120"/>
          <w:sz w:val="20"/>
        </w:rPr>
        <w:t> </w:t>
      </w:r>
      <w:r>
        <w:rPr>
          <w:w w:val="120"/>
          <w:sz w:val="20"/>
        </w:rPr>
        <w:t>Service</w:t>
      </w:r>
      <w:r>
        <w:rPr>
          <w:spacing w:val="-7"/>
          <w:w w:val="120"/>
          <w:sz w:val="20"/>
        </w:rPr>
        <w:t> </w:t>
      </w:r>
      <w:r>
        <w:rPr>
          <w:w w:val="120"/>
          <w:sz w:val="20"/>
        </w:rPr>
        <w:t>on</w:t>
      </w:r>
      <w:r>
        <w:rPr>
          <w:spacing w:val="-8"/>
          <w:w w:val="120"/>
          <w:sz w:val="20"/>
        </w:rPr>
        <w:t> </w:t>
      </w:r>
      <w:r>
        <w:rPr>
          <w:w w:val="120"/>
          <w:sz w:val="20"/>
        </w:rPr>
        <w:t>and</w:t>
      </w:r>
      <w:r>
        <w:rPr>
          <w:spacing w:val="-7"/>
          <w:w w:val="120"/>
          <w:sz w:val="20"/>
        </w:rPr>
        <w:t> </w:t>
      </w:r>
      <w:r>
        <w:rPr>
          <w:w w:val="120"/>
          <w:sz w:val="20"/>
        </w:rPr>
        <w:t>after</w:t>
      </w:r>
      <w:r>
        <w:rPr>
          <w:spacing w:val="-8"/>
          <w:w w:val="120"/>
          <w:sz w:val="20"/>
        </w:rPr>
        <w:t> </w:t>
      </w:r>
      <w:r>
        <w:rPr>
          <w:w w:val="120"/>
          <w:sz w:val="20"/>
        </w:rPr>
        <w:t>1</w:t>
      </w:r>
      <w:r>
        <w:rPr>
          <w:spacing w:val="-8"/>
          <w:w w:val="120"/>
          <w:sz w:val="20"/>
        </w:rPr>
        <w:t> </w:t>
      </w:r>
      <w:r>
        <w:rPr>
          <w:w w:val="120"/>
          <w:sz w:val="20"/>
        </w:rPr>
        <w:t>January</w:t>
      </w:r>
      <w:r>
        <w:rPr>
          <w:spacing w:val="-7"/>
          <w:w w:val="120"/>
          <w:sz w:val="20"/>
        </w:rPr>
        <w:t> </w:t>
      </w:r>
      <w:r>
        <w:rPr>
          <w:spacing w:val="-9"/>
          <w:w w:val="120"/>
          <w:sz w:val="20"/>
        </w:rPr>
        <w:t>2013,</w:t>
      </w:r>
      <w:r>
        <w:rPr>
          <w:spacing w:val="-8"/>
          <w:w w:val="120"/>
          <w:sz w:val="20"/>
        </w:rPr>
        <w:t> </w:t>
      </w:r>
      <w:r>
        <w:rPr>
          <w:spacing w:val="-3"/>
          <w:w w:val="120"/>
          <w:sz w:val="20"/>
        </w:rPr>
        <w:t>any</w:t>
      </w:r>
      <w:r>
        <w:rPr>
          <w:spacing w:val="-7"/>
          <w:w w:val="120"/>
          <w:sz w:val="20"/>
        </w:rPr>
        <w:t> </w:t>
      </w:r>
      <w:r>
        <w:rPr>
          <w:w w:val="120"/>
          <w:sz w:val="20"/>
        </w:rPr>
        <w:t>early</w:t>
      </w:r>
      <w:r>
        <w:rPr>
          <w:spacing w:val="-8"/>
          <w:w w:val="120"/>
          <w:sz w:val="20"/>
        </w:rPr>
        <w:t> </w:t>
      </w:r>
      <w:r>
        <w:rPr>
          <w:w w:val="120"/>
          <w:sz w:val="20"/>
        </w:rPr>
        <w:t>or</w:t>
      </w:r>
      <w:r>
        <w:rPr>
          <w:spacing w:val="-7"/>
          <w:w w:val="120"/>
          <w:sz w:val="20"/>
        </w:rPr>
        <w:t> </w:t>
      </w:r>
      <w:r>
        <w:rPr>
          <w:spacing w:val="-3"/>
          <w:w w:val="120"/>
          <w:sz w:val="20"/>
        </w:rPr>
        <w:t>late</w:t>
      </w:r>
      <w:r>
        <w:rPr>
          <w:spacing w:val="-8"/>
          <w:w w:val="120"/>
          <w:sz w:val="20"/>
        </w:rPr>
        <w:t> </w:t>
      </w:r>
      <w:r>
        <w:rPr>
          <w:w w:val="120"/>
          <w:sz w:val="20"/>
        </w:rPr>
        <w:t>retirement factor </w:t>
      </w:r>
      <w:r>
        <w:rPr>
          <w:spacing w:val="-8"/>
          <w:w w:val="120"/>
          <w:sz w:val="20"/>
        </w:rPr>
        <w:t>(as </w:t>
      </w:r>
      <w:r>
        <w:rPr>
          <w:spacing w:val="-4"/>
          <w:w w:val="120"/>
          <w:sz w:val="20"/>
        </w:rPr>
        <w:t>applicable) </w:t>
      </w:r>
      <w:r>
        <w:rPr>
          <w:w w:val="120"/>
          <w:sz w:val="20"/>
        </w:rPr>
        <w:t>will be </w:t>
      </w:r>
      <w:r>
        <w:rPr>
          <w:spacing w:val="-3"/>
          <w:w w:val="120"/>
          <w:sz w:val="20"/>
        </w:rPr>
        <w:t>calculated </w:t>
      </w:r>
      <w:r>
        <w:rPr>
          <w:w w:val="120"/>
          <w:sz w:val="20"/>
        </w:rPr>
        <w:t>by </w:t>
      </w:r>
      <w:r>
        <w:rPr>
          <w:spacing w:val="-3"/>
          <w:w w:val="120"/>
          <w:sz w:val="20"/>
        </w:rPr>
        <w:t>reference to </w:t>
      </w:r>
      <w:r>
        <w:rPr>
          <w:w w:val="120"/>
          <w:sz w:val="20"/>
        </w:rPr>
        <w:t>age </w:t>
      </w:r>
      <w:r>
        <w:rPr>
          <w:spacing w:val="-3"/>
          <w:w w:val="120"/>
          <w:sz w:val="20"/>
        </w:rPr>
        <w:t>68;</w:t>
      </w:r>
      <w:r>
        <w:rPr>
          <w:spacing w:val="13"/>
          <w:w w:val="120"/>
          <w:sz w:val="20"/>
        </w:rPr>
        <w:t> </w:t>
      </w:r>
      <w:r>
        <w:rPr>
          <w:w w:val="120"/>
          <w:sz w:val="20"/>
        </w:rPr>
        <w:t>and</w:t>
      </w:r>
    </w:p>
    <w:p>
      <w:pPr>
        <w:pStyle w:val="BodyText"/>
        <w:spacing w:before="1"/>
      </w:pPr>
    </w:p>
    <w:p>
      <w:pPr>
        <w:pStyle w:val="ListParagraph"/>
        <w:numPr>
          <w:ilvl w:val="2"/>
          <w:numId w:val="17"/>
        </w:numPr>
        <w:tabs>
          <w:tab w:pos="1927" w:val="left" w:leader="none"/>
          <w:tab w:pos="1928" w:val="left" w:leader="none"/>
        </w:tabs>
        <w:spacing w:line="235" w:lineRule="auto" w:before="0" w:after="0"/>
        <w:ind w:left="1247" w:right="1998" w:firstLine="0"/>
        <w:jc w:val="left"/>
        <w:rPr>
          <w:sz w:val="20"/>
        </w:rPr>
      </w:pPr>
      <w:r>
        <w:rPr>
          <w:w w:val="120"/>
          <w:sz w:val="20"/>
        </w:rPr>
        <w:t>It is the intention of the URC to make amendments to the Rules to implement the benefit changes described in The United Reformed Church Ministers’ Pension Fund – Proposals</w:t>
      </w:r>
      <w:r>
        <w:rPr>
          <w:spacing w:val="7"/>
          <w:w w:val="120"/>
          <w:sz w:val="20"/>
        </w:rPr>
        <w:t> </w:t>
      </w:r>
      <w:r>
        <w:rPr>
          <w:w w:val="120"/>
          <w:sz w:val="20"/>
        </w:rPr>
        <w:t>for</w:t>
      </w:r>
      <w:r>
        <w:rPr>
          <w:spacing w:val="8"/>
          <w:w w:val="120"/>
          <w:sz w:val="20"/>
        </w:rPr>
        <w:t> </w:t>
      </w:r>
      <w:r>
        <w:rPr>
          <w:w w:val="120"/>
          <w:sz w:val="20"/>
        </w:rPr>
        <w:t>Change</w:t>
      </w:r>
      <w:r>
        <w:rPr>
          <w:spacing w:val="7"/>
          <w:w w:val="120"/>
          <w:sz w:val="20"/>
        </w:rPr>
        <w:t> </w:t>
      </w:r>
      <w:r>
        <w:rPr>
          <w:spacing w:val="-3"/>
          <w:w w:val="120"/>
          <w:sz w:val="20"/>
        </w:rPr>
        <w:t>(the</w:t>
      </w:r>
      <w:r>
        <w:rPr>
          <w:spacing w:val="8"/>
          <w:w w:val="120"/>
          <w:sz w:val="20"/>
        </w:rPr>
        <w:t> </w:t>
      </w:r>
      <w:r>
        <w:rPr>
          <w:w w:val="120"/>
          <w:sz w:val="20"/>
        </w:rPr>
        <w:t>“Announcement”)</w:t>
      </w:r>
      <w:r>
        <w:rPr>
          <w:spacing w:val="8"/>
          <w:w w:val="120"/>
          <w:sz w:val="20"/>
        </w:rPr>
        <w:t> </w:t>
      </w:r>
      <w:r>
        <w:rPr>
          <w:w w:val="120"/>
          <w:sz w:val="20"/>
        </w:rPr>
        <w:t>a</w:t>
      </w:r>
      <w:r>
        <w:rPr>
          <w:spacing w:val="7"/>
          <w:w w:val="120"/>
          <w:sz w:val="20"/>
        </w:rPr>
        <w:t> </w:t>
      </w:r>
      <w:r>
        <w:rPr>
          <w:w w:val="120"/>
          <w:sz w:val="20"/>
        </w:rPr>
        <w:t>copy</w:t>
      </w:r>
      <w:r>
        <w:rPr>
          <w:spacing w:val="8"/>
          <w:w w:val="120"/>
          <w:sz w:val="20"/>
        </w:rPr>
        <w:t> </w:t>
      </w:r>
      <w:r>
        <w:rPr>
          <w:w w:val="120"/>
          <w:sz w:val="20"/>
        </w:rPr>
        <w:t>of</w:t>
      </w:r>
      <w:r>
        <w:rPr>
          <w:spacing w:val="7"/>
          <w:w w:val="120"/>
          <w:sz w:val="20"/>
        </w:rPr>
        <w:t> </w:t>
      </w:r>
      <w:r>
        <w:rPr>
          <w:w w:val="120"/>
          <w:sz w:val="20"/>
        </w:rPr>
        <w:t>which</w:t>
      </w:r>
      <w:r>
        <w:rPr>
          <w:spacing w:val="8"/>
          <w:w w:val="120"/>
          <w:sz w:val="20"/>
        </w:rPr>
        <w:t> </w:t>
      </w:r>
      <w:r>
        <w:rPr>
          <w:w w:val="120"/>
          <w:sz w:val="20"/>
        </w:rPr>
        <w:t>is</w:t>
      </w:r>
      <w:r>
        <w:rPr>
          <w:spacing w:val="8"/>
          <w:w w:val="120"/>
          <w:sz w:val="20"/>
        </w:rPr>
        <w:t> </w:t>
      </w:r>
      <w:r>
        <w:rPr>
          <w:w w:val="120"/>
          <w:sz w:val="20"/>
        </w:rPr>
        <w:t>attached</w:t>
      </w:r>
      <w:r>
        <w:rPr>
          <w:spacing w:val="7"/>
          <w:w w:val="120"/>
          <w:sz w:val="20"/>
        </w:rPr>
        <w:t> </w:t>
      </w:r>
      <w:r>
        <w:rPr>
          <w:w w:val="120"/>
          <w:sz w:val="20"/>
        </w:rPr>
        <w:t>at</w:t>
      </w:r>
      <w:r>
        <w:rPr>
          <w:spacing w:val="8"/>
          <w:w w:val="120"/>
          <w:sz w:val="20"/>
        </w:rPr>
        <w:t> </w:t>
      </w:r>
      <w:r>
        <w:rPr>
          <w:w w:val="120"/>
          <w:sz w:val="20"/>
        </w:rPr>
        <w:t>Appendix</w:t>
      </w:r>
    </w:p>
    <w:p>
      <w:pPr>
        <w:pStyle w:val="BodyText"/>
        <w:spacing w:line="235" w:lineRule="auto" w:before="2"/>
        <w:ind w:left="1247" w:right="2053"/>
      </w:pPr>
      <w:r>
        <w:rPr>
          <w:w w:val="120"/>
        </w:rPr>
        <w:t>1 to this deed. Subject to Rule 34 of the Trust Deed and Rules and Section 67 of the Pensions Act 1995, in the event of uncertainty as to a member’s entitlement to benefits under the Fund or in the event of conflict between the Rules and the Announcement, The Pension Trustee shall construe the Rules consistently with the Announcement, after consulting the URC where appropriate.</w:t>
      </w:r>
    </w:p>
    <w:p>
      <w:pPr>
        <w:pStyle w:val="BodyText"/>
        <w:spacing w:before="8"/>
        <w:rPr>
          <w:sz w:val="19"/>
        </w:rPr>
      </w:pPr>
    </w:p>
    <w:p>
      <w:pPr>
        <w:pStyle w:val="ListParagraph"/>
        <w:numPr>
          <w:ilvl w:val="0"/>
          <w:numId w:val="18"/>
        </w:numPr>
        <w:tabs>
          <w:tab w:pos="1927" w:val="left" w:leader="none"/>
          <w:tab w:pos="1928" w:val="left" w:leader="none"/>
        </w:tabs>
        <w:spacing w:line="242" w:lineRule="exact" w:before="0" w:after="0"/>
        <w:ind w:left="1927" w:right="0" w:hanging="681"/>
        <w:jc w:val="left"/>
        <w:rPr>
          <w:sz w:val="20"/>
        </w:rPr>
      </w:pPr>
      <w:r>
        <w:rPr>
          <w:w w:val="120"/>
          <w:sz w:val="20"/>
        </w:rPr>
        <w:t>Rule </w:t>
      </w:r>
      <w:r>
        <w:rPr>
          <w:spacing w:val="-3"/>
          <w:w w:val="120"/>
          <w:sz w:val="20"/>
        </w:rPr>
        <w:t>42.2 </w:t>
      </w:r>
      <w:r>
        <w:rPr>
          <w:w w:val="120"/>
          <w:sz w:val="20"/>
        </w:rPr>
        <w:t>is amended by adding at the end of the Rule the</w:t>
      </w:r>
      <w:r>
        <w:rPr>
          <w:spacing w:val="37"/>
          <w:w w:val="120"/>
          <w:sz w:val="20"/>
        </w:rPr>
        <w:t> </w:t>
      </w:r>
      <w:r>
        <w:rPr>
          <w:w w:val="120"/>
          <w:sz w:val="20"/>
        </w:rPr>
        <w:t>words:</w:t>
      </w:r>
    </w:p>
    <w:p>
      <w:pPr>
        <w:pStyle w:val="BodyText"/>
        <w:spacing w:line="235" w:lineRule="auto" w:before="2"/>
        <w:ind w:left="1247" w:right="2167"/>
      </w:pPr>
      <w:r>
        <w:rPr>
          <w:w w:val="120"/>
        </w:rPr>
        <w:t>“Except that if the member was in Pensionable Service before 1 January 2013, the amount payable shall, in respect of the period of Pensionable Service up to and including 31 December 2012, be an amount calculated under Rule 23.2 as if the</w:t>
      </w:r>
    </w:p>
    <w:p>
      <w:pPr>
        <w:spacing w:after="0" w:line="235" w:lineRule="auto"/>
        <w:sectPr>
          <w:headerReference w:type="even" r:id="rId84"/>
          <w:footerReference w:type="even" r:id="rId85"/>
          <w:footerReference w:type="default" r:id="rId86"/>
          <w:pgSz w:w="11910" w:h="16840"/>
          <w:pgMar w:header="0" w:footer="647" w:top="0" w:bottom="840" w:left="0" w:right="0"/>
          <w:pgNumType w:start="32"/>
        </w:sectPr>
      </w:pPr>
    </w:p>
    <w:p>
      <w:pPr>
        <w:pStyle w:val="BodyText"/>
      </w:pPr>
      <w:r>
        <w:rPr/>
        <w:drawing>
          <wp:anchor distT="0" distB="0" distL="0" distR="0" allowOverlap="1" layoutInCell="1" locked="0" behindDoc="0" simplePos="0" relativeHeight="251762688">
            <wp:simplePos x="0" y="0"/>
            <wp:positionH relativeFrom="page">
              <wp:posOffset>6974928</wp:posOffset>
            </wp:positionH>
            <wp:positionV relativeFrom="page">
              <wp:posOffset>0</wp:posOffset>
            </wp:positionV>
            <wp:extent cx="585076" cy="10692003"/>
            <wp:effectExtent l="0" t="0" r="0" b="0"/>
            <wp:wrapNone/>
            <wp:docPr id="59" name="image23.png"/>
            <wp:cNvGraphicFramePr>
              <a:graphicFrameLocks noChangeAspect="1"/>
            </wp:cNvGraphicFramePr>
            <a:graphic>
              <a:graphicData uri="http://schemas.openxmlformats.org/drawingml/2006/picture">
                <pic:pic>
                  <pic:nvPicPr>
                    <pic:cNvPr id="60" name="image23.png"/>
                    <pic:cNvPicPr/>
                  </pic:nvPicPr>
                  <pic:blipFill>
                    <a:blip r:embed="rId35" cstate="print"/>
                    <a:stretch>
                      <a:fillRect/>
                    </a:stretch>
                  </pic:blipFill>
                  <pic:spPr>
                    <a:xfrm>
                      <a:off x="0" y="0"/>
                      <a:ext cx="585076" cy="10692003"/>
                    </a:xfrm>
                    <a:prstGeom prst="rect">
                      <a:avLst/>
                    </a:prstGeom>
                  </pic:spPr>
                </pic:pic>
              </a:graphicData>
            </a:graphic>
          </wp:anchor>
        </w:drawing>
      </w:r>
    </w:p>
    <w:p>
      <w:pPr>
        <w:pStyle w:val="BodyText"/>
        <w:spacing w:before="7"/>
        <w:rPr>
          <w:sz w:val="21"/>
        </w:rPr>
      </w:pPr>
    </w:p>
    <w:p>
      <w:pPr>
        <w:pStyle w:val="Heading5"/>
        <w:ind w:left="0" w:right="1245"/>
        <w:jc w:val="right"/>
      </w:pPr>
      <w:r>
        <w:rPr/>
        <w:pict>
          <v:shape style="position:absolute;margin-left:554.141174pt;margin-top:22.593945pt;width:25.9pt;height:304.8pt;mso-position-horizontal-relative:page;mso-position-vertical-relative:paragraph;z-index:251763712" type="#_x0000_t202" filled="false" stroked="false">
            <v:textbox inset="0,0,0,0" style="layout-flow:vertical">
              <w:txbxContent>
                <w:p>
                  <w:pPr>
                    <w:spacing w:before="27"/>
                    <w:ind w:left="20" w:right="0" w:firstLine="0"/>
                    <w:jc w:val="left"/>
                    <w:rPr>
                      <w:sz w:val="39"/>
                    </w:rPr>
                  </w:pPr>
                  <w:r>
                    <w:rPr>
                      <w:color w:val="FFFFFF"/>
                      <w:w w:val="125"/>
                      <w:sz w:val="39"/>
                    </w:rPr>
                    <w:t>Mission Council – </w:t>
                  </w:r>
                  <w:r>
                    <w:rPr>
                      <w:w w:val="125"/>
                      <w:sz w:val="39"/>
                    </w:rPr>
                    <w:t>Appendix 6</w:t>
                  </w:r>
                </w:p>
              </w:txbxContent>
            </v:textbox>
            <w10:wrap type="none"/>
          </v:shape>
        </w:pict>
      </w:r>
      <w:r>
        <w:rPr>
          <w:color w:val="7EAABF"/>
          <w:w w:val="120"/>
        </w:rPr>
        <w:t>Mission Council</w:t>
      </w:r>
    </w:p>
    <w:p>
      <w:pPr>
        <w:pStyle w:val="BodyText"/>
        <w:spacing w:line="235" w:lineRule="auto" w:before="222"/>
        <w:ind w:left="1984" w:right="1352"/>
      </w:pPr>
      <w:r>
        <w:rPr>
          <w:w w:val="120"/>
        </w:rPr>
        <w:t>member had retired on the day immediately before death together with an amount representing the member’s own contributions paid in respect of any period of Pensionable Service on and from 1 January 2013 plus interest as above”.</w:t>
      </w:r>
    </w:p>
    <w:p>
      <w:pPr>
        <w:pStyle w:val="BodyText"/>
        <w:spacing w:before="10"/>
        <w:rPr>
          <w:sz w:val="19"/>
        </w:rPr>
      </w:pPr>
    </w:p>
    <w:p>
      <w:pPr>
        <w:pStyle w:val="ListParagraph"/>
        <w:numPr>
          <w:ilvl w:val="0"/>
          <w:numId w:val="18"/>
        </w:numPr>
        <w:tabs>
          <w:tab w:pos="2664" w:val="left" w:leader="none"/>
          <w:tab w:pos="2665" w:val="left" w:leader="none"/>
        </w:tabs>
        <w:spacing w:line="235" w:lineRule="auto" w:before="0" w:after="0"/>
        <w:ind w:left="1984" w:right="1426" w:firstLine="0"/>
        <w:jc w:val="left"/>
        <w:rPr>
          <w:sz w:val="20"/>
        </w:rPr>
      </w:pPr>
      <w:r>
        <w:rPr>
          <w:w w:val="120"/>
          <w:sz w:val="20"/>
        </w:rPr>
        <w:t>The amendments made by this deed shall not take effect in respect of benefits deriving from periods of Pensionable Service which ended before the effective date of this</w:t>
      </w:r>
      <w:r>
        <w:rPr>
          <w:spacing w:val="2"/>
          <w:w w:val="120"/>
          <w:sz w:val="20"/>
        </w:rPr>
        <w:t> </w:t>
      </w:r>
      <w:r>
        <w:rPr>
          <w:w w:val="120"/>
          <w:sz w:val="20"/>
        </w:rPr>
        <w:t>deed.</w:t>
      </w:r>
    </w:p>
    <w:p>
      <w:pPr>
        <w:pStyle w:val="BodyText"/>
        <w:spacing w:before="10"/>
        <w:rPr>
          <w:sz w:val="19"/>
        </w:rPr>
      </w:pPr>
    </w:p>
    <w:p>
      <w:pPr>
        <w:pStyle w:val="ListParagraph"/>
        <w:numPr>
          <w:ilvl w:val="0"/>
          <w:numId w:val="18"/>
        </w:numPr>
        <w:tabs>
          <w:tab w:pos="2664" w:val="left" w:leader="none"/>
          <w:tab w:pos="2665" w:val="left" w:leader="none"/>
        </w:tabs>
        <w:spacing w:line="235" w:lineRule="auto" w:before="0" w:after="0"/>
        <w:ind w:left="1984" w:right="1628" w:firstLine="0"/>
        <w:jc w:val="left"/>
        <w:rPr>
          <w:sz w:val="20"/>
        </w:rPr>
      </w:pPr>
      <w:r>
        <w:rPr>
          <w:w w:val="120"/>
          <w:sz w:val="20"/>
        </w:rPr>
        <w:t>This deed may be executed in any number of counterparts, all of which taken together shall constitute the same</w:t>
      </w:r>
      <w:r>
        <w:rPr>
          <w:spacing w:val="9"/>
          <w:w w:val="120"/>
          <w:sz w:val="20"/>
        </w:rPr>
        <w:t> </w:t>
      </w:r>
      <w:r>
        <w:rPr>
          <w:w w:val="120"/>
          <w:sz w:val="20"/>
        </w:rPr>
        <w:t>deed.</w:t>
      </w:r>
    </w:p>
    <w:p>
      <w:pPr>
        <w:pStyle w:val="BodyText"/>
        <w:spacing w:before="10"/>
        <w:rPr>
          <w:sz w:val="19"/>
        </w:rPr>
      </w:pPr>
    </w:p>
    <w:p>
      <w:pPr>
        <w:pStyle w:val="BodyText"/>
        <w:spacing w:line="235" w:lineRule="auto"/>
        <w:ind w:left="1984" w:right="1352"/>
      </w:pPr>
      <w:r>
        <w:rPr>
          <w:w w:val="120"/>
        </w:rPr>
        <w:t>THIS DEED has been executed and delivered by the parties on the date written at the top of the first page.</w:t>
      </w:r>
    </w:p>
    <w:p>
      <w:pPr>
        <w:spacing w:after="0" w:line="235" w:lineRule="auto"/>
        <w:sectPr>
          <w:headerReference w:type="default" r:id="rId87"/>
          <w:pgSz w:w="11910" w:h="16840"/>
          <w:pgMar w:header="0" w:footer="647" w:top="0" w:bottom="840" w:left="0" w:right="0"/>
        </w:sectPr>
      </w:pPr>
    </w:p>
    <w:tbl>
      <w:tblPr>
        <w:tblW w:w="0" w:type="auto"/>
        <w:jc w:val="left"/>
        <w:tblInd w:w="9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
        <w:gridCol w:w="2660"/>
        <w:gridCol w:w="6463"/>
      </w:tblGrid>
      <w:tr>
        <w:trPr>
          <w:trHeight w:val="3102" w:hRule="atLeast"/>
        </w:trPr>
        <w:tc>
          <w:tcPr>
            <w:tcW w:w="9440" w:type="dxa"/>
            <w:gridSpan w:val="3"/>
            <w:tcBorders>
              <w:top w:val="nil"/>
              <w:left w:val="nil"/>
              <w:bottom w:val="nil"/>
              <w:right w:val="nil"/>
            </w:tcBorders>
            <w:shd w:val="clear" w:color="auto" w:fill="FFEDC2"/>
          </w:tcPr>
          <w:p>
            <w:pPr>
              <w:pStyle w:val="TableParagraph"/>
              <w:ind w:left="0"/>
              <w:rPr>
                <w:sz w:val="64"/>
              </w:rPr>
            </w:pPr>
          </w:p>
          <w:p>
            <w:pPr>
              <w:pStyle w:val="TableParagraph"/>
              <w:spacing w:line="638" w:lineRule="exact" w:before="395"/>
              <w:ind w:left="311"/>
              <w:rPr>
                <w:rFonts w:ascii="Stone Sans II ITC Std X Bd"/>
                <w:b/>
                <w:sz w:val="50"/>
              </w:rPr>
            </w:pPr>
            <w:bookmarkStart w:name="_bookmark2" w:id="3"/>
            <w:bookmarkEnd w:id="3"/>
            <w:r>
              <w:rPr/>
            </w:r>
            <w:r>
              <w:rPr>
                <w:rFonts w:ascii="Stone Sans II ITC Std X Bd"/>
                <w:b/>
                <w:color w:val="FCC400"/>
                <w:w w:val="110"/>
                <w:sz w:val="50"/>
              </w:rPr>
              <w:t>Mission Council:</w:t>
            </w:r>
          </w:p>
          <w:p>
            <w:pPr>
              <w:pStyle w:val="TableParagraph"/>
              <w:spacing w:line="638" w:lineRule="exact"/>
              <w:ind w:left="311"/>
              <w:rPr>
                <w:rFonts w:ascii="Stone Sans II ITC Std X Bd"/>
                <w:b/>
                <w:sz w:val="50"/>
              </w:rPr>
            </w:pPr>
            <w:r>
              <w:rPr>
                <w:rFonts w:ascii="Stone Sans II ITC Std X Bd"/>
                <w:b/>
                <w:w w:val="110"/>
                <w:sz w:val="50"/>
              </w:rPr>
              <w:t>Mission Council membership</w:t>
            </w:r>
          </w:p>
          <w:p>
            <w:pPr>
              <w:pStyle w:val="TableParagraph"/>
              <w:spacing w:before="361"/>
              <w:ind w:left="311"/>
              <w:rPr>
                <w:sz w:val="20"/>
              </w:rPr>
            </w:pPr>
            <w:r>
              <w:rPr>
                <w:w w:val="120"/>
                <w:sz w:val="20"/>
              </w:rPr>
              <w:t>Basic Information</w:t>
            </w:r>
          </w:p>
        </w:tc>
      </w:tr>
      <w:tr>
        <w:trPr>
          <w:trHeight w:val="680" w:hRule="atLeast"/>
        </w:trPr>
        <w:tc>
          <w:tcPr>
            <w:tcW w:w="317" w:type="dxa"/>
            <w:vMerge w:val="restart"/>
            <w:tcBorders>
              <w:top w:val="nil"/>
              <w:left w:val="nil"/>
              <w:bottom w:val="nil"/>
            </w:tcBorders>
            <w:shd w:val="clear" w:color="auto" w:fill="FFEDC2"/>
          </w:tcPr>
          <w:p>
            <w:pPr>
              <w:pStyle w:val="TableParagraph"/>
              <w:ind w:left="0"/>
              <w:rPr>
                <w:rFonts w:ascii="Times New Roman"/>
                <w:sz w:val="22"/>
              </w:rPr>
            </w:pPr>
          </w:p>
        </w:tc>
        <w:tc>
          <w:tcPr>
            <w:tcW w:w="2660" w:type="dxa"/>
            <w:shd w:val="clear" w:color="auto" w:fill="FFFFFF"/>
          </w:tcPr>
          <w:p>
            <w:pPr>
              <w:pStyle w:val="TableParagraph"/>
              <w:spacing w:line="213" w:lineRule="auto" w:before="133"/>
              <w:ind w:left="74" w:right="601"/>
              <w:rPr>
                <w:rFonts w:ascii="Stone Sans II ITC Std Bk"/>
                <w:b/>
                <w:sz w:val="20"/>
              </w:rPr>
            </w:pPr>
            <w:r>
              <w:rPr>
                <w:rFonts w:ascii="Stone Sans II ITC Std Bk"/>
                <w:b/>
                <w:w w:val="110"/>
                <w:sz w:val="20"/>
              </w:rPr>
              <w:t>Contact name and email address</w:t>
            </w:r>
          </w:p>
        </w:tc>
        <w:tc>
          <w:tcPr>
            <w:tcW w:w="6463" w:type="dxa"/>
            <w:tcBorders>
              <w:right w:val="nil"/>
            </w:tcBorders>
            <w:shd w:val="clear" w:color="auto" w:fill="FFFFFF"/>
          </w:tcPr>
          <w:p>
            <w:pPr>
              <w:pStyle w:val="TableParagraph"/>
              <w:spacing w:line="235" w:lineRule="auto" w:before="127"/>
              <w:ind w:left="74" w:right="2751"/>
              <w:rPr>
                <w:sz w:val="20"/>
              </w:rPr>
            </w:pPr>
            <w:r>
              <w:rPr>
                <w:w w:val="120"/>
                <w:sz w:val="20"/>
              </w:rPr>
              <w:t>Roberta Rominger </w:t>
            </w:r>
            <w:hyperlink r:id="rId29">
              <w:r>
                <w:rPr>
                  <w:w w:val="120"/>
                  <w:sz w:val="20"/>
                </w:rPr>
                <w:t>roberta.rominger@urc.org.uk</w:t>
              </w:r>
            </w:hyperlink>
          </w:p>
        </w:tc>
      </w:tr>
      <w:tr>
        <w:trPr>
          <w:trHeight w:val="440" w:hRule="atLeast"/>
        </w:trPr>
        <w:tc>
          <w:tcPr>
            <w:tcW w:w="317" w:type="dxa"/>
            <w:vMerge/>
            <w:tcBorders>
              <w:top w:val="nil"/>
              <w:left w:val="nil"/>
              <w:bottom w:val="nil"/>
            </w:tcBorders>
            <w:shd w:val="clear" w:color="auto" w:fill="FFEDC2"/>
          </w:tcPr>
          <w:p>
            <w:pPr>
              <w:rPr>
                <w:sz w:val="2"/>
                <w:szCs w:val="2"/>
              </w:rPr>
            </w:pPr>
          </w:p>
        </w:tc>
        <w:tc>
          <w:tcPr>
            <w:tcW w:w="2660" w:type="dxa"/>
            <w:shd w:val="clear" w:color="auto" w:fill="FFFFFF"/>
          </w:tcPr>
          <w:p>
            <w:pPr>
              <w:pStyle w:val="TableParagraph"/>
              <w:spacing w:before="111"/>
              <w:ind w:left="74"/>
              <w:rPr>
                <w:rFonts w:ascii="Stone Sans II ITC Std Bk"/>
                <w:b/>
                <w:sz w:val="20"/>
              </w:rPr>
            </w:pPr>
            <w:r>
              <w:rPr>
                <w:rFonts w:ascii="Stone Sans II ITC Std Bk"/>
                <w:b/>
                <w:w w:val="110"/>
                <w:sz w:val="20"/>
              </w:rPr>
              <w:t>Action required</w:t>
            </w:r>
          </w:p>
        </w:tc>
        <w:tc>
          <w:tcPr>
            <w:tcW w:w="6463" w:type="dxa"/>
            <w:tcBorders>
              <w:right w:val="nil"/>
            </w:tcBorders>
            <w:shd w:val="clear" w:color="auto" w:fill="FFFFFF"/>
          </w:tcPr>
          <w:p>
            <w:pPr>
              <w:pStyle w:val="TableParagraph"/>
              <w:spacing w:before="123"/>
              <w:ind w:left="74"/>
              <w:rPr>
                <w:sz w:val="20"/>
              </w:rPr>
            </w:pPr>
            <w:r>
              <w:rPr>
                <w:w w:val="120"/>
                <w:sz w:val="20"/>
              </w:rPr>
              <w:t>Decision</w:t>
            </w:r>
          </w:p>
        </w:tc>
      </w:tr>
      <w:tr>
        <w:trPr>
          <w:trHeight w:val="1160" w:hRule="atLeast"/>
        </w:trPr>
        <w:tc>
          <w:tcPr>
            <w:tcW w:w="317" w:type="dxa"/>
            <w:vMerge/>
            <w:tcBorders>
              <w:top w:val="nil"/>
              <w:left w:val="nil"/>
              <w:bottom w:val="nil"/>
            </w:tcBorders>
            <w:shd w:val="clear" w:color="auto" w:fill="FFEDC2"/>
          </w:tcPr>
          <w:p>
            <w:pPr>
              <w:rPr>
                <w:sz w:val="2"/>
                <w:szCs w:val="2"/>
              </w:rPr>
            </w:pPr>
          </w:p>
        </w:tc>
        <w:tc>
          <w:tcPr>
            <w:tcW w:w="2660" w:type="dxa"/>
            <w:shd w:val="clear" w:color="auto" w:fill="FFFFFF"/>
          </w:tcPr>
          <w:p>
            <w:pPr>
              <w:pStyle w:val="TableParagraph"/>
              <w:spacing w:before="111"/>
              <w:ind w:left="74"/>
              <w:rPr>
                <w:rFonts w:ascii="Stone Sans II ITC Std Bk"/>
                <w:b/>
                <w:sz w:val="20"/>
              </w:rPr>
            </w:pPr>
            <w:r>
              <w:rPr>
                <w:rFonts w:ascii="Stone Sans II ITC Std Bk"/>
                <w:b/>
                <w:w w:val="110"/>
                <w:sz w:val="20"/>
              </w:rPr>
              <w:t>Draft resolution(s)</w:t>
            </w:r>
          </w:p>
        </w:tc>
        <w:tc>
          <w:tcPr>
            <w:tcW w:w="6463" w:type="dxa"/>
            <w:tcBorders>
              <w:right w:val="nil"/>
            </w:tcBorders>
            <w:shd w:val="clear" w:color="auto" w:fill="FFFFFF"/>
          </w:tcPr>
          <w:p>
            <w:pPr>
              <w:pStyle w:val="TableParagraph"/>
              <w:spacing w:line="213" w:lineRule="auto" w:before="133"/>
              <w:ind w:left="74" w:right="314"/>
              <w:rPr>
                <w:rFonts w:ascii="Stone Sans II ITC Std Bk"/>
                <w:b/>
                <w:sz w:val="20"/>
              </w:rPr>
            </w:pPr>
            <w:r>
              <w:rPr>
                <w:rFonts w:ascii="Stone Sans II ITC Std Bk"/>
                <w:b/>
                <w:w w:val="110"/>
                <w:sz w:val="20"/>
              </w:rPr>
              <w:t>General Assembly resolves that the convener of the pastoral reference and welfare committee shall be a member of Mission Council.</w:t>
            </w:r>
          </w:p>
        </w:tc>
      </w:tr>
      <w:tr>
        <w:trPr>
          <w:trHeight w:val="720" w:hRule="atLeast"/>
        </w:trPr>
        <w:tc>
          <w:tcPr>
            <w:tcW w:w="9440" w:type="dxa"/>
            <w:gridSpan w:val="3"/>
            <w:tcBorders>
              <w:top w:val="nil"/>
              <w:left w:val="nil"/>
              <w:bottom w:val="nil"/>
              <w:right w:val="nil"/>
            </w:tcBorders>
            <w:shd w:val="clear" w:color="auto" w:fill="FFEDC2"/>
          </w:tcPr>
          <w:p>
            <w:pPr>
              <w:pStyle w:val="TableParagraph"/>
              <w:spacing w:before="4"/>
              <w:ind w:left="0"/>
              <w:rPr>
                <w:sz w:val="35"/>
              </w:rPr>
            </w:pPr>
          </w:p>
          <w:p>
            <w:pPr>
              <w:pStyle w:val="TableParagraph"/>
              <w:ind w:left="311"/>
              <w:rPr>
                <w:sz w:val="20"/>
              </w:rPr>
            </w:pPr>
            <w:r>
              <w:rPr>
                <w:w w:val="120"/>
                <w:sz w:val="20"/>
              </w:rPr>
              <w:t>Summary of Content</w:t>
            </w:r>
          </w:p>
        </w:tc>
      </w:tr>
      <w:tr>
        <w:trPr>
          <w:trHeight w:val="680" w:hRule="atLeast"/>
        </w:trPr>
        <w:tc>
          <w:tcPr>
            <w:tcW w:w="317" w:type="dxa"/>
            <w:vMerge w:val="restart"/>
            <w:tcBorders>
              <w:top w:val="nil"/>
              <w:left w:val="nil"/>
              <w:bottom w:val="nil"/>
            </w:tcBorders>
            <w:shd w:val="clear" w:color="auto" w:fill="FFEDC2"/>
          </w:tcPr>
          <w:p>
            <w:pPr>
              <w:pStyle w:val="TableParagraph"/>
              <w:ind w:left="0"/>
              <w:rPr>
                <w:rFonts w:ascii="Times New Roman"/>
                <w:sz w:val="22"/>
              </w:rPr>
            </w:pPr>
          </w:p>
        </w:tc>
        <w:tc>
          <w:tcPr>
            <w:tcW w:w="2660" w:type="dxa"/>
            <w:shd w:val="clear" w:color="auto" w:fill="FFFFFF"/>
          </w:tcPr>
          <w:p>
            <w:pPr>
              <w:pStyle w:val="TableParagraph"/>
              <w:spacing w:before="111"/>
              <w:ind w:left="74"/>
              <w:rPr>
                <w:rFonts w:ascii="Stone Sans II ITC Std Bk"/>
                <w:b/>
                <w:sz w:val="20"/>
              </w:rPr>
            </w:pPr>
            <w:r>
              <w:rPr>
                <w:rFonts w:ascii="Stone Sans II ITC Std Bk"/>
                <w:b/>
                <w:w w:val="110"/>
                <w:sz w:val="20"/>
              </w:rPr>
              <w:t>Subject and aim(s)</w:t>
            </w:r>
          </w:p>
        </w:tc>
        <w:tc>
          <w:tcPr>
            <w:tcW w:w="6463" w:type="dxa"/>
            <w:tcBorders>
              <w:right w:val="nil"/>
            </w:tcBorders>
            <w:shd w:val="clear" w:color="auto" w:fill="FFFFFF"/>
          </w:tcPr>
          <w:p>
            <w:pPr>
              <w:pStyle w:val="TableParagraph"/>
              <w:spacing w:line="235" w:lineRule="auto" w:before="127"/>
              <w:ind w:left="74" w:right="314"/>
              <w:rPr>
                <w:sz w:val="20"/>
              </w:rPr>
            </w:pPr>
            <w:r>
              <w:rPr>
                <w:w w:val="120"/>
                <w:sz w:val="20"/>
              </w:rPr>
              <w:t>To include the convener of the pastoral reference and welfare Committee as a member of Mission Council</w:t>
            </w:r>
          </w:p>
        </w:tc>
      </w:tr>
      <w:tr>
        <w:trPr>
          <w:trHeight w:val="4040" w:hRule="atLeast"/>
        </w:trPr>
        <w:tc>
          <w:tcPr>
            <w:tcW w:w="317" w:type="dxa"/>
            <w:vMerge/>
            <w:tcBorders>
              <w:top w:val="nil"/>
              <w:left w:val="nil"/>
              <w:bottom w:val="nil"/>
            </w:tcBorders>
            <w:shd w:val="clear" w:color="auto" w:fill="FFEDC2"/>
          </w:tcPr>
          <w:p>
            <w:pPr>
              <w:rPr>
                <w:sz w:val="2"/>
                <w:szCs w:val="2"/>
              </w:rPr>
            </w:pPr>
          </w:p>
        </w:tc>
        <w:tc>
          <w:tcPr>
            <w:tcW w:w="2660" w:type="dxa"/>
            <w:shd w:val="clear" w:color="auto" w:fill="FFFFFF"/>
          </w:tcPr>
          <w:p>
            <w:pPr>
              <w:pStyle w:val="TableParagraph"/>
              <w:spacing w:before="111"/>
              <w:ind w:left="74"/>
              <w:rPr>
                <w:rFonts w:ascii="Stone Sans II ITC Std Bk"/>
                <w:b/>
                <w:sz w:val="20"/>
              </w:rPr>
            </w:pPr>
            <w:r>
              <w:rPr>
                <w:rFonts w:ascii="Stone Sans II ITC Std Bk"/>
                <w:b/>
                <w:w w:val="110"/>
                <w:sz w:val="20"/>
              </w:rPr>
              <w:t>Main points</w:t>
            </w:r>
          </w:p>
        </w:tc>
        <w:tc>
          <w:tcPr>
            <w:tcW w:w="6463" w:type="dxa"/>
            <w:tcBorders>
              <w:right w:val="nil"/>
            </w:tcBorders>
            <w:shd w:val="clear" w:color="auto" w:fill="FFFFFF"/>
          </w:tcPr>
          <w:p>
            <w:pPr>
              <w:pStyle w:val="TableParagraph"/>
              <w:spacing w:line="235" w:lineRule="auto" w:before="127"/>
              <w:ind w:left="74" w:right="158"/>
              <w:rPr>
                <w:sz w:val="20"/>
              </w:rPr>
            </w:pPr>
            <w:r>
              <w:rPr>
                <w:w w:val="120"/>
                <w:sz w:val="20"/>
              </w:rPr>
              <w:t>When the membership of Mission Council was determined it was decided that the conveners of all the standing committees should be included apart from the convener of the pastoral reference and welfare committee (PRWC). This was because that committee is not a programme committee, and most of its work is by its nature confidential and not open to questioning  at Mission Council or the Assembly. It has been understood, </w:t>
            </w:r>
            <w:r>
              <w:rPr>
                <w:spacing w:val="-3"/>
                <w:w w:val="120"/>
                <w:sz w:val="20"/>
              </w:rPr>
              <w:t>however, </w:t>
            </w:r>
            <w:r>
              <w:rPr>
                <w:w w:val="120"/>
                <w:sz w:val="20"/>
              </w:rPr>
              <w:t>that the convener of the PRWC would receive Mission Council papers and would be welcome to attend if the business warranted</w:t>
            </w:r>
            <w:r>
              <w:rPr>
                <w:spacing w:val="1"/>
                <w:w w:val="120"/>
                <w:sz w:val="20"/>
              </w:rPr>
              <w:t> </w:t>
            </w:r>
            <w:r>
              <w:rPr>
                <w:w w:val="120"/>
                <w:sz w:val="20"/>
              </w:rPr>
              <w:t>it.</w:t>
            </w:r>
          </w:p>
          <w:p>
            <w:pPr>
              <w:pStyle w:val="TableParagraph"/>
              <w:spacing w:before="3"/>
              <w:ind w:left="0"/>
              <w:rPr>
                <w:sz w:val="20"/>
              </w:rPr>
            </w:pPr>
          </w:p>
          <w:p>
            <w:pPr>
              <w:pStyle w:val="TableParagraph"/>
              <w:spacing w:line="235" w:lineRule="auto"/>
              <w:ind w:left="74" w:right="150"/>
              <w:rPr>
                <w:sz w:val="20"/>
              </w:rPr>
            </w:pPr>
            <w:r>
              <w:rPr>
                <w:w w:val="120"/>
                <w:sz w:val="20"/>
              </w:rPr>
              <w:t>The PRWC convener is a member of the General Assembly and it has recently become clear that it would often be appropriate for her/him to be present at Mission Council also. It is therefore proposed that the Assembly be invited to add the convener of the PRWC to the membership of Mission Council.</w:t>
            </w:r>
          </w:p>
        </w:tc>
      </w:tr>
      <w:tr>
        <w:trPr>
          <w:trHeight w:val="680" w:hRule="atLeast"/>
        </w:trPr>
        <w:tc>
          <w:tcPr>
            <w:tcW w:w="317" w:type="dxa"/>
            <w:vMerge/>
            <w:tcBorders>
              <w:top w:val="nil"/>
              <w:left w:val="nil"/>
              <w:bottom w:val="nil"/>
            </w:tcBorders>
            <w:shd w:val="clear" w:color="auto" w:fill="FFEDC2"/>
          </w:tcPr>
          <w:p>
            <w:pPr>
              <w:rPr>
                <w:sz w:val="2"/>
                <w:szCs w:val="2"/>
              </w:rPr>
            </w:pPr>
          </w:p>
        </w:tc>
        <w:tc>
          <w:tcPr>
            <w:tcW w:w="2660" w:type="dxa"/>
            <w:shd w:val="clear" w:color="auto" w:fill="FFFFFF"/>
          </w:tcPr>
          <w:p>
            <w:pPr>
              <w:pStyle w:val="TableParagraph"/>
              <w:spacing w:line="213" w:lineRule="auto" w:before="133"/>
              <w:ind w:left="74" w:right="707"/>
              <w:rPr>
                <w:rFonts w:ascii="Stone Sans II ITC Std Bk"/>
                <w:b/>
                <w:sz w:val="20"/>
              </w:rPr>
            </w:pPr>
            <w:r>
              <w:rPr>
                <w:rFonts w:ascii="Stone Sans II ITC Std Bk"/>
                <w:b/>
                <w:w w:val="110"/>
                <w:sz w:val="20"/>
              </w:rPr>
              <w:t>Previous relevant documents</w:t>
            </w:r>
          </w:p>
        </w:tc>
        <w:tc>
          <w:tcPr>
            <w:tcW w:w="6463" w:type="dxa"/>
            <w:tcBorders>
              <w:right w:val="nil"/>
            </w:tcBorders>
            <w:shd w:val="clear" w:color="auto" w:fill="FFFFFF"/>
          </w:tcPr>
          <w:p>
            <w:pPr>
              <w:pStyle w:val="TableParagraph"/>
              <w:spacing w:before="123"/>
              <w:ind w:left="74"/>
              <w:rPr>
                <w:sz w:val="20"/>
              </w:rPr>
            </w:pPr>
            <w:r>
              <w:rPr>
                <w:w w:val="120"/>
                <w:sz w:val="20"/>
              </w:rPr>
              <w:t>The Structure of the United Reformed Church, 2.(6)</w:t>
            </w:r>
          </w:p>
        </w:tc>
      </w:tr>
      <w:tr>
        <w:trPr>
          <w:trHeight w:val="680" w:hRule="atLeast"/>
        </w:trPr>
        <w:tc>
          <w:tcPr>
            <w:tcW w:w="317" w:type="dxa"/>
            <w:vMerge/>
            <w:tcBorders>
              <w:top w:val="nil"/>
              <w:left w:val="nil"/>
              <w:bottom w:val="nil"/>
            </w:tcBorders>
            <w:shd w:val="clear" w:color="auto" w:fill="FFEDC2"/>
          </w:tcPr>
          <w:p>
            <w:pPr>
              <w:rPr>
                <w:sz w:val="2"/>
                <w:szCs w:val="2"/>
              </w:rPr>
            </w:pPr>
          </w:p>
        </w:tc>
        <w:tc>
          <w:tcPr>
            <w:tcW w:w="2660" w:type="dxa"/>
            <w:shd w:val="clear" w:color="auto" w:fill="FFFFFF"/>
          </w:tcPr>
          <w:p>
            <w:pPr>
              <w:pStyle w:val="TableParagraph"/>
              <w:spacing w:line="213" w:lineRule="auto" w:before="133"/>
              <w:ind w:left="74" w:right="110"/>
              <w:rPr>
                <w:rFonts w:ascii="Stone Sans II ITC Std Bk"/>
                <w:b/>
                <w:sz w:val="20"/>
              </w:rPr>
            </w:pPr>
            <w:r>
              <w:rPr>
                <w:rFonts w:ascii="Stone Sans II ITC Std Bk"/>
                <w:b/>
                <w:w w:val="110"/>
                <w:sz w:val="20"/>
              </w:rPr>
              <w:t>Consultation has taken place with...</w:t>
            </w:r>
          </w:p>
        </w:tc>
        <w:tc>
          <w:tcPr>
            <w:tcW w:w="6463" w:type="dxa"/>
            <w:tcBorders>
              <w:right w:val="nil"/>
            </w:tcBorders>
            <w:shd w:val="clear" w:color="auto" w:fill="FFFFFF"/>
          </w:tcPr>
          <w:p>
            <w:pPr>
              <w:pStyle w:val="TableParagraph"/>
              <w:spacing w:before="123"/>
              <w:ind w:left="74"/>
              <w:rPr>
                <w:sz w:val="20"/>
              </w:rPr>
            </w:pPr>
            <w:r>
              <w:rPr>
                <w:w w:val="120"/>
                <w:sz w:val="20"/>
              </w:rPr>
              <w:t>Mission Council</w:t>
            </w:r>
          </w:p>
        </w:tc>
      </w:tr>
      <w:tr>
        <w:trPr>
          <w:trHeight w:val="720" w:hRule="atLeast"/>
        </w:trPr>
        <w:tc>
          <w:tcPr>
            <w:tcW w:w="9440" w:type="dxa"/>
            <w:gridSpan w:val="3"/>
            <w:tcBorders>
              <w:top w:val="nil"/>
              <w:left w:val="nil"/>
              <w:bottom w:val="nil"/>
              <w:right w:val="nil"/>
            </w:tcBorders>
            <w:shd w:val="clear" w:color="auto" w:fill="FFEDC2"/>
          </w:tcPr>
          <w:p>
            <w:pPr>
              <w:pStyle w:val="TableParagraph"/>
              <w:spacing w:before="4"/>
              <w:ind w:left="0"/>
              <w:rPr>
                <w:sz w:val="35"/>
              </w:rPr>
            </w:pPr>
          </w:p>
          <w:p>
            <w:pPr>
              <w:pStyle w:val="TableParagraph"/>
              <w:ind w:left="311"/>
              <w:rPr>
                <w:sz w:val="20"/>
              </w:rPr>
            </w:pPr>
            <w:r>
              <w:rPr>
                <w:w w:val="120"/>
                <w:sz w:val="20"/>
              </w:rPr>
              <w:t>Summary of Impact</w:t>
            </w:r>
          </w:p>
        </w:tc>
      </w:tr>
      <w:tr>
        <w:trPr>
          <w:trHeight w:val="440" w:hRule="atLeast"/>
        </w:trPr>
        <w:tc>
          <w:tcPr>
            <w:tcW w:w="317" w:type="dxa"/>
            <w:vMerge w:val="restart"/>
            <w:tcBorders>
              <w:top w:val="nil"/>
              <w:left w:val="nil"/>
              <w:bottom w:val="nil"/>
            </w:tcBorders>
            <w:shd w:val="clear" w:color="auto" w:fill="FFEDC2"/>
          </w:tcPr>
          <w:p>
            <w:pPr>
              <w:pStyle w:val="TableParagraph"/>
              <w:ind w:left="0"/>
              <w:rPr>
                <w:rFonts w:ascii="Times New Roman"/>
                <w:sz w:val="22"/>
              </w:rPr>
            </w:pPr>
          </w:p>
        </w:tc>
        <w:tc>
          <w:tcPr>
            <w:tcW w:w="2660" w:type="dxa"/>
            <w:shd w:val="clear" w:color="auto" w:fill="FFFFFF"/>
          </w:tcPr>
          <w:p>
            <w:pPr>
              <w:pStyle w:val="TableParagraph"/>
              <w:spacing w:before="111"/>
              <w:ind w:left="74"/>
              <w:rPr>
                <w:rFonts w:ascii="Stone Sans II ITC Std Bk"/>
                <w:b/>
                <w:sz w:val="20"/>
              </w:rPr>
            </w:pPr>
            <w:r>
              <w:rPr>
                <w:rFonts w:ascii="Stone Sans II ITC Std Bk"/>
                <w:b/>
                <w:w w:val="110"/>
                <w:sz w:val="20"/>
              </w:rPr>
              <w:t>Financial</w:t>
            </w:r>
          </w:p>
        </w:tc>
        <w:tc>
          <w:tcPr>
            <w:tcW w:w="6463" w:type="dxa"/>
            <w:tcBorders>
              <w:right w:val="nil"/>
            </w:tcBorders>
            <w:shd w:val="clear" w:color="auto" w:fill="FFFFFF"/>
          </w:tcPr>
          <w:p>
            <w:pPr>
              <w:pStyle w:val="TableParagraph"/>
              <w:spacing w:before="123"/>
              <w:ind w:left="74"/>
              <w:rPr>
                <w:sz w:val="20"/>
              </w:rPr>
            </w:pPr>
            <w:r>
              <w:rPr>
                <w:w w:val="120"/>
                <w:sz w:val="20"/>
              </w:rPr>
              <w:t>Cost of attendance at Mission Council</w:t>
            </w:r>
          </w:p>
        </w:tc>
      </w:tr>
      <w:tr>
        <w:trPr>
          <w:trHeight w:val="680" w:hRule="atLeast"/>
        </w:trPr>
        <w:tc>
          <w:tcPr>
            <w:tcW w:w="317" w:type="dxa"/>
            <w:vMerge/>
            <w:tcBorders>
              <w:top w:val="nil"/>
              <w:left w:val="nil"/>
              <w:bottom w:val="nil"/>
            </w:tcBorders>
            <w:shd w:val="clear" w:color="auto" w:fill="FFEDC2"/>
          </w:tcPr>
          <w:p>
            <w:pPr>
              <w:rPr>
                <w:sz w:val="2"/>
                <w:szCs w:val="2"/>
              </w:rPr>
            </w:pPr>
          </w:p>
        </w:tc>
        <w:tc>
          <w:tcPr>
            <w:tcW w:w="2660" w:type="dxa"/>
            <w:shd w:val="clear" w:color="auto" w:fill="FFFFFF"/>
          </w:tcPr>
          <w:p>
            <w:pPr>
              <w:pStyle w:val="TableParagraph"/>
              <w:spacing w:line="255" w:lineRule="exact" w:before="111"/>
              <w:ind w:left="74"/>
              <w:rPr>
                <w:rFonts w:ascii="Stone Sans II ITC Std Bk"/>
                <w:b/>
                <w:sz w:val="20"/>
              </w:rPr>
            </w:pPr>
            <w:r>
              <w:rPr>
                <w:rFonts w:ascii="Stone Sans II ITC Std Bk"/>
                <w:b/>
                <w:w w:val="110"/>
                <w:sz w:val="20"/>
              </w:rPr>
              <w:t>External</w:t>
            </w:r>
          </w:p>
          <w:p>
            <w:pPr>
              <w:pStyle w:val="TableParagraph"/>
              <w:spacing w:line="255" w:lineRule="exact"/>
              <w:ind w:left="74"/>
              <w:rPr>
                <w:rFonts w:ascii="Stone Sans II ITC Std Bk"/>
                <w:b/>
                <w:sz w:val="20"/>
              </w:rPr>
            </w:pPr>
            <w:r>
              <w:rPr>
                <w:rFonts w:ascii="Stone Sans II ITC Std Bk"/>
                <w:b/>
                <w:w w:val="110"/>
                <w:sz w:val="20"/>
              </w:rPr>
              <w:t>(e.g. ecumenical)</w:t>
            </w:r>
          </w:p>
        </w:tc>
        <w:tc>
          <w:tcPr>
            <w:tcW w:w="6463" w:type="dxa"/>
            <w:tcBorders>
              <w:right w:val="nil"/>
            </w:tcBorders>
            <w:shd w:val="clear" w:color="auto" w:fill="FFFFFF"/>
          </w:tcPr>
          <w:p>
            <w:pPr>
              <w:pStyle w:val="TableParagraph"/>
              <w:spacing w:before="123"/>
              <w:ind w:left="74"/>
              <w:rPr>
                <w:sz w:val="20"/>
              </w:rPr>
            </w:pPr>
            <w:r>
              <w:rPr>
                <w:w w:val="120"/>
                <w:sz w:val="20"/>
              </w:rPr>
              <w:t>None</w:t>
            </w:r>
          </w:p>
        </w:tc>
      </w:tr>
      <w:tr>
        <w:trPr>
          <w:trHeight w:val="2694" w:hRule="atLeast"/>
        </w:trPr>
        <w:tc>
          <w:tcPr>
            <w:tcW w:w="9440" w:type="dxa"/>
            <w:gridSpan w:val="3"/>
            <w:tcBorders>
              <w:top w:val="nil"/>
              <w:left w:val="nil"/>
              <w:bottom w:val="nil"/>
              <w:right w:val="nil"/>
            </w:tcBorders>
            <w:shd w:val="clear" w:color="auto" w:fill="FFEDC2"/>
          </w:tcPr>
          <w:p>
            <w:pPr>
              <w:pStyle w:val="TableParagraph"/>
              <w:ind w:left="0"/>
              <w:rPr>
                <w:sz w:val="30"/>
              </w:rPr>
            </w:pPr>
          </w:p>
          <w:p>
            <w:pPr>
              <w:pStyle w:val="TableParagraph"/>
              <w:ind w:left="0"/>
              <w:rPr>
                <w:sz w:val="30"/>
              </w:rPr>
            </w:pPr>
          </w:p>
          <w:p>
            <w:pPr>
              <w:pStyle w:val="TableParagraph"/>
              <w:ind w:left="0"/>
              <w:rPr>
                <w:sz w:val="30"/>
              </w:rPr>
            </w:pPr>
          </w:p>
          <w:p>
            <w:pPr>
              <w:pStyle w:val="TableParagraph"/>
              <w:ind w:left="0"/>
              <w:rPr>
                <w:sz w:val="30"/>
              </w:rPr>
            </w:pPr>
          </w:p>
          <w:p>
            <w:pPr>
              <w:pStyle w:val="TableParagraph"/>
              <w:spacing w:before="7"/>
              <w:ind w:left="0"/>
              <w:rPr>
                <w:sz w:val="29"/>
              </w:rPr>
            </w:pPr>
          </w:p>
          <w:p>
            <w:pPr>
              <w:pStyle w:val="TableParagraph"/>
              <w:spacing w:before="1"/>
              <w:ind w:left="311"/>
              <w:rPr>
                <w:sz w:val="23"/>
              </w:rPr>
            </w:pPr>
            <w:r>
              <w:rPr>
                <w:rFonts w:ascii="Stone Sans II ITC Std X Bd" w:hAnsi="Stone Sans II ITC Std X Bd"/>
                <w:b/>
                <w:w w:val="110"/>
                <w:sz w:val="24"/>
              </w:rPr>
              <w:t>34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c>
      </w:tr>
    </w:tbl>
    <w:p>
      <w:pPr>
        <w:rPr>
          <w:sz w:val="2"/>
          <w:szCs w:val="2"/>
        </w:rPr>
      </w:pPr>
      <w:r>
        <w:rPr/>
        <w:pict>
          <v:rect style="position:absolute;margin-left:594.374023pt;margin-top:.000015pt;width:.901pt;height:841.89pt;mso-position-horizontal-relative:page;mso-position-vertical-relative:page;z-index:251764736" filled="true" fillcolor="#ffedc2" stroked="false">
            <v:fill type="solid"/>
            <w10:wrap type="none"/>
          </v:rect>
        </w:pict>
      </w:r>
      <w:r>
        <w:rPr/>
        <w:drawing>
          <wp:anchor distT="0" distB="0" distL="0" distR="0" allowOverlap="1" layoutInCell="1" locked="0" behindDoc="0" simplePos="0" relativeHeight="251765760">
            <wp:simplePos x="0" y="0"/>
            <wp:positionH relativeFrom="page">
              <wp:posOffset>0</wp:posOffset>
            </wp:positionH>
            <wp:positionV relativeFrom="page">
              <wp:posOffset>0</wp:posOffset>
            </wp:positionV>
            <wp:extent cx="594067" cy="10692003"/>
            <wp:effectExtent l="0" t="0" r="0" b="0"/>
            <wp:wrapNone/>
            <wp:docPr id="61" name="image24.png"/>
            <wp:cNvGraphicFramePr>
              <a:graphicFrameLocks noChangeAspect="1"/>
            </wp:cNvGraphicFramePr>
            <a:graphic>
              <a:graphicData uri="http://schemas.openxmlformats.org/drawingml/2006/picture">
                <pic:pic>
                  <pic:nvPicPr>
                    <pic:cNvPr id="62" name="image24.png"/>
                    <pic:cNvPicPr/>
                  </pic:nvPicPr>
                  <pic:blipFill>
                    <a:blip r:embed="rId90"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297.05pt;mso-position-horizontal-relative:page;mso-position-vertical-relative:page;z-index:251766784" type="#_x0000_t202" filled="false" stroked="false">
            <v:textbox inset="0,0,0,0" style="layout-flow:vertical">
              <w:txbxContent>
                <w:p>
                  <w:pPr>
                    <w:spacing w:before="27"/>
                    <w:ind w:left="20" w:right="0" w:firstLine="0"/>
                    <w:jc w:val="left"/>
                    <w:rPr>
                      <w:sz w:val="39"/>
                    </w:rPr>
                  </w:pPr>
                  <w:r>
                    <w:rPr>
                      <w:color w:val="FFFFFF"/>
                      <w:w w:val="120"/>
                      <w:sz w:val="39"/>
                    </w:rPr>
                    <w:t>Mission Council membership</w:t>
                  </w:r>
                </w:p>
              </w:txbxContent>
            </v:textbox>
            <w10:wrap type="none"/>
          </v:shape>
        </w:pict>
      </w:r>
    </w:p>
    <w:p>
      <w:pPr>
        <w:spacing w:after="0"/>
        <w:rPr>
          <w:sz w:val="2"/>
          <w:szCs w:val="2"/>
        </w:rPr>
        <w:sectPr>
          <w:headerReference w:type="even" r:id="rId88"/>
          <w:footerReference w:type="even" r:id="rId89"/>
          <w:pgSz w:w="11910" w:h="16840"/>
          <w:pgMar w:header="0" w:footer="0" w:top="0" w:bottom="0" w:left="0" w:right="0"/>
        </w:sectPr>
      </w:pPr>
    </w:p>
    <w:p>
      <w:pPr>
        <w:pStyle w:val="BodyText"/>
      </w:pPr>
      <w:r>
        <w:rPr/>
        <w:pict>
          <v:rect style="position:absolute;margin-left:0pt;margin-top:.000015pt;width:549.207pt;height:841.89pt;mso-position-horizontal-relative:page;mso-position-vertical-relative:page;z-index:-267508736" filled="true" fillcolor="#ffedc2" stroked="false">
            <v:fill type="solid"/>
            <w10:wrap type="none"/>
          </v:rect>
        </w:pict>
      </w:r>
      <w:r>
        <w:rPr/>
        <w:drawing>
          <wp:anchor distT="0" distB="0" distL="0" distR="0" allowOverlap="1" layoutInCell="1" locked="0" behindDoc="0" simplePos="0" relativeHeight="251768832">
            <wp:simplePos x="0" y="0"/>
            <wp:positionH relativeFrom="page">
              <wp:posOffset>6974928</wp:posOffset>
            </wp:positionH>
            <wp:positionV relativeFrom="page">
              <wp:posOffset>0</wp:posOffset>
            </wp:positionV>
            <wp:extent cx="585063" cy="10692003"/>
            <wp:effectExtent l="0" t="0" r="0" b="0"/>
            <wp:wrapNone/>
            <wp:docPr id="63" name="image5.png"/>
            <wp:cNvGraphicFramePr>
              <a:graphicFrameLocks noChangeAspect="1"/>
            </wp:cNvGraphicFramePr>
            <a:graphic>
              <a:graphicData uri="http://schemas.openxmlformats.org/drawingml/2006/picture">
                <pic:pic>
                  <pic:nvPicPr>
                    <pic:cNvPr id="64" name="image5.png"/>
                    <pic:cNvPicPr/>
                  </pic:nvPicPr>
                  <pic:blipFill>
                    <a:blip r:embed="rId10"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5"/>
        <w:rPr>
          <w:sz w:val="28"/>
        </w:rPr>
      </w:pPr>
    </w:p>
    <w:p>
      <w:pPr>
        <w:pStyle w:val="Heading2"/>
        <w:spacing w:line="638" w:lineRule="exact" w:before="97"/>
        <w:ind w:left="1984"/>
        <w:rPr>
          <w:b/>
        </w:rPr>
      </w:pPr>
      <w:r>
        <w:rPr/>
        <w:pict>
          <v:shape style="position:absolute;margin-left:554.141174pt;margin-top:-5.998084pt;width:25.9pt;height:270.05pt;mso-position-horizontal-relative:page;mso-position-vertical-relative:paragraph;z-index:251769856" type="#_x0000_t202" filled="false" stroked="false">
            <v:textbox inset="0,0,0,0" style="layout-flow:vertical">
              <w:txbxContent>
                <w:p>
                  <w:pPr>
                    <w:spacing w:before="27"/>
                    <w:ind w:left="20" w:right="0" w:firstLine="0"/>
                    <w:jc w:val="left"/>
                    <w:rPr>
                      <w:sz w:val="39"/>
                    </w:rPr>
                  </w:pPr>
                  <w:r>
                    <w:rPr>
                      <w:color w:val="FFFFFF"/>
                      <w:spacing w:val="10"/>
                      <w:w w:val="120"/>
                      <w:sz w:val="39"/>
                    </w:rPr>
                    <w:t>Assembly-appointed</w:t>
                  </w:r>
                  <w:r>
                    <w:rPr>
                      <w:color w:val="FFFFFF"/>
                      <w:spacing w:val="88"/>
                      <w:w w:val="120"/>
                      <w:sz w:val="39"/>
                    </w:rPr>
                    <w:t> </w:t>
                  </w:r>
                  <w:r>
                    <w:rPr>
                      <w:color w:val="FFFFFF"/>
                      <w:spacing w:val="11"/>
                      <w:w w:val="120"/>
                      <w:sz w:val="39"/>
                    </w:rPr>
                    <w:t>posts</w:t>
                  </w:r>
                </w:p>
              </w:txbxContent>
            </v:textbox>
            <w10:wrap type="none"/>
          </v:shape>
        </w:pict>
      </w:r>
      <w:bookmarkStart w:name="_bookmark3" w:id="4"/>
      <w:bookmarkEnd w:id="4"/>
      <w:r>
        <w:rPr>
          <w:b w:val="0"/>
        </w:rPr>
      </w:r>
      <w:r>
        <w:rPr>
          <w:b/>
          <w:color w:val="FCC400"/>
          <w:w w:val="110"/>
        </w:rPr>
        <w:t>Mission Council:</w:t>
      </w:r>
    </w:p>
    <w:p>
      <w:pPr>
        <w:spacing w:line="638" w:lineRule="exact" w:before="0"/>
        <w:ind w:left="1984" w:right="0" w:firstLine="0"/>
        <w:jc w:val="left"/>
        <w:rPr>
          <w:rFonts w:ascii="Stone Sans II ITC Std X Bd"/>
          <w:b/>
          <w:sz w:val="50"/>
        </w:rPr>
      </w:pPr>
      <w:r>
        <w:rPr>
          <w:rFonts w:ascii="Stone Sans II ITC Std X Bd"/>
          <w:b/>
          <w:w w:val="110"/>
          <w:sz w:val="50"/>
        </w:rPr>
        <w:t>Assembly-appointed posts</w:t>
      </w:r>
    </w:p>
    <w:p>
      <w:pPr>
        <w:pStyle w:val="BodyText"/>
        <w:spacing w:before="362" w:after="26"/>
        <w:ind w:left="1984"/>
      </w:pPr>
      <w:r>
        <w:rPr>
          <w:w w:val="120"/>
        </w:rPr>
        <w:t>Basic Information</w:t>
      </w:r>
    </w:p>
    <w:tbl>
      <w:tblPr>
        <w:tblW w:w="0" w:type="auto"/>
        <w:jc w:val="left"/>
        <w:tblInd w:w="19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59"/>
        <w:gridCol w:w="6336"/>
      </w:tblGrid>
      <w:tr>
        <w:trPr>
          <w:trHeight w:val="680" w:hRule="atLeast"/>
        </w:trPr>
        <w:tc>
          <w:tcPr>
            <w:tcW w:w="2659" w:type="dxa"/>
            <w:shd w:val="clear" w:color="auto" w:fill="FFFFFF"/>
          </w:tcPr>
          <w:p>
            <w:pPr>
              <w:pStyle w:val="TableParagraph"/>
              <w:spacing w:line="213" w:lineRule="auto" w:before="151"/>
              <w:ind w:right="594"/>
              <w:rPr>
                <w:rFonts w:ascii="Stone Sans II ITC Std Bk"/>
                <w:b/>
                <w:sz w:val="20"/>
              </w:rPr>
            </w:pPr>
            <w:r>
              <w:rPr>
                <w:rFonts w:ascii="Stone Sans II ITC Std Bk"/>
                <w:b/>
                <w:w w:val="110"/>
                <w:sz w:val="20"/>
              </w:rPr>
              <w:t>Contact name and email address</w:t>
            </w:r>
          </w:p>
        </w:tc>
        <w:tc>
          <w:tcPr>
            <w:tcW w:w="6336" w:type="dxa"/>
            <w:tcBorders>
              <w:right w:val="nil"/>
            </w:tcBorders>
            <w:shd w:val="clear" w:color="auto" w:fill="FFFFFF"/>
          </w:tcPr>
          <w:p>
            <w:pPr>
              <w:pStyle w:val="TableParagraph"/>
              <w:spacing w:line="235" w:lineRule="auto" w:before="145"/>
              <w:ind w:right="1589"/>
              <w:rPr>
                <w:sz w:val="20"/>
              </w:rPr>
            </w:pPr>
            <w:r>
              <w:rPr>
                <w:w w:val="120"/>
                <w:sz w:val="20"/>
              </w:rPr>
              <w:t>Roberta Rominger </w:t>
            </w:r>
            <w:hyperlink r:id="rId29">
              <w:r>
                <w:rPr>
                  <w:w w:val="120"/>
                  <w:sz w:val="20"/>
                </w:rPr>
                <w:t>roberta.rominger@urc.org.uk</w:t>
              </w:r>
            </w:hyperlink>
          </w:p>
        </w:tc>
      </w:tr>
      <w:tr>
        <w:trPr>
          <w:trHeight w:val="440" w:hRule="atLeast"/>
        </w:trPr>
        <w:tc>
          <w:tcPr>
            <w:tcW w:w="2659" w:type="dxa"/>
            <w:shd w:val="clear" w:color="auto" w:fill="FFFFFF"/>
          </w:tcPr>
          <w:p>
            <w:pPr>
              <w:pStyle w:val="TableParagraph"/>
              <w:spacing w:before="128"/>
              <w:rPr>
                <w:rFonts w:ascii="Stone Sans II ITC Std Bk"/>
                <w:b/>
                <w:sz w:val="20"/>
              </w:rPr>
            </w:pPr>
            <w:r>
              <w:rPr>
                <w:rFonts w:ascii="Stone Sans II ITC Std Bk"/>
                <w:b/>
                <w:w w:val="110"/>
                <w:sz w:val="20"/>
              </w:rPr>
              <w:t>Action required</w:t>
            </w:r>
          </w:p>
        </w:tc>
        <w:tc>
          <w:tcPr>
            <w:tcW w:w="6336" w:type="dxa"/>
            <w:tcBorders>
              <w:right w:val="nil"/>
            </w:tcBorders>
            <w:shd w:val="clear" w:color="auto" w:fill="FFFFFF"/>
          </w:tcPr>
          <w:p>
            <w:pPr>
              <w:pStyle w:val="TableParagraph"/>
              <w:spacing w:before="141"/>
              <w:rPr>
                <w:sz w:val="20"/>
              </w:rPr>
            </w:pPr>
            <w:r>
              <w:rPr>
                <w:w w:val="120"/>
                <w:sz w:val="20"/>
              </w:rPr>
              <w:t>Decision</w:t>
            </w:r>
          </w:p>
        </w:tc>
      </w:tr>
      <w:tr>
        <w:trPr>
          <w:trHeight w:val="1160" w:hRule="atLeast"/>
        </w:trPr>
        <w:tc>
          <w:tcPr>
            <w:tcW w:w="2659" w:type="dxa"/>
            <w:shd w:val="clear" w:color="auto" w:fill="FFFFFF"/>
          </w:tcPr>
          <w:p>
            <w:pPr>
              <w:pStyle w:val="TableParagraph"/>
              <w:spacing w:before="128"/>
              <w:rPr>
                <w:rFonts w:ascii="Stone Sans II ITC Std Bk"/>
                <w:b/>
                <w:sz w:val="20"/>
              </w:rPr>
            </w:pPr>
            <w:r>
              <w:rPr>
                <w:rFonts w:ascii="Stone Sans II ITC Std Bk"/>
                <w:b/>
                <w:w w:val="110"/>
                <w:sz w:val="20"/>
              </w:rPr>
              <w:t>Draft resolution(s)</w:t>
            </w:r>
          </w:p>
        </w:tc>
        <w:tc>
          <w:tcPr>
            <w:tcW w:w="6336" w:type="dxa"/>
            <w:tcBorders>
              <w:right w:val="nil"/>
            </w:tcBorders>
            <w:shd w:val="clear" w:color="auto" w:fill="FFFFFF"/>
          </w:tcPr>
          <w:p>
            <w:pPr>
              <w:pStyle w:val="TableParagraph"/>
              <w:spacing w:line="213" w:lineRule="auto" w:before="151"/>
              <w:ind w:right="96"/>
              <w:rPr>
                <w:rFonts w:ascii="Stone Sans II ITC Std Bk"/>
                <w:b/>
                <w:sz w:val="20"/>
              </w:rPr>
            </w:pPr>
            <w:r>
              <w:rPr>
                <w:rFonts w:ascii="Stone Sans II ITC Std Bk"/>
                <w:b/>
                <w:w w:val="110"/>
                <w:sz w:val="20"/>
              </w:rPr>
              <w:t>General Assembly confirms the list of Assembly- appointed posts and the various affiliation requirements as outlined on pages 36 to 37 of the </w:t>
            </w:r>
            <w:r>
              <w:rPr>
                <w:rFonts w:ascii="Stone Sans II ITC Std Bk"/>
                <w:b/>
                <w:i/>
                <w:w w:val="110"/>
                <w:sz w:val="20"/>
              </w:rPr>
              <w:t>Book of Reports</w:t>
            </w:r>
            <w:r>
              <w:rPr>
                <w:rFonts w:ascii="Stone Sans II ITC Std Bk"/>
                <w:b/>
                <w:w w:val="110"/>
                <w:sz w:val="20"/>
              </w:rPr>
              <w:t>.</w:t>
            </w:r>
          </w:p>
        </w:tc>
      </w:tr>
    </w:tbl>
    <w:p>
      <w:pPr>
        <w:pStyle w:val="BodyText"/>
        <w:rPr>
          <w:sz w:val="24"/>
        </w:rPr>
      </w:pPr>
    </w:p>
    <w:p>
      <w:pPr>
        <w:pStyle w:val="BodyText"/>
        <w:spacing w:before="156" w:after="27"/>
        <w:ind w:left="1984"/>
      </w:pPr>
      <w:r>
        <w:rPr>
          <w:w w:val="120"/>
        </w:rPr>
        <w:t>Summary of Content</w:t>
      </w:r>
    </w:p>
    <w:tbl>
      <w:tblPr>
        <w:tblW w:w="0" w:type="auto"/>
        <w:jc w:val="left"/>
        <w:tblInd w:w="19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59"/>
        <w:gridCol w:w="6336"/>
      </w:tblGrid>
      <w:tr>
        <w:trPr>
          <w:trHeight w:val="680" w:hRule="atLeast"/>
        </w:trPr>
        <w:tc>
          <w:tcPr>
            <w:tcW w:w="2659" w:type="dxa"/>
            <w:shd w:val="clear" w:color="auto" w:fill="FFFFFF"/>
          </w:tcPr>
          <w:p>
            <w:pPr>
              <w:pStyle w:val="TableParagraph"/>
              <w:spacing w:before="128"/>
              <w:rPr>
                <w:rFonts w:ascii="Stone Sans II ITC Std Bk"/>
                <w:b/>
                <w:sz w:val="20"/>
              </w:rPr>
            </w:pPr>
            <w:r>
              <w:rPr>
                <w:rFonts w:ascii="Stone Sans II ITC Std Bk"/>
                <w:b/>
                <w:w w:val="110"/>
                <w:sz w:val="20"/>
              </w:rPr>
              <w:t>Subject and aim(s)</w:t>
            </w:r>
          </w:p>
        </w:tc>
        <w:tc>
          <w:tcPr>
            <w:tcW w:w="6336" w:type="dxa"/>
            <w:tcBorders>
              <w:right w:val="nil"/>
            </w:tcBorders>
            <w:shd w:val="clear" w:color="auto" w:fill="FFFFFF"/>
          </w:tcPr>
          <w:p>
            <w:pPr>
              <w:pStyle w:val="TableParagraph"/>
              <w:spacing w:line="235" w:lineRule="auto" w:before="145"/>
              <w:rPr>
                <w:sz w:val="20"/>
              </w:rPr>
            </w:pPr>
            <w:r>
              <w:rPr>
                <w:w w:val="120"/>
                <w:sz w:val="20"/>
              </w:rPr>
              <w:t>Clarification of the list of Assembly-appointed posts and the required affiliation of post-holders</w:t>
            </w:r>
          </w:p>
        </w:tc>
      </w:tr>
      <w:tr>
        <w:trPr>
          <w:trHeight w:val="680" w:hRule="atLeast"/>
        </w:trPr>
        <w:tc>
          <w:tcPr>
            <w:tcW w:w="2659" w:type="dxa"/>
            <w:shd w:val="clear" w:color="auto" w:fill="FFFFFF"/>
          </w:tcPr>
          <w:p>
            <w:pPr>
              <w:pStyle w:val="TableParagraph"/>
              <w:spacing w:before="128"/>
              <w:rPr>
                <w:rFonts w:ascii="Stone Sans II ITC Std Bk"/>
                <w:b/>
                <w:sz w:val="20"/>
              </w:rPr>
            </w:pPr>
            <w:r>
              <w:rPr>
                <w:rFonts w:ascii="Stone Sans II ITC Std Bk"/>
                <w:b/>
                <w:w w:val="110"/>
                <w:sz w:val="20"/>
              </w:rPr>
              <w:t>Main points</w:t>
            </w:r>
          </w:p>
        </w:tc>
        <w:tc>
          <w:tcPr>
            <w:tcW w:w="6336" w:type="dxa"/>
            <w:tcBorders>
              <w:right w:val="nil"/>
            </w:tcBorders>
            <w:shd w:val="clear" w:color="auto" w:fill="FFFFFF"/>
          </w:tcPr>
          <w:p>
            <w:pPr>
              <w:pStyle w:val="TableParagraph"/>
              <w:spacing w:line="242" w:lineRule="exact" w:before="141"/>
              <w:rPr>
                <w:sz w:val="20"/>
              </w:rPr>
            </w:pPr>
            <w:r>
              <w:rPr>
                <w:w w:val="120"/>
                <w:sz w:val="20"/>
              </w:rPr>
              <w:t>The list of Assembly-appointed posts is defined.</w:t>
            </w:r>
          </w:p>
          <w:p>
            <w:pPr>
              <w:pStyle w:val="TableParagraph"/>
              <w:spacing w:line="242" w:lineRule="exact"/>
              <w:rPr>
                <w:sz w:val="20"/>
              </w:rPr>
            </w:pPr>
            <w:r>
              <w:rPr>
                <w:w w:val="120"/>
                <w:sz w:val="20"/>
              </w:rPr>
              <w:t>Affiliation requirements are identified under four groupings.</w:t>
            </w:r>
          </w:p>
        </w:tc>
      </w:tr>
      <w:tr>
        <w:trPr>
          <w:trHeight w:val="680" w:hRule="atLeast"/>
        </w:trPr>
        <w:tc>
          <w:tcPr>
            <w:tcW w:w="2659" w:type="dxa"/>
            <w:shd w:val="clear" w:color="auto" w:fill="FFFFFF"/>
          </w:tcPr>
          <w:p>
            <w:pPr>
              <w:pStyle w:val="TableParagraph"/>
              <w:spacing w:line="213" w:lineRule="auto" w:before="151"/>
              <w:ind w:right="700"/>
              <w:rPr>
                <w:rFonts w:ascii="Stone Sans II ITC Std Bk"/>
                <w:b/>
                <w:sz w:val="20"/>
              </w:rPr>
            </w:pPr>
            <w:r>
              <w:rPr>
                <w:rFonts w:ascii="Stone Sans II ITC Std Bk"/>
                <w:b/>
                <w:w w:val="110"/>
                <w:sz w:val="20"/>
              </w:rPr>
              <w:t>Previous relevant documents</w:t>
            </w:r>
          </w:p>
        </w:tc>
        <w:tc>
          <w:tcPr>
            <w:tcW w:w="6336" w:type="dxa"/>
            <w:tcBorders>
              <w:right w:val="nil"/>
            </w:tcBorders>
            <w:shd w:val="clear" w:color="auto" w:fill="FFFFFF"/>
          </w:tcPr>
          <w:p>
            <w:pPr>
              <w:pStyle w:val="TableParagraph"/>
              <w:spacing w:line="235" w:lineRule="auto" w:before="145"/>
              <w:rPr>
                <w:sz w:val="20"/>
              </w:rPr>
            </w:pPr>
            <w:r>
              <w:rPr>
                <w:w w:val="120"/>
                <w:sz w:val="20"/>
              </w:rPr>
              <w:t>Annex to the 1996 report of the nominations committee to General Assembly</w:t>
            </w:r>
          </w:p>
        </w:tc>
      </w:tr>
      <w:tr>
        <w:trPr>
          <w:trHeight w:val="680" w:hRule="atLeast"/>
        </w:trPr>
        <w:tc>
          <w:tcPr>
            <w:tcW w:w="2659" w:type="dxa"/>
            <w:shd w:val="clear" w:color="auto" w:fill="FFFFFF"/>
          </w:tcPr>
          <w:p>
            <w:pPr>
              <w:pStyle w:val="TableParagraph"/>
              <w:spacing w:line="213" w:lineRule="auto" w:before="151"/>
              <w:ind w:right="103"/>
              <w:rPr>
                <w:rFonts w:ascii="Stone Sans II ITC Std Bk"/>
                <w:b/>
                <w:sz w:val="20"/>
              </w:rPr>
            </w:pPr>
            <w:r>
              <w:rPr>
                <w:rFonts w:ascii="Stone Sans II ITC Std Bk"/>
                <w:b/>
                <w:w w:val="110"/>
                <w:sz w:val="20"/>
              </w:rPr>
              <w:t>Consultation has taken place with...</w:t>
            </w:r>
          </w:p>
        </w:tc>
        <w:tc>
          <w:tcPr>
            <w:tcW w:w="6336" w:type="dxa"/>
            <w:tcBorders>
              <w:right w:val="nil"/>
            </w:tcBorders>
            <w:shd w:val="clear" w:color="auto" w:fill="FFFFFF"/>
          </w:tcPr>
          <w:p>
            <w:pPr>
              <w:pStyle w:val="TableParagraph"/>
              <w:spacing w:line="235" w:lineRule="auto" w:before="145"/>
              <w:ind w:right="264"/>
              <w:rPr>
                <w:sz w:val="20"/>
              </w:rPr>
            </w:pPr>
            <w:r>
              <w:rPr>
                <w:w w:val="120"/>
                <w:sz w:val="20"/>
              </w:rPr>
              <w:t>Assembly officers, nominations committee, human resources advisory group, Mission Council</w:t>
            </w:r>
          </w:p>
        </w:tc>
      </w:tr>
    </w:tbl>
    <w:p>
      <w:pPr>
        <w:pStyle w:val="BodyText"/>
        <w:rPr>
          <w:sz w:val="24"/>
        </w:rPr>
      </w:pPr>
    </w:p>
    <w:p>
      <w:pPr>
        <w:pStyle w:val="BodyText"/>
        <w:spacing w:before="156" w:after="27"/>
        <w:ind w:left="1984"/>
      </w:pPr>
      <w:r>
        <w:rPr>
          <w:w w:val="120"/>
        </w:rPr>
        <w:t>Summary of Impact</w:t>
      </w:r>
    </w:p>
    <w:tbl>
      <w:tblPr>
        <w:tblW w:w="0" w:type="auto"/>
        <w:jc w:val="left"/>
        <w:tblInd w:w="19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59"/>
        <w:gridCol w:w="6336"/>
      </w:tblGrid>
      <w:tr>
        <w:trPr>
          <w:trHeight w:val="440" w:hRule="atLeast"/>
        </w:trPr>
        <w:tc>
          <w:tcPr>
            <w:tcW w:w="2659"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336" w:type="dxa"/>
            <w:tcBorders>
              <w:right w:val="nil"/>
            </w:tcBorders>
            <w:shd w:val="clear" w:color="auto" w:fill="FFFFFF"/>
          </w:tcPr>
          <w:p>
            <w:pPr>
              <w:pStyle w:val="TableParagraph"/>
              <w:spacing w:before="141"/>
              <w:rPr>
                <w:sz w:val="20"/>
              </w:rPr>
            </w:pPr>
            <w:r>
              <w:rPr>
                <w:w w:val="120"/>
                <w:sz w:val="20"/>
              </w:rPr>
              <w:t>None</w:t>
            </w:r>
          </w:p>
        </w:tc>
      </w:tr>
      <w:tr>
        <w:trPr>
          <w:trHeight w:val="680" w:hRule="atLeast"/>
        </w:trPr>
        <w:tc>
          <w:tcPr>
            <w:tcW w:w="2659"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336" w:type="dxa"/>
            <w:tcBorders>
              <w:right w:val="nil"/>
            </w:tcBorders>
            <w:shd w:val="clear" w:color="auto" w:fill="FFFFFF"/>
          </w:tcPr>
          <w:p>
            <w:pPr>
              <w:pStyle w:val="TableParagraph"/>
              <w:spacing w:line="235" w:lineRule="auto" w:before="145"/>
              <w:ind w:right="318"/>
              <w:rPr>
                <w:sz w:val="20"/>
              </w:rPr>
            </w:pPr>
            <w:r>
              <w:rPr>
                <w:w w:val="120"/>
                <w:sz w:val="20"/>
              </w:rPr>
              <w:t>Clarifies which URC posts are open to applicants from partner churches</w:t>
            </w:r>
          </w:p>
        </w:tc>
      </w:tr>
    </w:tbl>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4"/>
        <w:rPr>
          <w:sz w:val="18"/>
        </w:rPr>
      </w:pPr>
    </w:p>
    <w:p>
      <w:pPr>
        <w:pStyle w:val="Heading8"/>
        <w:spacing w:before="0"/>
        <w:ind w:left="4519"/>
        <w:rPr>
          <w:rFonts w:ascii="Stone Sans II ITC Std X Bd" w:hAnsi="Stone Sans II ITC Std X Bd"/>
          <w:b/>
          <w:sz w:val="24"/>
        </w:rPr>
      </w:pP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2014 </w:t>
      </w:r>
      <w:r>
        <w:rPr>
          <w:rFonts w:ascii="Symbol" w:hAnsi="Symbol"/>
          <w:color w:val="7EAABF"/>
          <w:w w:val="110"/>
        </w:rPr>
        <w:t></w:t>
      </w:r>
      <w:r>
        <w:rPr>
          <w:rFonts w:ascii="Times New Roman" w:hAnsi="Times New Roman"/>
          <w:color w:val="7EAABF"/>
          <w:w w:val="110"/>
        </w:rPr>
        <w:t> </w:t>
      </w:r>
      <w:r>
        <w:rPr>
          <w:rFonts w:ascii="Stone Sans II ITC Std X Bd" w:hAnsi="Stone Sans II ITC Std X Bd"/>
          <w:b/>
          <w:w w:val="110"/>
          <w:sz w:val="24"/>
        </w:rPr>
        <w:t>35</w:t>
      </w:r>
    </w:p>
    <w:p>
      <w:pPr>
        <w:spacing w:after="0"/>
        <w:rPr>
          <w:rFonts w:ascii="Stone Sans II ITC Std X Bd" w:hAnsi="Stone Sans II ITC Std X Bd"/>
          <w:sz w:val="24"/>
        </w:rPr>
        <w:sectPr>
          <w:headerReference w:type="default" r:id="rId91"/>
          <w:footerReference w:type="default" r:id="rId92"/>
          <w:pgSz w:w="11910" w:h="16840"/>
          <w:pgMar w:header="0" w:footer="0" w:top="0" w:bottom="0" w:left="0" w:right="0"/>
        </w:sectPr>
      </w:pPr>
    </w:p>
    <w:p>
      <w:pPr>
        <w:pStyle w:val="BodyText"/>
        <w:rPr>
          <w:rFonts w:ascii="Stone Sans II ITC Std X Bd"/>
          <w:b/>
        </w:rPr>
      </w:pPr>
      <w:r>
        <w:rPr/>
        <w:drawing>
          <wp:anchor distT="0" distB="0" distL="0" distR="0" allowOverlap="1" layoutInCell="1" locked="0" behindDoc="0" simplePos="0" relativeHeight="251770880">
            <wp:simplePos x="0" y="0"/>
            <wp:positionH relativeFrom="page">
              <wp:posOffset>0</wp:posOffset>
            </wp:positionH>
            <wp:positionV relativeFrom="page">
              <wp:posOffset>0</wp:posOffset>
            </wp:positionV>
            <wp:extent cx="594067" cy="10692003"/>
            <wp:effectExtent l="0" t="0" r="0" b="0"/>
            <wp:wrapNone/>
            <wp:docPr id="65" name="image22.png"/>
            <wp:cNvGraphicFramePr>
              <a:graphicFrameLocks noChangeAspect="1"/>
            </wp:cNvGraphicFramePr>
            <a:graphic>
              <a:graphicData uri="http://schemas.openxmlformats.org/drawingml/2006/picture">
                <pic:pic>
                  <pic:nvPicPr>
                    <pic:cNvPr id="66" name="image22.png"/>
                    <pic:cNvPicPr/>
                  </pic:nvPicPr>
                  <pic:blipFill>
                    <a:blip r:embed="rId33" cstate="print"/>
                    <a:stretch>
                      <a:fillRect/>
                    </a:stretch>
                  </pic:blipFill>
                  <pic:spPr>
                    <a:xfrm>
                      <a:off x="0" y="0"/>
                      <a:ext cx="594067" cy="10692003"/>
                    </a:xfrm>
                    <a:prstGeom prst="rect">
                      <a:avLst/>
                    </a:prstGeom>
                  </pic:spPr>
                </pic:pic>
              </a:graphicData>
            </a:graphic>
          </wp:anchor>
        </w:drawing>
      </w:r>
    </w:p>
    <w:p>
      <w:pPr>
        <w:pStyle w:val="BodyText"/>
        <w:spacing w:before="7"/>
        <w:rPr>
          <w:rFonts w:ascii="Stone Sans II ITC Std X Bd"/>
          <w:b/>
          <w:sz w:val="17"/>
        </w:rPr>
      </w:pPr>
    </w:p>
    <w:p>
      <w:pPr>
        <w:spacing w:before="107"/>
        <w:ind w:left="1247" w:right="0" w:firstLine="0"/>
        <w:jc w:val="left"/>
        <w:rPr>
          <w:sz w:val="26"/>
        </w:rPr>
      </w:pPr>
      <w:r>
        <w:rPr/>
        <w:pict>
          <v:shape style="position:absolute;margin-left:20.519100pt;margin-top:22.643946pt;width:25.9pt;height:270.05pt;mso-position-horizontal-relative:page;mso-position-vertical-relative:paragraph;z-index:251772928" type="#_x0000_t202" filled="false" stroked="false">
            <v:textbox inset="0,0,0,0" style="layout-flow:vertical">
              <w:txbxContent>
                <w:p>
                  <w:pPr>
                    <w:spacing w:before="27"/>
                    <w:ind w:left="20" w:right="0" w:firstLine="0"/>
                    <w:jc w:val="left"/>
                    <w:rPr>
                      <w:sz w:val="39"/>
                    </w:rPr>
                  </w:pPr>
                  <w:r>
                    <w:rPr>
                      <w:color w:val="FFFFFF"/>
                      <w:spacing w:val="10"/>
                      <w:w w:val="120"/>
                      <w:sz w:val="39"/>
                    </w:rPr>
                    <w:t>Assembly-appointed</w:t>
                  </w:r>
                  <w:r>
                    <w:rPr>
                      <w:color w:val="FFFFFF"/>
                      <w:spacing w:val="88"/>
                      <w:w w:val="120"/>
                      <w:sz w:val="39"/>
                    </w:rPr>
                    <w:t> </w:t>
                  </w:r>
                  <w:r>
                    <w:rPr>
                      <w:color w:val="FFFFFF"/>
                      <w:spacing w:val="11"/>
                      <w:w w:val="120"/>
                      <w:sz w:val="39"/>
                    </w:rPr>
                    <w:t>posts</w:t>
                  </w:r>
                </w:p>
              </w:txbxContent>
            </v:textbox>
            <w10:wrap type="none"/>
          </v:shape>
        </w:pict>
      </w:r>
      <w:r>
        <w:rPr>
          <w:color w:val="7EAABF"/>
          <w:w w:val="120"/>
          <w:sz w:val="26"/>
        </w:rPr>
        <w:t>Mission Council</w:t>
      </w:r>
    </w:p>
    <w:p>
      <w:pPr>
        <w:spacing w:before="245"/>
        <w:ind w:left="1247" w:right="0" w:firstLine="0"/>
        <w:jc w:val="left"/>
        <w:rPr>
          <w:rFonts w:ascii="Stone Sans II ITC Std X Bd"/>
          <w:b/>
          <w:sz w:val="50"/>
        </w:rPr>
      </w:pPr>
      <w:r>
        <w:rPr>
          <w:rFonts w:ascii="Stone Sans II ITC Std X Bd"/>
          <w:b/>
          <w:w w:val="110"/>
          <w:sz w:val="50"/>
        </w:rPr>
        <w:t>Assembly-appointed posts</w:t>
      </w:r>
    </w:p>
    <w:p>
      <w:pPr>
        <w:pStyle w:val="ListParagraph"/>
        <w:numPr>
          <w:ilvl w:val="0"/>
          <w:numId w:val="19"/>
        </w:numPr>
        <w:tabs>
          <w:tab w:pos="1927" w:val="left" w:leader="none"/>
          <w:tab w:pos="1928" w:val="left" w:leader="none"/>
        </w:tabs>
        <w:spacing w:line="235" w:lineRule="auto" w:before="365" w:after="0"/>
        <w:ind w:left="1247" w:right="2146" w:firstLine="0"/>
        <w:jc w:val="left"/>
        <w:rPr>
          <w:sz w:val="20"/>
        </w:rPr>
      </w:pPr>
      <w:r>
        <w:rPr>
          <w:w w:val="120"/>
          <w:sz w:val="20"/>
        </w:rPr>
        <w:t>Confirmation is needed as to the list of posts which must be Assembly appointments as opposed to the various support roles filled internally at Church House. Assembly-appointed posts are those which have been created by resolution of General Assembly </w:t>
      </w:r>
      <w:r>
        <w:rPr>
          <w:spacing w:val="-6"/>
          <w:w w:val="120"/>
          <w:sz w:val="20"/>
        </w:rPr>
        <w:t>(or </w:t>
      </w:r>
      <w:r>
        <w:rPr>
          <w:w w:val="120"/>
          <w:sz w:val="20"/>
        </w:rPr>
        <w:t>Mission Council acting on behalf of General Assembly). This list was last updated formally in </w:t>
      </w:r>
      <w:r>
        <w:rPr>
          <w:spacing w:val="-5"/>
          <w:w w:val="120"/>
          <w:sz w:val="20"/>
        </w:rPr>
        <w:t>1996 </w:t>
      </w:r>
      <w:r>
        <w:rPr>
          <w:w w:val="120"/>
          <w:sz w:val="20"/>
        </w:rPr>
        <w:t>in an annex to the nominations committee </w:t>
      </w:r>
      <w:r>
        <w:rPr>
          <w:spacing w:val="2"/>
          <w:w w:val="120"/>
          <w:sz w:val="20"/>
        </w:rPr>
        <w:t>report </w:t>
      </w:r>
      <w:r>
        <w:rPr>
          <w:w w:val="120"/>
          <w:sz w:val="20"/>
        </w:rPr>
        <w:t>to the Assembly, although some of the changes in this version derive from more recent understandings operating in that committee. Clarity is also needed as to which posts require that the post holder be a member of the United Reformed Church or one of its partner</w:t>
      </w:r>
      <w:r>
        <w:rPr>
          <w:spacing w:val="2"/>
          <w:w w:val="120"/>
          <w:sz w:val="20"/>
        </w:rPr>
        <w:t> </w:t>
      </w:r>
      <w:r>
        <w:rPr>
          <w:w w:val="120"/>
          <w:sz w:val="20"/>
        </w:rPr>
        <w:t>Churches.</w:t>
      </w:r>
    </w:p>
    <w:p>
      <w:pPr>
        <w:pStyle w:val="BodyText"/>
        <w:spacing w:before="2"/>
      </w:pPr>
    </w:p>
    <w:p>
      <w:pPr>
        <w:pStyle w:val="ListParagraph"/>
        <w:numPr>
          <w:ilvl w:val="0"/>
          <w:numId w:val="19"/>
        </w:numPr>
        <w:tabs>
          <w:tab w:pos="1927" w:val="left" w:leader="none"/>
          <w:tab w:pos="1928" w:val="left" w:leader="none"/>
        </w:tabs>
        <w:spacing w:line="235" w:lineRule="auto" w:before="0" w:after="0"/>
        <w:ind w:left="1247" w:right="2334" w:firstLine="0"/>
        <w:jc w:val="left"/>
        <w:rPr>
          <w:sz w:val="20"/>
        </w:rPr>
      </w:pPr>
      <w:r>
        <w:rPr>
          <w:spacing w:val="-7"/>
          <w:w w:val="120"/>
          <w:sz w:val="20"/>
        </w:rPr>
        <w:t>To </w:t>
      </w:r>
      <w:r>
        <w:rPr>
          <w:w w:val="120"/>
          <w:sz w:val="20"/>
        </w:rPr>
        <w:t>avoid confusion, it may be helpful to note that people are appointed to Assembly-appointed posts in three ways: They may be appointed by Assembly itself; they may be appointed by Mission Council acting on behalf of General Assembly; and, in most cases they may be confirmed by appointing groups, as authorised in resolution </w:t>
      </w:r>
      <w:r>
        <w:rPr>
          <w:spacing w:val="-8"/>
          <w:w w:val="120"/>
          <w:sz w:val="20"/>
        </w:rPr>
        <w:t>16 </w:t>
      </w:r>
      <w:r>
        <w:rPr>
          <w:w w:val="120"/>
          <w:sz w:val="20"/>
        </w:rPr>
        <w:t>of the </w:t>
      </w:r>
      <w:r>
        <w:rPr>
          <w:spacing w:val="-6"/>
          <w:w w:val="120"/>
          <w:sz w:val="20"/>
        </w:rPr>
        <w:t>2010</w:t>
      </w:r>
      <w:r>
        <w:rPr>
          <w:spacing w:val="19"/>
          <w:w w:val="120"/>
          <w:sz w:val="20"/>
        </w:rPr>
        <w:t> </w:t>
      </w:r>
      <w:r>
        <w:rPr>
          <w:w w:val="120"/>
          <w:sz w:val="20"/>
        </w:rPr>
        <w:t>Assembly:</w:t>
      </w:r>
    </w:p>
    <w:p>
      <w:pPr>
        <w:pStyle w:val="BodyText"/>
      </w:pPr>
    </w:p>
    <w:p>
      <w:pPr>
        <w:pStyle w:val="BodyText"/>
        <w:spacing w:line="235" w:lineRule="auto"/>
        <w:ind w:left="1247" w:right="1876"/>
      </w:pPr>
      <w:r>
        <w:rPr>
          <w:w w:val="120"/>
        </w:rPr>
        <w:t>“General Assembly agrees that the power to appoint Assembly staff members, other  than officers of Assembly and Synod Moderators, shall be delegated to appointing   groups duly appointed so long as appropriate processes and employment and related criteria have been met. All such appointments shall have effect from the date determined by the appointing group, and shall be reported to the next meeting of Mission Council    or General</w:t>
      </w:r>
      <w:r>
        <w:rPr>
          <w:spacing w:val="3"/>
          <w:w w:val="120"/>
        </w:rPr>
        <w:t> </w:t>
      </w:r>
      <w:r>
        <w:rPr>
          <w:w w:val="120"/>
        </w:rPr>
        <w:t>Assembly.”</w:t>
      </w:r>
    </w:p>
    <w:p>
      <w:pPr>
        <w:pStyle w:val="BodyText"/>
      </w:pPr>
    </w:p>
    <w:p>
      <w:pPr>
        <w:pStyle w:val="ListParagraph"/>
        <w:numPr>
          <w:ilvl w:val="0"/>
          <w:numId w:val="20"/>
        </w:numPr>
        <w:tabs>
          <w:tab w:pos="1927" w:val="left" w:leader="none"/>
          <w:tab w:pos="1928" w:val="left" w:leader="none"/>
        </w:tabs>
        <w:spacing w:line="235" w:lineRule="auto" w:before="0" w:after="0"/>
        <w:ind w:left="1247" w:right="1827" w:firstLine="0"/>
        <w:jc w:val="left"/>
        <w:rPr>
          <w:sz w:val="20"/>
        </w:rPr>
      </w:pPr>
      <w:r>
        <w:rPr>
          <w:w w:val="120"/>
          <w:sz w:val="20"/>
        </w:rPr>
        <w:t>The Assembly also has a role in the appointment of members of the United Reformed Church Trust and the board of governors of Westminster College, but these are beyond the scope of this</w:t>
      </w:r>
      <w:r>
        <w:rPr>
          <w:spacing w:val="10"/>
          <w:w w:val="120"/>
          <w:sz w:val="20"/>
        </w:rPr>
        <w:t> </w:t>
      </w:r>
      <w:r>
        <w:rPr>
          <w:w w:val="120"/>
          <w:sz w:val="20"/>
        </w:rPr>
        <w:t>paper.</w:t>
      </w:r>
    </w:p>
    <w:p>
      <w:pPr>
        <w:pStyle w:val="BodyText"/>
        <w:spacing w:before="10"/>
        <w:rPr>
          <w:sz w:val="19"/>
        </w:rPr>
      </w:pPr>
    </w:p>
    <w:p>
      <w:pPr>
        <w:pStyle w:val="ListParagraph"/>
        <w:numPr>
          <w:ilvl w:val="0"/>
          <w:numId w:val="20"/>
        </w:numPr>
        <w:tabs>
          <w:tab w:pos="1927" w:val="left" w:leader="none"/>
          <w:tab w:pos="1928" w:val="left" w:leader="none"/>
        </w:tabs>
        <w:spacing w:line="235" w:lineRule="auto" w:before="1" w:after="0"/>
        <w:ind w:left="1247" w:right="1802" w:firstLine="0"/>
        <w:jc w:val="left"/>
        <w:rPr>
          <w:sz w:val="20"/>
        </w:rPr>
      </w:pPr>
      <w:r>
        <w:rPr>
          <w:w w:val="120"/>
          <w:sz w:val="20"/>
        </w:rPr>
        <w:t>The human resources advisory group advises that there is no genuine occupational requirement for the chief finance officer to be a Christian; it would be sufficient for the post holder to be willing to work within the Christian ethos of the Church. This post has therefore been removed from the list of Assembly</w:t>
      </w:r>
      <w:r>
        <w:rPr>
          <w:spacing w:val="15"/>
          <w:w w:val="120"/>
          <w:sz w:val="20"/>
        </w:rPr>
        <w:t> </w:t>
      </w:r>
      <w:r>
        <w:rPr>
          <w:w w:val="120"/>
          <w:sz w:val="20"/>
        </w:rPr>
        <w:t>appointments.</w:t>
      </w:r>
    </w:p>
    <w:p>
      <w:pPr>
        <w:spacing w:before="215"/>
        <w:ind w:left="1247" w:right="0" w:firstLine="0"/>
        <w:jc w:val="left"/>
        <w:rPr>
          <w:rFonts w:ascii="Stone Sans II ITC Std Bk"/>
          <w:b/>
          <w:sz w:val="29"/>
        </w:rPr>
      </w:pPr>
      <w:r>
        <w:rPr/>
        <w:pict>
          <v:line style="position:absolute;mso-position-horizontal-relative:page;mso-position-vertical-relative:paragraph;z-index:251771904" from="56.818802pt,13.125286pt" to="56.818802pt,298.006286pt" stroked="true" strokeweight="4pt" strokecolor="#b0cbd9">
            <v:stroke dashstyle="solid"/>
            <w10:wrap type="none"/>
          </v:line>
        </w:pict>
      </w:r>
      <w:r>
        <w:rPr>
          <w:rFonts w:ascii="Stone Sans II ITC Std Bk"/>
          <w:b/>
          <w:w w:val="110"/>
          <w:sz w:val="29"/>
        </w:rPr>
        <w:t>Resolution</w:t>
      </w:r>
    </w:p>
    <w:p>
      <w:pPr>
        <w:pStyle w:val="BodyText"/>
        <w:tabs>
          <w:tab w:pos="1927" w:val="left" w:leader="none"/>
        </w:tabs>
        <w:spacing w:before="53"/>
        <w:ind w:left="1247"/>
        <w:rPr>
          <w:rFonts w:ascii="Stone Sans II ITC Std Sm"/>
          <w:b/>
        </w:rPr>
      </w:pPr>
      <w:r>
        <w:rPr>
          <w:rFonts w:ascii="Stone Sans II ITC Std Sm"/>
          <w:b/>
          <w:spacing w:val="-9"/>
          <w:w w:val="110"/>
        </w:rPr>
        <w:t>1)</w:t>
        <w:tab/>
      </w:r>
      <w:r>
        <w:rPr>
          <w:rFonts w:ascii="Stone Sans II ITC Std Sm"/>
          <w:b/>
          <w:w w:val="110"/>
        </w:rPr>
        <w:t>General Assembly agrees that the Assembly-appointed posts are as</w:t>
      </w:r>
      <w:r>
        <w:rPr>
          <w:rFonts w:ascii="Stone Sans II ITC Std Sm"/>
          <w:b/>
          <w:spacing w:val="-1"/>
          <w:w w:val="110"/>
        </w:rPr>
        <w:t> </w:t>
      </w:r>
      <w:r>
        <w:rPr>
          <w:rFonts w:ascii="Stone Sans II ITC Std Sm"/>
          <w:b/>
          <w:w w:val="110"/>
        </w:rPr>
        <w:t>follows:</w:t>
      </w:r>
    </w:p>
    <w:p>
      <w:pPr>
        <w:pStyle w:val="BodyText"/>
        <w:spacing w:line="255" w:lineRule="exact" w:before="209"/>
        <w:ind w:left="1927"/>
        <w:rPr>
          <w:rFonts w:ascii="Stone Sans II ITC Std Sm"/>
          <w:b/>
        </w:rPr>
      </w:pPr>
      <w:r>
        <w:rPr>
          <w:rFonts w:ascii="Stone Sans II ITC Std Sm"/>
          <w:b/>
          <w:w w:val="110"/>
        </w:rPr>
        <w:t>General secretary</w:t>
      </w:r>
    </w:p>
    <w:p>
      <w:pPr>
        <w:pStyle w:val="BodyText"/>
        <w:spacing w:line="213" w:lineRule="auto" w:before="7"/>
        <w:ind w:left="1927" w:right="5691"/>
        <w:rPr>
          <w:rFonts w:ascii="Stone Sans II ITC Std Sm"/>
          <w:b/>
        </w:rPr>
      </w:pPr>
      <w:r>
        <w:rPr>
          <w:rFonts w:ascii="Stone Sans II ITC Std Sm"/>
          <w:b/>
          <w:w w:val="110"/>
        </w:rPr>
        <w:t>Deputy general secretary discipleship Deputy general secretary mission</w:t>
      </w:r>
    </w:p>
    <w:p>
      <w:pPr>
        <w:pStyle w:val="BodyText"/>
        <w:spacing w:line="213" w:lineRule="auto"/>
        <w:ind w:left="1927" w:right="4235"/>
        <w:rPr>
          <w:rFonts w:ascii="Stone Sans II ITC Std Sm" w:hAnsi="Stone Sans II ITC Std Sm"/>
          <w:b/>
        </w:rPr>
      </w:pPr>
      <w:r>
        <w:rPr>
          <w:rFonts w:ascii="Stone Sans II ITC Std Sm" w:hAnsi="Stone Sans II ITC Std Sm"/>
          <w:b/>
          <w:w w:val="110"/>
        </w:rPr>
        <w:t>Deputy general secretary administration and resources Head of children’s and youth work development Secretary for church and society</w:t>
      </w:r>
    </w:p>
    <w:p>
      <w:pPr>
        <w:pStyle w:val="BodyText"/>
        <w:spacing w:line="213" w:lineRule="auto"/>
        <w:ind w:left="1927" w:right="3769"/>
        <w:rPr>
          <w:rFonts w:ascii="Stone Sans II ITC Std Sm"/>
          <w:b/>
        </w:rPr>
      </w:pPr>
      <w:r>
        <w:rPr>
          <w:rFonts w:ascii="Stone Sans II ITC Std Sm"/>
          <w:b/>
          <w:w w:val="110"/>
        </w:rPr>
        <w:t>Church related community worker development worker(s) Director of communications</w:t>
      </w:r>
    </w:p>
    <w:p>
      <w:pPr>
        <w:pStyle w:val="BodyText"/>
        <w:spacing w:line="213" w:lineRule="auto"/>
        <w:ind w:left="1927" w:right="5691"/>
        <w:rPr>
          <w:rFonts w:ascii="Stone Sans II ITC Std Sm"/>
          <w:b/>
        </w:rPr>
      </w:pPr>
      <w:r>
        <w:rPr>
          <w:rFonts w:ascii="Stone Sans II ITC Std Sm"/>
          <w:b/>
          <w:w w:val="110"/>
        </w:rPr>
        <w:t>Secretary for ecumenical relations Secretary for education and learning Secretary for ministries</w:t>
      </w:r>
    </w:p>
    <w:p>
      <w:pPr>
        <w:pStyle w:val="BodyText"/>
        <w:spacing w:line="231" w:lineRule="exact"/>
        <w:ind w:left="1927"/>
        <w:rPr>
          <w:rFonts w:ascii="Stone Sans II ITC Std Sm"/>
          <w:b/>
        </w:rPr>
      </w:pPr>
      <w:r>
        <w:rPr>
          <w:rFonts w:ascii="Stone Sans II ITC Std Sm"/>
          <w:b/>
          <w:w w:val="110"/>
        </w:rPr>
        <w:t>Secretary for mission</w:t>
      </w:r>
    </w:p>
    <w:p>
      <w:pPr>
        <w:pStyle w:val="BodyText"/>
        <w:spacing w:line="213" w:lineRule="auto" w:before="3"/>
        <w:ind w:left="1927" w:right="4235"/>
        <w:rPr>
          <w:rFonts w:ascii="Stone Sans II ITC Std Sm"/>
          <w:b/>
          <w:i/>
        </w:rPr>
      </w:pPr>
      <w:r>
        <w:rPr>
          <w:rFonts w:ascii="Stone Sans II ITC Std Sm"/>
          <w:b/>
          <w:w w:val="110"/>
        </w:rPr>
        <w:t>Secretary for racial justice and intercultural ministry Editor, </w:t>
      </w:r>
      <w:r>
        <w:rPr>
          <w:rFonts w:ascii="Stone Sans II ITC Std Sm"/>
          <w:b/>
          <w:i/>
          <w:w w:val="110"/>
        </w:rPr>
        <w:t>Reform</w:t>
      </w:r>
    </w:p>
    <w:p>
      <w:pPr>
        <w:pStyle w:val="BodyText"/>
        <w:spacing w:line="232" w:lineRule="exact"/>
        <w:ind w:left="1927"/>
        <w:rPr>
          <w:rFonts w:ascii="Stone Sans II ITC Std Sm"/>
          <w:b/>
        </w:rPr>
      </w:pPr>
      <w:r>
        <w:rPr>
          <w:rFonts w:ascii="Stone Sans II ITC Std Sm"/>
          <w:b/>
          <w:w w:val="110"/>
        </w:rPr>
        <w:t>National rural officer</w:t>
      </w:r>
    </w:p>
    <w:p>
      <w:pPr>
        <w:pStyle w:val="BodyText"/>
        <w:spacing w:line="213" w:lineRule="auto" w:before="7"/>
        <w:ind w:left="1927" w:right="5691"/>
        <w:rPr>
          <w:rFonts w:ascii="Stone Sans II ITC Std Sm"/>
          <w:b/>
        </w:rPr>
      </w:pPr>
      <w:r>
        <w:rPr>
          <w:rFonts w:ascii="Stone Sans II ITC Std Sm"/>
          <w:b/>
          <w:w w:val="110"/>
        </w:rPr>
        <w:t>Secretary for world church relations Synod moderators</w:t>
      </w:r>
    </w:p>
    <w:p>
      <w:pPr>
        <w:pStyle w:val="BodyText"/>
        <w:spacing w:line="232" w:lineRule="exact"/>
        <w:ind w:left="1927"/>
        <w:rPr>
          <w:rFonts w:ascii="Stone Sans II ITC Std Sm"/>
          <w:b/>
        </w:rPr>
      </w:pPr>
      <w:r>
        <w:rPr>
          <w:rFonts w:ascii="Stone Sans II ITC Std Sm"/>
          <w:b/>
          <w:w w:val="110"/>
        </w:rPr>
        <w:t>Principal of Westminster College</w:t>
      </w:r>
    </w:p>
    <w:p>
      <w:pPr>
        <w:pStyle w:val="BodyText"/>
        <w:spacing w:line="213" w:lineRule="auto" w:before="7"/>
        <w:ind w:left="1927" w:right="5293"/>
        <w:rPr>
          <w:rFonts w:ascii="Stone Sans II ITC Std Sm"/>
          <w:b/>
        </w:rPr>
      </w:pPr>
      <w:r>
        <w:rPr>
          <w:rFonts w:ascii="Stone Sans II ITC Std Sm"/>
          <w:b/>
          <w:w w:val="110"/>
        </w:rPr>
        <w:t>Members of the Westminster College Senatus Director of the Windermere Centre</w:t>
      </w:r>
    </w:p>
    <w:p>
      <w:pPr>
        <w:pStyle w:val="BodyText"/>
        <w:spacing w:before="11"/>
        <w:rPr>
          <w:rFonts w:ascii="Stone Sans II ITC Std Sm"/>
          <w:b/>
          <w:sz w:val="18"/>
        </w:rPr>
      </w:pPr>
    </w:p>
    <w:p>
      <w:pPr>
        <w:pStyle w:val="Heading8"/>
        <w:spacing w:before="97"/>
        <w:ind w:left="1247"/>
      </w:pPr>
      <w:r>
        <w:rPr>
          <w:rFonts w:ascii="Stone Sans II ITC Std X Bd" w:hAnsi="Stone Sans II ITC Std X Bd"/>
          <w:b/>
          <w:w w:val="110"/>
          <w:sz w:val="24"/>
        </w:rPr>
        <w:t>36 </w:t>
      </w:r>
      <w:r>
        <w:rPr>
          <w:rFonts w:ascii="Symbol" w:hAnsi="Symbol"/>
          <w:color w:val="7EAABF"/>
          <w:w w:val="110"/>
        </w:rPr>
        <w:t></w:t>
      </w:r>
      <w:r>
        <w:rPr>
          <w:rFonts w:ascii="Times New Roman" w:hAnsi="Times New Roman"/>
          <w:color w:val="7EAABF"/>
          <w:w w:val="110"/>
        </w:rPr>
        <w:t> </w:t>
      </w: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2014</w:t>
      </w:r>
    </w:p>
    <w:p>
      <w:pPr>
        <w:spacing w:after="0"/>
        <w:sectPr>
          <w:headerReference w:type="even" r:id="rId93"/>
          <w:footerReference w:type="even" r:id="rId94"/>
          <w:pgSz w:w="11910" w:h="16840"/>
          <w:pgMar w:header="0" w:footer="0" w:top="0" w:bottom="0" w:left="0" w:right="0"/>
        </w:sectPr>
      </w:pPr>
    </w:p>
    <w:p>
      <w:pPr>
        <w:pStyle w:val="BodyText"/>
      </w:pPr>
      <w:r>
        <w:rPr/>
        <w:drawing>
          <wp:anchor distT="0" distB="0" distL="0" distR="0" allowOverlap="1" layoutInCell="1" locked="0" behindDoc="0" simplePos="0" relativeHeight="251773952">
            <wp:simplePos x="0" y="0"/>
            <wp:positionH relativeFrom="page">
              <wp:posOffset>6974928</wp:posOffset>
            </wp:positionH>
            <wp:positionV relativeFrom="page">
              <wp:posOffset>0</wp:posOffset>
            </wp:positionV>
            <wp:extent cx="585076" cy="10692003"/>
            <wp:effectExtent l="0" t="0" r="0" b="0"/>
            <wp:wrapNone/>
            <wp:docPr id="67" name="image23.png"/>
            <wp:cNvGraphicFramePr>
              <a:graphicFrameLocks noChangeAspect="1"/>
            </wp:cNvGraphicFramePr>
            <a:graphic>
              <a:graphicData uri="http://schemas.openxmlformats.org/drawingml/2006/picture">
                <pic:pic>
                  <pic:nvPicPr>
                    <pic:cNvPr id="68" name="image23.png"/>
                    <pic:cNvPicPr/>
                  </pic:nvPicPr>
                  <pic:blipFill>
                    <a:blip r:embed="rId35" cstate="print"/>
                    <a:stretch>
                      <a:fillRect/>
                    </a:stretch>
                  </pic:blipFill>
                  <pic:spPr>
                    <a:xfrm>
                      <a:off x="0" y="0"/>
                      <a:ext cx="585076"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270.05pt;mso-position-horizontal-relative:page;mso-position-vertical-relative:paragraph;z-index:251776000" type="#_x0000_t202" filled="false" stroked="false">
            <v:textbox inset="0,0,0,0" style="layout-flow:vertical">
              <w:txbxContent>
                <w:p>
                  <w:pPr>
                    <w:spacing w:before="27"/>
                    <w:ind w:left="20" w:right="0" w:firstLine="0"/>
                    <w:jc w:val="left"/>
                    <w:rPr>
                      <w:sz w:val="39"/>
                    </w:rPr>
                  </w:pPr>
                  <w:r>
                    <w:rPr>
                      <w:color w:val="FFFFFF"/>
                      <w:spacing w:val="10"/>
                      <w:w w:val="120"/>
                      <w:sz w:val="39"/>
                    </w:rPr>
                    <w:t>Assembly-appointed</w:t>
                  </w:r>
                  <w:r>
                    <w:rPr>
                      <w:color w:val="FFFFFF"/>
                      <w:spacing w:val="88"/>
                      <w:w w:val="120"/>
                      <w:sz w:val="39"/>
                    </w:rPr>
                    <w:t> </w:t>
                  </w:r>
                  <w:r>
                    <w:rPr>
                      <w:color w:val="FFFFFF"/>
                      <w:spacing w:val="11"/>
                      <w:w w:val="120"/>
                      <w:sz w:val="39"/>
                    </w:rPr>
                    <w:t>posts</w:t>
                  </w:r>
                </w:p>
              </w:txbxContent>
            </v:textbox>
            <w10:wrap type="none"/>
          </v:shape>
        </w:pict>
      </w:r>
      <w:r>
        <w:rPr>
          <w:color w:val="7EAABF"/>
          <w:w w:val="120"/>
          <w:sz w:val="26"/>
        </w:rPr>
        <w:t>Mission Council</w:t>
      </w:r>
    </w:p>
    <w:p>
      <w:pPr>
        <w:pStyle w:val="BodyText"/>
        <w:spacing w:before="3"/>
        <w:rPr>
          <w:sz w:val="38"/>
        </w:rPr>
      </w:pPr>
    </w:p>
    <w:p>
      <w:pPr>
        <w:pStyle w:val="BodyText"/>
        <w:tabs>
          <w:tab w:pos="2664" w:val="left" w:leader="none"/>
        </w:tabs>
        <w:spacing w:line="213" w:lineRule="auto" w:before="1"/>
        <w:ind w:left="1984" w:right="1826"/>
        <w:rPr>
          <w:rFonts w:ascii="Stone Sans II ITC Std Sm"/>
          <w:b/>
        </w:rPr>
      </w:pPr>
      <w:r>
        <w:rPr/>
        <w:pict>
          <v:line style="position:absolute;mso-position-horizontal-relative:page;mso-position-vertical-relative:paragraph;z-index:251774976" from="89.874001pt,-1.325979pt" to="89.874001pt,310.485021pt" stroked="true" strokeweight="4pt" strokecolor="#b0cbd9">
            <v:stroke dashstyle="solid"/>
            <w10:wrap type="none"/>
          </v:line>
        </w:pict>
      </w:r>
      <w:r>
        <w:rPr>
          <w:rFonts w:ascii="Stone Sans II ITC Std Sm"/>
          <w:b/>
          <w:spacing w:val="-5"/>
          <w:w w:val="110"/>
        </w:rPr>
        <w:t>2a)</w:t>
        <w:tab/>
      </w:r>
      <w:r>
        <w:rPr>
          <w:rFonts w:ascii="Stone Sans II ITC Std Sm"/>
          <w:b/>
          <w:w w:val="110"/>
        </w:rPr>
        <w:t>Assembly confirms that the following posts are restricted to ministers of Word and sacraments of the</w:t>
      </w:r>
      <w:r>
        <w:rPr>
          <w:rFonts w:ascii="Stone Sans II ITC Std Sm"/>
          <w:b/>
          <w:spacing w:val="-1"/>
          <w:w w:val="110"/>
        </w:rPr>
        <w:t> </w:t>
      </w:r>
      <w:r>
        <w:rPr>
          <w:rFonts w:ascii="Stone Sans II ITC Std Sm"/>
          <w:b/>
          <w:w w:val="110"/>
        </w:rPr>
        <w:t>URC:</w:t>
      </w:r>
    </w:p>
    <w:p>
      <w:pPr>
        <w:pStyle w:val="BodyText"/>
        <w:spacing w:before="8"/>
        <w:rPr>
          <w:rFonts w:ascii="Stone Sans II ITC Std Sm"/>
          <w:b/>
          <w:sz w:val="17"/>
        </w:rPr>
      </w:pPr>
    </w:p>
    <w:p>
      <w:pPr>
        <w:pStyle w:val="BodyText"/>
        <w:spacing w:line="213" w:lineRule="auto" w:before="1"/>
        <w:ind w:left="2664" w:right="6841"/>
        <w:rPr>
          <w:rFonts w:ascii="Stone Sans II ITC Std Sm"/>
          <w:b/>
        </w:rPr>
      </w:pPr>
      <w:r>
        <w:rPr>
          <w:rFonts w:ascii="Stone Sans II ITC Std Sm"/>
          <w:b/>
          <w:w w:val="110"/>
        </w:rPr>
        <w:t>General secretary Secretary for ministries Synod moderators</w:t>
      </w:r>
    </w:p>
    <w:p>
      <w:pPr>
        <w:pStyle w:val="BodyText"/>
        <w:spacing w:before="8"/>
        <w:rPr>
          <w:rFonts w:ascii="Stone Sans II ITC Std Sm"/>
          <w:b/>
          <w:sz w:val="17"/>
        </w:rPr>
      </w:pPr>
    </w:p>
    <w:p>
      <w:pPr>
        <w:pStyle w:val="BodyText"/>
        <w:tabs>
          <w:tab w:pos="2664" w:val="left" w:leader="none"/>
        </w:tabs>
        <w:spacing w:line="213" w:lineRule="auto"/>
        <w:ind w:left="1984" w:right="1665"/>
        <w:rPr>
          <w:rFonts w:ascii="Stone Sans II ITC Std Sm"/>
          <w:b/>
        </w:rPr>
      </w:pPr>
      <w:r>
        <w:rPr>
          <w:rFonts w:ascii="Stone Sans II ITC Std Sm"/>
          <w:b/>
          <w:spacing w:val="-6"/>
          <w:w w:val="110"/>
        </w:rPr>
        <w:t>2b)</w:t>
        <w:tab/>
      </w:r>
      <w:r>
        <w:rPr>
          <w:rFonts w:ascii="Stone Sans II ITC Std Sm"/>
          <w:b/>
          <w:w w:val="110"/>
        </w:rPr>
        <w:t>Assembly confirms that the following post is restricted to members of the URC:</w:t>
      </w:r>
    </w:p>
    <w:p>
      <w:pPr>
        <w:pStyle w:val="BodyText"/>
        <w:spacing w:before="4"/>
        <w:rPr>
          <w:rFonts w:ascii="Stone Sans II ITC Std Sm"/>
          <w:b/>
          <w:sz w:val="9"/>
        </w:rPr>
      </w:pPr>
    </w:p>
    <w:p>
      <w:pPr>
        <w:pStyle w:val="BodyText"/>
        <w:spacing w:before="90"/>
        <w:ind w:left="2664"/>
        <w:rPr>
          <w:rFonts w:ascii="Stone Sans II ITC Std Sm"/>
          <w:b/>
        </w:rPr>
      </w:pPr>
      <w:r>
        <w:rPr>
          <w:rFonts w:ascii="Stone Sans II ITC Std Sm"/>
          <w:b/>
          <w:w w:val="110"/>
        </w:rPr>
        <w:t>Secretary for ecumenical relations</w:t>
      </w:r>
    </w:p>
    <w:p>
      <w:pPr>
        <w:pStyle w:val="BodyText"/>
        <w:spacing w:before="2"/>
        <w:rPr>
          <w:rFonts w:ascii="Stone Sans II ITC Std Sm"/>
          <w:b/>
          <w:sz w:val="17"/>
        </w:rPr>
      </w:pPr>
    </w:p>
    <w:p>
      <w:pPr>
        <w:pStyle w:val="BodyText"/>
        <w:tabs>
          <w:tab w:pos="2664" w:val="left" w:leader="none"/>
        </w:tabs>
        <w:spacing w:line="213" w:lineRule="auto"/>
        <w:ind w:left="1984" w:right="1326"/>
        <w:rPr>
          <w:rFonts w:ascii="Stone Sans II ITC Std Sm"/>
          <w:b/>
        </w:rPr>
      </w:pPr>
      <w:r>
        <w:rPr>
          <w:rFonts w:ascii="Stone Sans II ITC Std Sm"/>
          <w:b/>
          <w:spacing w:val="-6"/>
          <w:w w:val="110"/>
        </w:rPr>
        <w:t>2c)</w:t>
        <w:tab/>
      </w:r>
      <w:r>
        <w:rPr>
          <w:rFonts w:ascii="Stone Sans II ITC Std Sm"/>
          <w:b/>
          <w:w w:val="110"/>
        </w:rPr>
        <w:t>Assembly confirms that the following posts are restricted to members of the URC and to members of those Churches which belong to one or more of the three world bodies: the World Communion of Reformed Churches, (WCRC), the Disciples Ecumenical</w:t>
      </w:r>
      <w:r>
        <w:rPr>
          <w:rFonts w:ascii="Stone Sans II ITC Std Sm"/>
          <w:b/>
          <w:spacing w:val="-5"/>
          <w:w w:val="110"/>
        </w:rPr>
        <w:t> </w:t>
      </w:r>
      <w:r>
        <w:rPr>
          <w:rFonts w:ascii="Stone Sans II ITC Std Sm"/>
          <w:b/>
          <w:w w:val="110"/>
        </w:rPr>
        <w:t>Consultative</w:t>
      </w:r>
      <w:r>
        <w:rPr>
          <w:rFonts w:ascii="Stone Sans II ITC Std Sm"/>
          <w:b/>
          <w:spacing w:val="-5"/>
          <w:w w:val="110"/>
        </w:rPr>
        <w:t> </w:t>
      </w:r>
      <w:r>
        <w:rPr>
          <w:rFonts w:ascii="Stone Sans II ITC Std Sm"/>
          <w:b/>
          <w:w w:val="110"/>
        </w:rPr>
        <w:t>Council</w:t>
      </w:r>
      <w:r>
        <w:rPr>
          <w:rFonts w:ascii="Stone Sans II ITC Std Sm"/>
          <w:b/>
          <w:spacing w:val="-4"/>
          <w:w w:val="110"/>
        </w:rPr>
        <w:t> </w:t>
      </w:r>
      <w:r>
        <w:rPr>
          <w:rFonts w:ascii="Stone Sans II ITC Std Sm"/>
          <w:b/>
          <w:w w:val="110"/>
        </w:rPr>
        <w:t>(DECC)</w:t>
      </w:r>
      <w:r>
        <w:rPr>
          <w:rFonts w:ascii="Stone Sans II ITC Std Sm"/>
          <w:b/>
          <w:spacing w:val="-5"/>
          <w:w w:val="110"/>
        </w:rPr>
        <w:t> </w:t>
      </w:r>
      <w:r>
        <w:rPr>
          <w:rFonts w:ascii="Stone Sans II ITC Std Sm"/>
          <w:b/>
          <w:w w:val="110"/>
        </w:rPr>
        <w:t>and</w:t>
      </w:r>
      <w:r>
        <w:rPr>
          <w:rFonts w:ascii="Stone Sans II ITC Std Sm"/>
          <w:b/>
          <w:spacing w:val="-4"/>
          <w:w w:val="110"/>
        </w:rPr>
        <w:t> </w:t>
      </w:r>
      <w:r>
        <w:rPr>
          <w:rFonts w:ascii="Stone Sans II ITC Std Sm"/>
          <w:b/>
          <w:w w:val="110"/>
        </w:rPr>
        <w:t>the</w:t>
      </w:r>
      <w:r>
        <w:rPr>
          <w:rFonts w:ascii="Stone Sans II ITC Std Sm"/>
          <w:b/>
          <w:spacing w:val="-5"/>
          <w:w w:val="110"/>
        </w:rPr>
        <w:t> </w:t>
      </w:r>
      <w:r>
        <w:rPr>
          <w:rFonts w:ascii="Stone Sans II ITC Std Sm"/>
          <w:b/>
          <w:w w:val="110"/>
        </w:rPr>
        <w:t>Council</w:t>
      </w:r>
      <w:r>
        <w:rPr>
          <w:rFonts w:ascii="Stone Sans II ITC Std Sm"/>
          <w:b/>
          <w:spacing w:val="-4"/>
          <w:w w:val="110"/>
        </w:rPr>
        <w:t> </w:t>
      </w:r>
      <w:r>
        <w:rPr>
          <w:rFonts w:ascii="Stone Sans II ITC Std Sm"/>
          <w:b/>
          <w:w w:val="110"/>
        </w:rPr>
        <w:t>for</w:t>
      </w:r>
      <w:r>
        <w:rPr>
          <w:rFonts w:ascii="Stone Sans II ITC Std Sm"/>
          <w:b/>
          <w:spacing w:val="-5"/>
          <w:w w:val="110"/>
        </w:rPr>
        <w:t> </w:t>
      </w:r>
      <w:r>
        <w:rPr>
          <w:rFonts w:ascii="Stone Sans II ITC Std Sm"/>
          <w:b/>
          <w:w w:val="110"/>
        </w:rPr>
        <w:t>World</w:t>
      </w:r>
      <w:r>
        <w:rPr>
          <w:rFonts w:ascii="Stone Sans II ITC Std Sm"/>
          <w:b/>
          <w:spacing w:val="-4"/>
          <w:w w:val="110"/>
        </w:rPr>
        <w:t> </w:t>
      </w:r>
      <w:r>
        <w:rPr>
          <w:rFonts w:ascii="Stone Sans II ITC Std Sm"/>
          <w:b/>
          <w:w w:val="110"/>
        </w:rPr>
        <w:t>Mission</w:t>
      </w:r>
      <w:r>
        <w:rPr>
          <w:rFonts w:ascii="Stone Sans II ITC Std Sm"/>
          <w:b/>
          <w:spacing w:val="-5"/>
          <w:w w:val="110"/>
        </w:rPr>
        <w:t> </w:t>
      </w:r>
      <w:r>
        <w:rPr>
          <w:rFonts w:ascii="Stone Sans II ITC Std Sm"/>
          <w:b/>
          <w:w w:val="110"/>
        </w:rPr>
        <w:t>(CWM).</w:t>
      </w:r>
    </w:p>
    <w:p>
      <w:pPr>
        <w:pStyle w:val="BodyText"/>
        <w:spacing w:before="8"/>
        <w:rPr>
          <w:rFonts w:ascii="Stone Sans II ITC Std Sm"/>
          <w:b/>
          <w:sz w:val="17"/>
        </w:rPr>
      </w:pPr>
    </w:p>
    <w:p>
      <w:pPr>
        <w:pStyle w:val="BodyText"/>
        <w:spacing w:line="213" w:lineRule="auto"/>
        <w:ind w:left="2664" w:right="5293"/>
        <w:rPr>
          <w:rFonts w:ascii="Stone Sans II ITC Std Sm"/>
          <w:b/>
        </w:rPr>
      </w:pPr>
      <w:r>
        <w:rPr>
          <w:rFonts w:ascii="Stone Sans II ITC Std Sm"/>
          <w:b/>
          <w:w w:val="110"/>
        </w:rPr>
        <w:t>Deputy general secretary discipleship Deputy general secretary mission Secretary for world church relations Principal of Westminster College Director of the Windermere Centre</w:t>
      </w:r>
    </w:p>
    <w:p>
      <w:pPr>
        <w:pStyle w:val="BodyText"/>
        <w:spacing w:before="7"/>
        <w:rPr>
          <w:rFonts w:ascii="Stone Sans II ITC Std Sm"/>
          <w:b/>
          <w:sz w:val="17"/>
        </w:rPr>
      </w:pPr>
    </w:p>
    <w:p>
      <w:pPr>
        <w:pStyle w:val="BodyText"/>
        <w:tabs>
          <w:tab w:pos="2664" w:val="left" w:leader="none"/>
        </w:tabs>
        <w:spacing w:line="213" w:lineRule="auto"/>
        <w:ind w:left="1984" w:right="1521"/>
        <w:rPr>
          <w:rFonts w:ascii="Stone Sans II ITC Std Sm"/>
          <w:b/>
        </w:rPr>
      </w:pPr>
      <w:r>
        <w:rPr>
          <w:rFonts w:ascii="Stone Sans II ITC Std Sm"/>
          <w:b/>
          <w:spacing w:val="-3"/>
          <w:w w:val="110"/>
        </w:rPr>
        <w:t>2d)</w:t>
        <w:tab/>
      </w:r>
      <w:r>
        <w:rPr>
          <w:rFonts w:ascii="Stone Sans II ITC Std Sm"/>
          <w:b/>
          <w:w w:val="110"/>
        </w:rPr>
        <w:t>Assembly confirms that all other Assembly appointments are open to members of the URC and to members of those Churches which belong to one or more of WCRC, DECC, </w:t>
      </w:r>
      <w:r>
        <w:rPr>
          <w:rFonts w:ascii="Stone Sans II ITC Std Sm"/>
          <w:b/>
          <w:spacing w:val="4"/>
          <w:w w:val="110"/>
        </w:rPr>
        <w:t>CWM </w:t>
      </w:r>
      <w:r>
        <w:rPr>
          <w:rFonts w:ascii="Stone Sans II ITC Std Sm"/>
          <w:b/>
          <w:w w:val="110"/>
        </w:rPr>
        <w:t>and Churches Together in Britain and Ireland</w:t>
      </w:r>
      <w:r>
        <w:rPr>
          <w:rFonts w:ascii="Stone Sans II ITC Std Sm"/>
          <w:b/>
          <w:spacing w:val="-27"/>
          <w:w w:val="110"/>
        </w:rPr>
        <w:t> </w:t>
      </w:r>
      <w:r>
        <w:rPr>
          <w:rFonts w:ascii="Stone Sans II ITC Std Sm"/>
          <w:b/>
          <w:w w:val="110"/>
        </w:rPr>
        <w:t>(CTBI).</w:t>
      </w:r>
    </w:p>
    <w:p>
      <w:pPr>
        <w:spacing w:after="0" w:line="213" w:lineRule="auto"/>
        <w:rPr>
          <w:rFonts w:ascii="Stone Sans II ITC Std Sm"/>
        </w:rPr>
        <w:sectPr>
          <w:headerReference w:type="default" r:id="rId95"/>
          <w:footerReference w:type="default" r:id="rId96"/>
          <w:pgSz w:w="11910" w:h="16840"/>
          <w:pgMar w:header="0" w:footer="647" w:top="0" w:bottom="840" w:left="0" w:right="0"/>
          <w:pgNumType w:start="37"/>
        </w:sectPr>
      </w:pPr>
    </w:p>
    <w:tbl>
      <w:tblPr>
        <w:tblW w:w="0" w:type="auto"/>
        <w:jc w:val="left"/>
        <w:tblInd w:w="9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
        <w:gridCol w:w="2660"/>
        <w:gridCol w:w="6463"/>
      </w:tblGrid>
      <w:tr>
        <w:trPr>
          <w:trHeight w:val="3102" w:hRule="atLeast"/>
        </w:trPr>
        <w:tc>
          <w:tcPr>
            <w:tcW w:w="9440" w:type="dxa"/>
            <w:gridSpan w:val="3"/>
            <w:tcBorders>
              <w:top w:val="nil"/>
              <w:left w:val="nil"/>
              <w:bottom w:val="nil"/>
              <w:right w:val="nil"/>
            </w:tcBorders>
            <w:shd w:val="clear" w:color="auto" w:fill="FFEDC2"/>
          </w:tcPr>
          <w:p>
            <w:pPr>
              <w:pStyle w:val="TableParagraph"/>
              <w:ind w:left="0"/>
              <w:rPr>
                <w:rFonts w:ascii="Stone Sans II ITC Std Sm"/>
                <w:b/>
                <w:sz w:val="87"/>
              </w:rPr>
            </w:pPr>
          </w:p>
          <w:p>
            <w:pPr>
              <w:pStyle w:val="TableParagraph"/>
              <w:spacing w:line="638" w:lineRule="exact"/>
              <w:ind w:left="311"/>
              <w:rPr>
                <w:rFonts w:ascii="Stone Sans II ITC Std X Bd"/>
                <w:b/>
                <w:sz w:val="50"/>
              </w:rPr>
            </w:pPr>
            <w:bookmarkStart w:name="_bookmark4" w:id="5"/>
            <w:bookmarkEnd w:id="5"/>
            <w:r>
              <w:rPr/>
            </w:r>
            <w:r>
              <w:rPr>
                <w:rFonts w:ascii="Stone Sans II ITC Std X Bd"/>
                <w:b/>
                <w:color w:val="FCC400"/>
                <w:w w:val="110"/>
                <w:sz w:val="50"/>
              </w:rPr>
              <w:t>Mission Council:</w:t>
            </w:r>
          </w:p>
          <w:p>
            <w:pPr>
              <w:pStyle w:val="TableParagraph"/>
              <w:spacing w:line="638" w:lineRule="exact"/>
              <w:ind w:left="311"/>
              <w:rPr>
                <w:rFonts w:ascii="Stone Sans II ITC Std X Bd"/>
                <w:b/>
                <w:sz w:val="50"/>
              </w:rPr>
            </w:pPr>
            <w:r>
              <w:rPr>
                <w:rFonts w:ascii="Stone Sans II ITC Std X Bd"/>
                <w:b/>
                <w:spacing w:val="-4"/>
                <w:w w:val="110"/>
                <w:sz w:val="50"/>
              </w:rPr>
              <w:t>Role </w:t>
            </w:r>
            <w:r>
              <w:rPr>
                <w:rFonts w:ascii="Stone Sans II ITC Std X Bd"/>
                <w:b/>
                <w:w w:val="110"/>
                <w:sz w:val="50"/>
              </w:rPr>
              <w:t>of </w:t>
            </w:r>
            <w:r>
              <w:rPr>
                <w:rFonts w:ascii="Stone Sans II ITC Std X Bd"/>
                <w:b/>
                <w:spacing w:val="-4"/>
                <w:w w:val="110"/>
                <w:sz w:val="50"/>
              </w:rPr>
              <w:t>the </w:t>
            </w:r>
            <w:r>
              <w:rPr>
                <w:rFonts w:ascii="Stone Sans II ITC Std X Bd"/>
                <w:b/>
                <w:spacing w:val="-3"/>
                <w:w w:val="110"/>
                <w:sz w:val="50"/>
              </w:rPr>
              <w:t>synod</w:t>
            </w:r>
            <w:r>
              <w:rPr>
                <w:rFonts w:ascii="Stone Sans II ITC Std X Bd"/>
                <w:b/>
                <w:spacing w:val="59"/>
                <w:w w:val="110"/>
                <w:sz w:val="50"/>
              </w:rPr>
              <w:t> </w:t>
            </w:r>
            <w:r>
              <w:rPr>
                <w:rFonts w:ascii="Stone Sans II ITC Std X Bd"/>
                <w:b/>
                <w:spacing w:val="-5"/>
                <w:w w:val="110"/>
                <w:sz w:val="50"/>
              </w:rPr>
              <w:t>moderator</w:t>
            </w:r>
          </w:p>
          <w:p>
            <w:pPr>
              <w:pStyle w:val="TableParagraph"/>
              <w:spacing w:before="361"/>
              <w:ind w:left="311"/>
              <w:rPr>
                <w:sz w:val="20"/>
              </w:rPr>
            </w:pPr>
            <w:r>
              <w:rPr>
                <w:w w:val="120"/>
                <w:sz w:val="20"/>
              </w:rPr>
              <w:t>Basic Information</w:t>
            </w:r>
          </w:p>
        </w:tc>
      </w:tr>
      <w:tr>
        <w:trPr>
          <w:trHeight w:val="680" w:hRule="atLeast"/>
        </w:trPr>
        <w:tc>
          <w:tcPr>
            <w:tcW w:w="317" w:type="dxa"/>
            <w:vMerge w:val="restart"/>
            <w:tcBorders>
              <w:top w:val="nil"/>
              <w:left w:val="nil"/>
              <w:bottom w:val="nil"/>
            </w:tcBorders>
            <w:shd w:val="clear" w:color="auto" w:fill="FFEDC2"/>
          </w:tcPr>
          <w:p>
            <w:pPr>
              <w:pStyle w:val="TableParagraph"/>
              <w:ind w:left="0"/>
              <w:rPr>
                <w:rFonts w:ascii="Times New Roman"/>
                <w:sz w:val="22"/>
              </w:rPr>
            </w:pPr>
          </w:p>
        </w:tc>
        <w:tc>
          <w:tcPr>
            <w:tcW w:w="2660" w:type="dxa"/>
            <w:shd w:val="clear" w:color="auto" w:fill="FFFFFF"/>
          </w:tcPr>
          <w:p>
            <w:pPr>
              <w:pStyle w:val="TableParagraph"/>
              <w:spacing w:line="213" w:lineRule="auto" w:before="133"/>
              <w:ind w:left="74" w:right="601"/>
              <w:rPr>
                <w:rFonts w:ascii="Stone Sans II ITC Std Bk"/>
                <w:b/>
                <w:sz w:val="20"/>
              </w:rPr>
            </w:pPr>
            <w:r>
              <w:rPr>
                <w:rFonts w:ascii="Stone Sans II ITC Std Bk"/>
                <w:b/>
                <w:w w:val="110"/>
                <w:sz w:val="20"/>
              </w:rPr>
              <w:t>Contact name and email address</w:t>
            </w:r>
          </w:p>
        </w:tc>
        <w:tc>
          <w:tcPr>
            <w:tcW w:w="6463" w:type="dxa"/>
            <w:tcBorders>
              <w:right w:val="nil"/>
            </w:tcBorders>
            <w:shd w:val="clear" w:color="auto" w:fill="FFFFFF"/>
          </w:tcPr>
          <w:p>
            <w:pPr>
              <w:pStyle w:val="TableParagraph"/>
              <w:spacing w:line="235" w:lineRule="auto" w:before="127"/>
              <w:ind w:left="74" w:right="2751"/>
              <w:rPr>
                <w:sz w:val="20"/>
              </w:rPr>
            </w:pPr>
            <w:r>
              <w:rPr>
                <w:w w:val="120"/>
                <w:sz w:val="20"/>
              </w:rPr>
              <w:t>Roberta Rominger </w:t>
            </w:r>
            <w:hyperlink r:id="rId29">
              <w:r>
                <w:rPr>
                  <w:w w:val="120"/>
                  <w:sz w:val="20"/>
                </w:rPr>
                <w:t>roberta.rominger@urc.org.uk</w:t>
              </w:r>
            </w:hyperlink>
          </w:p>
        </w:tc>
      </w:tr>
      <w:tr>
        <w:trPr>
          <w:trHeight w:val="440" w:hRule="atLeast"/>
        </w:trPr>
        <w:tc>
          <w:tcPr>
            <w:tcW w:w="317" w:type="dxa"/>
            <w:vMerge/>
            <w:tcBorders>
              <w:top w:val="nil"/>
              <w:left w:val="nil"/>
              <w:bottom w:val="nil"/>
            </w:tcBorders>
            <w:shd w:val="clear" w:color="auto" w:fill="FFEDC2"/>
          </w:tcPr>
          <w:p>
            <w:pPr>
              <w:rPr>
                <w:sz w:val="2"/>
                <w:szCs w:val="2"/>
              </w:rPr>
            </w:pPr>
          </w:p>
        </w:tc>
        <w:tc>
          <w:tcPr>
            <w:tcW w:w="2660" w:type="dxa"/>
            <w:shd w:val="clear" w:color="auto" w:fill="FFFFFF"/>
          </w:tcPr>
          <w:p>
            <w:pPr>
              <w:pStyle w:val="TableParagraph"/>
              <w:spacing w:before="111"/>
              <w:ind w:left="74"/>
              <w:rPr>
                <w:rFonts w:ascii="Stone Sans II ITC Std Bk"/>
                <w:b/>
                <w:sz w:val="20"/>
              </w:rPr>
            </w:pPr>
            <w:r>
              <w:rPr>
                <w:rFonts w:ascii="Stone Sans II ITC Std Bk"/>
                <w:b/>
                <w:w w:val="110"/>
                <w:sz w:val="20"/>
              </w:rPr>
              <w:t>Action required</w:t>
            </w:r>
          </w:p>
        </w:tc>
        <w:tc>
          <w:tcPr>
            <w:tcW w:w="6463" w:type="dxa"/>
            <w:tcBorders>
              <w:right w:val="nil"/>
            </w:tcBorders>
            <w:shd w:val="clear" w:color="auto" w:fill="FFFFFF"/>
          </w:tcPr>
          <w:p>
            <w:pPr>
              <w:pStyle w:val="TableParagraph"/>
              <w:spacing w:before="123"/>
              <w:ind w:left="74"/>
              <w:rPr>
                <w:sz w:val="20"/>
              </w:rPr>
            </w:pPr>
            <w:r>
              <w:rPr>
                <w:w w:val="120"/>
                <w:sz w:val="20"/>
              </w:rPr>
              <w:t>Decision</w:t>
            </w:r>
          </w:p>
        </w:tc>
      </w:tr>
      <w:tr>
        <w:trPr>
          <w:trHeight w:val="1400" w:hRule="atLeast"/>
        </w:trPr>
        <w:tc>
          <w:tcPr>
            <w:tcW w:w="317" w:type="dxa"/>
            <w:vMerge/>
            <w:tcBorders>
              <w:top w:val="nil"/>
              <w:left w:val="nil"/>
              <w:bottom w:val="nil"/>
            </w:tcBorders>
            <w:shd w:val="clear" w:color="auto" w:fill="FFEDC2"/>
          </w:tcPr>
          <w:p>
            <w:pPr>
              <w:rPr>
                <w:sz w:val="2"/>
                <w:szCs w:val="2"/>
              </w:rPr>
            </w:pPr>
          </w:p>
        </w:tc>
        <w:tc>
          <w:tcPr>
            <w:tcW w:w="2660" w:type="dxa"/>
            <w:shd w:val="clear" w:color="auto" w:fill="FFFFFF"/>
          </w:tcPr>
          <w:p>
            <w:pPr>
              <w:pStyle w:val="TableParagraph"/>
              <w:spacing w:before="111"/>
              <w:ind w:left="74"/>
              <w:rPr>
                <w:rFonts w:ascii="Stone Sans II ITC Std Bk"/>
                <w:b/>
                <w:sz w:val="20"/>
              </w:rPr>
            </w:pPr>
            <w:r>
              <w:rPr>
                <w:rFonts w:ascii="Stone Sans II ITC Std Bk"/>
                <w:b/>
                <w:w w:val="110"/>
                <w:sz w:val="20"/>
              </w:rPr>
              <w:t>Draft resolution(s)</w:t>
            </w:r>
          </w:p>
        </w:tc>
        <w:tc>
          <w:tcPr>
            <w:tcW w:w="6463" w:type="dxa"/>
            <w:tcBorders>
              <w:right w:val="nil"/>
            </w:tcBorders>
            <w:shd w:val="clear" w:color="auto" w:fill="FFFFFF"/>
          </w:tcPr>
          <w:p>
            <w:pPr>
              <w:pStyle w:val="TableParagraph"/>
              <w:spacing w:line="213" w:lineRule="auto" w:before="133"/>
              <w:ind w:left="74" w:right="594"/>
              <w:rPr>
                <w:rFonts w:ascii="Stone Sans II ITC Std Bk"/>
                <w:b/>
                <w:sz w:val="20"/>
              </w:rPr>
            </w:pPr>
            <w:r>
              <w:rPr>
                <w:rFonts w:ascii="Stone Sans II ITC Std Bk"/>
                <w:b/>
                <w:w w:val="110"/>
                <w:sz w:val="20"/>
              </w:rPr>
              <w:t>General Assembly approves the role description for the synod moderator set out on pages 41 to 43 of the </w:t>
            </w:r>
            <w:r>
              <w:rPr>
                <w:rFonts w:ascii="Stone Sans II ITC Std Bk"/>
                <w:b/>
                <w:i/>
                <w:w w:val="110"/>
                <w:sz w:val="20"/>
              </w:rPr>
              <w:t>Book of Reports </w:t>
            </w:r>
            <w:r>
              <w:rPr>
                <w:rFonts w:ascii="Stone Sans II ITC Std Bk"/>
                <w:b/>
                <w:w w:val="110"/>
                <w:sz w:val="20"/>
              </w:rPr>
              <w:t>as a model for future synod moderator appointment groups.</w:t>
            </w:r>
          </w:p>
        </w:tc>
      </w:tr>
      <w:tr>
        <w:trPr>
          <w:trHeight w:val="720" w:hRule="atLeast"/>
        </w:trPr>
        <w:tc>
          <w:tcPr>
            <w:tcW w:w="9440" w:type="dxa"/>
            <w:gridSpan w:val="3"/>
            <w:tcBorders>
              <w:top w:val="nil"/>
              <w:left w:val="nil"/>
              <w:bottom w:val="nil"/>
              <w:right w:val="nil"/>
            </w:tcBorders>
            <w:shd w:val="clear" w:color="auto" w:fill="FFEDC2"/>
          </w:tcPr>
          <w:p>
            <w:pPr>
              <w:pStyle w:val="TableParagraph"/>
              <w:spacing w:before="12"/>
              <w:ind w:left="0"/>
              <w:rPr>
                <w:rFonts w:ascii="Stone Sans II ITC Std Sm"/>
                <w:b/>
                <w:sz w:val="31"/>
              </w:rPr>
            </w:pPr>
          </w:p>
          <w:p>
            <w:pPr>
              <w:pStyle w:val="TableParagraph"/>
              <w:ind w:left="311"/>
              <w:rPr>
                <w:sz w:val="20"/>
              </w:rPr>
            </w:pPr>
            <w:r>
              <w:rPr>
                <w:w w:val="120"/>
                <w:sz w:val="20"/>
              </w:rPr>
              <w:t>Summary of Content</w:t>
            </w:r>
          </w:p>
        </w:tc>
      </w:tr>
      <w:tr>
        <w:trPr>
          <w:trHeight w:val="680" w:hRule="atLeast"/>
        </w:trPr>
        <w:tc>
          <w:tcPr>
            <w:tcW w:w="317" w:type="dxa"/>
            <w:vMerge w:val="restart"/>
            <w:tcBorders>
              <w:top w:val="nil"/>
              <w:left w:val="nil"/>
              <w:bottom w:val="nil"/>
            </w:tcBorders>
            <w:shd w:val="clear" w:color="auto" w:fill="FFEDC2"/>
          </w:tcPr>
          <w:p>
            <w:pPr>
              <w:pStyle w:val="TableParagraph"/>
              <w:ind w:left="0"/>
              <w:rPr>
                <w:rFonts w:ascii="Times New Roman"/>
                <w:sz w:val="22"/>
              </w:rPr>
            </w:pPr>
          </w:p>
        </w:tc>
        <w:tc>
          <w:tcPr>
            <w:tcW w:w="2660" w:type="dxa"/>
            <w:shd w:val="clear" w:color="auto" w:fill="FFFFFF"/>
          </w:tcPr>
          <w:p>
            <w:pPr>
              <w:pStyle w:val="TableParagraph"/>
              <w:spacing w:before="111"/>
              <w:ind w:left="74"/>
              <w:rPr>
                <w:rFonts w:ascii="Stone Sans II ITC Std Bk"/>
                <w:b/>
                <w:sz w:val="20"/>
              </w:rPr>
            </w:pPr>
            <w:r>
              <w:rPr>
                <w:rFonts w:ascii="Stone Sans II ITC Std Bk"/>
                <w:b/>
                <w:w w:val="110"/>
                <w:sz w:val="20"/>
              </w:rPr>
              <w:t>Subject and aim(s)</w:t>
            </w:r>
          </w:p>
        </w:tc>
        <w:tc>
          <w:tcPr>
            <w:tcW w:w="6463" w:type="dxa"/>
            <w:tcBorders>
              <w:right w:val="nil"/>
            </w:tcBorders>
            <w:shd w:val="clear" w:color="auto" w:fill="FFFFFF"/>
          </w:tcPr>
          <w:p>
            <w:pPr>
              <w:pStyle w:val="TableParagraph"/>
              <w:spacing w:line="235" w:lineRule="auto" w:before="127"/>
              <w:ind w:left="74"/>
              <w:rPr>
                <w:sz w:val="20"/>
              </w:rPr>
            </w:pPr>
            <w:r>
              <w:rPr>
                <w:w w:val="120"/>
                <w:sz w:val="20"/>
              </w:rPr>
              <w:t>To complete the work undertaken in the 2011-12 review of the role of the synod moderator</w:t>
            </w:r>
          </w:p>
        </w:tc>
      </w:tr>
      <w:tr>
        <w:trPr>
          <w:trHeight w:val="1160" w:hRule="atLeast"/>
        </w:trPr>
        <w:tc>
          <w:tcPr>
            <w:tcW w:w="317" w:type="dxa"/>
            <w:vMerge/>
            <w:tcBorders>
              <w:top w:val="nil"/>
              <w:left w:val="nil"/>
              <w:bottom w:val="nil"/>
            </w:tcBorders>
            <w:shd w:val="clear" w:color="auto" w:fill="FFEDC2"/>
          </w:tcPr>
          <w:p>
            <w:pPr>
              <w:rPr>
                <w:sz w:val="2"/>
                <w:szCs w:val="2"/>
              </w:rPr>
            </w:pPr>
          </w:p>
        </w:tc>
        <w:tc>
          <w:tcPr>
            <w:tcW w:w="2660" w:type="dxa"/>
            <w:shd w:val="clear" w:color="auto" w:fill="FFFFFF"/>
          </w:tcPr>
          <w:p>
            <w:pPr>
              <w:pStyle w:val="TableParagraph"/>
              <w:spacing w:before="111"/>
              <w:ind w:left="74"/>
              <w:rPr>
                <w:rFonts w:ascii="Stone Sans II ITC Std Bk"/>
                <w:b/>
                <w:sz w:val="20"/>
              </w:rPr>
            </w:pPr>
            <w:r>
              <w:rPr>
                <w:rFonts w:ascii="Stone Sans II ITC Std Bk"/>
                <w:b/>
                <w:w w:val="110"/>
                <w:sz w:val="20"/>
              </w:rPr>
              <w:t>Main points</w:t>
            </w:r>
          </w:p>
        </w:tc>
        <w:tc>
          <w:tcPr>
            <w:tcW w:w="6463" w:type="dxa"/>
            <w:tcBorders>
              <w:right w:val="nil"/>
            </w:tcBorders>
            <w:shd w:val="clear" w:color="auto" w:fill="FFFFFF"/>
          </w:tcPr>
          <w:p>
            <w:pPr>
              <w:pStyle w:val="TableParagraph"/>
              <w:spacing w:line="235" w:lineRule="auto" w:before="127"/>
              <w:ind w:left="74"/>
              <w:rPr>
                <w:sz w:val="20"/>
              </w:rPr>
            </w:pPr>
            <w:r>
              <w:rPr>
                <w:w w:val="120"/>
                <w:sz w:val="20"/>
              </w:rPr>
              <w:t>Following wide consultation, the medium term strategy group offered a revised role description and person specification to Mission Council in March 2014. Mission Council agreed that this work should be submitted to General Assembly for approval.</w:t>
            </w:r>
          </w:p>
        </w:tc>
      </w:tr>
      <w:tr>
        <w:trPr>
          <w:trHeight w:val="680" w:hRule="atLeast"/>
        </w:trPr>
        <w:tc>
          <w:tcPr>
            <w:tcW w:w="317" w:type="dxa"/>
            <w:vMerge/>
            <w:tcBorders>
              <w:top w:val="nil"/>
              <w:left w:val="nil"/>
              <w:bottom w:val="nil"/>
            </w:tcBorders>
            <w:shd w:val="clear" w:color="auto" w:fill="FFEDC2"/>
          </w:tcPr>
          <w:p>
            <w:pPr>
              <w:rPr>
                <w:sz w:val="2"/>
                <w:szCs w:val="2"/>
              </w:rPr>
            </w:pPr>
          </w:p>
        </w:tc>
        <w:tc>
          <w:tcPr>
            <w:tcW w:w="2660" w:type="dxa"/>
            <w:shd w:val="clear" w:color="auto" w:fill="FFFFFF"/>
          </w:tcPr>
          <w:p>
            <w:pPr>
              <w:pStyle w:val="TableParagraph"/>
              <w:spacing w:line="213" w:lineRule="auto" w:before="133"/>
              <w:ind w:left="74" w:right="707"/>
              <w:rPr>
                <w:rFonts w:ascii="Stone Sans II ITC Std Bk"/>
                <w:b/>
                <w:sz w:val="20"/>
              </w:rPr>
            </w:pPr>
            <w:r>
              <w:rPr>
                <w:rFonts w:ascii="Stone Sans II ITC Std Bk"/>
                <w:b/>
                <w:w w:val="110"/>
                <w:sz w:val="20"/>
              </w:rPr>
              <w:t>Previous relevant documents</w:t>
            </w:r>
          </w:p>
        </w:tc>
        <w:tc>
          <w:tcPr>
            <w:tcW w:w="6463" w:type="dxa"/>
            <w:tcBorders>
              <w:right w:val="nil"/>
            </w:tcBorders>
            <w:shd w:val="clear" w:color="auto" w:fill="FFFFFF"/>
          </w:tcPr>
          <w:p>
            <w:pPr>
              <w:pStyle w:val="TableParagraph"/>
              <w:spacing w:line="235" w:lineRule="auto" w:before="127"/>
              <w:ind w:left="74" w:right="744"/>
              <w:rPr>
                <w:sz w:val="20"/>
              </w:rPr>
            </w:pPr>
            <w:r>
              <w:rPr>
                <w:w w:val="120"/>
                <w:sz w:val="20"/>
              </w:rPr>
              <w:t>‘Review of the role of synod moderator’ (</w:t>
            </w:r>
            <w:r>
              <w:rPr>
                <w:i/>
                <w:w w:val="120"/>
                <w:sz w:val="20"/>
              </w:rPr>
              <w:t>Book of Reports</w:t>
            </w:r>
            <w:r>
              <w:rPr>
                <w:w w:val="120"/>
                <w:sz w:val="20"/>
              </w:rPr>
              <w:t>, Assembly 2012, pp. 46-56)</w:t>
            </w:r>
          </w:p>
        </w:tc>
      </w:tr>
      <w:tr>
        <w:trPr>
          <w:trHeight w:val="1160" w:hRule="atLeast"/>
        </w:trPr>
        <w:tc>
          <w:tcPr>
            <w:tcW w:w="317" w:type="dxa"/>
            <w:vMerge/>
            <w:tcBorders>
              <w:top w:val="nil"/>
              <w:left w:val="nil"/>
              <w:bottom w:val="nil"/>
            </w:tcBorders>
            <w:shd w:val="clear" w:color="auto" w:fill="FFEDC2"/>
          </w:tcPr>
          <w:p>
            <w:pPr>
              <w:rPr>
                <w:sz w:val="2"/>
                <w:szCs w:val="2"/>
              </w:rPr>
            </w:pPr>
          </w:p>
        </w:tc>
        <w:tc>
          <w:tcPr>
            <w:tcW w:w="2660" w:type="dxa"/>
            <w:shd w:val="clear" w:color="auto" w:fill="FFFFFF"/>
          </w:tcPr>
          <w:p>
            <w:pPr>
              <w:pStyle w:val="TableParagraph"/>
              <w:spacing w:line="213" w:lineRule="auto" w:before="133"/>
              <w:ind w:left="74" w:right="110"/>
              <w:rPr>
                <w:rFonts w:ascii="Stone Sans II ITC Std Bk"/>
                <w:b/>
                <w:sz w:val="20"/>
              </w:rPr>
            </w:pPr>
            <w:r>
              <w:rPr>
                <w:rFonts w:ascii="Stone Sans II ITC Std Bk"/>
                <w:b/>
                <w:w w:val="110"/>
                <w:sz w:val="20"/>
              </w:rPr>
              <w:t>Consultation has taken place with...</w:t>
            </w:r>
          </w:p>
        </w:tc>
        <w:tc>
          <w:tcPr>
            <w:tcW w:w="6463" w:type="dxa"/>
            <w:tcBorders>
              <w:right w:val="nil"/>
            </w:tcBorders>
            <w:shd w:val="clear" w:color="auto" w:fill="FFFFFF"/>
          </w:tcPr>
          <w:p>
            <w:pPr>
              <w:pStyle w:val="TableParagraph"/>
              <w:spacing w:line="235" w:lineRule="auto" w:before="127"/>
              <w:ind w:left="74"/>
              <w:rPr>
                <w:sz w:val="20"/>
              </w:rPr>
            </w:pPr>
            <w:r>
              <w:rPr>
                <w:w w:val="120"/>
                <w:sz w:val="20"/>
              </w:rPr>
              <w:t>The convener of the 2012 review group, current synod moderators, three synod clerks, members of a recent synod moderator appointment group, convener and secretary of the human resources advisory group, Mission Council</w:t>
            </w:r>
          </w:p>
        </w:tc>
      </w:tr>
      <w:tr>
        <w:trPr>
          <w:trHeight w:val="720" w:hRule="atLeast"/>
        </w:trPr>
        <w:tc>
          <w:tcPr>
            <w:tcW w:w="9440" w:type="dxa"/>
            <w:gridSpan w:val="3"/>
            <w:tcBorders>
              <w:top w:val="nil"/>
              <w:left w:val="nil"/>
              <w:bottom w:val="nil"/>
              <w:right w:val="nil"/>
            </w:tcBorders>
            <w:shd w:val="clear" w:color="auto" w:fill="FFEDC2"/>
          </w:tcPr>
          <w:p>
            <w:pPr>
              <w:pStyle w:val="TableParagraph"/>
              <w:spacing w:before="12"/>
              <w:ind w:left="0"/>
              <w:rPr>
                <w:rFonts w:ascii="Stone Sans II ITC Std Sm"/>
                <w:b/>
                <w:sz w:val="31"/>
              </w:rPr>
            </w:pPr>
          </w:p>
          <w:p>
            <w:pPr>
              <w:pStyle w:val="TableParagraph"/>
              <w:ind w:left="311"/>
              <w:rPr>
                <w:sz w:val="20"/>
              </w:rPr>
            </w:pPr>
            <w:r>
              <w:rPr>
                <w:w w:val="120"/>
                <w:sz w:val="20"/>
              </w:rPr>
              <w:t>Summary of Impact</w:t>
            </w:r>
          </w:p>
        </w:tc>
      </w:tr>
      <w:tr>
        <w:trPr>
          <w:trHeight w:val="440" w:hRule="atLeast"/>
        </w:trPr>
        <w:tc>
          <w:tcPr>
            <w:tcW w:w="317" w:type="dxa"/>
            <w:vMerge w:val="restart"/>
            <w:tcBorders>
              <w:top w:val="nil"/>
              <w:left w:val="nil"/>
              <w:bottom w:val="nil"/>
            </w:tcBorders>
            <w:shd w:val="clear" w:color="auto" w:fill="FFEDC2"/>
          </w:tcPr>
          <w:p>
            <w:pPr>
              <w:pStyle w:val="TableParagraph"/>
              <w:ind w:left="0"/>
              <w:rPr>
                <w:rFonts w:ascii="Times New Roman"/>
                <w:sz w:val="22"/>
              </w:rPr>
            </w:pPr>
          </w:p>
        </w:tc>
        <w:tc>
          <w:tcPr>
            <w:tcW w:w="2660" w:type="dxa"/>
            <w:shd w:val="clear" w:color="auto" w:fill="FFFFFF"/>
          </w:tcPr>
          <w:p>
            <w:pPr>
              <w:pStyle w:val="TableParagraph"/>
              <w:spacing w:before="111"/>
              <w:ind w:left="74"/>
              <w:rPr>
                <w:rFonts w:ascii="Stone Sans II ITC Std Bk"/>
                <w:b/>
                <w:sz w:val="20"/>
              </w:rPr>
            </w:pPr>
            <w:r>
              <w:rPr>
                <w:rFonts w:ascii="Stone Sans II ITC Std Bk"/>
                <w:b/>
                <w:w w:val="110"/>
                <w:sz w:val="20"/>
              </w:rPr>
              <w:t>Financial</w:t>
            </w:r>
          </w:p>
        </w:tc>
        <w:tc>
          <w:tcPr>
            <w:tcW w:w="6463" w:type="dxa"/>
            <w:tcBorders>
              <w:right w:val="nil"/>
            </w:tcBorders>
            <w:shd w:val="clear" w:color="auto" w:fill="FFFFFF"/>
          </w:tcPr>
          <w:p>
            <w:pPr>
              <w:pStyle w:val="TableParagraph"/>
              <w:spacing w:before="123"/>
              <w:ind w:left="74"/>
              <w:rPr>
                <w:sz w:val="20"/>
              </w:rPr>
            </w:pPr>
            <w:r>
              <w:rPr>
                <w:w w:val="120"/>
                <w:sz w:val="20"/>
              </w:rPr>
              <w:t>None</w:t>
            </w:r>
          </w:p>
        </w:tc>
      </w:tr>
      <w:tr>
        <w:trPr>
          <w:trHeight w:val="680" w:hRule="atLeast"/>
        </w:trPr>
        <w:tc>
          <w:tcPr>
            <w:tcW w:w="317" w:type="dxa"/>
            <w:vMerge/>
            <w:tcBorders>
              <w:top w:val="nil"/>
              <w:left w:val="nil"/>
              <w:bottom w:val="nil"/>
            </w:tcBorders>
            <w:shd w:val="clear" w:color="auto" w:fill="FFEDC2"/>
          </w:tcPr>
          <w:p>
            <w:pPr>
              <w:rPr>
                <w:sz w:val="2"/>
                <w:szCs w:val="2"/>
              </w:rPr>
            </w:pPr>
          </w:p>
        </w:tc>
        <w:tc>
          <w:tcPr>
            <w:tcW w:w="2660" w:type="dxa"/>
            <w:shd w:val="clear" w:color="auto" w:fill="FFFFFF"/>
          </w:tcPr>
          <w:p>
            <w:pPr>
              <w:pStyle w:val="TableParagraph"/>
              <w:spacing w:line="255" w:lineRule="exact" w:before="111"/>
              <w:ind w:left="74"/>
              <w:rPr>
                <w:rFonts w:ascii="Stone Sans II ITC Std Bk"/>
                <w:b/>
                <w:sz w:val="20"/>
              </w:rPr>
            </w:pPr>
            <w:r>
              <w:rPr>
                <w:rFonts w:ascii="Stone Sans II ITC Std Bk"/>
                <w:b/>
                <w:w w:val="110"/>
                <w:sz w:val="20"/>
              </w:rPr>
              <w:t>External</w:t>
            </w:r>
          </w:p>
          <w:p>
            <w:pPr>
              <w:pStyle w:val="TableParagraph"/>
              <w:spacing w:line="255" w:lineRule="exact"/>
              <w:ind w:left="74"/>
              <w:rPr>
                <w:rFonts w:ascii="Stone Sans II ITC Std Bk"/>
                <w:b/>
                <w:sz w:val="20"/>
              </w:rPr>
            </w:pPr>
            <w:r>
              <w:rPr>
                <w:rFonts w:ascii="Stone Sans II ITC Std Bk"/>
                <w:b/>
                <w:w w:val="110"/>
                <w:sz w:val="20"/>
              </w:rPr>
              <w:t>(e.g. ecumenical)</w:t>
            </w:r>
          </w:p>
        </w:tc>
        <w:tc>
          <w:tcPr>
            <w:tcW w:w="6463" w:type="dxa"/>
            <w:tcBorders>
              <w:right w:val="nil"/>
            </w:tcBorders>
            <w:shd w:val="clear" w:color="auto" w:fill="FFFFFF"/>
          </w:tcPr>
          <w:p>
            <w:pPr>
              <w:pStyle w:val="TableParagraph"/>
              <w:spacing w:before="123"/>
              <w:ind w:left="74"/>
              <w:rPr>
                <w:sz w:val="20"/>
              </w:rPr>
            </w:pPr>
            <w:r>
              <w:rPr>
                <w:w w:val="120"/>
                <w:sz w:val="20"/>
              </w:rPr>
              <w:t>None</w:t>
            </w:r>
          </w:p>
        </w:tc>
      </w:tr>
      <w:tr>
        <w:trPr>
          <w:trHeight w:val="4854" w:hRule="atLeast"/>
        </w:trPr>
        <w:tc>
          <w:tcPr>
            <w:tcW w:w="9440" w:type="dxa"/>
            <w:gridSpan w:val="3"/>
            <w:tcBorders>
              <w:top w:val="nil"/>
              <w:left w:val="nil"/>
              <w:bottom w:val="nil"/>
              <w:right w:val="nil"/>
            </w:tcBorders>
            <w:shd w:val="clear" w:color="auto" w:fill="FFEDC2"/>
          </w:tcPr>
          <w:p>
            <w:pPr>
              <w:pStyle w:val="TableParagraph"/>
              <w:ind w:left="0"/>
              <w:rPr>
                <w:rFonts w:ascii="Stone Sans II ITC Std Sm"/>
                <w:b/>
                <w:sz w:val="30"/>
              </w:rPr>
            </w:pPr>
          </w:p>
          <w:p>
            <w:pPr>
              <w:pStyle w:val="TableParagraph"/>
              <w:ind w:left="0"/>
              <w:rPr>
                <w:rFonts w:ascii="Stone Sans II ITC Std Sm"/>
                <w:b/>
                <w:sz w:val="30"/>
              </w:rPr>
            </w:pPr>
          </w:p>
          <w:p>
            <w:pPr>
              <w:pStyle w:val="TableParagraph"/>
              <w:ind w:left="0"/>
              <w:rPr>
                <w:rFonts w:ascii="Stone Sans II ITC Std Sm"/>
                <w:b/>
                <w:sz w:val="30"/>
              </w:rPr>
            </w:pPr>
          </w:p>
          <w:p>
            <w:pPr>
              <w:pStyle w:val="TableParagraph"/>
              <w:ind w:left="0"/>
              <w:rPr>
                <w:rFonts w:ascii="Stone Sans II ITC Std Sm"/>
                <w:b/>
                <w:sz w:val="30"/>
              </w:rPr>
            </w:pPr>
          </w:p>
          <w:p>
            <w:pPr>
              <w:pStyle w:val="TableParagraph"/>
              <w:ind w:left="0"/>
              <w:rPr>
                <w:rFonts w:ascii="Stone Sans II ITC Std Sm"/>
                <w:b/>
                <w:sz w:val="30"/>
              </w:rPr>
            </w:pPr>
          </w:p>
          <w:p>
            <w:pPr>
              <w:pStyle w:val="TableParagraph"/>
              <w:ind w:left="0"/>
              <w:rPr>
                <w:rFonts w:ascii="Stone Sans II ITC Std Sm"/>
                <w:b/>
                <w:sz w:val="30"/>
              </w:rPr>
            </w:pPr>
          </w:p>
          <w:p>
            <w:pPr>
              <w:pStyle w:val="TableParagraph"/>
              <w:ind w:left="0"/>
              <w:rPr>
                <w:rFonts w:ascii="Stone Sans II ITC Std Sm"/>
                <w:b/>
                <w:sz w:val="30"/>
              </w:rPr>
            </w:pPr>
          </w:p>
          <w:p>
            <w:pPr>
              <w:pStyle w:val="TableParagraph"/>
              <w:ind w:left="0"/>
              <w:rPr>
                <w:rFonts w:ascii="Stone Sans II ITC Std Sm"/>
                <w:b/>
                <w:sz w:val="30"/>
              </w:rPr>
            </w:pPr>
          </w:p>
          <w:p>
            <w:pPr>
              <w:pStyle w:val="TableParagraph"/>
              <w:ind w:left="0"/>
              <w:rPr>
                <w:rFonts w:ascii="Stone Sans II ITC Std Sm"/>
                <w:b/>
                <w:sz w:val="30"/>
              </w:rPr>
            </w:pPr>
          </w:p>
          <w:p>
            <w:pPr>
              <w:pStyle w:val="TableParagraph"/>
              <w:spacing w:before="11"/>
              <w:ind w:left="0"/>
              <w:rPr>
                <w:rFonts w:ascii="Stone Sans II ITC Std Sm"/>
                <w:b/>
                <w:sz w:val="24"/>
              </w:rPr>
            </w:pPr>
          </w:p>
          <w:p>
            <w:pPr>
              <w:pStyle w:val="TableParagraph"/>
              <w:spacing w:before="1"/>
              <w:ind w:left="311"/>
              <w:rPr>
                <w:sz w:val="23"/>
              </w:rPr>
            </w:pPr>
            <w:r>
              <w:rPr>
                <w:rFonts w:ascii="Stone Sans II ITC Std X Bd" w:hAnsi="Stone Sans II ITC Std X Bd"/>
                <w:b/>
                <w:w w:val="110"/>
                <w:sz w:val="24"/>
              </w:rPr>
              <w:t>38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c>
      </w:tr>
    </w:tbl>
    <w:p>
      <w:pPr>
        <w:rPr>
          <w:sz w:val="2"/>
          <w:szCs w:val="2"/>
        </w:rPr>
      </w:pPr>
      <w:r>
        <w:rPr/>
        <w:pict>
          <v:rect style="position:absolute;margin-left:594.374023pt;margin-top:.000015pt;width:.901pt;height:841.89pt;mso-position-horizontal-relative:page;mso-position-vertical-relative:page;z-index:251777024" filled="true" fillcolor="#ffedc2" stroked="false">
            <v:fill type="solid"/>
            <w10:wrap type="none"/>
          </v:rect>
        </w:pict>
      </w:r>
      <w:r>
        <w:rPr/>
        <w:drawing>
          <wp:anchor distT="0" distB="0" distL="0" distR="0" allowOverlap="1" layoutInCell="1" locked="0" behindDoc="0" simplePos="0" relativeHeight="251778048">
            <wp:simplePos x="0" y="0"/>
            <wp:positionH relativeFrom="page">
              <wp:posOffset>0</wp:posOffset>
            </wp:positionH>
            <wp:positionV relativeFrom="page">
              <wp:posOffset>0</wp:posOffset>
            </wp:positionV>
            <wp:extent cx="594067" cy="10692003"/>
            <wp:effectExtent l="0" t="0" r="0" b="0"/>
            <wp:wrapNone/>
            <wp:docPr id="69" name="image24.png"/>
            <wp:cNvGraphicFramePr>
              <a:graphicFrameLocks noChangeAspect="1"/>
            </wp:cNvGraphicFramePr>
            <a:graphic>
              <a:graphicData uri="http://schemas.openxmlformats.org/drawingml/2006/picture">
                <pic:pic>
                  <pic:nvPicPr>
                    <pic:cNvPr id="70" name="image24.png"/>
                    <pic:cNvPicPr/>
                  </pic:nvPicPr>
                  <pic:blipFill>
                    <a:blip r:embed="rId90"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292.150pt;mso-position-horizontal-relative:page;mso-position-vertical-relative:page;z-index:251779072" type="#_x0000_t202" filled="false" stroked="false">
            <v:textbox inset="0,0,0,0" style="layout-flow:vertical">
              <w:txbxContent>
                <w:p>
                  <w:pPr>
                    <w:spacing w:before="27"/>
                    <w:ind w:left="20" w:right="0" w:firstLine="0"/>
                    <w:jc w:val="left"/>
                    <w:rPr>
                      <w:sz w:val="39"/>
                    </w:rPr>
                  </w:pPr>
                  <w:r>
                    <w:rPr>
                      <w:color w:val="FFFFFF"/>
                      <w:spacing w:val="7"/>
                      <w:w w:val="120"/>
                      <w:sz w:val="39"/>
                    </w:rPr>
                    <w:t>Role </w:t>
                  </w:r>
                  <w:r>
                    <w:rPr>
                      <w:color w:val="FFFFFF"/>
                      <w:spacing w:val="5"/>
                      <w:w w:val="120"/>
                      <w:sz w:val="39"/>
                    </w:rPr>
                    <w:t>of </w:t>
                  </w:r>
                  <w:r>
                    <w:rPr>
                      <w:color w:val="FFFFFF"/>
                      <w:spacing w:val="8"/>
                      <w:w w:val="120"/>
                      <w:sz w:val="39"/>
                    </w:rPr>
                    <w:t>the synod</w:t>
                  </w:r>
                  <w:r>
                    <w:rPr>
                      <w:color w:val="FFFFFF"/>
                      <w:spacing w:val="108"/>
                      <w:w w:val="120"/>
                      <w:sz w:val="39"/>
                    </w:rPr>
                    <w:t> </w:t>
                  </w:r>
                  <w:r>
                    <w:rPr>
                      <w:color w:val="FFFFFF"/>
                      <w:spacing w:val="10"/>
                      <w:w w:val="120"/>
                      <w:sz w:val="39"/>
                    </w:rPr>
                    <w:t>moderator</w:t>
                  </w:r>
                </w:p>
              </w:txbxContent>
            </v:textbox>
            <w10:wrap type="none"/>
          </v:shape>
        </w:pict>
      </w:r>
    </w:p>
    <w:p>
      <w:pPr>
        <w:spacing w:after="0"/>
        <w:rPr>
          <w:sz w:val="2"/>
          <w:szCs w:val="2"/>
        </w:rPr>
        <w:sectPr>
          <w:headerReference w:type="even" r:id="rId97"/>
          <w:footerReference w:type="even" r:id="rId98"/>
          <w:pgSz w:w="11910" w:h="16840"/>
          <w:pgMar w:header="0" w:footer="0" w:top="0" w:bottom="0" w:left="0" w:right="0"/>
        </w:sectPr>
      </w:pPr>
    </w:p>
    <w:p>
      <w:pPr>
        <w:pStyle w:val="BodyText"/>
        <w:rPr>
          <w:rFonts w:ascii="Stone Sans II ITC Std Sm"/>
          <w:b/>
        </w:rPr>
      </w:pPr>
      <w:r>
        <w:rPr/>
        <w:drawing>
          <wp:anchor distT="0" distB="0" distL="0" distR="0" allowOverlap="1" layoutInCell="1" locked="0" behindDoc="0" simplePos="0" relativeHeight="251780096">
            <wp:simplePos x="0" y="0"/>
            <wp:positionH relativeFrom="page">
              <wp:posOffset>6974928</wp:posOffset>
            </wp:positionH>
            <wp:positionV relativeFrom="page">
              <wp:posOffset>0</wp:posOffset>
            </wp:positionV>
            <wp:extent cx="585076" cy="10692003"/>
            <wp:effectExtent l="0" t="0" r="0" b="0"/>
            <wp:wrapNone/>
            <wp:docPr id="71" name="image23.png"/>
            <wp:cNvGraphicFramePr>
              <a:graphicFrameLocks noChangeAspect="1"/>
            </wp:cNvGraphicFramePr>
            <a:graphic>
              <a:graphicData uri="http://schemas.openxmlformats.org/drawingml/2006/picture">
                <pic:pic>
                  <pic:nvPicPr>
                    <pic:cNvPr id="72" name="image23.png"/>
                    <pic:cNvPicPr/>
                  </pic:nvPicPr>
                  <pic:blipFill>
                    <a:blip r:embed="rId35" cstate="print"/>
                    <a:stretch>
                      <a:fillRect/>
                    </a:stretch>
                  </pic:blipFill>
                  <pic:spPr>
                    <a:xfrm>
                      <a:off x="0" y="0"/>
                      <a:ext cx="585076" cy="10692003"/>
                    </a:xfrm>
                    <a:prstGeom prst="rect">
                      <a:avLst/>
                    </a:prstGeom>
                  </pic:spPr>
                </pic:pic>
              </a:graphicData>
            </a:graphic>
          </wp:anchor>
        </w:drawing>
      </w:r>
    </w:p>
    <w:p>
      <w:pPr>
        <w:pStyle w:val="BodyText"/>
        <w:spacing w:before="7"/>
        <w:rPr>
          <w:rFonts w:ascii="Stone Sans II ITC Std Sm"/>
          <w:b/>
          <w:sz w:val="17"/>
        </w:rPr>
      </w:pPr>
    </w:p>
    <w:p>
      <w:pPr>
        <w:spacing w:before="107"/>
        <w:ind w:left="0" w:right="1245" w:firstLine="0"/>
        <w:jc w:val="right"/>
        <w:rPr>
          <w:sz w:val="26"/>
        </w:rPr>
      </w:pPr>
      <w:r>
        <w:rPr/>
        <w:pict>
          <v:shape style="position:absolute;margin-left:554.141174pt;margin-top:22.643946pt;width:25.9pt;height:292.150pt;mso-position-horizontal-relative:page;mso-position-vertical-relative:paragraph;z-index:251781120" type="#_x0000_t202" filled="false" stroked="false">
            <v:textbox inset="0,0,0,0" style="layout-flow:vertical">
              <w:txbxContent>
                <w:p>
                  <w:pPr>
                    <w:spacing w:before="27"/>
                    <w:ind w:left="20" w:right="0" w:firstLine="0"/>
                    <w:jc w:val="left"/>
                    <w:rPr>
                      <w:sz w:val="39"/>
                    </w:rPr>
                  </w:pPr>
                  <w:r>
                    <w:rPr>
                      <w:color w:val="FFFFFF"/>
                      <w:spacing w:val="7"/>
                      <w:w w:val="120"/>
                      <w:sz w:val="39"/>
                    </w:rPr>
                    <w:t>Role </w:t>
                  </w:r>
                  <w:r>
                    <w:rPr>
                      <w:color w:val="FFFFFF"/>
                      <w:spacing w:val="5"/>
                      <w:w w:val="120"/>
                      <w:sz w:val="39"/>
                    </w:rPr>
                    <w:t>of </w:t>
                  </w:r>
                  <w:r>
                    <w:rPr>
                      <w:color w:val="FFFFFF"/>
                      <w:spacing w:val="8"/>
                      <w:w w:val="120"/>
                      <w:sz w:val="39"/>
                    </w:rPr>
                    <w:t>the synod</w:t>
                  </w:r>
                  <w:r>
                    <w:rPr>
                      <w:color w:val="FFFFFF"/>
                      <w:spacing w:val="108"/>
                      <w:w w:val="120"/>
                      <w:sz w:val="39"/>
                    </w:rPr>
                    <w:t> </w:t>
                  </w:r>
                  <w:r>
                    <w:rPr>
                      <w:color w:val="FFFFFF"/>
                      <w:spacing w:val="10"/>
                      <w:w w:val="120"/>
                      <w:sz w:val="39"/>
                    </w:rPr>
                    <w:t>moderator</w:t>
                  </w:r>
                </w:p>
              </w:txbxContent>
            </v:textbox>
            <w10:wrap type="none"/>
          </v:shape>
        </w:pict>
      </w:r>
      <w:r>
        <w:rPr>
          <w:color w:val="7EAABF"/>
          <w:w w:val="120"/>
          <w:sz w:val="26"/>
        </w:rPr>
        <w:t>Mission Council</w:t>
      </w:r>
    </w:p>
    <w:p>
      <w:pPr>
        <w:pStyle w:val="BodyText"/>
        <w:spacing w:before="11"/>
        <w:rPr>
          <w:sz w:val="40"/>
        </w:rPr>
      </w:pPr>
    </w:p>
    <w:p>
      <w:pPr>
        <w:spacing w:before="1"/>
        <w:ind w:left="708" w:right="1063" w:firstLine="0"/>
        <w:jc w:val="center"/>
        <w:rPr>
          <w:rFonts w:ascii="Stone Sans II ITC Std X Bd"/>
          <w:b/>
          <w:sz w:val="50"/>
        </w:rPr>
      </w:pPr>
      <w:r>
        <w:rPr>
          <w:rFonts w:ascii="Stone Sans II ITC Std X Bd"/>
          <w:b/>
          <w:w w:val="110"/>
          <w:sz w:val="50"/>
        </w:rPr>
        <w:t>Role of the synod moderator</w:t>
      </w:r>
    </w:p>
    <w:p>
      <w:pPr>
        <w:pStyle w:val="BodyText"/>
        <w:rPr>
          <w:rFonts w:ascii="Stone Sans II ITC Std X Bd"/>
          <w:b/>
        </w:rPr>
      </w:pPr>
    </w:p>
    <w:p>
      <w:pPr>
        <w:pStyle w:val="BodyText"/>
        <w:spacing w:before="5"/>
        <w:rPr>
          <w:rFonts w:ascii="Stone Sans II ITC Std X Bd"/>
          <w:b/>
          <w:sz w:val="15"/>
        </w:rPr>
      </w:pPr>
    </w:p>
    <w:p>
      <w:pPr>
        <w:spacing w:before="91"/>
        <w:ind w:left="1899" w:right="0" w:firstLine="0"/>
        <w:jc w:val="left"/>
        <w:rPr>
          <w:rFonts w:ascii="Stone Sans II ITC Std Bk"/>
          <w:b/>
          <w:sz w:val="29"/>
        </w:rPr>
      </w:pPr>
      <w:r>
        <w:rPr>
          <w:rFonts w:ascii="Stone Sans II ITC Std Bk"/>
          <w:b/>
          <w:w w:val="110"/>
          <w:sz w:val="29"/>
        </w:rPr>
        <w:t>Purpose</w:t>
      </w:r>
    </w:p>
    <w:p>
      <w:pPr>
        <w:pStyle w:val="ListParagraph"/>
        <w:numPr>
          <w:ilvl w:val="0"/>
          <w:numId w:val="21"/>
        </w:numPr>
        <w:tabs>
          <w:tab w:pos="2579" w:val="left" w:leader="none"/>
          <w:tab w:pos="2580" w:val="left" w:leader="none"/>
        </w:tabs>
        <w:spacing w:line="235" w:lineRule="auto" w:before="69" w:after="0"/>
        <w:ind w:left="1899" w:right="1431" w:firstLine="0"/>
        <w:jc w:val="left"/>
        <w:rPr>
          <w:sz w:val="20"/>
        </w:rPr>
      </w:pPr>
      <w:r>
        <w:rPr>
          <w:w w:val="120"/>
          <w:sz w:val="20"/>
        </w:rPr>
        <w:t>In </w:t>
      </w:r>
      <w:r>
        <w:rPr>
          <w:spacing w:val="-11"/>
          <w:w w:val="120"/>
          <w:sz w:val="20"/>
        </w:rPr>
        <w:t>2011-12  </w:t>
      </w:r>
      <w:r>
        <w:rPr>
          <w:w w:val="120"/>
          <w:sz w:val="20"/>
        </w:rPr>
        <w:t>a review group chaired by Stephen Orchard considered the role of  the synod moderator. Their </w:t>
      </w:r>
      <w:r>
        <w:rPr>
          <w:spacing w:val="2"/>
          <w:w w:val="120"/>
          <w:sz w:val="20"/>
        </w:rPr>
        <w:t>report </w:t>
      </w:r>
      <w:r>
        <w:rPr>
          <w:w w:val="120"/>
          <w:sz w:val="20"/>
        </w:rPr>
        <w:t>was presented to the </w:t>
      </w:r>
      <w:r>
        <w:rPr>
          <w:spacing w:val="-7"/>
          <w:w w:val="120"/>
          <w:sz w:val="20"/>
        </w:rPr>
        <w:t>2012 </w:t>
      </w:r>
      <w:r>
        <w:rPr>
          <w:w w:val="120"/>
          <w:sz w:val="20"/>
        </w:rPr>
        <w:t>General Assembly but remaindered due to lack of time. Mission Council gave its medium term strategy group responsibility for seeing this business through to completion. The recommendations of the review group were brought to Mission Council for discussion and decision over the four meetings since the </w:t>
      </w:r>
      <w:r>
        <w:rPr>
          <w:spacing w:val="-7"/>
          <w:w w:val="120"/>
          <w:sz w:val="20"/>
        </w:rPr>
        <w:t>2012 </w:t>
      </w:r>
      <w:r>
        <w:rPr>
          <w:w w:val="120"/>
          <w:sz w:val="20"/>
        </w:rPr>
        <w:t>Assembly, culminating in the submission of a revised role description for the synod</w:t>
      </w:r>
      <w:r>
        <w:rPr>
          <w:spacing w:val="8"/>
          <w:w w:val="120"/>
          <w:sz w:val="20"/>
        </w:rPr>
        <w:t> </w:t>
      </w:r>
      <w:r>
        <w:rPr>
          <w:w w:val="120"/>
          <w:sz w:val="20"/>
        </w:rPr>
        <w:t>moderator.</w:t>
      </w:r>
    </w:p>
    <w:p>
      <w:pPr>
        <w:pStyle w:val="BodyText"/>
        <w:spacing w:before="10"/>
        <w:rPr>
          <w:sz w:val="17"/>
        </w:rPr>
      </w:pPr>
    </w:p>
    <w:p>
      <w:pPr>
        <w:pStyle w:val="Heading4"/>
        <w:ind w:left="1899" w:firstLine="0"/>
      </w:pPr>
      <w:r>
        <w:rPr>
          <w:spacing w:val="4"/>
          <w:w w:val="110"/>
        </w:rPr>
        <w:t>Building</w:t>
      </w:r>
      <w:r>
        <w:rPr>
          <w:spacing w:val="23"/>
          <w:w w:val="110"/>
        </w:rPr>
        <w:t> </w:t>
      </w:r>
      <w:r>
        <w:rPr>
          <w:spacing w:val="5"/>
          <w:w w:val="110"/>
        </w:rPr>
        <w:t>blocks</w:t>
      </w:r>
    </w:p>
    <w:p>
      <w:pPr>
        <w:pStyle w:val="ListParagraph"/>
        <w:numPr>
          <w:ilvl w:val="0"/>
          <w:numId w:val="21"/>
        </w:numPr>
        <w:tabs>
          <w:tab w:pos="2579" w:val="left" w:leader="none"/>
          <w:tab w:pos="2580" w:val="left" w:leader="none"/>
        </w:tabs>
        <w:spacing w:line="235" w:lineRule="auto" w:before="69" w:after="0"/>
        <w:ind w:left="1899" w:right="1825" w:firstLine="0"/>
        <w:jc w:val="left"/>
        <w:rPr>
          <w:sz w:val="20"/>
        </w:rPr>
      </w:pPr>
      <w:r>
        <w:rPr>
          <w:w w:val="120"/>
          <w:sz w:val="20"/>
        </w:rPr>
        <w:t>The Orchard Group prepared a </w:t>
      </w:r>
      <w:r>
        <w:rPr>
          <w:spacing w:val="2"/>
          <w:w w:val="120"/>
          <w:sz w:val="20"/>
        </w:rPr>
        <w:t>draft </w:t>
      </w:r>
      <w:r>
        <w:rPr>
          <w:w w:val="120"/>
          <w:sz w:val="20"/>
        </w:rPr>
        <w:t>job description, taking as their starting point the description of the role outlined in the Structure of the United Reformed Church</w:t>
      </w:r>
      <w:r>
        <w:rPr>
          <w:spacing w:val="2"/>
          <w:w w:val="120"/>
          <w:sz w:val="20"/>
        </w:rPr>
        <w:t> </w:t>
      </w:r>
      <w:r>
        <w:rPr>
          <w:spacing w:val="-9"/>
          <w:w w:val="120"/>
          <w:sz w:val="20"/>
        </w:rPr>
        <w:t>(2.(4)):</w:t>
      </w:r>
    </w:p>
    <w:p>
      <w:pPr>
        <w:pStyle w:val="BodyText"/>
        <w:spacing w:before="10"/>
        <w:rPr>
          <w:sz w:val="19"/>
        </w:rPr>
      </w:pPr>
    </w:p>
    <w:p>
      <w:pPr>
        <w:pStyle w:val="BodyText"/>
        <w:spacing w:line="235" w:lineRule="auto"/>
        <w:ind w:left="2579" w:right="1414"/>
      </w:pPr>
      <w:r>
        <w:rPr>
          <w:w w:val="120"/>
        </w:rPr>
        <w:t>Moderators of synods. There shall be a moderator for each synod being a minister appointed from time to time by the General Assembly according to its rules of procedure and responsible to the General Assembly.</w:t>
      </w:r>
    </w:p>
    <w:p>
      <w:pPr>
        <w:pStyle w:val="BodyText"/>
        <w:spacing w:before="6"/>
        <w:rPr>
          <w:sz w:val="19"/>
        </w:rPr>
      </w:pPr>
    </w:p>
    <w:p>
      <w:pPr>
        <w:pStyle w:val="BodyText"/>
        <w:spacing w:line="242" w:lineRule="exact" w:before="1"/>
        <w:ind w:left="2579"/>
      </w:pPr>
      <w:r>
        <w:rPr>
          <w:w w:val="120"/>
        </w:rPr>
        <w:t>The moderator shall:</w:t>
      </w:r>
    </w:p>
    <w:p>
      <w:pPr>
        <w:pStyle w:val="ListParagraph"/>
        <w:numPr>
          <w:ilvl w:val="1"/>
          <w:numId w:val="21"/>
        </w:numPr>
        <w:tabs>
          <w:tab w:pos="3373" w:val="left" w:leader="none"/>
          <w:tab w:pos="3374" w:val="left" w:leader="none"/>
        </w:tabs>
        <w:spacing w:line="240" w:lineRule="exact" w:before="0" w:after="0"/>
        <w:ind w:left="3373" w:right="0" w:hanging="795"/>
        <w:jc w:val="left"/>
        <w:rPr>
          <w:sz w:val="20"/>
        </w:rPr>
      </w:pPr>
      <w:r>
        <w:rPr>
          <w:w w:val="120"/>
          <w:sz w:val="20"/>
        </w:rPr>
        <w:t>be separated from any local pastoral</w:t>
      </w:r>
      <w:r>
        <w:rPr>
          <w:spacing w:val="11"/>
          <w:w w:val="120"/>
          <w:sz w:val="20"/>
        </w:rPr>
        <w:t> </w:t>
      </w:r>
      <w:r>
        <w:rPr>
          <w:w w:val="120"/>
          <w:sz w:val="20"/>
        </w:rPr>
        <w:t>charge,</w:t>
      </w:r>
    </w:p>
    <w:p>
      <w:pPr>
        <w:pStyle w:val="ListParagraph"/>
        <w:numPr>
          <w:ilvl w:val="1"/>
          <w:numId w:val="21"/>
        </w:numPr>
        <w:tabs>
          <w:tab w:pos="3373" w:val="left" w:leader="none"/>
          <w:tab w:pos="3374" w:val="left" w:leader="none"/>
        </w:tabs>
        <w:spacing w:line="235" w:lineRule="auto" w:before="1" w:after="0"/>
        <w:ind w:left="3373" w:right="1992" w:hanging="794"/>
        <w:jc w:val="left"/>
        <w:rPr>
          <w:sz w:val="20"/>
        </w:rPr>
      </w:pPr>
      <w:r>
        <w:rPr>
          <w:w w:val="120"/>
          <w:sz w:val="20"/>
        </w:rPr>
        <w:t>stimulate and encourage the work of the United Reformed Church within the province or</w:t>
      </w:r>
      <w:r>
        <w:rPr>
          <w:spacing w:val="8"/>
          <w:w w:val="120"/>
          <w:sz w:val="20"/>
        </w:rPr>
        <w:t> </w:t>
      </w:r>
      <w:r>
        <w:rPr>
          <w:w w:val="120"/>
          <w:sz w:val="20"/>
        </w:rPr>
        <w:t>nation,</w:t>
      </w:r>
    </w:p>
    <w:p>
      <w:pPr>
        <w:pStyle w:val="ListParagraph"/>
        <w:numPr>
          <w:ilvl w:val="1"/>
          <w:numId w:val="21"/>
        </w:numPr>
        <w:tabs>
          <w:tab w:pos="3373" w:val="left" w:leader="none"/>
          <w:tab w:pos="3374" w:val="left" w:leader="none"/>
        </w:tabs>
        <w:spacing w:line="235" w:lineRule="auto" w:before="2" w:after="0"/>
        <w:ind w:left="3373" w:right="1494" w:hanging="794"/>
        <w:jc w:val="left"/>
        <w:rPr>
          <w:sz w:val="20"/>
        </w:rPr>
      </w:pPr>
      <w:r>
        <w:rPr>
          <w:w w:val="120"/>
          <w:sz w:val="20"/>
        </w:rPr>
        <w:t>preside over the meetings of the synod and exercise a pastoral office towards the ministers, church related community workers </w:t>
      </w:r>
      <w:r>
        <w:rPr>
          <w:spacing w:val="-5"/>
          <w:w w:val="120"/>
          <w:sz w:val="20"/>
        </w:rPr>
        <w:t>(CRCWs) </w:t>
      </w:r>
      <w:r>
        <w:rPr>
          <w:w w:val="120"/>
          <w:sz w:val="20"/>
        </w:rPr>
        <w:t>and churches within the province or</w:t>
      </w:r>
      <w:r>
        <w:rPr>
          <w:spacing w:val="11"/>
          <w:w w:val="120"/>
          <w:sz w:val="20"/>
        </w:rPr>
        <w:t> </w:t>
      </w:r>
      <w:r>
        <w:rPr>
          <w:w w:val="120"/>
          <w:sz w:val="20"/>
        </w:rPr>
        <w:t>nation,</w:t>
      </w:r>
    </w:p>
    <w:p>
      <w:pPr>
        <w:pStyle w:val="ListParagraph"/>
        <w:numPr>
          <w:ilvl w:val="1"/>
          <w:numId w:val="21"/>
        </w:numPr>
        <w:tabs>
          <w:tab w:pos="3373" w:val="left" w:leader="none"/>
          <w:tab w:pos="3374" w:val="left" w:leader="none"/>
        </w:tabs>
        <w:spacing w:line="235" w:lineRule="auto" w:before="2" w:after="0"/>
        <w:ind w:left="3373" w:right="1760" w:hanging="794"/>
        <w:jc w:val="left"/>
        <w:rPr>
          <w:sz w:val="20"/>
        </w:rPr>
      </w:pPr>
      <w:r>
        <w:rPr>
          <w:w w:val="120"/>
          <w:sz w:val="20"/>
        </w:rPr>
        <w:t>suggest names of ministers to vacant pastorates, in consultation with interim moderators of local</w:t>
      </w:r>
      <w:r>
        <w:rPr>
          <w:spacing w:val="7"/>
          <w:w w:val="120"/>
          <w:sz w:val="20"/>
        </w:rPr>
        <w:t> </w:t>
      </w:r>
      <w:r>
        <w:rPr>
          <w:w w:val="120"/>
          <w:sz w:val="20"/>
        </w:rPr>
        <w:t>churches,</w:t>
      </w:r>
    </w:p>
    <w:p>
      <w:pPr>
        <w:pStyle w:val="ListParagraph"/>
        <w:numPr>
          <w:ilvl w:val="1"/>
          <w:numId w:val="21"/>
        </w:numPr>
        <w:tabs>
          <w:tab w:pos="3373" w:val="left" w:leader="none"/>
          <w:tab w:pos="3374" w:val="left" w:leader="none"/>
        </w:tabs>
        <w:spacing w:line="235" w:lineRule="auto" w:before="2" w:after="0"/>
        <w:ind w:left="3373" w:right="1891" w:hanging="794"/>
        <w:jc w:val="left"/>
        <w:rPr>
          <w:sz w:val="20"/>
        </w:rPr>
      </w:pPr>
      <w:r>
        <w:rPr>
          <w:w w:val="120"/>
          <w:sz w:val="20"/>
        </w:rPr>
        <w:t>preside, or appoint a deputy to preside, at all ordinations and/or inductions of ministers and all commissionings and/or inductions of CRCWs within the province or</w:t>
      </w:r>
      <w:r>
        <w:rPr>
          <w:spacing w:val="12"/>
          <w:w w:val="120"/>
          <w:sz w:val="20"/>
        </w:rPr>
        <w:t> </w:t>
      </w:r>
      <w:r>
        <w:rPr>
          <w:w w:val="120"/>
          <w:sz w:val="20"/>
        </w:rPr>
        <w:t>nation,</w:t>
      </w:r>
    </w:p>
    <w:p>
      <w:pPr>
        <w:pStyle w:val="ListParagraph"/>
        <w:numPr>
          <w:ilvl w:val="1"/>
          <w:numId w:val="21"/>
        </w:numPr>
        <w:tabs>
          <w:tab w:pos="3373" w:val="left" w:leader="none"/>
          <w:tab w:pos="3374" w:val="left" w:leader="none"/>
        </w:tabs>
        <w:spacing w:line="235" w:lineRule="auto" w:before="2" w:after="0"/>
        <w:ind w:left="3373" w:right="1606" w:hanging="794"/>
        <w:jc w:val="left"/>
        <w:rPr>
          <w:sz w:val="20"/>
        </w:rPr>
      </w:pPr>
      <w:r>
        <w:rPr>
          <w:w w:val="120"/>
          <w:sz w:val="20"/>
        </w:rPr>
        <w:t>fulfil the responsibilities ascribed to the moderator of synod under the Section O Process and the incapacity</w:t>
      </w:r>
      <w:r>
        <w:rPr>
          <w:spacing w:val="18"/>
          <w:w w:val="120"/>
          <w:sz w:val="20"/>
        </w:rPr>
        <w:t> </w:t>
      </w:r>
      <w:r>
        <w:rPr>
          <w:w w:val="120"/>
          <w:sz w:val="20"/>
        </w:rPr>
        <w:t>procedure.</w:t>
      </w:r>
    </w:p>
    <w:p>
      <w:pPr>
        <w:pStyle w:val="BodyText"/>
        <w:spacing w:line="235" w:lineRule="auto" w:before="1"/>
        <w:ind w:left="2579" w:right="1352"/>
      </w:pPr>
      <w:r>
        <w:rPr>
          <w:w w:val="120"/>
        </w:rPr>
        <w:t>The moderators of the synods shall meet together at regular intervals for the better discharge of their duties.</w:t>
      </w:r>
    </w:p>
    <w:p>
      <w:pPr>
        <w:pStyle w:val="BodyText"/>
        <w:spacing w:before="10"/>
        <w:rPr>
          <w:sz w:val="19"/>
        </w:rPr>
      </w:pPr>
    </w:p>
    <w:p>
      <w:pPr>
        <w:pStyle w:val="ListParagraph"/>
        <w:numPr>
          <w:ilvl w:val="0"/>
          <w:numId w:val="21"/>
        </w:numPr>
        <w:tabs>
          <w:tab w:pos="2579" w:val="left" w:leader="none"/>
          <w:tab w:pos="2580" w:val="left" w:leader="none"/>
        </w:tabs>
        <w:spacing w:line="235" w:lineRule="auto" w:before="0" w:after="0"/>
        <w:ind w:left="1899" w:right="1526" w:firstLine="0"/>
        <w:jc w:val="left"/>
        <w:rPr>
          <w:sz w:val="20"/>
        </w:rPr>
      </w:pPr>
      <w:r>
        <w:rPr>
          <w:w w:val="120"/>
          <w:sz w:val="20"/>
        </w:rPr>
        <w:t>The medium term strategy group also looked at the role description agreed by the Mersey Synod moderator appointment group as the most recent role description available. They produced a new version according with the human resources advisory </w:t>
      </w:r>
      <w:r>
        <w:rPr>
          <w:spacing w:val="-3"/>
          <w:w w:val="120"/>
          <w:sz w:val="20"/>
        </w:rPr>
        <w:t>group’s </w:t>
      </w:r>
      <w:r>
        <w:rPr>
          <w:w w:val="120"/>
          <w:sz w:val="20"/>
        </w:rPr>
        <w:t>template for job descriptions. They incorporated sections for synod-specific items, recognising that the role would </w:t>
      </w:r>
      <w:r>
        <w:rPr>
          <w:spacing w:val="2"/>
          <w:w w:val="120"/>
          <w:sz w:val="20"/>
        </w:rPr>
        <w:t>vary </w:t>
      </w:r>
      <w:r>
        <w:rPr>
          <w:w w:val="120"/>
          <w:sz w:val="20"/>
        </w:rPr>
        <w:t>depending on the particular requirements of the synod concerned at the time a new moderator was being</w:t>
      </w:r>
      <w:r>
        <w:rPr>
          <w:spacing w:val="42"/>
          <w:w w:val="120"/>
          <w:sz w:val="20"/>
        </w:rPr>
        <w:t> </w:t>
      </w:r>
      <w:r>
        <w:rPr>
          <w:w w:val="120"/>
          <w:sz w:val="20"/>
        </w:rPr>
        <w:t>sought.</w:t>
      </w:r>
    </w:p>
    <w:p>
      <w:pPr>
        <w:pStyle w:val="BodyText"/>
      </w:pPr>
    </w:p>
    <w:p>
      <w:pPr>
        <w:pStyle w:val="ListParagraph"/>
        <w:numPr>
          <w:ilvl w:val="0"/>
          <w:numId w:val="21"/>
        </w:numPr>
        <w:tabs>
          <w:tab w:pos="2579" w:val="left" w:leader="none"/>
          <w:tab w:pos="2580" w:val="left" w:leader="none"/>
        </w:tabs>
        <w:spacing w:line="235" w:lineRule="auto" w:before="0" w:after="0"/>
        <w:ind w:left="1899" w:right="1746" w:firstLine="0"/>
        <w:jc w:val="left"/>
        <w:rPr>
          <w:sz w:val="20"/>
        </w:rPr>
      </w:pPr>
      <w:r>
        <w:rPr>
          <w:w w:val="120"/>
          <w:sz w:val="20"/>
        </w:rPr>
        <w:t>In proposing the attached role description, Mission Council stipulated that the standard sections should not be altered by a synod appointment group without at least reference to the general</w:t>
      </w:r>
      <w:r>
        <w:rPr>
          <w:spacing w:val="8"/>
          <w:w w:val="120"/>
          <w:sz w:val="20"/>
        </w:rPr>
        <w:t> </w:t>
      </w:r>
      <w:r>
        <w:rPr>
          <w:w w:val="120"/>
          <w:sz w:val="20"/>
        </w:rPr>
        <w:t>secretary.</w:t>
      </w:r>
    </w:p>
    <w:p>
      <w:pPr>
        <w:pStyle w:val="BodyText"/>
        <w:spacing w:before="10"/>
        <w:rPr>
          <w:sz w:val="19"/>
        </w:rPr>
      </w:pPr>
    </w:p>
    <w:p>
      <w:pPr>
        <w:pStyle w:val="ListParagraph"/>
        <w:numPr>
          <w:ilvl w:val="0"/>
          <w:numId w:val="21"/>
        </w:numPr>
        <w:tabs>
          <w:tab w:pos="2579" w:val="left" w:leader="none"/>
          <w:tab w:pos="2580" w:val="left" w:leader="none"/>
        </w:tabs>
        <w:spacing w:line="235" w:lineRule="auto" w:before="0" w:after="0"/>
        <w:ind w:left="1899" w:right="1642" w:firstLine="0"/>
        <w:jc w:val="left"/>
        <w:rPr>
          <w:sz w:val="20"/>
        </w:rPr>
      </w:pPr>
      <w:r>
        <w:rPr>
          <w:w w:val="120"/>
          <w:sz w:val="20"/>
        </w:rPr>
        <w:t>It is recognised that new patterns are emerging, such as the Cumbria  president post within the </w:t>
      </w:r>
      <w:r>
        <w:rPr>
          <w:spacing w:val="2"/>
          <w:w w:val="120"/>
          <w:sz w:val="20"/>
        </w:rPr>
        <w:t>North </w:t>
      </w:r>
      <w:r>
        <w:rPr>
          <w:w w:val="120"/>
          <w:sz w:val="20"/>
        </w:rPr>
        <w:t>Western Synod and the possibility of collaborative working between the five northern synods. This role description is not meant to discourage flexibility but to establish the benchmark against which different patterns can be</w:t>
      </w:r>
      <w:r>
        <w:rPr>
          <w:spacing w:val="4"/>
          <w:w w:val="120"/>
          <w:sz w:val="20"/>
        </w:rPr>
        <w:t> </w:t>
      </w:r>
      <w:r>
        <w:rPr>
          <w:w w:val="120"/>
          <w:sz w:val="20"/>
        </w:rPr>
        <w:t>agreed.</w:t>
      </w:r>
    </w:p>
    <w:p>
      <w:pPr>
        <w:spacing w:after="0" w:line="235" w:lineRule="auto"/>
        <w:jc w:val="left"/>
        <w:rPr>
          <w:sz w:val="20"/>
        </w:rPr>
        <w:sectPr>
          <w:headerReference w:type="default" r:id="rId99"/>
          <w:footerReference w:type="default" r:id="rId100"/>
          <w:footerReference w:type="even" r:id="rId101"/>
          <w:pgSz w:w="11910" w:h="16840"/>
          <w:pgMar w:header="0" w:footer="647" w:top="0" w:bottom="840" w:left="0" w:right="0"/>
          <w:pgNumType w:start="39"/>
        </w:sectPr>
      </w:pPr>
    </w:p>
    <w:p>
      <w:pPr>
        <w:pStyle w:val="BodyText"/>
      </w:pPr>
      <w:r>
        <w:rPr/>
        <w:drawing>
          <wp:anchor distT="0" distB="0" distL="0" distR="0" allowOverlap="1" layoutInCell="1" locked="0" behindDoc="0" simplePos="0" relativeHeight="251782144">
            <wp:simplePos x="0" y="0"/>
            <wp:positionH relativeFrom="page">
              <wp:posOffset>0</wp:posOffset>
            </wp:positionH>
            <wp:positionV relativeFrom="page">
              <wp:posOffset>0</wp:posOffset>
            </wp:positionV>
            <wp:extent cx="594067" cy="10692003"/>
            <wp:effectExtent l="0" t="0" r="0" b="0"/>
            <wp:wrapNone/>
            <wp:docPr id="73" name="image22.png"/>
            <wp:cNvGraphicFramePr>
              <a:graphicFrameLocks noChangeAspect="1"/>
            </wp:cNvGraphicFramePr>
            <a:graphic>
              <a:graphicData uri="http://schemas.openxmlformats.org/drawingml/2006/picture">
                <pic:pic>
                  <pic:nvPicPr>
                    <pic:cNvPr id="74" name="image22.png"/>
                    <pic:cNvPicPr/>
                  </pic:nvPicPr>
                  <pic:blipFill>
                    <a:blip r:embed="rId33"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shape style="position:absolute;margin-left:20.519100pt;margin-top:22.593945pt;width:25.9pt;height:292.150pt;mso-position-horizontal-relative:page;mso-position-vertical-relative:paragraph;z-index:251783168" type="#_x0000_t202" filled="false" stroked="false">
            <v:textbox inset="0,0,0,0" style="layout-flow:vertical">
              <w:txbxContent>
                <w:p>
                  <w:pPr>
                    <w:spacing w:before="27"/>
                    <w:ind w:left="20" w:right="0" w:firstLine="0"/>
                    <w:jc w:val="left"/>
                    <w:rPr>
                      <w:sz w:val="39"/>
                    </w:rPr>
                  </w:pPr>
                  <w:r>
                    <w:rPr>
                      <w:color w:val="FFFFFF"/>
                      <w:spacing w:val="7"/>
                      <w:w w:val="120"/>
                      <w:sz w:val="39"/>
                    </w:rPr>
                    <w:t>Role </w:t>
                  </w:r>
                  <w:r>
                    <w:rPr>
                      <w:color w:val="FFFFFF"/>
                      <w:spacing w:val="5"/>
                      <w:w w:val="120"/>
                      <w:sz w:val="39"/>
                    </w:rPr>
                    <w:t>of </w:t>
                  </w:r>
                  <w:r>
                    <w:rPr>
                      <w:color w:val="FFFFFF"/>
                      <w:spacing w:val="8"/>
                      <w:w w:val="120"/>
                      <w:sz w:val="39"/>
                    </w:rPr>
                    <w:t>the synod</w:t>
                  </w:r>
                  <w:r>
                    <w:rPr>
                      <w:color w:val="FFFFFF"/>
                      <w:spacing w:val="108"/>
                      <w:w w:val="120"/>
                      <w:sz w:val="39"/>
                    </w:rPr>
                    <w:t> </w:t>
                  </w:r>
                  <w:r>
                    <w:rPr>
                      <w:color w:val="FFFFFF"/>
                      <w:spacing w:val="10"/>
                      <w:w w:val="120"/>
                      <w:sz w:val="39"/>
                    </w:rPr>
                    <w:t>moderator</w:t>
                  </w:r>
                </w:p>
              </w:txbxContent>
            </v:textbox>
            <w10:wrap type="none"/>
          </v:shape>
        </w:pict>
      </w:r>
      <w:r>
        <w:rPr>
          <w:color w:val="7EAABF"/>
          <w:w w:val="120"/>
        </w:rPr>
        <w:t>Mission Council</w:t>
      </w:r>
    </w:p>
    <w:p>
      <w:pPr>
        <w:pStyle w:val="ListParagraph"/>
        <w:numPr>
          <w:ilvl w:val="0"/>
          <w:numId w:val="21"/>
        </w:numPr>
        <w:tabs>
          <w:tab w:pos="1927" w:val="left" w:leader="none"/>
          <w:tab w:pos="1928" w:val="left" w:leader="none"/>
        </w:tabs>
        <w:spacing w:line="235" w:lineRule="auto" w:before="222" w:after="0"/>
        <w:ind w:left="1247" w:right="2133" w:firstLine="0"/>
        <w:jc w:val="left"/>
        <w:rPr>
          <w:sz w:val="20"/>
        </w:rPr>
      </w:pPr>
      <w:r>
        <w:rPr>
          <w:w w:val="120"/>
          <w:sz w:val="20"/>
        </w:rPr>
        <w:t>Some synods and their moderators have instituted a pattern of regular reviews to assess the needs of the synod and agree the areas where the moderator should focus his/her energies. This is an interesting parallel to the local mission and ministry review process in local church life where the role of the minister is regularly reviewed and renegotiated in light of the </w:t>
      </w:r>
      <w:r>
        <w:rPr>
          <w:spacing w:val="-3"/>
          <w:w w:val="120"/>
          <w:sz w:val="20"/>
        </w:rPr>
        <w:t>church’s </w:t>
      </w:r>
      <w:r>
        <w:rPr>
          <w:w w:val="120"/>
          <w:sz w:val="20"/>
        </w:rPr>
        <w:t>mission priorities and pastoral needs. At  synod level, such reviews offer the moderators feedback on how their ministry is   being received and where changes of emphasis might be appropriate, and they are a healthy response to a job which everyone acknowledges it is unrealistic to expect one individual to fulfil. Each moderator will bring particular strengths to the role. If the synod is aware of the full breadth of its needs, it can release its moderator to work to his/her strengths and support him/her in ongoing personal development, all the while ensuring that there is provision in place for the full scope of work</w:t>
      </w:r>
      <w:r>
        <w:rPr>
          <w:spacing w:val="27"/>
          <w:w w:val="120"/>
          <w:sz w:val="20"/>
        </w:rPr>
        <w:t> </w:t>
      </w:r>
      <w:r>
        <w:rPr>
          <w:w w:val="120"/>
          <w:sz w:val="20"/>
        </w:rPr>
        <w:t>required.</w:t>
      </w:r>
    </w:p>
    <w:p>
      <w:pPr>
        <w:spacing w:after="0" w:line="235" w:lineRule="auto"/>
        <w:jc w:val="left"/>
        <w:rPr>
          <w:sz w:val="20"/>
        </w:rPr>
        <w:sectPr>
          <w:headerReference w:type="even" r:id="rId102"/>
          <w:pgSz w:w="11910" w:h="16840"/>
          <w:pgMar w:header="0" w:footer="647" w:top="0" w:bottom="840" w:left="0" w:right="0"/>
        </w:sectPr>
      </w:pPr>
    </w:p>
    <w:p>
      <w:pPr>
        <w:pStyle w:val="BodyText"/>
      </w:pPr>
      <w:r>
        <w:rPr/>
        <w:drawing>
          <wp:anchor distT="0" distB="0" distL="0" distR="0" allowOverlap="1" layoutInCell="1" locked="0" behindDoc="0" simplePos="0" relativeHeight="251784192">
            <wp:simplePos x="0" y="0"/>
            <wp:positionH relativeFrom="page">
              <wp:posOffset>6974928</wp:posOffset>
            </wp:positionH>
            <wp:positionV relativeFrom="page">
              <wp:posOffset>0</wp:posOffset>
            </wp:positionV>
            <wp:extent cx="585076" cy="10692003"/>
            <wp:effectExtent l="0" t="0" r="0" b="0"/>
            <wp:wrapNone/>
            <wp:docPr id="75" name="image23.png"/>
            <wp:cNvGraphicFramePr>
              <a:graphicFrameLocks noChangeAspect="1"/>
            </wp:cNvGraphicFramePr>
            <a:graphic>
              <a:graphicData uri="http://schemas.openxmlformats.org/drawingml/2006/picture">
                <pic:pic>
                  <pic:nvPicPr>
                    <pic:cNvPr id="76" name="image23.png"/>
                    <pic:cNvPicPr/>
                  </pic:nvPicPr>
                  <pic:blipFill>
                    <a:blip r:embed="rId35" cstate="print"/>
                    <a:stretch>
                      <a:fillRect/>
                    </a:stretch>
                  </pic:blipFill>
                  <pic:spPr>
                    <a:xfrm>
                      <a:off x="0" y="0"/>
                      <a:ext cx="585076" cy="10692003"/>
                    </a:xfrm>
                    <a:prstGeom prst="rect">
                      <a:avLst/>
                    </a:prstGeom>
                  </pic:spPr>
                </pic:pic>
              </a:graphicData>
            </a:graphic>
          </wp:anchor>
        </w:drawing>
      </w:r>
    </w:p>
    <w:p>
      <w:pPr>
        <w:pStyle w:val="BodyText"/>
        <w:spacing w:before="7"/>
        <w:rPr>
          <w:sz w:val="21"/>
        </w:rPr>
      </w:pPr>
    </w:p>
    <w:p>
      <w:pPr>
        <w:pStyle w:val="Heading5"/>
        <w:ind w:left="0" w:right="1245"/>
        <w:jc w:val="right"/>
      </w:pPr>
      <w:r>
        <w:rPr/>
        <w:pict>
          <v:shape style="position:absolute;margin-left:554.141174pt;margin-top:22.593945pt;width:25.9pt;height:415.15pt;mso-position-horizontal-relative:page;mso-position-vertical-relative:paragraph;z-index:251785216" type="#_x0000_t202" filled="false" stroked="false">
            <v:textbox inset="0,0,0,0" style="layout-flow:vertical">
              <w:txbxContent>
                <w:p>
                  <w:pPr>
                    <w:spacing w:before="27"/>
                    <w:ind w:left="20" w:right="0" w:firstLine="0"/>
                    <w:jc w:val="left"/>
                    <w:rPr>
                      <w:sz w:val="39"/>
                    </w:rPr>
                  </w:pPr>
                  <w:r>
                    <w:rPr>
                      <w:color w:val="FFFFFF"/>
                      <w:w w:val="120"/>
                      <w:sz w:val="39"/>
                    </w:rPr>
                    <w:t>Role of the synod moderator – </w:t>
                  </w:r>
                  <w:r>
                    <w:rPr>
                      <w:w w:val="120"/>
                      <w:sz w:val="39"/>
                    </w:rPr>
                    <w:t>Appendix</w:t>
                  </w:r>
                </w:p>
              </w:txbxContent>
            </v:textbox>
            <w10:wrap type="none"/>
          </v:shape>
        </w:pict>
      </w:r>
      <w:r>
        <w:rPr>
          <w:color w:val="7EAABF"/>
          <w:w w:val="120"/>
        </w:rPr>
        <w:t>Mission Council</w:t>
      </w:r>
    </w:p>
    <w:p>
      <w:pPr>
        <w:tabs>
          <w:tab w:pos="5548" w:val="left" w:leader="none"/>
          <w:tab w:pos="7724" w:val="left" w:leader="none"/>
        </w:tabs>
        <w:spacing w:line="441" w:lineRule="auto" w:before="215"/>
        <w:ind w:left="4038" w:right="3301" w:firstLine="850"/>
        <w:jc w:val="left"/>
        <w:rPr>
          <w:rFonts w:ascii="Stone Sans II ITC Std X Bd"/>
          <w:b/>
          <w:sz w:val="29"/>
        </w:rPr>
      </w:pPr>
      <w:r>
        <w:rPr>
          <w:rFonts w:ascii="Stone Sans II ITC Std X Bd"/>
          <w:b/>
          <w:w w:val="110"/>
          <w:sz w:val="29"/>
          <w:shd w:fill="FFDB7B" w:color="auto" w:val="clear"/>
        </w:rPr>
        <w:t> </w:t>
      </w:r>
      <w:r>
        <w:rPr>
          <w:rFonts w:ascii="Stone Sans II ITC Std X Bd"/>
          <w:b/>
          <w:sz w:val="29"/>
          <w:shd w:fill="FFDB7B" w:color="auto" w:val="clear"/>
        </w:rPr>
        <w:tab/>
      </w:r>
      <w:r>
        <w:rPr>
          <w:rFonts w:ascii="Stone Sans II ITC Std X Bd"/>
          <w:b/>
          <w:w w:val="110"/>
          <w:sz w:val="29"/>
          <w:shd w:fill="FFDB7B" w:color="auto" w:val="clear"/>
        </w:rPr>
        <w:t>Appendix</w:t>
        <w:tab/>
      </w:r>
      <w:r>
        <w:rPr>
          <w:rFonts w:ascii="Stone Sans II ITC Std X Bd"/>
          <w:b/>
          <w:w w:val="110"/>
          <w:sz w:val="29"/>
        </w:rPr>
        <w:t> Draft model role</w:t>
      </w:r>
      <w:r>
        <w:rPr>
          <w:rFonts w:ascii="Stone Sans II ITC Std X Bd"/>
          <w:b/>
          <w:spacing w:val="-17"/>
          <w:w w:val="110"/>
          <w:sz w:val="29"/>
        </w:rPr>
        <w:t> </w:t>
      </w:r>
      <w:r>
        <w:rPr>
          <w:rFonts w:ascii="Stone Sans II ITC Std X Bd"/>
          <w:b/>
          <w:w w:val="110"/>
          <w:sz w:val="29"/>
        </w:rPr>
        <w:t>description</w:t>
      </w:r>
    </w:p>
    <w:p>
      <w:pPr>
        <w:pStyle w:val="BodyText"/>
        <w:spacing w:before="8"/>
        <w:rPr>
          <w:rFonts w:ascii="Stone Sans II ITC Std X Bd"/>
          <w:b/>
          <w:sz w:val="18"/>
        </w:rPr>
      </w:pPr>
    </w:p>
    <w:tbl>
      <w:tblPr>
        <w:tblW w:w="0" w:type="auto"/>
        <w:jc w:val="left"/>
        <w:tblInd w:w="19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319"/>
        <w:gridCol w:w="6344"/>
      </w:tblGrid>
      <w:tr>
        <w:trPr>
          <w:trHeight w:val="613" w:hRule="atLeast"/>
        </w:trPr>
        <w:tc>
          <w:tcPr>
            <w:tcW w:w="2319" w:type="dxa"/>
          </w:tcPr>
          <w:p>
            <w:pPr>
              <w:pStyle w:val="TableParagraph"/>
              <w:spacing w:before="108"/>
              <w:ind w:left="247"/>
              <w:rPr>
                <w:sz w:val="20"/>
              </w:rPr>
            </w:pPr>
            <w:r>
              <w:rPr>
                <w:w w:val="120"/>
                <w:sz w:val="20"/>
              </w:rPr>
              <w:t>OFFICE TITLE:</w:t>
            </w:r>
          </w:p>
        </w:tc>
        <w:tc>
          <w:tcPr>
            <w:tcW w:w="6344" w:type="dxa"/>
          </w:tcPr>
          <w:p>
            <w:pPr>
              <w:pStyle w:val="TableParagraph"/>
              <w:spacing w:before="108"/>
              <w:ind w:left="438"/>
              <w:rPr>
                <w:sz w:val="20"/>
              </w:rPr>
            </w:pPr>
            <w:r>
              <w:rPr>
                <w:w w:val="120"/>
                <w:sz w:val="20"/>
              </w:rPr>
              <w:t>Moderator of XX Synod of the United Reformed Church</w:t>
            </w:r>
          </w:p>
        </w:tc>
      </w:tr>
      <w:tr>
        <w:trPr>
          <w:trHeight w:val="613" w:hRule="atLeast"/>
        </w:trPr>
        <w:tc>
          <w:tcPr>
            <w:tcW w:w="2319" w:type="dxa"/>
          </w:tcPr>
          <w:p>
            <w:pPr>
              <w:pStyle w:val="TableParagraph"/>
              <w:spacing w:before="108"/>
              <w:ind w:left="247"/>
              <w:rPr>
                <w:sz w:val="20"/>
              </w:rPr>
            </w:pPr>
            <w:r>
              <w:rPr>
                <w:w w:val="125"/>
                <w:sz w:val="20"/>
              </w:rPr>
              <w:t>RESPONSIBLE TO:</w:t>
            </w:r>
          </w:p>
        </w:tc>
        <w:tc>
          <w:tcPr>
            <w:tcW w:w="6344" w:type="dxa"/>
          </w:tcPr>
          <w:p>
            <w:pPr>
              <w:pStyle w:val="TableParagraph"/>
              <w:spacing w:before="108"/>
              <w:ind w:left="438"/>
              <w:rPr>
                <w:sz w:val="20"/>
              </w:rPr>
            </w:pPr>
            <w:r>
              <w:rPr>
                <w:w w:val="120"/>
                <w:sz w:val="20"/>
              </w:rPr>
              <w:t>General Assembly through the general secretary</w:t>
            </w:r>
          </w:p>
        </w:tc>
      </w:tr>
      <w:tr>
        <w:trPr>
          <w:trHeight w:val="613" w:hRule="atLeast"/>
        </w:trPr>
        <w:tc>
          <w:tcPr>
            <w:tcW w:w="2319" w:type="dxa"/>
          </w:tcPr>
          <w:p>
            <w:pPr>
              <w:pStyle w:val="TableParagraph"/>
              <w:spacing w:before="108"/>
              <w:ind w:left="247"/>
              <w:rPr>
                <w:sz w:val="20"/>
              </w:rPr>
            </w:pPr>
            <w:r>
              <w:rPr>
                <w:w w:val="120"/>
                <w:sz w:val="20"/>
              </w:rPr>
              <w:t>STIPEND:</w:t>
            </w:r>
          </w:p>
        </w:tc>
        <w:tc>
          <w:tcPr>
            <w:tcW w:w="6344" w:type="dxa"/>
          </w:tcPr>
          <w:p>
            <w:pPr>
              <w:pStyle w:val="TableParagraph"/>
              <w:spacing w:before="108"/>
              <w:ind w:left="438"/>
              <w:rPr>
                <w:sz w:val="20"/>
              </w:rPr>
            </w:pPr>
            <w:r>
              <w:rPr>
                <w:w w:val="120"/>
                <w:sz w:val="20"/>
              </w:rPr>
              <w:t>Stipend authorised by the Plan for Partnership will apply.</w:t>
            </w:r>
          </w:p>
        </w:tc>
      </w:tr>
      <w:tr>
        <w:trPr>
          <w:trHeight w:val="2053" w:hRule="atLeast"/>
        </w:trPr>
        <w:tc>
          <w:tcPr>
            <w:tcW w:w="2319" w:type="dxa"/>
          </w:tcPr>
          <w:p>
            <w:pPr>
              <w:pStyle w:val="TableParagraph"/>
              <w:spacing w:before="108"/>
              <w:ind w:left="247"/>
              <w:rPr>
                <w:sz w:val="20"/>
              </w:rPr>
            </w:pPr>
            <w:r>
              <w:rPr>
                <w:w w:val="120"/>
                <w:sz w:val="20"/>
              </w:rPr>
              <w:t>ROLE OVERVIEW:</w:t>
            </w:r>
          </w:p>
        </w:tc>
        <w:tc>
          <w:tcPr>
            <w:tcW w:w="6344" w:type="dxa"/>
          </w:tcPr>
          <w:p>
            <w:pPr>
              <w:pStyle w:val="TableParagraph"/>
              <w:spacing w:line="235" w:lineRule="auto" w:before="111"/>
              <w:ind w:left="438"/>
              <w:rPr>
                <w:sz w:val="20"/>
              </w:rPr>
            </w:pPr>
            <w:r>
              <w:rPr>
                <w:w w:val="120"/>
                <w:sz w:val="20"/>
              </w:rPr>
              <w:t>To provide spiritual and pastoral oversight, care and leadership within the synod, giving confidence for the Church’s mission locally, regionally/nationally, and globally.</w:t>
            </w:r>
          </w:p>
          <w:p>
            <w:pPr>
              <w:pStyle w:val="TableParagraph"/>
              <w:spacing w:before="13"/>
              <w:ind w:left="0"/>
              <w:rPr>
                <w:rFonts w:ascii="Stone Sans II ITC Std X Bd"/>
                <w:b/>
                <w:sz w:val="17"/>
              </w:rPr>
            </w:pPr>
          </w:p>
          <w:p>
            <w:pPr>
              <w:pStyle w:val="TableParagraph"/>
              <w:spacing w:line="235" w:lineRule="auto"/>
              <w:ind w:left="438" w:right="262"/>
              <w:rPr>
                <w:sz w:val="20"/>
              </w:rPr>
            </w:pPr>
            <w:r>
              <w:rPr>
                <w:w w:val="120"/>
                <w:sz w:val="20"/>
              </w:rPr>
              <w:t>To provide clear personal leadership to enable and encourage discernment of God’s will within the councils of the Church.</w:t>
            </w:r>
          </w:p>
        </w:tc>
      </w:tr>
    </w:tbl>
    <w:p>
      <w:pPr>
        <w:pStyle w:val="BodyText"/>
        <w:spacing w:before="11"/>
        <w:rPr>
          <w:rFonts w:ascii="Stone Sans II ITC Std X Bd"/>
          <w:b/>
          <w:sz w:val="25"/>
        </w:rPr>
      </w:pPr>
    </w:p>
    <w:p>
      <w:pPr>
        <w:pStyle w:val="BodyText"/>
        <w:spacing w:line="235" w:lineRule="auto" w:before="104"/>
        <w:ind w:left="1984" w:right="1352"/>
      </w:pPr>
      <w:r>
        <w:rPr>
          <w:w w:val="120"/>
        </w:rPr>
        <w:t>This post is for an initial seven-year term with a possibility of renewal for further five year terms. The main responsibilities will be subject to review during the term, and at the point of any renewal, as new insights are gained and circumstances evolve.</w:t>
      </w:r>
    </w:p>
    <w:p>
      <w:pPr>
        <w:pStyle w:val="BodyText"/>
        <w:spacing w:before="10"/>
      </w:pPr>
    </w:p>
    <w:p>
      <w:pPr>
        <w:pStyle w:val="Heading4"/>
        <w:spacing w:line="356" w:lineRule="exact"/>
        <w:ind w:left="1984" w:firstLine="0"/>
        <w:rPr>
          <w:rFonts w:ascii="Stone Sans II ITC Std X Bd"/>
          <w:b/>
        </w:rPr>
      </w:pPr>
      <w:r>
        <w:rPr>
          <w:rFonts w:ascii="Stone Sans II ITC Std X Bd"/>
          <w:b/>
          <w:w w:val="110"/>
        </w:rPr>
        <w:t>Responsibilities and duties</w:t>
      </w:r>
    </w:p>
    <w:p>
      <w:pPr>
        <w:spacing w:line="356" w:lineRule="exact" w:before="0"/>
        <w:ind w:left="1984" w:right="0" w:firstLine="0"/>
        <w:jc w:val="left"/>
        <w:rPr>
          <w:rFonts w:ascii="Stone Sans II ITC Std Bk"/>
          <w:b/>
          <w:sz w:val="29"/>
        </w:rPr>
      </w:pPr>
      <w:r>
        <w:rPr>
          <w:rFonts w:ascii="Stone Sans II ITC Std Bk"/>
          <w:b/>
          <w:w w:val="110"/>
          <w:sz w:val="29"/>
        </w:rPr>
        <w:t>Synod</w:t>
      </w:r>
    </w:p>
    <w:p>
      <w:pPr>
        <w:pStyle w:val="ListParagraph"/>
        <w:numPr>
          <w:ilvl w:val="0"/>
          <w:numId w:val="22"/>
        </w:numPr>
        <w:tabs>
          <w:tab w:pos="2664" w:val="left" w:leader="none"/>
          <w:tab w:pos="2665" w:val="left" w:leader="none"/>
        </w:tabs>
        <w:spacing w:line="242" w:lineRule="exact" w:before="66" w:after="0"/>
        <w:ind w:left="2664" w:right="0" w:hanging="681"/>
        <w:jc w:val="left"/>
        <w:rPr>
          <w:sz w:val="20"/>
        </w:rPr>
      </w:pPr>
      <w:r>
        <w:rPr>
          <w:spacing w:val="-7"/>
          <w:w w:val="120"/>
          <w:sz w:val="20"/>
        </w:rPr>
        <w:t>To </w:t>
      </w:r>
      <w:r>
        <w:rPr>
          <w:w w:val="120"/>
          <w:sz w:val="20"/>
        </w:rPr>
        <w:t>play a key role in developing and realising the synod’s vision</w:t>
      </w:r>
      <w:r>
        <w:rPr>
          <w:spacing w:val="44"/>
          <w:w w:val="120"/>
          <w:sz w:val="20"/>
        </w:rPr>
        <w:t> </w:t>
      </w:r>
      <w:r>
        <w:rPr>
          <w:w w:val="120"/>
          <w:sz w:val="20"/>
        </w:rPr>
        <w:t>and</w:t>
      </w:r>
    </w:p>
    <w:p>
      <w:pPr>
        <w:pStyle w:val="BodyText"/>
        <w:spacing w:line="235" w:lineRule="auto" w:before="1"/>
        <w:ind w:left="2664" w:right="1521"/>
      </w:pPr>
      <w:r>
        <w:rPr>
          <w:w w:val="120"/>
        </w:rPr>
        <w:t>strategy by offering theological insight, having a clear awareness of priorities, and facilitating open discussion within the synod to produce realistic and agreed objectives.</w:t>
      </w:r>
    </w:p>
    <w:p>
      <w:pPr>
        <w:pStyle w:val="ListParagraph"/>
        <w:numPr>
          <w:ilvl w:val="0"/>
          <w:numId w:val="22"/>
        </w:numPr>
        <w:tabs>
          <w:tab w:pos="2664" w:val="left" w:leader="none"/>
          <w:tab w:pos="2665" w:val="left" w:leader="none"/>
        </w:tabs>
        <w:spacing w:line="240" w:lineRule="exact" w:before="0" w:after="0"/>
        <w:ind w:left="2664" w:right="0" w:hanging="681"/>
        <w:jc w:val="left"/>
        <w:rPr>
          <w:sz w:val="20"/>
        </w:rPr>
      </w:pPr>
      <w:r>
        <w:rPr>
          <w:spacing w:val="-7"/>
          <w:w w:val="120"/>
          <w:sz w:val="20"/>
        </w:rPr>
        <w:t>To </w:t>
      </w:r>
      <w:r>
        <w:rPr>
          <w:w w:val="120"/>
          <w:sz w:val="20"/>
        </w:rPr>
        <w:t>encourage ecumenical commitment and endeavour across the</w:t>
      </w:r>
      <w:r>
        <w:rPr>
          <w:spacing w:val="31"/>
          <w:w w:val="120"/>
          <w:sz w:val="20"/>
        </w:rPr>
        <w:t> </w:t>
      </w:r>
      <w:r>
        <w:rPr>
          <w:w w:val="120"/>
          <w:sz w:val="20"/>
        </w:rPr>
        <w:t>synod.</w:t>
      </w:r>
    </w:p>
    <w:p>
      <w:pPr>
        <w:pStyle w:val="ListParagraph"/>
        <w:numPr>
          <w:ilvl w:val="0"/>
          <w:numId w:val="22"/>
        </w:numPr>
        <w:tabs>
          <w:tab w:pos="2664" w:val="left" w:leader="none"/>
          <w:tab w:pos="2665" w:val="left" w:leader="none"/>
        </w:tabs>
        <w:spacing w:line="240" w:lineRule="exact" w:before="0" w:after="0"/>
        <w:ind w:left="2664" w:right="0" w:hanging="681"/>
        <w:jc w:val="left"/>
        <w:rPr>
          <w:sz w:val="20"/>
        </w:rPr>
      </w:pPr>
      <w:r>
        <w:rPr>
          <w:spacing w:val="-7"/>
          <w:w w:val="120"/>
          <w:sz w:val="20"/>
        </w:rPr>
        <w:t>To </w:t>
      </w:r>
      <w:r>
        <w:rPr>
          <w:w w:val="120"/>
          <w:sz w:val="20"/>
        </w:rPr>
        <w:t>encourage the </w:t>
      </w:r>
      <w:r>
        <w:rPr>
          <w:spacing w:val="-3"/>
          <w:w w:val="120"/>
          <w:sz w:val="20"/>
        </w:rPr>
        <w:t>Church’s </w:t>
      </w:r>
      <w:r>
        <w:rPr>
          <w:w w:val="120"/>
          <w:sz w:val="20"/>
        </w:rPr>
        <w:t>engagement with public</w:t>
      </w:r>
      <w:r>
        <w:rPr>
          <w:spacing w:val="35"/>
          <w:w w:val="120"/>
          <w:sz w:val="20"/>
        </w:rPr>
        <w:t> </w:t>
      </w:r>
      <w:r>
        <w:rPr>
          <w:w w:val="120"/>
          <w:sz w:val="20"/>
        </w:rPr>
        <w:t>issues.</w:t>
      </w:r>
    </w:p>
    <w:p>
      <w:pPr>
        <w:pStyle w:val="ListParagraph"/>
        <w:numPr>
          <w:ilvl w:val="0"/>
          <w:numId w:val="22"/>
        </w:numPr>
        <w:tabs>
          <w:tab w:pos="2664" w:val="left" w:leader="none"/>
          <w:tab w:pos="2665" w:val="left" w:leader="none"/>
        </w:tabs>
        <w:spacing w:line="235" w:lineRule="auto" w:before="2" w:after="0"/>
        <w:ind w:left="2664" w:right="1799" w:hanging="681"/>
        <w:jc w:val="left"/>
        <w:rPr>
          <w:sz w:val="20"/>
        </w:rPr>
      </w:pPr>
      <w:r>
        <w:rPr>
          <w:spacing w:val="-7"/>
          <w:w w:val="120"/>
          <w:sz w:val="20"/>
        </w:rPr>
        <w:t>To </w:t>
      </w:r>
      <w:r>
        <w:rPr>
          <w:w w:val="120"/>
          <w:sz w:val="20"/>
        </w:rPr>
        <w:t>nurture a sense of community and coherence across the synod by clear communication and leadership to ministers, churches, officers, committees, synod staff and the synod trust</w:t>
      </w:r>
      <w:r>
        <w:rPr>
          <w:spacing w:val="14"/>
          <w:w w:val="120"/>
          <w:sz w:val="20"/>
        </w:rPr>
        <w:t> </w:t>
      </w:r>
      <w:r>
        <w:rPr>
          <w:spacing w:val="-3"/>
          <w:w w:val="120"/>
          <w:sz w:val="20"/>
        </w:rPr>
        <w:t>company.</w:t>
      </w:r>
    </w:p>
    <w:p>
      <w:pPr>
        <w:pStyle w:val="ListParagraph"/>
        <w:numPr>
          <w:ilvl w:val="0"/>
          <w:numId w:val="22"/>
        </w:numPr>
        <w:tabs>
          <w:tab w:pos="2664" w:val="left" w:leader="none"/>
          <w:tab w:pos="2665" w:val="left" w:leader="none"/>
        </w:tabs>
        <w:spacing w:line="235" w:lineRule="auto" w:before="2" w:after="0"/>
        <w:ind w:left="2664" w:right="1400" w:hanging="681"/>
        <w:jc w:val="left"/>
        <w:rPr>
          <w:sz w:val="20"/>
        </w:rPr>
      </w:pPr>
      <w:r>
        <w:rPr>
          <w:spacing w:val="-7"/>
          <w:w w:val="120"/>
          <w:sz w:val="20"/>
        </w:rPr>
        <w:t>To </w:t>
      </w:r>
      <w:r>
        <w:rPr>
          <w:w w:val="120"/>
          <w:sz w:val="20"/>
        </w:rPr>
        <w:t>work collaboratively with synod officers/committees to facilitate clarity about</w:t>
      </w:r>
      <w:r>
        <w:rPr>
          <w:spacing w:val="9"/>
          <w:w w:val="120"/>
          <w:sz w:val="20"/>
        </w:rPr>
        <w:t> </w:t>
      </w:r>
      <w:r>
        <w:rPr>
          <w:w w:val="120"/>
          <w:sz w:val="20"/>
        </w:rPr>
        <w:t>priorities</w:t>
      </w:r>
      <w:r>
        <w:rPr>
          <w:spacing w:val="10"/>
          <w:w w:val="120"/>
          <w:sz w:val="20"/>
        </w:rPr>
        <w:t> </w:t>
      </w:r>
      <w:r>
        <w:rPr>
          <w:w w:val="120"/>
          <w:sz w:val="20"/>
        </w:rPr>
        <w:t>and</w:t>
      </w:r>
      <w:r>
        <w:rPr>
          <w:spacing w:val="10"/>
          <w:w w:val="120"/>
          <w:sz w:val="20"/>
        </w:rPr>
        <w:t> </w:t>
      </w:r>
      <w:r>
        <w:rPr>
          <w:w w:val="120"/>
          <w:sz w:val="20"/>
        </w:rPr>
        <w:t>to</w:t>
      </w:r>
      <w:r>
        <w:rPr>
          <w:spacing w:val="10"/>
          <w:w w:val="120"/>
          <w:sz w:val="20"/>
        </w:rPr>
        <w:t> </w:t>
      </w:r>
      <w:r>
        <w:rPr>
          <w:w w:val="120"/>
          <w:sz w:val="20"/>
        </w:rPr>
        <w:t>encourage</w:t>
      </w:r>
      <w:r>
        <w:rPr>
          <w:spacing w:val="10"/>
          <w:w w:val="120"/>
          <w:sz w:val="20"/>
        </w:rPr>
        <w:t> </w:t>
      </w:r>
      <w:r>
        <w:rPr>
          <w:w w:val="120"/>
          <w:sz w:val="20"/>
        </w:rPr>
        <w:t>creativity</w:t>
      </w:r>
      <w:r>
        <w:rPr>
          <w:spacing w:val="10"/>
          <w:w w:val="120"/>
          <w:sz w:val="20"/>
        </w:rPr>
        <w:t> </w:t>
      </w:r>
      <w:r>
        <w:rPr>
          <w:w w:val="120"/>
          <w:sz w:val="20"/>
        </w:rPr>
        <w:t>and</w:t>
      </w:r>
      <w:r>
        <w:rPr>
          <w:spacing w:val="10"/>
          <w:w w:val="120"/>
          <w:sz w:val="20"/>
        </w:rPr>
        <w:t> </w:t>
      </w:r>
      <w:r>
        <w:rPr>
          <w:w w:val="120"/>
          <w:sz w:val="20"/>
        </w:rPr>
        <w:t>new</w:t>
      </w:r>
      <w:r>
        <w:rPr>
          <w:spacing w:val="9"/>
          <w:w w:val="120"/>
          <w:sz w:val="20"/>
        </w:rPr>
        <w:t> </w:t>
      </w:r>
      <w:r>
        <w:rPr>
          <w:w w:val="120"/>
          <w:sz w:val="20"/>
        </w:rPr>
        <w:t>ideas</w:t>
      </w:r>
      <w:r>
        <w:rPr>
          <w:spacing w:val="10"/>
          <w:w w:val="120"/>
          <w:sz w:val="20"/>
        </w:rPr>
        <w:t> </w:t>
      </w:r>
      <w:r>
        <w:rPr>
          <w:w w:val="120"/>
          <w:sz w:val="20"/>
        </w:rPr>
        <w:t>about</w:t>
      </w:r>
      <w:r>
        <w:rPr>
          <w:spacing w:val="10"/>
          <w:w w:val="120"/>
          <w:sz w:val="20"/>
        </w:rPr>
        <w:t> </w:t>
      </w:r>
      <w:r>
        <w:rPr>
          <w:w w:val="120"/>
          <w:sz w:val="20"/>
        </w:rPr>
        <w:t>being</w:t>
      </w:r>
      <w:r>
        <w:rPr>
          <w:spacing w:val="10"/>
          <w:w w:val="120"/>
          <w:sz w:val="20"/>
        </w:rPr>
        <w:t> </w:t>
      </w:r>
      <w:r>
        <w:rPr>
          <w:w w:val="120"/>
          <w:sz w:val="20"/>
        </w:rPr>
        <w:t>church.</w:t>
      </w:r>
    </w:p>
    <w:p>
      <w:pPr>
        <w:pStyle w:val="ListParagraph"/>
        <w:numPr>
          <w:ilvl w:val="0"/>
          <w:numId w:val="22"/>
        </w:numPr>
        <w:tabs>
          <w:tab w:pos="2664" w:val="left" w:leader="none"/>
          <w:tab w:pos="2665" w:val="left" w:leader="none"/>
        </w:tabs>
        <w:spacing w:line="240" w:lineRule="exact" w:before="0" w:after="0"/>
        <w:ind w:left="2664" w:right="0" w:hanging="681"/>
        <w:jc w:val="left"/>
        <w:rPr>
          <w:sz w:val="20"/>
        </w:rPr>
      </w:pPr>
      <w:r>
        <w:rPr>
          <w:spacing w:val="-7"/>
          <w:w w:val="120"/>
          <w:sz w:val="20"/>
        </w:rPr>
        <w:t>To </w:t>
      </w:r>
      <w:r>
        <w:rPr>
          <w:w w:val="120"/>
          <w:sz w:val="20"/>
        </w:rPr>
        <w:t>chair synod</w:t>
      </w:r>
      <w:r>
        <w:rPr>
          <w:spacing w:val="13"/>
          <w:w w:val="120"/>
          <w:sz w:val="20"/>
        </w:rPr>
        <w:t> </w:t>
      </w:r>
      <w:r>
        <w:rPr>
          <w:w w:val="120"/>
          <w:sz w:val="20"/>
        </w:rPr>
        <w:t>meetings.</w:t>
      </w:r>
    </w:p>
    <w:p>
      <w:pPr>
        <w:pStyle w:val="ListParagraph"/>
        <w:numPr>
          <w:ilvl w:val="0"/>
          <w:numId w:val="22"/>
        </w:numPr>
        <w:tabs>
          <w:tab w:pos="2664" w:val="left" w:leader="none"/>
          <w:tab w:pos="2665" w:val="left" w:leader="none"/>
        </w:tabs>
        <w:spacing w:line="242" w:lineRule="exact" w:before="0" w:after="0"/>
        <w:ind w:left="2664" w:right="0" w:hanging="681"/>
        <w:jc w:val="left"/>
        <w:rPr>
          <w:sz w:val="20"/>
        </w:rPr>
      </w:pPr>
      <w:r>
        <w:rPr>
          <w:spacing w:val="-3"/>
          <w:w w:val="120"/>
          <w:sz w:val="20"/>
        </w:rPr>
        <w:t>[Synod </w:t>
      </w:r>
      <w:r>
        <w:rPr>
          <w:w w:val="120"/>
          <w:sz w:val="20"/>
        </w:rPr>
        <w:t>specific addition, if</w:t>
      </w:r>
      <w:r>
        <w:rPr>
          <w:spacing w:val="13"/>
          <w:w w:val="120"/>
          <w:sz w:val="20"/>
        </w:rPr>
        <w:t> </w:t>
      </w:r>
      <w:r>
        <w:rPr>
          <w:spacing w:val="-4"/>
          <w:w w:val="120"/>
          <w:sz w:val="20"/>
        </w:rPr>
        <w:t>any]</w:t>
      </w:r>
    </w:p>
    <w:p>
      <w:pPr>
        <w:pStyle w:val="Heading4"/>
        <w:spacing w:before="212"/>
        <w:ind w:left="1984" w:firstLine="0"/>
      </w:pPr>
      <w:r>
        <w:rPr>
          <w:w w:val="110"/>
        </w:rPr>
        <w:t>Churches</w:t>
      </w:r>
    </w:p>
    <w:p>
      <w:pPr>
        <w:pStyle w:val="ListParagraph"/>
        <w:numPr>
          <w:ilvl w:val="0"/>
          <w:numId w:val="22"/>
        </w:numPr>
        <w:tabs>
          <w:tab w:pos="2664" w:val="left" w:leader="none"/>
          <w:tab w:pos="2665" w:val="left" w:leader="none"/>
        </w:tabs>
        <w:spacing w:line="235" w:lineRule="auto" w:before="69" w:after="0"/>
        <w:ind w:left="2664" w:right="1328" w:hanging="681"/>
        <w:jc w:val="left"/>
        <w:rPr>
          <w:sz w:val="20"/>
        </w:rPr>
      </w:pPr>
      <w:r>
        <w:rPr>
          <w:spacing w:val="-7"/>
          <w:w w:val="120"/>
          <w:sz w:val="20"/>
        </w:rPr>
        <w:t>To </w:t>
      </w:r>
      <w:r>
        <w:rPr>
          <w:w w:val="120"/>
          <w:sz w:val="20"/>
        </w:rPr>
        <w:t>work collaboratively to encourage local churches and partnerships to engage in strategies leading to health, growth, learning and</w:t>
      </w:r>
      <w:r>
        <w:rPr>
          <w:spacing w:val="27"/>
          <w:w w:val="120"/>
          <w:sz w:val="20"/>
        </w:rPr>
        <w:t> </w:t>
      </w:r>
      <w:r>
        <w:rPr>
          <w:w w:val="120"/>
          <w:sz w:val="20"/>
        </w:rPr>
        <w:t>renewal.</w:t>
      </w:r>
    </w:p>
    <w:p>
      <w:pPr>
        <w:pStyle w:val="ListParagraph"/>
        <w:numPr>
          <w:ilvl w:val="0"/>
          <w:numId w:val="22"/>
        </w:numPr>
        <w:tabs>
          <w:tab w:pos="2664" w:val="left" w:leader="none"/>
          <w:tab w:pos="2665" w:val="left" w:leader="none"/>
        </w:tabs>
        <w:spacing w:line="235" w:lineRule="auto" w:before="2" w:after="0"/>
        <w:ind w:left="2664" w:right="1551" w:hanging="681"/>
        <w:jc w:val="left"/>
        <w:rPr>
          <w:sz w:val="20"/>
        </w:rPr>
      </w:pPr>
      <w:r>
        <w:rPr>
          <w:spacing w:val="-7"/>
          <w:w w:val="120"/>
          <w:sz w:val="20"/>
        </w:rPr>
        <w:t>To  </w:t>
      </w:r>
      <w:r>
        <w:rPr>
          <w:w w:val="120"/>
          <w:sz w:val="20"/>
        </w:rPr>
        <w:t>ensure the development and implementation of an appropriate strategy for the deployment of stipendiary ministers/CRCWs within the synod’s agreed allocation.</w:t>
      </w:r>
    </w:p>
    <w:p>
      <w:pPr>
        <w:pStyle w:val="ListParagraph"/>
        <w:numPr>
          <w:ilvl w:val="0"/>
          <w:numId w:val="22"/>
        </w:numPr>
        <w:tabs>
          <w:tab w:pos="2664" w:val="left" w:leader="none"/>
          <w:tab w:pos="2665" w:val="left" w:leader="none"/>
        </w:tabs>
        <w:spacing w:line="235" w:lineRule="auto" w:before="2" w:after="0"/>
        <w:ind w:left="2664" w:right="1359" w:hanging="681"/>
        <w:jc w:val="left"/>
        <w:rPr>
          <w:sz w:val="20"/>
        </w:rPr>
      </w:pPr>
      <w:r>
        <w:rPr>
          <w:spacing w:val="-7"/>
          <w:w w:val="120"/>
          <w:sz w:val="20"/>
        </w:rPr>
        <w:t>To </w:t>
      </w:r>
      <w:r>
        <w:rPr>
          <w:w w:val="120"/>
          <w:sz w:val="20"/>
        </w:rPr>
        <w:t>visit and provide strategic encouragement to pastorates in vacancy, to suggest names of ministers and CRCWs to vacant pastorates in conjunction with interim moderators of local churches and to preside </w:t>
      </w:r>
      <w:r>
        <w:rPr>
          <w:spacing w:val="-3"/>
          <w:w w:val="120"/>
          <w:sz w:val="20"/>
        </w:rPr>
        <w:t>(except </w:t>
      </w:r>
      <w:r>
        <w:rPr>
          <w:w w:val="120"/>
          <w:sz w:val="20"/>
        </w:rPr>
        <w:t>where a deputy</w:t>
      </w:r>
    </w:p>
    <w:p>
      <w:pPr>
        <w:pStyle w:val="BodyText"/>
        <w:spacing w:line="235" w:lineRule="auto" w:before="2"/>
        <w:ind w:left="2664" w:right="1352"/>
      </w:pPr>
      <w:r>
        <w:rPr>
          <w:w w:val="120"/>
        </w:rPr>
        <w:t>is appointed) at all ordinations/commissionings and/or inductions of ministers within the</w:t>
      </w:r>
      <w:r>
        <w:rPr>
          <w:spacing w:val="4"/>
          <w:w w:val="120"/>
        </w:rPr>
        <w:t> </w:t>
      </w:r>
      <w:r>
        <w:rPr>
          <w:w w:val="120"/>
        </w:rPr>
        <w:t>synod.</w:t>
      </w:r>
    </w:p>
    <w:p>
      <w:pPr>
        <w:pStyle w:val="ListParagraph"/>
        <w:numPr>
          <w:ilvl w:val="0"/>
          <w:numId w:val="22"/>
        </w:numPr>
        <w:tabs>
          <w:tab w:pos="2664" w:val="left" w:leader="none"/>
          <w:tab w:pos="2665" w:val="left" w:leader="none"/>
        </w:tabs>
        <w:spacing w:line="235" w:lineRule="auto" w:before="2" w:after="0"/>
        <w:ind w:left="2664" w:right="1431" w:hanging="681"/>
        <w:jc w:val="left"/>
        <w:rPr>
          <w:sz w:val="20"/>
        </w:rPr>
      </w:pPr>
      <w:r>
        <w:rPr>
          <w:spacing w:val="-7"/>
          <w:w w:val="120"/>
          <w:sz w:val="20"/>
        </w:rPr>
        <w:t>To </w:t>
      </w:r>
      <w:r>
        <w:rPr>
          <w:w w:val="120"/>
          <w:sz w:val="20"/>
        </w:rPr>
        <w:t>work with others to ensure that individual </w:t>
      </w:r>
      <w:r>
        <w:rPr>
          <w:spacing w:val="2"/>
          <w:w w:val="120"/>
          <w:sz w:val="20"/>
        </w:rPr>
        <w:t>gifts </w:t>
      </w:r>
      <w:r>
        <w:rPr>
          <w:w w:val="120"/>
          <w:sz w:val="20"/>
        </w:rPr>
        <w:t>in the churches and committees will be recognised and fostered for the benefit of the whole </w:t>
      </w:r>
      <w:r>
        <w:rPr>
          <w:spacing w:val="4"/>
          <w:w w:val="120"/>
          <w:sz w:val="20"/>
        </w:rPr>
        <w:t> </w:t>
      </w:r>
      <w:r>
        <w:rPr>
          <w:w w:val="120"/>
          <w:sz w:val="20"/>
        </w:rPr>
        <w:t>synod.</w:t>
      </w:r>
    </w:p>
    <w:p>
      <w:pPr>
        <w:spacing w:after="0" w:line="235" w:lineRule="auto"/>
        <w:jc w:val="left"/>
        <w:rPr>
          <w:sz w:val="20"/>
        </w:rPr>
        <w:sectPr>
          <w:headerReference w:type="default" r:id="rId103"/>
          <w:footerReference w:type="default" r:id="rId104"/>
          <w:footerReference w:type="even" r:id="rId105"/>
          <w:pgSz w:w="11910" w:h="16840"/>
          <w:pgMar w:header="0" w:footer="647" w:top="0" w:bottom="840" w:left="0" w:right="0"/>
          <w:pgNumType w:start="41"/>
        </w:sectPr>
      </w:pPr>
    </w:p>
    <w:p>
      <w:pPr>
        <w:pStyle w:val="BodyText"/>
      </w:pPr>
      <w:r>
        <w:rPr/>
        <w:drawing>
          <wp:anchor distT="0" distB="0" distL="0" distR="0" allowOverlap="1" layoutInCell="1" locked="0" behindDoc="0" simplePos="0" relativeHeight="251786240">
            <wp:simplePos x="0" y="0"/>
            <wp:positionH relativeFrom="page">
              <wp:posOffset>0</wp:posOffset>
            </wp:positionH>
            <wp:positionV relativeFrom="page">
              <wp:posOffset>0</wp:posOffset>
            </wp:positionV>
            <wp:extent cx="594067" cy="10692003"/>
            <wp:effectExtent l="0" t="0" r="0" b="0"/>
            <wp:wrapNone/>
            <wp:docPr id="77" name="image22.png"/>
            <wp:cNvGraphicFramePr>
              <a:graphicFrameLocks noChangeAspect="1"/>
            </wp:cNvGraphicFramePr>
            <a:graphic>
              <a:graphicData uri="http://schemas.openxmlformats.org/drawingml/2006/picture">
                <pic:pic>
                  <pic:nvPicPr>
                    <pic:cNvPr id="78" name="image22.png"/>
                    <pic:cNvPicPr/>
                  </pic:nvPicPr>
                  <pic:blipFill>
                    <a:blip r:embed="rId33"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shape style="position:absolute;margin-left:20.519100pt;margin-top:22.593945pt;width:25.9pt;height:415.15pt;mso-position-horizontal-relative:page;mso-position-vertical-relative:paragraph;z-index:251787264" type="#_x0000_t202" filled="false" stroked="false">
            <v:textbox inset="0,0,0,0" style="layout-flow:vertical">
              <w:txbxContent>
                <w:p>
                  <w:pPr>
                    <w:spacing w:before="27"/>
                    <w:ind w:left="20" w:right="0" w:firstLine="0"/>
                    <w:jc w:val="left"/>
                    <w:rPr>
                      <w:sz w:val="39"/>
                    </w:rPr>
                  </w:pPr>
                  <w:r>
                    <w:rPr>
                      <w:color w:val="FFFFFF"/>
                      <w:w w:val="120"/>
                      <w:sz w:val="39"/>
                    </w:rPr>
                    <w:t>Role of the synod moderator – </w:t>
                  </w:r>
                  <w:r>
                    <w:rPr>
                      <w:w w:val="120"/>
                      <w:sz w:val="39"/>
                    </w:rPr>
                    <w:t>Appendix</w:t>
                  </w:r>
                </w:p>
              </w:txbxContent>
            </v:textbox>
            <w10:wrap type="none"/>
          </v:shape>
        </w:pict>
      </w:r>
      <w:r>
        <w:rPr>
          <w:color w:val="7EAABF"/>
          <w:w w:val="120"/>
        </w:rPr>
        <w:t>Mission Council</w:t>
      </w:r>
    </w:p>
    <w:p>
      <w:pPr>
        <w:pStyle w:val="ListParagraph"/>
        <w:numPr>
          <w:ilvl w:val="0"/>
          <w:numId w:val="22"/>
        </w:numPr>
        <w:tabs>
          <w:tab w:pos="1927" w:val="left" w:leader="none"/>
          <w:tab w:pos="1928" w:val="left" w:leader="none"/>
        </w:tabs>
        <w:spacing w:line="242" w:lineRule="exact" w:before="218" w:after="0"/>
        <w:ind w:left="1927" w:right="0" w:hanging="681"/>
        <w:jc w:val="left"/>
        <w:rPr>
          <w:sz w:val="20"/>
        </w:rPr>
      </w:pPr>
      <w:r>
        <w:rPr>
          <w:spacing w:val="-7"/>
          <w:w w:val="120"/>
          <w:sz w:val="20"/>
        </w:rPr>
        <w:t>To </w:t>
      </w:r>
      <w:r>
        <w:rPr>
          <w:w w:val="120"/>
          <w:sz w:val="20"/>
        </w:rPr>
        <w:t>visit and lead worship at churches within the</w:t>
      </w:r>
      <w:r>
        <w:rPr>
          <w:spacing w:val="28"/>
          <w:w w:val="120"/>
          <w:sz w:val="20"/>
        </w:rPr>
        <w:t> </w:t>
      </w:r>
      <w:r>
        <w:rPr>
          <w:w w:val="120"/>
          <w:sz w:val="20"/>
        </w:rPr>
        <w:t>synod.</w:t>
      </w:r>
    </w:p>
    <w:p>
      <w:pPr>
        <w:pStyle w:val="ListParagraph"/>
        <w:numPr>
          <w:ilvl w:val="0"/>
          <w:numId w:val="22"/>
        </w:numPr>
        <w:tabs>
          <w:tab w:pos="1927" w:val="left" w:leader="none"/>
          <w:tab w:pos="1928" w:val="left" w:leader="none"/>
        </w:tabs>
        <w:spacing w:line="242" w:lineRule="exact" w:before="0" w:after="0"/>
        <w:ind w:left="1927" w:right="0" w:hanging="681"/>
        <w:jc w:val="left"/>
        <w:rPr>
          <w:sz w:val="20"/>
        </w:rPr>
      </w:pPr>
      <w:r>
        <w:rPr>
          <w:spacing w:val="-3"/>
          <w:w w:val="120"/>
          <w:sz w:val="20"/>
        </w:rPr>
        <w:t>[Synod </w:t>
      </w:r>
      <w:r>
        <w:rPr>
          <w:w w:val="120"/>
          <w:sz w:val="20"/>
        </w:rPr>
        <w:t>specific addition, if</w:t>
      </w:r>
      <w:r>
        <w:rPr>
          <w:spacing w:val="12"/>
          <w:w w:val="120"/>
          <w:sz w:val="20"/>
        </w:rPr>
        <w:t> </w:t>
      </w:r>
      <w:r>
        <w:rPr>
          <w:spacing w:val="-4"/>
          <w:w w:val="120"/>
          <w:sz w:val="20"/>
        </w:rPr>
        <w:t>any]</w:t>
      </w:r>
    </w:p>
    <w:p>
      <w:pPr>
        <w:pStyle w:val="Heading4"/>
        <w:spacing w:before="212"/>
        <w:ind w:left="1247" w:firstLine="0"/>
      </w:pPr>
      <w:r>
        <w:rPr>
          <w:w w:val="110"/>
        </w:rPr>
        <w:t>People</w:t>
      </w:r>
    </w:p>
    <w:p>
      <w:pPr>
        <w:pStyle w:val="ListParagraph"/>
        <w:numPr>
          <w:ilvl w:val="0"/>
          <w:numId w:val="22"/>
        </w:numPr>
        <w:tabs>
          <w:tab w:pos="1927" w:val="left" w:leader="none"/>
          <w:tab w:pos="1928" w:val="left" w:leader="none"/>
        </w:tabs>
        <w:spacing w:line="235" w:lineRule="auto" w:before="69" w:after="0"/>
        <w:ind w:left="1927" w:right="2224" w:hanging="681"/>
        <w:jc w:val="left"/>
        <w:rPr>
          <w:sz w:val="20"/>
        </w:rPr>
      </w:pPr>
      <w:r>
        <w:rPr>
          <w:spacing w:val="-7"/>
          <w:w w:val="120"/>
          <w:sz w:val="20"/>
        </w:rPr>
        <w:t>To </w:t>
      </w:r>
      <w:r>
        <w:rPr>
          <w:w w:val="120"/>
          <w:sz w:val="20"/>
        </w:rPr>
        <w:t>ensure active encouragement and support for the spiritual growth, renewal and Christian service of church members of all</w:t>
      </w:r>
      <w:r>
        <w:rPr>
          <w:spacing w:val="20"/>
          <w:w w:val="120"/>
          <w:sz w:val="20"/>
        </w:rPr>
        <w:t> </w:t>
      </w:r>
      <w:r>
        <w:rPr>
          <w:w w:val="120"/>
          <w:sz w:val="20"/>
        </w:rPr>
        <w:t>ages.</w:t>
      </w:r>
    </w:p>
    <w:p>
      <w:pPr>
        <w:pStyle w:val="ListParagraph"/>
        <w:numPr>
          <w:ilvl w:val="0"/>
          <w:numId w:val="22"/>
        </w:numPr>
        <w:tabs>
          <w:tab w:pos="1927" w:val="left" w:leader="none"/>
          <w:tab w:pos="1928" w:val="left" w:leader="none"/>
        </w:tabs>
        <w:spacing w:line="240" w:lineRule="exact" w:before="0" w:after="0"/>
        <w:ind w:left="1927" w:right="0" w:hanging="681"/>
        <w:jc w:val="left"/>
        <w:rPr>
          <w:sz w:val="20"/>
        </w:rPr>
      </w:pPr>
      <w:r>
        <w:rPr>
          <w:spacing w:val="-7"/>
          <w:w w:val="120"/>
          <w:sz w:val="20"/>
        </w:rPr>
        <w:t>To </w:t>
      </w:r>
      <w:r>
        <w:rPr>
          <w:w w:val="120"/>
          <w:sz w:val="20"/>
        </w:rPr>
        <w:t>meet with ministerial candidates and provide them with procedural</w:t>
      </w:r>
      <w:r>
        <w:rPr>
          <w:spacing w:val="41"/>
          <w:w w:val="120"/>
          <w:sz w:val="20"/>
        </w:rPr>
        <w:t> </w:t>
      </w:r>
      <w:r>
        <w:rPr>
          <w:w w:val="120"/>
          <w:sz w:val="20"/>
        </w:rPr>
        <w:t>guidance.</w:t>
      </w:r>
    </w:p>
    <w:p>
      <w:pPr>
        <w:pStyle w:val="ListParagraph"/>
        <w:numPr>
          <w:ilvl w:val="0"/>
          <w:numId w:val="22"/>
        </w:numPr>
        <w:tabs>
          <w:tab w:pos="1927" w:val="left" w:leader="none"/>
          <w:tab w:pos="1928" w:val="left" w:leader="none"/>
        </w:tabs>
        <w:spacing w:line="235" w:lineRule="auto" w:before="1" w:after="0"/>
        <w:ind w:left="1927" w:right="2538" w:hanging="681"/>
        <w:jc w:val="left"/>
        <w:rPr>
          <w:sz w:val="20"/>
        </w:rPr>
      </w:pPr>
      <w:r>
        <w:rPr>
          <w:spacing w:val="-7"/>
          <w:w w:val="120"/>
          <w:sz w:val="20"/>
        </w:rPr>
        <w:t>To </w:t>
      </w:r>
      <w:r>
        <w:rPr>
          <w:w w:val="120"/>
          <w:sz w:val="20"/>
        </w:rPr>
        <w:t>provide supportive oversight and pastoral care to serving ministers, CRCWs and their families both personally and through the establishment of collegial</w:t>
      </w:r>
      <w:r>
        <w:rPr>
          <w:spacing w:val="2"/>
          <w:w w:val="120"/>
          <w:sz w:val="20"/>
        </w:rPr>
        <w:t> </w:t>
      </w:r>
      <w:r>
        <w:rPr>
          <w:w w:val="120"/>
          <w:sz w:val="20"/>
        </w:rPr>
        <w:t>teams.</w:t>
      </w:r>
    </w:p>
    <w:p>
      <w:pPr>
        <w:pStyle w:val="ListParagraph"/>
        <w:numPr>
          <w:ilvl w:val="0"/>
          <w:numId w:val="22"/>
        </w:numPr>
        <w:tabs>
          <w:tab w:pos="1927" w:val="left" w:leader="none"/>
          <w:tab w:pos="1928" w:val="left" w:leader="none"/>
        </w:tabs>
        <w:spacing w:line="235" w:lineRule="auto" w:before="3" w:after="0"/>
        <w:ind w:left="1927" w:right="2293" w:hanging="681"/>
        <w:jc w:val="left"/>
        <w:rPr>
          <w:sz w:val="20"/>
        </w:rPr>
      </w:pPr>
      <w:r>
        <w:rPr>
          <w:spacing w:val="-7"/>
          <w:w w:val="120"/>
          <w:sz w:val="20"/>
        </w:rPr>
        <w:t>To </w:t>
      </w:r>
      <w:r>
        <w:rPr>
          <w:w w:val="120"/>
          <w:sz w:val="20"/>
        </w:rPr>
        <w:t>act as an adviser in the </w:t>
      </w:r>
      <w:r>
        <w:rPr>
          <w:spacing w:val="-3"/>
          <w:w w:val="120"/>
          <w:sz w:val="20"/>
        </w:rPr>
        <w:t>URC’s </w:t>
      </w:r>
      <w:r>
        <w:rPr>
          <w:w w:val="120"/>
          <w:sz w:val="20"/>
        </w:rPr>
        <w:t>provision of support services to ministers and CRCWs </w:t>
      </w:r>
      <w:r>
        <w:rPr>
          <w:spacing w:val="-5"/>
          <w:w w:val="120"/>
          <w:sz w:val="20"/>
        </w:rPr>
        <w:t>(e.g. </w:t>
      </w:r>
      <w:r>
        <w:rPr>
          <w:w w:val="120"/>
          <w:sz w:val="20"/>
        </w:rPr>
        <w:t>long term sickness arrangements, welfare, retirement</w:t>
      </w:r>
      <w:r>
        <w:rPr>
          <w:spacing w:val="39"/>
          <w:w w:val="120"/>
          <w:sz w:val="20"/>
        </w:rPr>
        <w:t> </w:t>
      </w:r>
      <w:r>
        <w:rPr>
          <w:spacing w:val="-3"/>
          <w:w w:val="120"/>
          <w:sz w:val="20"/>
        </w:rPr>
        <w:t>processes).</w:t>
      </w:r>
    </w:p>
    <w:p>
      <w:pPr>
        <w:pStyle w:val="ListParagraph"/>
        <w:numPr>
          <w:ilvl w:val="0"/>
          <w:numId w:val="22"/>
        </w:numPr>
        <w:tabs>
          <w:tab w:pos="1927" w:val="left" w:leader="none"/>
          <w:tab w:pos="1928" w:val="left" w:leader="none"/>
        </w:tabs>
        <w:spacing w:line="235" w:lineRule="auto" w:before="1" w:after="0"/>
        <w:ind w:left="1927" w:right="2367" w:hanging="681"/>
        <w:jc w:val="left"/>
        <w:rPr>
          <w:sz w:val="20"/>
        </w:rPr>
      </w:pPr>
      <w:r>
        <w:rPr>
          <w:spacing w:val="-7"/>
          <w:w w:val="120"/>
          <w:sz w:val="20"/>
        </w:rPr>
        <w:t>To </w:t>
      </w:r>
      <w:r>
        <w:rPr>
          <w:w w:val="120"/>
          <w:sz w:val="20"/>
        </w:rPr>
        <w:t>encourage ministers and CRCWs in spiritual growth and development at  all stages in their ministry, in partnership with those responsible for their self- appraisal and ongoing</w:t>
      </w:r>
      <w:r>
        <w:rPr>
          <w:spacing w:val="9"/>
          <w:w w:val="120"/>
          <w:sz w:val="20"/>
        </w:rPr>
        <w:t> </w:t>
      </w:r>
      <w:r>
        <w:rPr>
          <w:w w:val="120"/>
          <w:sz w:val="20"/>
        </w:rPr>
        <w:t>development.</w:t>
      </w:r>
    </w:p>
    <w:p>
      <w:pPr>
        <w:pStyle w:val="ListParagraph"/>
        <w:numPr>
          <w:ilvl w:val="0"/>
          <w:numId w:val="22"/>
        </w:numPr>
        <w:tabs>
          <w:tab w:pos="1927" w:val="left" w:leader="none"/>
          <w:tab w:pos="1928" w:val="left" w:leader="none"/>
        </w:tabs>
        <w:spacing w:line="235" w:lineRule="auto" w:before="2" w:after="0"/>
        <w:ind w:left="1927" w:right="3008" w:hanging="681"/>
        <w:jc w:val="left"/>
        <w:rPr>
          <w:sz w:val="20"/>
        </w:rPr>
      </w:pPr>
      <w:r>
        <w:rPr>
          <w:spacing w:val="-7"/>
          <w:w w:val="120"/>
          <w:sz w:val="20"/>
        </w:rPr>
        <w:t>To </w:t>
      </w:r>
      <w:r>
        <w:rPr>
          <w:w w:val="120"/>
          <w:sz w:val="20"/>
        </w:rPr>
        <w:t>fulfil the responsibilities ascribed to the synod moderator under the ministerial disciplinary process and the Incapacity</w:t>
      </w:r>
      <w:r>
        <w:rPr>
          <w:spacing w:val="21"/>
          <w:w w:val="120"/>
          <w:sz w:val="20"/>
        </w:rPr>
        <w:t> </w:t>
      </w:r>
      <w:r>
        <w:rPr>
          <w:w w:val="120"/>
          <w:sz w:val="20"/>
        </w:rPr>
        <w:t>procedure.</w:t>
      </w:r>
    </w:p>
    <w:p>
      <w:pPr>
        <w:pStyle w:val="ListParagraph"/>
        <w:numPr>
          <w:ilvl w:val="0"/>
          <w:numId w:val="22"/>
        </w:numPr>
        <w:tabs>
          <w:tab w:pos="1927" w:val="left" w:leader="none"/>
          <w:tab w:pos="1928" w:val="left" w:leader="none"/>
        </w:tabs>
        <w:spacing w:line="242" w:lineRule="exact" w:before="0" w:after="0"/>
        <w:ind w:left="1927" w:right="0" w:hanging="681"/>
        <w:jc w:val="left"/>
        <w:rPr>
          <w:sz w:val="20"/>
        </w:rPr>
      </w:pPr>
      <w:r>
        <w:rPr>
          <w:spacing w:val="-3"/>
          <w:w w:val="120"/>
          <w:sz w:val="20"/>
        </w:rPr>
        <w:t>[Synod </w:t>
      </w:r>
      <w:r>
        <w:rPr>
          <w:w w:val="120"/>
          <w:sz w:val="20"/>
        </w:rPr>
        <w:t>specific addition, if</w:t>
      </w:r>
      <w:r>
        <w:rPr>
          <w:spacing w:val="12"/>
          <w:w w:val="120"/>
          <w:sz w:val="20"/>
        </w:rPr>
        <w:t> </w:t>
      </w:r>
      <w:r>
        <w:rPr>
          <w:spacing w:val="-4"/>
          <w:w w:val="120"/>
          <w:sz w:val="20"/>
        </w:rPr>
        <w:t>any]</w:t>
      </w:r>
    </w:p>
    <w:p>
      <w:pPr>
        <w:pStyle w:val="Heading4"/>
        <w:spacing w:before="212"/>
        <w:ind w:left="1247" w:firstLine="0"/>
      </w:pPr>
      <w:r>
        <w:rPr>
          <w:w w:val="110"/>
        </w:rPr>
        <w:t>Wider Engagement</w:t>
      </w:r>
    </w:p>
    <w:p>
      <w:pPr>
        <w:pStyle w:val="ListParagraph"/>
        <w:numPr>
          <w:ilvl w:val="0"/>
          <w:numId w:val="22"/>
        </w:numPr>
        <w:tabs>
          <w:tab w:pos="1927" w:val="left" w:leader="none"/>
          <w:tab w:pos="1928" w:val="left" w:leader="none"/>
        </w:tabs>
        <w:spacing w:line="242" w:lineRule="exact" w:before="66" w:after="0"/>
        <w:ind w:left="1927" w:right="0" w:hanging="681"/>
        <w:jc w:val="left"/>
        <w:rPr>
          <w:sz w:val="20"/>
        </w:rPr>
      </w:pPr>
      <w:r>
        <w:rPr>
          <w:spacing w:val="-7"/>
          <w:w w:val="120"/>
          <w:sz w:val="20"/>
        </w:rPr>
        <w:t>To </w:t>
      </w:r>
      <w:r>
        <w:rPr>
          <w:w w:val="120"/>
          <w:sz w:val="20"/>
        </w:rPr>
        <w:t>participate as a member of Mission Council and the General</w:t>
      </w:r>
      <w:r>
        <w:rPr>
          <w:spacing w:val="32"/>
          <w:w w:val="120"/>
          <w:sz w:val="20"/>
        </w:rPr>
        <w:t> </w:t>
      </w:r>
      <w:r>
        <w:rPr>
          <w:w w:val="120"/>
          <w:sz w:val="20"/>
        </w:rPr>
        <w:t>Assembly.</w:t>
      </w:r>
    </w:p>
    <w:p>
      <w:pPr>
        <w:pStyle w:val="ListParagraph"/>
        <w:numPr>
          <w:ilvl w:val="0"/>
          <w:numId w:val="22"/>
        </w:numPr>
        <w:tabs>
          <w:tab w:pos="1927" w:val="left" w:leader="none"/>
          <w:tab w:pos="1928" w:val="left" w:leader="none"/>
        </w:tabs>
        <w:spacing w:line="240" w:lineRule="exact" w:before="0" w:after="0"/>
        <w:ind w:left="1927" w:right="0" w:hanging="681"/>
        <w:jc w:val="left"/>
        <w:rPr>
          <w:sz w:val="20"/>
        </w:rPr>
      </w:pPr>
      <w:r>
        <w:rPr>
          <w:spacing w:val="-7"/>
          <w:w w:val="120"/>
          <w:sz w:val="20"/>
        </w:rPr>
        <w:t>To </w:t>
      </w:r>
      <w:r>
        <w:rPr>
          <w:w w:val="120"/>
          <w:sz w:val="20"/>
        </w:rPr>
        <w:t>represent the synod to the wider church and the wider church to the</w:t>
      </w:r>
      <w:r>
        <w:rPr>
          <w:spacing w:val="52"/>
          <w:w w:val="120"/>
          <w:sz w:val="20"/>
        </w:rPr>
        <w:t> </w:t>
      </w:r>
      <w:r>
        <w:rPr>
          <w:w w:val="120"/>
          <w:sz w:val="20"/>
        </w:rPr>
        <w:t>synod.</w:t>
      </w:r>
    </w:p>
    <w:p>
      <w:pPr>
        <w:pStyle w:val="ListParagraph"/>
        <w:numPr>
          <w:ilvl w:val="0"/>
          <w:numId w:val="22"/>
        </w:numPr>
        <w:tabs>
          <w:tab w:pos="1927" w:val="left" w:leader="none"/>
          <w:tab w:pos="1928" w:val="left" w:leader="none"/>
        </w:tabs>
        <w:spacing w:line="240" w:lineRule="exact" w:before="0" w:after="0"/>
        <w:ind w:left="1927" w:right="0" w:hanging="681"/>
        <w:jc w:val="left"/>
        <w:rPr>
          <w:sz w:val="20"/>
        </w:rPr>
      </w:pPr>
      <w:r>
        <w:rPr>
          <w:spacing w:val="-7"/>
          <w:w w:val="120"/>
          <w:sz w:val="20"/>
        </w:rPr>
        <w:t>To </w:t>
      </w:r>
      <w:r>
        <w:rPr>
          <w:w w:val="120"/>
          <w:sz w:val="20"/>
        </w:rPr>
        <w:t>take a full </w:t>
      </w:r>
      <w:r>
        <w:rPr>
          <w:spacing w:val="2"/>
          <w:w w:val="120"/>
          <w:sz w:val="20"/>
        </w:rPr>
        <w:t>part </w:t>
      </w:r>
      <w:r>
        <w:rPr>
          <w:w w:val="120"/>
          <w:sz w:val="20"/>
        </w:rPr>
        <w:t>in the moderators’</w:t>
      </w:r>
      <w:r>
        <w:rPr>
          <w:spacing w:val="20"/>
          <w:w w:val="120"/>
          <w:sz w:val="20"/>
        </w:rPr>
        <w:t> </w:t>
      </w:r>
      <w:r>
        <w:rPr>
          <w:w w:val="120"/>
          <w:sz w:val="20"/>
        </w:rPr>
        <w:t>meeting.</w:t>
      </w:r>
    </w:p>
    <w:p>
      <w:pPr>
        <w:pStyle w:val="ListParagraph"/>
        <w:numPr>
          <w:ilvl w:val="0"/>
          <w:numId w:val="22"/>
        </w:numPr>
        <w:tabs>
          <w:tab w:pos="1927" w:val="left" w:leader="none"/>
          <w:tab w:pos="1928" w:val="left" w:leader="none"/>
        </w:tabs>
        <w:spacing w:line="235" w:lineRule="auto" w:before="1" w:after="0"/>
        <w:ind w:left="1927" w:right="2694" w:hanging="681"/>
        <w:jc w:val="left"/>
        <w:rPr>
          <w:sz w:val="20"/>
        </w:rPr>
      </w:pPr>
      <w:r>
        <w:rPr>
          <w:spacing w:val="-7"/>
          <w:w w:val="120"/>
          <w:sz w:val="20"/>
        </w:rPr>
        <w:t>To </w:t>
      </w:r>
      <w:r>
        <w:rPr>
          <w:w w:val="120"/>
          <w:sz w:val="20"/>
        </w:rPr>
        <w:t>be proactive in encouraging fruitful ecumenical activities at a regional/ national level, to ensure the United Reformed Church is represented in church leaders’ meetings and, where relevant, represent the synod at ecumenical</w:t>
      </w:r>
      <w:r>
        <w:rPr>
          <w:spacing w:val="2"/>
          <w:w w:val="120"/>
          <w:sz w:val="20"/>
        </w:rPr>
        <w:t> </w:t>
      </w:r>
      <w:r>
        <w:rPr>
          <w:w w:val="120"/>
          <w:sz w:val="20"/>
        </w:rPr>
        <w:t>events.</w:t>
      </w:r>
    </w:p>
    <w:p>
      <w:pPr>
        <w:spacing w:after="0" w:line="235" w:lineRule="auto"/>
        <w:jc w:val="left"/>
        <w:rPr>
          <w:sz w:val="20"/>
        </w:rPr>
        <w:sectPr>
          <w:headerReference w:type="even" r:id="rId106"/>
          <w:pgSz w:w="11910" w:h="16840"/>
          <w:pgMar w:header="0" w:footer="647" w:top="0" w:bottom="840" w:left="0" w:right="0"/>
        </w:sectPr>
      </w:pPr>
    </w:p>
    <w:p>
      <w:pPr>
        <w:pStyle w:val="BodyText"/>
      </w:pPr>
    </w:p>
    <w:p>
      <w:pPr>
        <w:pStyle w:val="BodyText"/>
        <w:spacing w:before="7"/>
        <w:rPr>
          <w:sz w:val="21"/>
        </w:rPr>
      </w:pPr>
    </w:p>
    <w:p>
      <w:pPr>
        <w:spacing w:after="0"/>
        <w:rPr>
          <w:sz w:val="21"/>
        </w:rPr>
        <w:sectPr>
          <w:headerReference w:type="default" r:id="rId107"/>
          <w:footerReference w:type="default" r:id="rId108"/>
          <w:pgSz w:w="11910" w:h="16840"/>
          <w:pgMar w:header="0" w:footer="647" w:top="0" w:bottom="840" w:left="0" w:right="0"/>
          <w:pgNumType w:start="43"/>
        </w:sectPr>
      </w:pPr>
    </w:p>
    <w:p>
      <w:pPr>
        <w:pStyle w:val="BodyText"/>
        <w:spacing w:before="4"/>
        <w:rPr>
          <w:sz w:val="52"/>
        </w:rPr>
      </w:pPr>
    </w:p>
    <w:p>
      <w:pPr>
        <w:pStyle w:val="Heading4"/>
        <w:ind w:left="1360" w:firstLine="0"/>
        <w:rPr>
          <w:rFonts w:ascii="Stone Sans II ITC Std X Bd"/>
          <w:b/>
        </w:rPr>
      </w:pPr>
      <w:r>
        <w:rPr>
          <w:rFonts w:ascii="Stone Sans II ITC Std X Bd"/>
          <w:b/>
          <w:w w:val="110"/>
        </w:rPr>
        <w:t>Person specification</w:t>
      </w:r>
    </w:p>
    <w:p>
      <w:pPr>
        <w:pStyle w:val="Heading5"/>
        <w:ind w:left="1360"/>
      </w:pPr>
      <w:r>
        <w:rPr/>
        <w:br w:type="column"/>
      </w:r>
      <w:r>
        <w:rPr>
          <w:color w:val="7EAABF"/>
          <w:w w:val="120"/>
        </w:rPr>
        <w:t>Mission Council</w:t>
      </w:r>
    </w:p>
    <w:p>
      <w:pPr>
        <w:spacing w:after="0"/>
        <w:sectPr>
          <w:type w:val="continuous"/>
          <w:pgSz w:w="11910" w:h="16840"/>
          <w:pgMar w:top="680" w:bottom="280" w:left="0" w:right="0"/>
          <w:cols w:num="2" w:equalWidth="0">
            <w:col w:w="4609" w:space="2742"/>
            <w:col w:w="4559"/>
          </w:cols>
        </w:sectPr>
      </w:pPr>
    </w:p>
    <w:p>
      <w:pPr>
        <w:pStyle w:val="BodyText"/>
        <w:spacing w:before="2" w:after="1"/>
        <w:rPr>
          <w:sz w:val="18"/>
        </w:rPr>
      </w:pPr>
      <w:r>
        <w:rPr/>
        <w:drawing>
          <wp:anchor distT="0" distB="0" distL="0" distR="0" allowOverlap="1" layoutInCell="1" locked="0" behindDoc="0" simplePos="0" relativeHeight="251789312">
            <wp:simplePos x="0" y="0"/>
            <wp:positionH relativeFrom="page">
              <wp:posOffset>6974928</wp:posOffset>
            </wp:positionH>
            <wp:positionV relativeFrom="page">
              <wp:posOffset>0</wp:posOffset>
            </wp:positionV>
            <wp:extent cx="585076" cy="10692003"/>
            <wp:effectExtent l="0" t="0" r="0" b="0"/>
            <wp:wrapNone/>
            <wp:docPr id="79" name="image23.png"/>
            <wp:cNvGraphicFramePr>
              <a:graphicFrameLocks noChangeAspect="1"/>
            </wp:cNvGraphicFramePr>
            <a:graphic>
              <a:graphicData uri="http://schemas.openxmlformats.org/drawingml/2006/picture">
                <pic:pic>
                  <pic:nvPicPr>
                    <pic:cNvPr id="80" name="image23.png"/>
                    <pic:cNvPicPr/>
                  </pic:nvPicPr>
                  <pic:blipFill>
                    <a:blip r:embed="rId35" cstate="print"/>
                    <a:stretch>
                      <a:fillRect/>
                    </a:stretch>
                  </pic:blipFill>
                  <pic:spPr>
                    <a:xfrm>
                      <a:off x="0" y="0"/>
                      <a:ext cx="585076" cy="10692003"/>
                    </a:xfrm>
                    <a:prstGeom prst="rect">
                      <a:avLst/>
                    </a:prstGeom>
                  </pic:spPr>
                </pic:pic>
              </a:graphicData>
            </a:graphic>
          </wp:anchor>
        </w:drawing>
      </w:r>
      <w:r>
        <w:rPr/>
        <w:pict>
          <v:shape style="position:absolute;margin-left:554.141174pt;margin-top:48.890015pt;width:25.9pt;height:415.15pt;mso-position-horizontal-relative:page;mso-position-vertical-relative:page;z-index:251790336" type="#_x0000_t202" filled="false" stroked="false">
            <v:textbox inset="0,0,0,0" style="layout-flow:vertical">
              <w:txbxContent>
                <w:p>
                  <w:pPr>
                    <w:spacing w:before="27"/>
                    <w:ind w:left="20" w:right="0" w:firstLine="0"/>
                    <w:jc w:val="left"/>
                    <w:rPr>
                      <w:sz w:val="39"/>
                    </w:rPr>
                  </w:pPr>
                  <w:r>
                    <w:rPr>
                      <w:color w:val="FFFFFF"/>
                      <w:w w:val="120"/>
                      <w:sz w:val="39"/>
                    </w:rPr>
                    <w:t>Role of the synod moderator – </w:t>
                  </w:r>
                  <w:r>
                    <w:rPr>
                      <w:w w:val="120"/>
                      <w:sz w:val="39"/>
                    </w:rPr>
                    <w:t>Appendix</w:t>
                  </w:r>
                </w:p>
              </w:txbxContent>
            </v:textbox>
            <w10:wrap type="none"/>
          </v:shape>
        </w:pict>
      </w:r>
    </w:p>
    <w:p>
      <w:pPr>
        <w:pStyle w:val="BodyText"/>
        <w:ind w:left="1360"/>
      </w:pPr>
      <w:r>
        <w:rPr>
          <w:position w:val="0"/>
        </w:rPr>
        <w:pict>
          <v:shape style="width:471.5pt;height:32.2pt;mso-position-horizontal-relative:char;mso-position-vertical-relative:line" type="#_x0000_t202" filled="false" stroked="true" strokeweight=".5pt" strokecolor="#000000">
            <w10:anchorlock/>
            <v:textbox inset="0,0,0,0">
              <w:txbxContent>
                <w:p>
                  <w:pPr>
                    <w:spacing w:before="195"/>
                    <w:ind w:left="3345" w:right="3345" w:firstLine="0"/>
                    <w:jc w:val="center"/>
                    <w:rPr>
                      <w:rFonts w:ascii="Stone Sans II ITC Std Bk"/>
                      <w:b/>
                      <w:sz w:val="24"/>
                    </w:rPr>
                  </w:pPr>
                  <w:r>
                    <w:rPr>
                      <w:rFonts w:ascii="Stone Sans II ITC Std Bk"/>
                      <w:b/>
                      <w:sz w:val="24"/>
                    </w:rPr>
                    <w:t>Moderator of XX Synod</w:t>
                  </w:r>
                </w:p>
              </w:txbxContent>
            </v:textbox>
            <v:stroke dashstyle="solid"/>
          </v:shape>
        </w:pict>
      </w:r>
      <w:r>
        <w:rPr>
          <w:position w:val="0"/>
        </w:rPr>
      </w:r>
    </w:p>
    <w:p>
      <w:pPr>
        <w:pStyle w:val="BodyText"/>
        <w:spacing w:before="11"/>
        <w:rPr>
          <w:sz w:val="3"/>
        </w:rPr>
      </w:pPr>
    </w:p>
    <w:tbl>
      <w:tblPr>
        <w:tblW w:w="0" w:type="auto"/>
        <w:jc w:val="left"/>
        <w:tblInd w:w="137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750"/>
        <w:gridCol w:w="3203"/>
        <w:gridCol w:w="2560"/>
        <w:gridCol w:w="1911"/>
      </w:tblGrid>
      <w:tr>
        <w:trPr>
          <w:trHeight w:val="377" w:hRule="atLeast"/>
        </w:trPr>
        <w:tc>
          <w:tcPr>
            <w:tcW w:w="1750" w:type="dxa"/>
            <w:tcBorders>
              <w:top w:val="nil"/>
              <w:left w:val="nil"/>
              <w:bottom w:val="nil"/>
              <w:right w:val="nil"/>
            </w:tcBorders>
            <w:shd w:val="clear" w:color="auto" w:fill="000000"/>
          </w:tcPr>
          <w:p>
            <w:pPr>
              <w:pStyle w:val="TableParagraph"/>
              <w:spacing w:before="107"/>
              <w:ind w:left="134"/>
              <w:rPr>
                <w:rFonts w:ascii="Stone Sans II ITC Std Bk"/>
                <w:b/>
                <w:sz w:val="18"/>
              </w:rPr>
            </w:pPr>
            <w:r>
              <w:rPr>
                <w:rFonts w:ascii="Stone Sans II ITC Std Bk"/>
                <w:b/>
                <w:color w:val="FFFFFF"/>
                <w:w w:val="110"/>
                <w:sz w:val="18"/>
              </w:rPr>
              <w:t>REQUIREMENTS</w:t>
            </w:r>
          </w:p>
        </w:tc>
        <w:tc>
          <w:tcPr>
            <w:tcW w:w="3203" w:type="dxa"/>
            <w:tcBorders>
              <w:top w:val="nil"/>
              <w:left w:val="nil"/>
              <w:bottom w:val="nil"/>
              <w:right w:val="nil"/>
            </w:tcBorders>
            <w:shd w:val="clear" w:color="auto" w:fill="000000"/>
          </w:tcPr>
          <w:p>
            <w:pPr>
              <w:pStyle w:val="TableParagraph"/>
              <w:spacing w:before="100"/>
              <w:ind w:left="1545"/>
              <w:rPr>
                <w:sz w:val="20"/>
              </w:rPr>
            </w:pPr>
            <w:r>
              <w:rPr>
                <w:color w:val="FFFFFF"/>
                <w:w w:val="110"/>
                <w:sz w:val="20"/>
              </w:rPr>
              <w:t>ESSENTIAL</w:t>
            </w:r>
          </w:p>
        </w:tc>
        <w:tc>
          <w:tcPr>
            <w:tcW w:w="2560" w:type="dxa"/>
            <w:tcBorders>
              <w:top w:val="nil"/>
              <w:left w:val="nil"/>
              <w:bottom w:val="nil"/>
              <w:right w:val="nil"/>
            </w:tcBorders>
            <w:shd w:val="clear" w:color="auto" w:fill="000000"/>
          </w:tcPr>
          <w:p>
            <w:pPr>
              <w:pStyle w:val="TableParagraph"/>
              <w:spacing w:before="100"/>
              <w:ind w:left="1064"/>
              <w:rPr>
                <w:sz w:val="20"/>
              </w:rPr>
            </w:pPr>
            <w:r>
              <w:rPr>
                <w:color w:val="FFFFFF"/>
                <w:w w:val="110"/>
                <w:sz w:val="20"/>
              </w:rPr>
              <w:t>DESIRABLE</w:t>
            </w:r>
          </w:p>
        </w:tc>
        <w:tc>
          <w:tcPr>
            <w:tcW w:w="1911" w:type="dxa"/>
            <w:tcBorders>
              <w:top w:val="nil"/>
              <w:left w:val="nil"/>
              <w:bottom w:val="nil"/>
              <w:right w:val="nil"/>
            </w:tcBorders>
            <w:shd w:val="clear" w:color="auto" w:fill="000000"/>
          </w:tcPr>
          <w:p>
            <w:pPr>
              <w:pStyle w:val="TableParagraph"/>
              <w:spacing w:before="107"/>
              <w:ind w:left="83"/>
              <w:rPr>
                <w:rFonts w:ascii="Stone Sans II ITC Std Bk"/>
                <w:b/>
                <w:sz w:val="18"/>
              </w:rPr>
            </w:pPr>
            <w:r>
              <w:rPr>
                <w:rFonts w:ascii="Stone Sans II ITC Std Bk"/>
                <w:b/>
                <w:color w:val="FFFFFF"/>
                <w:w w:val="110"/>
                <w:sz w:val="18"/>
              </w:rPr>
              <w:t>MEASUREMENT</w:t>
            </w:r>
          </w:p>
        </w:tc>
      </w:tr>
      <w:tr>
        <w:trPr>
          <w:trHeight w:val="1647" w:hRule="atLeast"/>
        </w:trPr>
        <w:tc>
          <w:tcPr>
            <w:tcW w:w="1750" w:type="dxa"/>
            <w:tcBorders>
              <w:top w:val="nil"/>
            </w:tcBorders>
          </w:tcPr>
          <w:p>
            <w:pPr>
              <w:pStyle w:val="TableParagraph"/>
              <w:spacing w:line="295" w:lineRule="auto" w:before="103"/>
              <w:ind w:left="256" w:right="296"/>
              <w:rPr>
                <w:sz w:val="16"/>
              </w:rPr>
            </w:pPr>
            <w:r>
              <w:rPr>
                <w:w w:val="125"/>
                <w:sz w:val="16"/>
              </w:rPr>
              <w:t>Education and qualifications</w:t>
            </w:r>
          </w:p>
        </w:tc>
        <w:tc>
          <w:tcPr>
            <w:tcW w:w="3203" w:type="dxa"/>
            <w:tcBorders>
              <w:top w:val="nil"/>
            </w:tcBorders>
          </w:tcPr>
          <w:p>
            <w:pPr>
              <w:pStyle w:val="TableParagraph"/>
              <w:numPr>
                <w:ilvl w:val="0"/>
                <w:numId w:val="23"/>
              </w:numPr>
              <w:tabs>
                <w:tab w:pos="539" w:val="left" w:leader="none"/>
              </w:tabs>
              <w:spacing w:line="283" w:lineRule="auto" w:before="54" w:after="0"/>
              <w:ind w:left="538" w:right="154" w:hanging="284"/>
              <w:jc w:val="left"/>
              <w:rPr>
                <w:sz w:val="16"/>
              </w:rPr>
            </w:pPr>
            <w:r>
              <w:rPr>
                <w:w w:val="125"/>
                <w:sz w:val="16"/>
              </w:rPr>
              <w:t>Educated to at least diploma level or equivalent in</w:t>
            </w:r>
            <w:r>
              <w:rPr>
                <w:spacing w:val="20"/>
                <w:w w:val="125"/>
                <w:sz w:val="16"/>
              </w:rPr>
              <w:t> </w:t>
            </w:r>
            <w:r>
              <w:rPr>
                <w:w w:val="125"/>
                <w:sz w:val="16"/>
              </w:rPr>
              <w:t>theology</w:t>
            </w:r>
          </w:p>
          <w:p>
            <w:pPr>
              <w:pStyle w:val="TableParagraph"/>
              <w:numPr>
                <w:ilvl w:val="0"/>
                <w:numId w:val="23"/>
              </w:numPr>
              <w:tabs>
                <w:tab w:pos="539" w:val="left" w:leader="none"/>
              </w:tabs>
              <w:spacing w:line="288" w:lineRule="auto" w:before="20" w:after="0"/>
              <w:ind w:left="538" w:right="247" w:hanging="284"/>
              <w:jc w:val="left"/>
              <w:rPr>
                <w:sz w:val="16"/>
              </w:rPr>
            </w:pPr>
            <w:r>
              <w:rPr>
                <w:w w:val="120"/>
                <w:sz w:val="16"/>
              </w:rPr>
              <w:t>Ordained minister of Word and sacraments of the United Reformed</w:t>
            </w:r>
            <w:r>
              <w:rPr>
                <w:spacing w:val="5"/>
                <w:w w:val="120"/>
                <w:sz w:val="16"/>
              </w:rPr>
              <w:t> </w:t>
            </w:r>
            <w:r>
              <w:rPr>
                <w:w w:val="120"/>
                <w:sz w:val="16"/>
              </w:rPr>
              <w:t>Church</w:t>
            </w:r>
          </w:p>
        </w:tc>
        <w:tc>
          <w:tcPr>
            <w:tcW w:w="2560" w:type="dxa"/>
            <w:tcBorders>
              <w:top w:val="nil"/>
            </w:tcBorders>
          </w:tcPr>
          <w:p>
            <w:pPr>
              <w:pStyle w:val="TableParagraph"/>
              <w:numPr>
                <w:ilvl w:val="0"/>
                <w:numId w:val="24"/>
              </w:numPr>
              <w:tabs>
                <w:tab w:pos="540" w:val="left" w:leader="none"/>
              </w:tabs>
              <w:spacing w:line="288" w:lineRule="auto" w:before="54" w:after="0"/>
              <w:ind w:left="539" w:right="287" w:hanging="284"/>
              <w:jc w:val="both"/>
              <w:rPr>
                <w:sz w:val="16"/>
              </w:rPr>
            </w:pPr>
            <w:r>
              <w:rPr>
                <w:w w:val="125"/>
                <w:sz w:val="16"/>
              </w:rPr>
              <w:t>Evidence of keeping abreast with current theological</w:t>
            </w:r>
            <w:r>
              <w:rPr>
                <w:spacing w:val="1"/>
                <w:w w:val="125"/>
                <w:sz w:val="16"/>
              </w:rPr>
              <w:t> </w:t>
            </w:r>
            <w:r>
              <w:rPr>
                <w:w w:val="125"/>
                <w:sz w:val="16"/>
              </w:rPr>
              <w:t>literature</w:t>
            </w:r>
          </w:p>
        </w:tc>
        <w:tc>
          <w:tcPr>
            <w:tcW w:w="1911" w:type="dxa"/>
            <w:tcBorders>
              <w:top w:val="nil"/>
            </w:tcBorders>
          </w:tcPr>
          <w:p>
            <w:pPr>
              <w:pStyle w:val="TableParagraph"/>
              <w:spacing w:line="295" w:lineRule="auto" w:before="103"/>
              <w:ind w:left="299"/>
              <w:rPr>
                <w:sz w:val="16"/>
              </w:rPr>
            </w:pPr>
            <w:r>
              <w:rPr>
                <w:w w:val="125"/>
                <w:sz w:val="16"/>
              </w:rPr>
              <w:t>Applicant’s </w:t>
            </w:r>
            <w:r>
              <w:rPr>
                <w:w w:val="120"/>
                <w:sz w:val="16"/>
              </w:rPr>
              <w:t>details/interview</w:t>
            </w:r>
          </w:p>
        </w:tc>
      </w:tr>
      <w:tr>
        <w:trPr>
          <w:trHeight w:val="2907" w:hRule="atLeast"/>
        </w:trPr>
        <w:tc>
          <w:tcPr>
            <w:tcW w:w="1750" w:type="dxa"/>
          </w:tcPr>
          <w:p>
            <w:pPr>
              <w:pStyle w:val="TableParagraph"/>
              <w:spacing w:before="103"/>
              <w:ind w:left="256"/>
              <w:rPr>
                <w:sz w:val="16"/>
              </w:rPr>
            </w:pPr>
            <w:r>
              <w:rPr>
                <w:w w:val="125"/>
                <w:sz w:val="16"/>
              </w:rPr>
              <w:t>Experience</w:t>
            </w:r>
          </w:p>
        </w:tc>
        <w:tc>
          <w:tcPr>
            <w:tcW w:w="3203" w:type="dxa"/>
          </w:tcPr>
          <w:p>
            <w:pPr>
              <w:pStyle w:val="TableParagraph"/>
              <w:numPr>
                <w:ilvl w:val="0"/>
                <w:numId w:val="25"/>
              </w:numPr>
              <w:tabs>
                <w:tab w:pos="539" w:val="left" w:leader="none"/>
              </w:tabs>
              <w:spacing w:line="283" w:lineRule="auto" w:before="54" w:after="0"/>
              <w:ind w:left="538" w:right="405" w:hanging="284"/>
              <w:jc w:val="left"/>
              <w:rPr>
                <w:sz w:val="16"/>
              </w:rPr>
            </w:pPr>
            <w:r>
              <w:rPr>
                <w:spacing w:val="2"/>
                <w:w w:val="120"/>
                <w:sz w:val="16"/>
              </w:rPr>
              <w:t>Experience </w:t>
            </w:r>
            <w:r>
              <w:rPr>
                <w:w w:val="120"/>
                <w:sz w:val="16"/>
              </w:rPr>
              <w:t>of working as a minister in a local</w:t>
            </w:r>
            <w:r>
              <w:rPr>
                <w:spacing w:val="15"/>
                <w:w w:val="120"/>
                <w:sz w:val="16"/>
              </w:rPr>
              <w:t> </w:t>
            </w:r>
            <w:r>
              <w:rPr>
                <w:w w:val="120"/>
                <w:sz w:val="16"/>
              </w:rPr>
              <w:t>pastorate</w:t>
            </w:r>
          </w:p>
          <w:p>
            <w:pPr>
              <w:pStyle w:val="TableParagraph"/>
              <w:numPr>
                <w:ilvl w:val="0"/>
                <w:numId w:val="25"/>
              </w:numPr>
              <w:tabs>
                <w:tab w:pos="539" w:val="left" w:leader="none"/>
              </w:tabs>
              <w:spacing w:line="288" w:lineRule="auto" w:before="20" w:after="0"/>
              <w:ind w:left="538" w:right="180" w:hanging="284"/>
              <w:jc w:val="left"/>
              <w:rPr>
                <w:sz w:val="16"/>
              </w:rPr>
            </w:pPr>
            <w:r>
              <w:rPr>
                <w:spacing w:val="2"/>
                <w:w w:val="125"/>
                <w:sz w:val="16"/>
              </w:rPr>
              <w:t>Experience </w:t>
            </w:r>
            <w:r>
              <w:rPr>
                <w:w w:val="125"/>
                <w:sz w:val="16"/>
              </w:rPr>
              <w:t>of leadership and working in close collaboration with other</w:t>
            </w:r>
            <w:r>
              <w:rPr>
                <w:spacing w:val="2"/>
                <w:w w:val="125"/>
                <w:sz w:val="16"/>
              </w:rPr>
              <w:t> </w:t>
            </w:r>
            <w:r>
              <w:rPr>
                <w:w w:val="125"/>
                <w:sz w:val="16"/>
              </w:rPr>
              <w:t>colleagues</w:t>
            </w:r>
          </w:p>
          <w:p>
            <w:pPr>
              <w:pStyle w:val="TableParagraph"/>
              <w:numPr>
                <w:ilvl w:val="0"/>
                <w:numId w:val="25"/>
              </w:numPr>
              <w:tabs>
                <w:tab w:pos="539" w:val="left" w:leader="none"/>
              </w:tabs>
              <w:spacing w:line="283" w:lineRule="auto" w:before="17" w:after="0"/>
              <w:ind w:left="538" w:right="627" w:hanging="284"/>
              <w:jc w:val="left"/>
              <w:rPr>
                <w:sz w:val="16"/>
              </w:rPr>
            </w:pPr>
            <w:r>
              <w:rPr>
                <w:spacing w:val="2"/>
                <w:w w:val="125"/>
                <w:sz w:val="16"/>
              </w:rPr>
              <w:t>Experience </w:t>
            </w:r>
            <w:r>
              <w:rPr>
                <w:w w:val="125"/>
                <w:sz w:val="16"/>
              </w:rPr>
              <w:t>of working with church or</w:t>
            </w:r>
            <w:r>
              <w:rPr>
                <w:spacing w:val="-7"/>
                <w:w w:val="125"/>
                <w:sz w:val="16"/>
              </w:rPr>
              <w:t> </w:t>
            </w:r>
            <w:r>
              <w:rPr>
                <w:spacing w:val="2"/>
                <w:w w:val="125"/>
                <w:sz w:val="16"/>
              </w:rPr>
              <w:t>voluntary</w:t>
            </w:r>
          </w:p>
          <w:p>
            <w:pPr>
              <w:pStyle w:val="TableParagraph"/>
              <w:spacing w:before="10"/>
              <w:ind w:left="538"/>
              <w:rPr>
                <w:sz w:val="16"/>
              </w:rPr>
            </w:pPr>
            <w:r>
              <w:rPr>
                <w:w w:val="125"/>
                <w:sz w:val="16"/>
              </w:rPr>
              <w:t>organisations on strategic plans</w:t>
            </w:r>
          </w:p>
        </w:tc>
        <w:tc>
          <w:tcPr>
            <w:tcW w:w="2560" w:type="dxa"/>
          </w:tcPr>
          <w:p>
            <w:pPr>
              <w:pStyle w:val="TableParagraph"/>
              <w:numPr>
                <w:ilvl w:val="0"/>
                <w:numId w:val="26"/>
              </w:numPr>
              <w:tabs>
                <w:tab w:pos="540" w:val="left" w:leader="none"/>
              </w:tabs>
              <w:spacing w:line="288" w:lineRule="auto" w:before="54" w:after="0"/>
              <w:ind w:left="539" w:right="276" w:hanging="284"/>
              <w:jc w:val="both"/>
              <w:rPr>
                <w:sz w:val="16"/>
              </w:rPr>
            </w:pPr>
            <w:r>
              <w:rPr>
                <w:w w:val="120"/>
                <w:sz w:val="16"/>
              </w:rPr>
              <w:t>Recent experience of working as a minister in a local</w:t>
            </w:r>
            <w:r>
              <w:rPr>
                <w:spacing w:val="23"/>
                <w:w w:val="120"/>
                <w:sz w:val="16"/>
              </w:rPr>
              <w:t> </w:t>
            </w:r>
            <w:r>
              <w:rPr>
                <w:w w:val="120"/>
                <w:sz w:val="16"/>
              </w:rPr>
              <w:t>pastorate</w:t>
            </w:r>
          </w:p>
          <w:p>
            <w:pPr>
              <w:pStyle w:val="TableParagraph"/>
              <w:numPr>
                <w:ilvl w:val="0"/>
                <w:numId w:val="26"/>
              </w:numPr>
              <w:tabs>
                <w:tab w:pos="540" w:val="left" w:leader="none"/>
              </w:tabs>
              <w:spacing w:line="283" w:lineRule="auto" w:before="17" w:after="0"/>
              <w:ind w:left="539" w:right="146" w:hanging="284"/>
              <w:jc w:val="left"/>
              <w:rPr>
                <w:sz w:val="16"/>
              </w:rPr>
            </w:pPr>
            <w:r>
              <w:rPr>
                <w:w w:val="120"/>
                <w:sz w:val="16"/>
              </w:rPr>
              <w:t>Experience of different church</w:t>
            </w:r>
            <w:r>
              <w:rPr>
                <w:spacing w:val="6"/>
                <w:w w:val="120"/>
                <w:sz w:val="16"/>
              </w:rPr>
              <w:t> </w:t>
            </w:r>
            <w:r>
              <w:rPr>
                <w:w w:val="120"/>
                <w:sz w:val="16"/>
              </w:rPr>
              <w:t>contexts</w:t>
            </w:r>
          </w:p>
          <w:p>
            <w:pPr>
              <w:pStyle w:val="TableParagraph"/>
              <w:numPr>
                <w:ilvl w:val="0"/>
                <w:numId w:val="26"/>
              </w:numPr>
              <w:tabs>
                <w:tab w:pos="540" w:val="left" w:leader="none"/>
              </w:tabs>
              <w:spacing w:line="283" w:lineRule="auto" w:before="20" w:after="0"/>
              <w:ind w:left="539" w:right="171" w:hanging="284"/>
              <w:jc w:val="left"/>
              <w:rPr>
                <w:sz w:val="16"/>
              </w:rPr>
            </w:pPr>
            <w:r>
              <w:rPr>
                <w:spacing w:val="2"/>
                <w:w w:val="125"/>
                <w:sz w:val="16"/>
              </w:rPr>
              <w:t>Experience </w:t>
            </w:r>
            <w:r>
              <w:rPr>
                <w:w w:val="125"/>
                <w:sz w:val="16"/>
              </w:rPr>
              <w:t>of working ecumenically</w:t>
            </w:r>
          </w:p>
          <w:p>
            <w:pPr>
              <w:pStyle w:val="TableParagraph"/>
              <w:numPr>
                <w:ilvl w:val="0"/>
                <w:numId w:val="26"/>
              </w:numPr>
              <w:tabs>
                <w:tab w:pos="540" w:val="left" w:leader="none"/>
              </w:tabs>
              <w:spacing w:line="288" w:lineRule="auto" w:before="21" w:after="0"/>
              <w:ind w:left="539" w:right="243" w:hanging="284"/>
              <w:jc w:val="left"/>
              <w:rPr>
                <w:sz w:val="16"/>
              </w:rPr>
            </w:pPr>
            <w:r>
              <w:rPr>
                <w:spacing w:val="2"/>
                <w:w w:val="125"/>
                <w:sz w:val="16"/>
              </w:rPr>
              <w:t>Experience </w:t>
            </w:r>
            <w:r>
              <w:rPr>
                <w:w w:val="125"/>
                <w:sz w:val="16"/>
              </w:rPr>
              <w:t>of change management at </w:t>
            </w:r>
            <w:r>
              <w:rPr>
                <w:spacing w:val="2"/>
                <w:w w:val="125"/>
                <w:sz w:val="16"/>
              </w:rPr>
              <w:t>synod</w:t>
            </w:r>
            <w:r>
              <w:rPr>
                <w:w w:val="125"/>
                <w:sz w:val="16"/>
              </w:rPr>
              <w:t> level</w:t>
            </w:r>
          </w:p>
        </w:tc>
        <w:tc>
          <w:tcPr>
            <w:tcW w:w="1911" w:type="dxa"/>
          </w:tcPr>
          <w:p>
            <w:pPr>
              <w:pStyle w:val="TableParagraph"/>
              <w:spacing w:line="295" w:lineRule="auto" w:before="103"/>
              <w:ind w:left="299"/>
              <w:rPr>
                <w:sz w:val="16"/>
              </w:rPr>
            </w:pPr>
            <w:r>
              <w:rPr>
                <w:w w:val="125"/>
                <w:sz w:val="16"/>
              </w:rPr>
              <w:t>Applicant’s </w:t>
            </w:r>
            <w:r>
              <w:rPr>
                <w:w w:val="120"/>
                <w:sz w:val="16"/>
              </w:rPr>
              <w:t>details/interview</w:t>
            </w:r>
          </w:p>
        </w:tc>
      </w:tr>
      <w:tr>
        <w:trPr>
          <w:trHeight w:val="2907" w:hRule="atLeast"/>
        </w:trPr>
        <w:tc>
          <w:tcPr>
            <w:tcW w:w="1750" w:type="dxa"/>
          </w:tcPr>
          <w:p>
            <w:pPr>
              <w:pStyle w:val="TableParagraph"/>
              <w:spacing w:before="103"/>
              <w:ind w:left="256"/>
              <w:rPr>
                <w:sz w:val="16"/>
              </w:rPr>
            </w:pPr>
            <w:r>
              <w:rPr>
                <w:w w:val="125"/>
                <w:sz w:val="16"/>
              </w:rPr>
              <w:t>Knowledge</w:t>
            </w:r>
          </w:p>
        </w:tc>
        <w:tc>
          <w:tcPr>
            <w:tcW w:w="3203" w:type="dxa"/>
          </w:tcPr>
          <w:p>
            <w:pPr>
              <w:pStyle w:val="TableParagraph"/>
              <w:numPr>
                <w:ilvl w:val="0"/>
                <w:numId w:val="27"/>
              </w:numPr>
              <w:tabs>
                <w:tab w:pos="539" w:val="left" w:leader="none"/>
              </w:tabs>
              <w:spacing w:line="288" w:lineRule="auto" w:before="54" w:after="0"/>
              <w:ind w:left="538" w:right="424" w:hanging="284"/>
              <w:jc w:val="left"/>
              <w:rPr>
                <w:sz w:val="16"/>
              </w:rPr>
            </w:pPr>
            <w:r>
              <w:rPr>
                <w:w w:val="125"/>
                <w:sz w:val="16"/>
              </w:rPr>
              <w:t>Deep understanding of the role of the Church in its mission to the</w:t>
            </w:r>
            <w:r>
              <w:rPr>
                <w:spacing w:val="1"/>
                <w:w w:val="125"/>
                <w:sz w:val="16"/>
              </w:rPr>
              <w:t> </w:t>
            </w:r>
            <w:r>
              <w:rPr>
                <w:w w:val="125"/>
                <w:sz w:val="16"/>
              </w:rPr>
              <w:t>world</w:t>
            </w:r>
          </w:p>
          <w:p>
            <w:pPr>
              <w:pStyle w:val="TableParagraph"/>
              <w:numPr>
                <w:ilvl w:val="0"/>
                <w:numId w:val="27"/>
              </w:numPr>
              <w:tabs>
                <w:tab w:pos="539" w:val="left" w:leader="none"/>
              </w:tabs>
              <w:spacing w:line="290" w:lineRule="auto" w:before="17" w:after="0"/>
              <w:ind w:left="538" w:right="419" w:hanging="284"/>
              <w:jc w:val="left"/>
              <w:rPr>
                <w:sz w:val="16"/>
              </w:rPr>
            </w:pPr>
            <w:r>
              <w:rPr>
                <w:w w:val="125"/>
                <w:sz w:val="16"/>
              </w:rPr>
              <w:t>Deep understanding of the distinctive traditions, ethos and witness of the United Reformed</w:t>
            </w:r>
            <w:r>
              <w:rPr>
                <w:spacing w:val="1"/>
                <w:w w:val="125"/>
                <w:sz w:val="16"/>
              </w:rPr>
              <w:t> </w:t>
            </w:r>
            <w:r>
              <w:rPr>
                <w:w w:val="125"/>
                <w:sz w:val="16"/>
              </w:rPr>
              <w:t>Church</w:t>
            </w:r>
          </w:p>
          <w:p>
            <w:pPr>
              <w:pStyle w:val="TableParagraph"/>
              <w:numPr>
                <w:ilvl w:val="0"/>
                <w:numId w:val="27"/>
              </w:numPr>
              <w:tabs>
                <w:tab w:pos="539" w:val="left" w:leader="none"/>
              </w:tabs>
              <w:spacing w:line="288" w:lineRule="auto" w:before="15" w:after="0"/>
              <w:ind w:left="538" w:right="191" w:hanging="284"/>
              <w:jc w:val="left"/>
              <w:rPr>
                <w:sz w:val="16"/>
              </w:rPr>
            </w:pPr>
            <w:r>
              <w:rPr>
                <w:w w:val="125"/>
                <w:sz w:val="16"/>
              </w:rPr>
              <w:t>Awareness of the individuality of local churches and their needs</w:t>
            </w:r>
          </w:p>
        </w:tc>
        <w:tc>
          <w:tcPr>
            <w:tcW w:w="2560" w:type="dxa"/>
          </w:tcPr>
          <w:p>
            <w:pPr>
              <w:pStyle w:val="TableParagraph"/>
              <w:numPr>
                <w:ilvl w:val="0"/>
                <w:numId w:val="28"/>
              </w:numPr>
              <w:tabs>
                <w:tab w:pos="585" w:val="left" w:leader="none"/>
                <w:tab w:pos="586" w:val="left" w:leader="none"/>
              </w:tabs>
              <w:spacing w:line="290" w:lineRule="auto" w:before="54" w:after="0"/>
              <w:ind w:left="539" w:right="143" w:hanging="284"/>
              <w:jc w:val="left"/>
              <w:rPr>
                <w:sz w:val="16"/>
              </w:rPr>
            </w:pPr>
            <w:r>
              <w:rPr/>
              <w:tab/>
            </w:r>
            <w:r>
              <w:rPr>
                <w:w w:val="125"/>
                <w:sz w:val="16"/>
              </w:rPr>
              <w:t>Understanding of </w:t>
            </w:r>
            <w:r>
              <w:rPr>
                <w:spacing w:val="2"/>
                <w:w w:val="125"/>
                <w:sz w:val="16"/>
              </w:rPr>
              <w:t>the </w:t>
            </w:r>
            <w:r>
              <w:rPr>
                <w:w w:val="125"/>
                <w:sz w:val="16"/>
              </w:rPr>
              <w:t>ethos and polity of other denominations and major faith</w:t>
            </w:r>
            <w:r>
              <w:rPr>
                <w:spacing w:val="-2"/>
                <w:w w:val="125"/>
                <w:sz w:val="16"/>
              </w:rPr>
              <w:t> </w:t>
            </w:r>
            <w:r>
              <w:rPr>
                <w:w w:val="125"/>
                <w:sz w:val="16"/>
              </w:rPr>
              <w:t>groups</w:t>
            </w:r>
          </w:p>
        </w:tc>
        <w:tc>
          <w:tcPr>
            <w:tcW w:w="1911" w:type="dxa"/>
          </w:tcPr>
          <w:p>
            <w:pPr>
              <w:pStyle w:val="TableParagraph"/>
              <w:spacing w:line="295" w:lineRule="auto" w:before="103"/>
              <w:ind w:left="299"/>
              <w:rPr>
                <w:sz w:val="16"/>
              </w:rPr>
            </w:pPr>
            <w:r>
              <w:rPr>
                <w:w w:val="125"/>
                <w:sz w:val="16"/>
              </w:rPr>
              <w:t>Applicant’s </w:t>
            </w:r>
            <w:r>
              <w:rPr>
                <w:w w:val="120"/>
                <w:sz w:val="16"/>
              </w:rPr>
              <w:t>details/interview</w:t>
            </w:r>
          </w:p>
        </w:tc>
      </w:tr>
      <w:tr>
        <w:trPr>
          <w:trHeight w:val="5427" w:hRule="atLeast"/>
        </w:trPr>
        <w:tc>
          <w:tcPr>
            <w:tcW w:w="1750" w:type="dxa"/>
          </w:tcPr>
          <w:p>
            <w:pPr>
              <w:pStyle w:val="TableParagraph"/>
              <w:spacing w:line="295" w:lineRule="auto" w:before="103"/>
              <w:ind w:left="256" w:right="709"/>
              <w:rPr>
                <w:sz w:val="16"/>
              </w:rPr>
            </w:pPr>
            <w:r>
              <w:rPr>
                <w:w w:val="125"/>
                <w:sz w:val="16"/>
              </w:rPr>
              <w:t>Skills and abilities</w:t>
            </w:r>
          </w:p>
        </w:tc>
        <w:tc>
          <w:tcPr>
            <w:tcW w:w="3203" w:type="dxa"/>
          </w:tcPr>
          <w:p>
            <w:pPr>
              <w:pStyle w:val="TableParagraph"/>
              <w:numPr>
                <w:ilvl w:val="0"/>
                <w:numId w:val="29"/>
              </w:numPr>
              <w:tabs>
                <w:tab w:pos="539" w:val="left" w:leader="none"/>
              </w:tabs>
              <w:spacing w:line="288" w:lineRule="auto" w:before="54" w:after="0"/>
              <w:ind w:left="538" w:right="183" w:hanging="284"/>
              <w:jc w:val="left"/>
              <w:rPr>
                <w:sz w:val="16"/>
              </w:rPr>
            </w:pPr>
            <w:r>
              <w:rPr>
                <w:w w:val="120"/>
                <w:sz w:val="16"/>
              </w:rPr>
              <w:t>Ability to exercise appropriate personal leadership within a conciliar</w:t>
            </w:r>
            <w:r>
              <w:rPr>
                <w:spacing w:val="8"/>
                <w:w w:val="120"/>
                <w:sz w:val="16"/>
              </w:rPr>
              <w:t> </w:t>
            </w:r>
            <w:r>
              <w:rPr>
                <w:w w:val="120"/>
                <w:sz w:val="16"/>
              </w:rPr>
              <w:t>ecclesiology</w:t>
            </w:r>
          </w:p>
          <w:p>
            <w:pPr>
              <w:pStyle w:val="TableParagraph"/>
              <w:numPr>
                <w:ilvl w:val="0"/>
                <w:numId w:val="29"/>
              </w:numPr>
              <w:tabs>
                <w:tab w:pos="539" w:val="left" w:leader="none"/>
              </w:tabs>
              <w:spacing w:line="292" w:lineRule="auto" w:before="17" w:after="0"/>
              <w:ind w:left="538" w:right="302" w:hanging="284"/>
              <w:jc w:val="left"/>
              <w:rPr>
                <w:sz w:val="16"/>
              </w:rPr>
            </w:pPr>
            <w:r>
              <w:rPr>
                <w:w w:val="125"/>
                <w:sz w:val="16"/>
              </w:rPr>
              <w:t>Ability to discern and deliver the kind of approach which will </w:t>
            </w:r>
            <w:r>
              <w:rPr>
                <w:spacing w:val="2"/>
                <w:w w:val="125"/>
                <w:sz w:val="16"/>
              </w:rPr>
              <w:t>best </w:t>
            </w:r>
            <w:r>
              <w:rPr>
                <w:w w:val="125"/>
                <w:sz w:val="16"/>
              </w:rPr>
              <w:t>promote open and constructive relationships at all levels</w:t>
            </w:r>
          </w:p>
          <w:p>
            <w:pPr>
              <w:pStyle w:val="TableParagraph"/>
              <w:numPr>
                <w:ilvl w:val="0"/>
                <w:numId w:val="29"/>
              </w:numPr>
              <w:tabs>
                <w:tab w:pos="539" w:val="left" w:leader="none"/>
              </w:tabs>
              <w:spacing w:line="283" w:lineRule="auto" w:before="8" w:after="0"/>
              <w:ind w:left="538" w:right="927" w:hanging="284"/>
              <w:jc w:val="left"/>
              <w:rPr>
                <w:sz w:val="16"/>
              </w:rPr>
            </w:pPr>
            <w:r>
              <w:rPr>
                <w:w w:val="125"/>
                <w:sz w:val="16"/>
              </w:rPr>
              <w:t>Delegation and team building</w:t>
            </w:r>
            <w:r>
              <w:rPr>
                <w:spacing w:val="2"/>
                <w:w w:val="125"/>
                <w:sz w:val="16"/>
              </w:rPr>
              <w:t> </w:t>
            </w:r>
            <w:r>
              <w:rPr>
                <w:w w:val="125"/>
                <w:sz w:val="16"/>
              </w:rPr>
              <w:t>skills</w:t>
            </w:r>
          </w:p>
          <w:p>
            <w:pPr>
              <w:pStyle w:val="TableParagraph"/>
              <w:numPr>
                <w:ilvl w:val="0"/>
                <w:numId w:val="29"/>
              </w:numPr>
              <w:tabs>
                <w:tab w:pos="539" w:val="left" w:leader="none"/>
              </w:tabs>
              <w:spacing w:line="240" w:lineRule="auto" w:before="20" w:after="0"/>
              <w:ind w:left="538" w:right="0" w:hanging="285"/>
              <w:jc w:val="left"/>
              <w:rPr>
                <w:sz w:val="16"/>
              </w:rPr>
            </w:pPr>
            <w:r>
              <w:rPr>
                <w:w w:val="120"/>
                <w:sz w:val="16"/>
              </w:rPr>
              <w:t>Facilitation</w:t>
            </w:r>
            <w:r>
              <w:rPr>
                <w:spacing w:val="3"/>
                <w:w w:val="120"/>
                <w:sz w:val="16"/>
              </w:rPr>
              <w:t> </w:t>
            </w:r>
            <w:r>
              <w:rPr>
                <w:w w:val="120"/>
                <w:sz w:val="16"/>
              </w:rPr>
              <w:t>skills</w:t>
            </w:r>
          </w:p>
          <w:p>
            <w:pPr>
              <w:pStyle w:val="TableParagraph"/>
              <w:numPr>
                <w:ilvl w:val="0"/>
                <w:numId w:val="29"/>
              </w:numPr>
              <w:tabs>
                <w:tab w:pos="539" w:val="left" w:leader="none"/>
              </w:tabs>
              <w:spacing w:line="240" w:lineRule="auto" w:before="55" w:after="0"/>
              <w:ind w:left="538" w:right="0" w:hanging="285"/>
              <w:jc w:val="left"/>
              <w:rPr>
                <w:sz w:val="16"/>
              </w:rPr>
            </w:pPr>
            <w:r>
              <w:rPr>
                <w:w w:val="125"/>
                <w:sz w:val="16"/>
              </w:rPr>
              <w:t>Conflict resolution</w:t>
            </w:r>
            <w:r>
              <w:rPr>
                <w:spacing w:val="2"/>
                <w:w w:val="125"/>
                <w:sz w:val="16"/>
              </w:rPr>
              <w:t> </w:t>
            </w:r>
            <w:r>
              <w:rPr>
                <w:w w:val="125"/>
                <w:sz w:val="16"/>
              </w:rPr>
              <w:t>skills</w:t>
            </w:r>
          </w:p>
          <w:p>
            <w:pPr>
              <w:pStyle w:val="TableParagraph"/>
              <w:numPr>
                <w:ilvl w:val="0"/>
                <w:numId w:val="29"/>
              </w:numPr>
              <w:tabs>
                <w:tab w:pos="539" w:val="left" w:leader="none"/>
              </w:tabs>
              <w:spacing w:line="283" w:lineRule="auto" w:before="55" w:after="0"/>
              <w:ind w:left="538" w:right="411" w:hanging="284"/>
              <w:jc w:val="left"/>
              <w:rPr>
                <w:sz w:val="16"/>
              </w:rPr>
            </w:pPr>
            <w:r>
              <w:rPr>
                <w:w w:val="125"/>
                <w:sz w:val="16"/>
              </w:rPr>
              <w:t>Skills in project and change management</w:t>
            </w:r>
          </w:p>
          <w:p>
            <w:pPr>
              <w:pStyle w:val="TableParagraph"/>
              <w:numPr>
                <w:ilvl w:val="0"/>
                <w:numId w:val="29"/>
              </w:numPr>
              <w:tabs>
                <w:tab w:pos="539" w:val="left" w:leader="none"/>
              </w:tabs>
              <w:spacing w:line="240" w:lineRule="auto" w:before="21" w:after="0"/>
              <w:ind w:left="538" w:right="0" w:hanging="285"/>
              <w:jc w:val="left"/>
              <w:rPr>
                <w:sz w:val="16"/>
              </w:rPr>
            </w:pPr>
            <w:r>
              <w:rPr>
                <w:w w:val="125"/>
                <w:sz w:val="16"/>
              </w:rPr>
              <w:t>Skills in time</w:t>
            </w:r>
            <w:r>
              <w:rPr>
                <w:spacing w:val="1"/>
                <w:w w:val="125"/>
                <w:sz w:val="16"/>
              </w:rPr>
              <w:t> </w:t>
            </w:r>
            <w:r>
              <w:rPr>
                <w:w w:val="125"/>
                <w:sz w:val="16"/>
              </w:rPr>
              <w:t>management</w:t>
            </w:r>
          </w:p>
          <w:p>
            <w:pPr>
              <w:pStyle w:val="TableParagraph"/>
              <w:numPr>
                <w:ilvl w:val="0"/>
                <w:numId w:val="29"/>
              </w:numPr>
              <w:tabs>
                <w:tab w:pos="539" w:val="left" w:leader="none"/>
              </w:tabs>
              <w:spacing w:line="283" w:lineRule="auto" w:before="55" w:after="0"/>
              <w:ind w:left="538" w:right="231" w:hanging="284"/>
              <w:jc w:val="left"/>
              <w:rPr>
                <w:sz w:val="16"/>
              </w:rPr>
            </w:pPr>
            <w:r>
              <w:rPr>
                <w:w w:val="125"/>
                <w:sz w:val="16"/>
              </w:rPr>
              <w:t>Ability to assess </w:t>
            </w:r>
            <w:r>
              <w:rPr>
                <w:spacing w:val="2"/>
                <w:w w:val="125"/>
                <w:sz w:val="16"/>
              </w:rPr>
              <w:t>priorities</w:t>
            </w:r>
            <w:r>
              <w:rPr>
                <w:spacing w:val="-29"/>
                <w:w w:val="125"/>
                <w:sz w:val="16"/>
              </w:rPr>
              <w:t> </w:t>
            </w:r>
            <w:r>
              <w:rPr>
                <w:w w:val="125"/>
                <w:sz w:val="16"/>
              </w:rPr>
              <w:t>and plan workload</w:t>
            </w:r>
            <w:r>
              <w:rPr>
                <w:spacing w:val="10"/>
                <w:w w:val="125"/>
                <w:sz w:val="16"/>
              </w:rPr>
              <w:t> </w:t>
            </w:r>
            <w:r>
              <w:rPr>
                <w:w w:val="125"/>
                <w:sz w:val="16"/>
              </w:rPr>
              <w:t>accordingly</w:t>
            </w:r>
          </w:p>
          <w:p>
            <w:pPr>
              <w:pStyle w:val="TableParagraph"/>
              <w:numPr>
                <w:ilvl w:val="0"/>
                <w:numId w:val="29"/>
              </w:numPr>
              <w:tabs>
                <w:tab w:pos="539" w:val="left" w:leader="none"/>
              </w:tabs>
              <w:spacing w:line="283" w:lineRule="auto" w:before="20" w:after="0"/>
              <w:ind w:left="538" w:right="965" w:hanging="284"/>
              <w:jc w:val="left"/>
              <w:rPr>
                <w:sz w:val="16"/>
              </w:rPr>
            </w:pPr>
            <w:r>
              <w:rPr>
                <w:w w:val="125"/>
                <w:sz w:val="16"/>
              </w:rPr>
              <w:t>IT skills in </w:t>
            </w:r>
            <w:r>
              <w:rPr>
                <w:spacing w:val="2"/>
                <w:w w:val="125"/>
                <w:sz w:val="16"/>
              </w:rPr>
              <w:t>e-mail</w:t>
            </w:r>
            <w:r>
              <w:rPr>
                <w:spacing w:val="-16"/>
                <w:w w:val="125"/>
                <w:sz w:val="16"/>
              </w:rPr>
              <w:t> </w:t>
            </w:r>
            <w:r>
              <w:rPr>
                <w:w w:val="125"/>
                <w:sz w:val="16"/>
              </w:rPr>
              <w:t>and document</w:t>
            </w:r>
            <w:r>
              <w:rPr>
                <w:spacing w:val="14"/>
                <w:w w:val="125"/>
                <w:sz w:val="16"/>
              </w:rPr>
              <w:t> </w:t>
            </w:r>
            <w:r>
              <w:rPr>
                <w:w w:val="125"/>
                <w:sz w:val="16"/>
              </w:rPr>
              <w:t>handling</w:t>
            </w:r>
          </w:p>
        </w:tc>
        <w:tc>
          <w:tcPr>
            <w:tcW w:w="2560" w:type="dxa"/>
          </w:tcPr>
          <w:p>
            <w:pPr>
              <w:pStyle w:val="TableParagraph"/>
              <w:ind w:left="0"/>
              <w:rPr>
                <w:rFonts w:ascii="Times New Roman"/>
                <w:sz w:val="18"/>
              </w:rPr>
            </w:pPr>
          </w:p>
        </w:tc>
        <w:tc>
          <w:tcPr>
            <w:tcW w:w="1911" w:type="dxa"/>
          </w:tcPr>
          <w:p>
            <w:pPr>
              <w:pStyle w:val="TableParagraph"/>
              <w:spacing w:line="295" w:lineRule="auto" w:before="103"/>
              <w:ind w:left="299"/>
              <w:rPr>
                <w:sz w:val="16"/>
              </w:rPr>
            </w:pPr>
            <w:r>
              <w:rPr>
                <w:w w:val="125"/>
                <w:sz w:val="16"/>
              </w:rPr>
              <w:t>Applicant’s </w:t>
            </w:r>
            <w:r>
              <w:rPr>
                <w:w w:val="120"/>
                <w:sz w:val="16"/>
              </w:rPr>
              <w:t>details/interview</w:t>
            </w:r>
          </w:p>
        </w:tc>
      </w:tr>
    </w:tbl>
    <w:p>
      <w:pPr>
        <w:spacing w:after="0" w:line="295" w:lineRule="auto"/>
        <w:rPr>
          <w:sz w:val="16"/>
        </w:rPr>
        <w:sectPr>
          <w:type w:val="continuous"/>
          <w:pgSz w:w="11910" w:h="16840"/>
          <w:pgMar w:top="680" w:bottom="280" w:left="0" w:right="0"/>
        </w:sectPr>
      </w:pPr>
    </w:p>
    <w:tbl>
      <w:tblPr>
        <w:tblW w:w="0" w:type="auto"/>
        <w:jc w:val="left"/>
        <w:tblInd w:w="9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
        <w:gridCol w:w="2660"/>
        <w:gridCol w:w="6463"/>
      </w:tblGrid>
      <w:tr>
        <w:trPr>
          <w:trHeight w:val="2805" w:hRule="atLeast"/>
        </w:trPr>
        <w:tc>
          <w:tcPr>
            <w:tcW w:w="9440" w:type="dxa"/>
            <w:gridSpan w:val="3"/>
            <w:tcBorders>
              <w:top w:val="nil"/>
              <w:left w:val="nil"/>
              <w:bottom w:val="nil"/>
              <w:right w:val="nil"/>
            </w:tcBorders>
            <w:shd w:val="clear" w:color="auto" w:fill="FFEDC2"/>
          </w:tcPr>
          <w:p>
            <w:pPr>
              <w:pStyle w:val="TableParagraph"/>
              <w:spacing w:before="9"/>
              <w:ind w:left="0"/>
              <w:rPr>
                <w:sz w:val="91"/>
              </w:rPr>
            </w:pPr>
          </w:p>
          <w:p>
            <w:pPr>
              <w:pStyle w:val="TableParagraph"/>
              <w:spacing w:line="638" w:lineRule="exact"/>
              <w:ind w:left="311"/>
              <w:rPr>
                <w:rFonts w:ascii="Stone Sans II ITC Std Bk"/>
                <w:b/>
                <w:sz w:val="50"/>
              </w:rPr>
            </w:pPr>
            <w:bookmarkStart w:name="_bookmark5" w:id="6"/>
            <w:bookmarkEnd w:id="6"/>
            <w:r>
              <w:rPr/>
            </w:r>
            <w:r>
              <w:rPr>
                <w:rFonts w:ascii="Stone Sans II ITC Std Bk"/>
                <w:b/>
                <w:color w:val="FCC400"/>
                <w:w w:val="110"/>
                <w:sz w:val="50"/>
              </w:rPr>
              <w:t>Mission Council:</w:t>
            </w:r>
          </w:p>
          <w:p>
            <w:pPr>
              <w:pStyle w:val="TableParagraph"/>
              <w:spacing w:line="638" w:lineRule="exact"/>
              <w:ind w:left="311"/>
              <w:rPr>
                <w:rFonts w:ascii="Stone Sans II ITC Std Bk"/>
                <w:b/>
                <w:sz w:val="50"/>
              </w:rPr>
            </w:pPr>
            <w:r>
              <w:rPr>
                <w:rFonts w:ascii="Stone Sans II ITC Std Bk"/>
                <w:b/>
                <w:w w:val="110"/>
                <w:sz w:val="50"/>
              </w:rPr>
              <w:t>Powers in pre-union trusts</w:t>
            </w:r>
          </w:p>
          <w:p>
            <w:pPr>
              <w:pStyle w:val="TableParagraph"/>
              <w:spacing w:before="121"/>
              <w:ind w:left="311"/>
              <w:rPr>
                <w:sz w:val="20"/>
              </w:rPr>
            </w:pPr>
            <w:r>
              <w:rPr>
                <w:w w:val="120"/>
                <w:sz w:val="20"/>
              </w:rPr>
              <w:t>Basic Information</w:t>
            </w:r>
          </w:p>
        </w:tc>
      </w:tr>
      <w:tr>
        <w:trPr>
          <w:trHeight w:val="680" w:hRule="atLeast"/>
        </w:trPr>
        <w:tc>
          <w:tcPr>
            <w:tcW w:w="317" w:type="dxa"/>
            <w:vMerge w:val="restart"/>
            <w:tcBorders>
              <w:top w:val="nil"/>
              <w:left w:val="nil"/>
              <w:bottom w:val="nil"/>
            </w:tcBorders>
            <w:shd w:val="clear" w:color="auto" w:fill="FFEDC2"/>
          </w:tcPr>
          <w:p>
            <w:pPr>
              <w:pStyle w:val="TableParagraph"/>
              <w:ind w:left="0"/>
              <w:rPr>
                <w:rFonts w:ascii="Times New Roman"/>
                <w:sz w:val="22"/>
              </w:rPr>
            </w:pPr>
          </w:p>
        </w:tc>
        <w:tc>
          <w:tcPr>
            <w:tcW w:w="2660" w:type="dxa"/>
            <w:shd w:val="clear" w:color="auto" w:fill="FFFFFF"/>
          </w:tcPr>
          <w:p>
            <w:pPr>
              <w:pStyle w:val="TableParagraph"/>
              <w:spacing w:line="213" w:lineRule="auto" w:before="133"/>
              <w:ind w:left="74" w:right="601"/>
              <w:rPr>
                <w:rFonts w:ascii="Stone Sans II ITC Std Bk"/>
                <w:b/>
                <w:sz w:val="20"/>
              </w:rPr>
            </w:pPr>
            <w:r>
              <w:rPr>
                <w:rFonts w:ascii="Stone Sans II ITC Std Bk"/>
                <w:b/>
                <w:w w:val="110"/>
                <w:sz w:val="20"/>
              </w:rPr>
              <w:t>Contact name and email address</w:t>
            </w:r>
          </w:p>
        </w:tc>
        <w:tc>
          <w:tcPr>
            <w:tcW w:w="6463" w:type="dxa"/>
            <w:tcBorders>
              <w:right w:val="nil"/>
            </w:tcBorders>
            <w:shd w:val="clear" w:color="auto" w:fill="FFFFFF"/>
          </w:tcPr>
          <w:p>
            <w:pPr>
              <w:pStyle w:val="TableParagraph"/>
              <w:spacing w:line="235" w:lineRule="auto" w:before="127"/>
              <w:ind w:left="74" w:right="4161"/>
              <w:rPr>
                <w:sz w:val="20"/>
              </w:rPr>
            </w:pPr>
            <w:r>
              <w:rPr>
                <w:w w:val="120"/>
                <w:sz w:val="20"/>
              </w:rPr>
              <w:t>Dr Augur Pearce </w:t>
            </w:r>
            <w:hyperlink r:id="rId111">
              <w:r>
                <w:rPr>
                  <w:w w:val="120"/>
                  <w:sz w:val="20"/>
                </w:rPr>
                <w:t>augur@dunelm.org.uk</w:t>
              </w:r>
            </w:hyperlink>
          </w:p>
        </w:tc>
      </w:tr>
      <w:tr>
        <w:trPr>
          <w:trHeight w:val="440" w:hRule="atLeast"/>
        </w:trPr>
        <w:tc>
          <w:tcPr>
            <w:tcW w:w="317" w:type="dxa"/>
            <w:vMerge/>
            <w:tcBorders>
              <w:top w:val="nil"/>
              <w:left w:val="nil"/>
              <w:bottom w:val="nil"/>
            </w:tcBorders>
            <w:shd w:val="clear" w:color="auto" w:fill="FFEDC2"/>
          </w:tcPr>
          <w:p>
            <w:pPr>
              <w:rPr>
                <w:sz w:val="2"/>
                <w:szCs w:val="2"/>
              </w:rPr>
            </w:pPr>
          </w:p>
        </w:tc>
        <w:tc>
          <w:tcPr>
            <w:tcW w:w="2660" w:type="dxa"/>
            <w:shd w:val="clear" w:color="auto" w:fill="FFFFFF"/>
          </w:tcPr>
          <w:p>
            <w:pPr>
              <w:pStyle w:val="TableParagraph"/>
              <w:spacing w:before="111"/>
              <w:ind w:left="74"/>
              <w:rPr>
                <w:rFonts w:ascii="Stone Sans II ITC Std Bk"/>
                <w:b/>
                <w:sz w:val="20"/>
              </w:rPr>
            </w:pPr>
            <w:r>
              <w:rPr>
                <w:rFonts w:ascii="Stone Sans II ITC Std Bk"/>
                <w:b/>
                <w:w w:val="110"/>
                <w:sz w:val="20"/>
              </w:rPr>
              <w:t>Action required</w:t>
            </w:r>
          </w:p>
        </w:tc>
        <w:tc>
          <w:tcPr>
            <w:tcW w:w="6463" w:type="dxa"/>
            <w:tcBorders>
              <w:right w:val="nil"/>
            </w:tcBorders>
            <w:shd w:val="clear" w:color="auto" w:fill="FFFFFF"/>
          </w:tcPr>
          <w:p>
            <w:pPr>
              <w:pStyle w:val="TableParagraph"/>
              <w:spacing w:before="123"/>
              <w:ind w:left="74"/>
              <w:rPr>
                <w:sz w:val="20"/>
              </w:rPr>
            </w:pPr>
            <w:r>
              <w:rPr>
                <w:w w:val="120"/>
                <w:sz w:val="20"/>
              </w:rPr>
              <w:t>Decision</w:t>
            </w:r>
          </w:p>
        </w:tc>
      </w:tr>
      <w:tr>
        <w:trPr>
          <w:trHeight w:val="8600" w:hRule="atLeast"/>
        </w:trPr>
        <w:tc>
          <w:tcPr>
            <w:tcW w:w="317" w:type="dxa"/>
            <w:vMerge/>
            <w:tcBorders>
              <w:top w:val="nil"/>
              <w:left w:val="nil"/>
              <w:bottom w:val="nil"/>
            </w:tcBorders>
            <w:shd w:val="clear" w:color="auto" w:fill="FFEDC2"/>
          </w:tcPr>
          <w:p>
            <w:pPr>
              <w:rPr>
                <w:sz w:val="2"/>
                <w:szCs w:val="2"/>
              </w:rPr>
            </w:pPr>
          </w:p>
        </w:tc>
        <w:tc>
          <w:tcPr>
            <w:tcW w:w="2660" w:type="dxa"/>
            <w:shd w:val="clear" w:color="auto" w:fill="FFFFFF"/>
          </w:tcPr>
          <w:p>
            <w:pPr>
              <w:pStyle w:val="TableParagraph"/>
              <w:spacing w:before="111"/>
              <w:ind w:left="74"/>
              <w:rPr>
                <w:rFonts w:ascii="Stone Sans II ITC Std Bk"/>
                <w:b/>
                <w:sz w:val="20"/>
              </w:rPr>
            </w:pPr>
            <w:r>
              <w:rPr>
                <w:rFonts w:ascii="Stone Sans II ITC Std Bk"/>
                <w:b/>
                <w:w w:val="110"/>
                <w:sz w:val="20"/>
              </w:rPr>
              <w:t>Draft resolution(s)</w:t>
            </w:r>
          </w:p>
        </w:tc>
        <w:tc>
          <w:tcPr>
            <w:tcW w:w="6463" w:type="dxa"/>
            <w:tcBorders>
              <w:right w:val="nil"/>
            </w:tcBorders>
            <w:shd w:val="clear" w:color="auto" w:fill="FFFFFF"/>
          </w:tcPr>
          <w:p>
            <w:pPr>
              <w:pStyle w:val="TableParagraph"/>
              <w:numPr>
                <w:ilvl w:val="0"/>
                <w:numId w:val="30"/>
              </w:numPr>
              <w:tabs>
                <w:tab w:pos="754" w:val="left" w:leader="none"/>
                <w:tab w:pos="755" w:val="left" w:leader="none"/>
              </w:tabs>
              <w:spacing w:line="213" w:lineRule="auto" w:before="133" w:after="0"/>
              <w:ind w:left="755" w:right="130" w:hanging="681"/>
              <w:jc w:val="left"/>
              <w:rPr>
                <w:rFonts w:ascii="Stone Sans II ITC Std Bk"/>
                <w:b/>
                <w:sz w:val="20"/>
              </w:rPr>
            </w:pPr>
            <w:r>
              <w:rPr>
                <w:rFonts w:ascii="Stone Sans II ITC Std Bk"/>
                <w:b/>
                <w:w w:val="110"/>
                <w:sz w:val="20"/>
              </w:rPr>
              <w:t>The General Assembly, in exercise of the powers conferred by </w:t>
            </w:r>
            <w:r>
              <w:rPr>
                <w:rFonts w:ascii="Stone Sans II ITC Std Bk"/>
                <w:b/>
                <w:spacing w:val="-9"/>
                <w:w w:val="110"/>
                <w:sz w:val="20"/>
              </w:rPr>
              <w:t>s.18(1) </w:t>
            </w:r>
            <w:r>
              <w:rPr>
                <w:rFonts w:ascii="Stone Sans II ITC Std Bk"/>
                <w:b/>
                <w:w w:val="110"/>
                <w:sz w:val="20"/>
              </w:rPr>
              <w:t>of the United Reformed Church Act </w:t>
            </w:r>
            <w:r>
              <w:rPr>
                <w:rFonts w:ascii="Stone Sans II ITC Std Bk"/>
                <w:b/>
                <w:spacing w:val="-6"/>
                <w:w w:val="110"/>
                <w:sz w:val="20"/>
              </w:rPr>
              <w:t>1972 </w:t>
            </w:r>
            <w:r>
              <w:rPr>
                <w:rFonts w:ascii="Stone Sans II ITC Std Bk"/>
                <w:b/>
                <w:w w:val="110"/>
                <w:sz w:val="20"/>
              </w:rPr>
              <w:t>and </w:t>
            </w:r>
            <w:r>
              <w:rPr>
                <w:rFonts w:ascii="Stone Sans II ITC Std Bk"/>
                <w:b/>
                <w:spacing w:val="-8"/>
                <w:w w:val="110"/>
                <w:sz w:val="20"/>
              </w:rPr>
              <w:t>s.10(1) </w:t>
            </w:r>
            <w:r>
              <w:rPr>
                <w:rFonts w:ascii="Stone Sans II ITC Std Bk"/>
                <w:b/>
                <w:w w:val="110"/>
                <w:sz w:val="20"/>
              </w:rPr>
              <w:t>of the United Reformed Church Act </w:t>
            </w:r>
            <w:r>
              <w:rPr>
                <w:rFonts w:ascii="Stone Sans II ITC Std Bk"/>
                <w:b/>
                <w:spacing w:val="-8"/>
                <w:w w:val="110"/>
                <w:sz w:val="20"/>
              </w:rPr>
              <w:t>1981, </w:t>
            </w:r>
            <w:r>
              <w:rPr>
                <w:rFonts w:ascii="Stone Sans II ITC Std Bk"/>
                <w:b/>
                <w:w w:val="110"/>
                <w:sz w:val="20"/>
              </w:rPr>
              <w:t>appoints until further notice the councils and other organs of the Church indicated in column 2 on page 45 to exercise any powers with respect to trusts and any powers of nomination vested prior to 5 October </w:t>
            </w:r>
            <w:r>
              <w:rPr>
                <w:rFonts w:ascii="Stone Sans II ITC Std Bk"/>
                <w:b/>
                <w:spacing w:val="-6"/>
                <w:w w:val="110"/>
                <w:sz w:val="20"/>
              </w:rPr>
              <w:t>1972 </w:t>
            </w:r>
            <w:r>
              <w:rPr>
                <w:rFonts w:ascii="Stone Sans II ITC Std Bk"/>
                <w:b/>
                <w:spacing w:val="-8"/>
                <w:w w:val="110"/>
                <w:sz w:val="20"/>
              </w:rPr>
              <w:t>(or, </w:t>
            </w:r>
            <w:r>
              <w:rPr>
                <w:rFonts w:ascii="Stone Sans II ITC Std Bk"/>
                <w:b/>
                <w:w w:val="110"/>
                <w:sz w:val="20"/>
              </w:rPr>
              <w:t>as the case may be, prior to 26 September </w:t>
            </w:r>
            <w:r>
              <w:rPr>
                <w:rFonts w:ascii="Stone Sans II ITC Std Bk"/>
                <w:b/>
                <w:spacing w:val="-9"/>
                <w:w w:val="110"/>
                <w:sz w:val="20"/>
              </w:rPr>
              <w:t>1981) </w:t>
            </w:r>
            <w:r>
              <w:rPr>
                <w:rFonts w:ascii="Stone Sans II ITC Std Bk"/>
                <w:b/>
                <w:w w:val="110"/>
                <w:sz w:val="20"/>
              </w:rPr>
              <w:t>in the members, </w:t>
            </w:r>
            <w:r>
              <w:rPr>
                <w:rFonts w:ascii="Stone Sans II ITC Std Bk"/>
                <w:b/>
                <w:spacing w:val="2"/>
                <w:w w:val="110"/>
                <w:sz w:val="20"/>
              </w:rPr>
              <w:t>courts </w:t>
            </w:r>
            <w:r>
              <w:rPr>
                <w:rFonts w:ascii="Stone Sans II ITC Std Bk"/>
                <w:b/>
                <w:w w:val="110"/>
                <w:sz w:val="20"/>
              </w:rPr>
              <w:t>and other organs of dissolved associations indicated in column 1 on page</w:t>
            </w:r>
            <w:r>
              <w:rPr>
                <w:rFonts w:ascii="Stone Sans II ITC Std Bk"/>
                <w:b/>
                <w:spacing w:val="-2"/>
                <w:w w:val="110"/>
                <w:sz w:val="20"/>
              </w:rPr>
              <w:t> </w:t>
            </w:r>
            <w:r>
              <w:rPr>
                <w:rFonts w:ascii="Stone Sans II ITC Std Bk"/>
                <w:b/>
                <w:spacing w:val="-4"/>
                <w:w w:val="110"/>
                <w:sz w:val="20"/>
              </w:rPr>
              <w:t>45.</w:t>
            </w:r>
          </w:p>
          <w:p>
            <w:pPr>
              <w:pStyle w:val="TableParagraph"/>
              <w:spacing w:before="1"/>
              <w:ind w:left="0"/>
              <w:rPr>
                <w:sz w:val="19"/>
              </w:rPr>
            </w:pPr>
          </w:p>
          <w:p>
            <w:pPr>
              <w:pStyle w:val="TableParagraph"/>
              <w:numPr>
                <w:ilvl w:val="0"/>
                <w:numId w:val="30"/>
              </w:numPr>
              <w:tabs>
                <w:tab w:pos="754" w:val="left" w:leader="none"/>
                <w:tab w:pos="755" w:val="left" w:leader="none"/>
              </w:tabs>
              <w:spacing w:line="213" w:lineRule="auto" w:before="0" w:after="0"/>
              <w:ind w:left="755" w:right="892" w:hanging="681"/>
              <w:jc w:val="left"/>
              <w:rPr>
                <w:rFonts w:ascii="Stone Sans II ITC Std Bk"/>
                <w:b/>
                <w:sz w:val="20"/>
              </w:rPr>
            </w:pPr>
            <w:r>
              <w:rPr>
                <w:rFonts w:ascii="Stone Sans II ITC Std Bk"/>
                <w:b/>
                <w:w w:val="110"/>
                <w:sz w:val="20"/>
              </w:rPr>
              <w:t>In exercising any power vested in it by this resolution, a church meeting should act with due regard to any recommendations of the</w:t>
            </w:r>
          </w:p>
          <w:p>
            <w:pPr>
              <w:pStyle w:val="TableParagraph"/>
              <w:spacing w:line="213" w:lineRule="auto"/>
              <w:ind w:left="755" w:right="104"/>
              <w:rPr>
                <w:rFonts w:ascii="Stone Sans II ITC Std Bk" w:hAnsi="Stone Sans II ITC Std Bk"/>
                <w:b/>
                <w:sz w:val="20"/>
              </w:rPr>
            </w:pPr>
            <w:r>
              <w:rPr>
                <w:rFonts w:ascii="Stone Sans II ITC Std Bk" w:hAnsi="Stone Sans II ITC Std Bk"/>
                <w:b/>
                <w:w w:val="110"/>
                <w:sz w:val="20"/>
              </w:rPr>
              <w:t>elders’ meeting or of other councils of the United Reformed Church exercising oversight over the local church concerned.</w:t>
            </w:r>
          </w:p>
          <w:p>
            <w:pPr>
              <w:pStyle w:val="TableParagraph"/>
              <w:spacing w:before="4"/>
              <w:ind w:left="0"/>
              <w:rPr>
                <w:sz w:val="19"/>
              </w:rPr>
            </w:pPr>
          </w:p>
          <w:p>
            <w:pPr>
              <w:pStyle w:val="TableParagraph"/>
              <w:numPr>
                <w:ilvl w:val="0"/>
                <w:numId w:val="30"/>
              </w:numPr>
              <w:tabs>
                <w:tab w:pos="754" w:val="left" w:leader="none"/>
                <w:tab w:pos="755" w:val="left" w:leader="none"/>
              </w:tabs>
              <w:spacing w:line="213" w:lineRule="auto" w:before="0" w:after="0"/>
              <w:ind w:left="755" w:right="273" w:hanging="681"/>
              <w:jc w:val="left"/>
              <w:rPr>
                <w:rFonts w:ascii="Stone Sans II ITC Std Bk"/>
                <w:b/>
                <w:sz w:val="20"/>
              </w:rPr>
            </w:pPr>
            <w:r>
              <w:rPr>
                <w:rFonts w:ascii="Stone Sans II ITC Std Bk"/>
                <w:b/>
                <w:w w:val="110"/>
                <w:sz w:val="20"/>
              </w:rPr>
              <w:t>For the avoidance of doubt, this appointment does not </w:t>
            </w:r>
            <w:r>
              <w:rPr>
                <w:rFonts w:ascii="Stone Sans II ITC Std Bk"/>
                <w:b/>
                <w:spacing w:val="2"/>
                <w:w w:val="110"/>
                <w:sz w:val="20"/>
              </w:rPr>
              <w:t>affect </w:t>
            </w:r>
            <w:r>
              <w:rPr>
                <w:rFonts w:ascii="Stone Sans II ITC Std Bk"/>
                <w:b/>
                <w:w w:val="110"/>
                <w:sz w:val="20"/>
              </w:rPr>
              <w:t>trusts or powers in relation to property governed by s. </w:t>
            </w:r>
            <w:r>
              <w:rPr>
                <w:rFonts w:ascii="Stone Sans II ITC Std Bk"/>
                <w:b/>
                <w:spacing w:val="-6"/>
                <w:w w:val="110"/>
                <w:sz w:val="20"/>
              </w:rPr>
              <w:t>8(2) </w:t>
            </w:r>
            <w:r>
              <w:rPr>
                <w:rFonts w:ascii="Stone Sans II ITC Std Bk"/>
                <w:b/>
                <w:w w:val="110"/>
                <w:sz w:val="20"/>
              </w:rPr>
              <w:t>of and Schedule 2 to the Act of </w:t>
            </w:r>
            <w:r>
              <w:rPr>
                <w:rFonts w:ascii="Stone Sans II ITC Std Bk"/>
                <w:b/>
                <w:spacing w:val="-4"/>
                <w:w w:val="110"/>
                <w:sz w:val="20"/>
              </w:rPr>
              <w:t>1972, </w:t>
            </w:r>
            <w:r>
              <w:rPr>
                <w:rFonts w:ascii="Stone Sans II ITC Std Bk"/>
                <w:b/>
                <w:w w:val="110"/>
                <w:sz w:val="20"/>
              </w:rPr>
              <w:t>or by s. </w:t>
            </w:r>
            <w:r>
              <w:rPr>
                <w:rFonts w:ascii="Stone Sans II ITC Std Bk"/>
                <w:b/>
                <w:spacing w:val="-6"/>
                <w:w w:val="110"/>
                <w:sz w:val="20"/>
              </w:rPr>
              <w:t>6(2) </w:t>
            </w:r>
            <w:r>
              <w:rPr>
                <w:rFonts w:ascii="Stone Sans II ITC Std Bk"/>
                <w:b/>
                <w:w w:val="110"/>
                <w:sz w:val="20"/>
              </w:rPr>
              <w:t>of and Schedule 2 to the Act of </w:t>
            </w:r>
            <w:r>
              <w:rPr>
                <w:rFonts w:ascii="Stone Sans II ITC Std Bk"/>
                <w:b/>
                <w:spacing w:val="-8"/>
                <w:w w:val="110"/>
                <w:sz w:val="20"/>
              </w:rPr>
              <w:t>1981, </w:t>
            </w:r>
            <w:r>
              <w:rPr>
                <w:rFonts w:ascii="Stone Sans II ITC Std Bk"/>
                <w:b/>
                <w:w w:val="110"/>
                <w:sz w:val="20"/>
              </w:rPr>
              <w:t>or to property in</w:t>
            </w:r>
            <w:r>
              <w:rPr>
                <w:rFonts w:ascii="Stone Sans II ITC Std Bk"/>
                <w:b/>
                <w:spacing w:val="8"/>
                <w:w w:val="110"/>
                <w:sz w:val="20"/>
              </w:rPr>
              <w:t> </w:t>
            </w:r>
            <w:r>
              <w:rPr>
                <w:rFonts w:ascii="Stone Sans II ITC Std Bk"/>
                <w:b/>
                <w:w w:val="110"/>
                <w:sz w:val="20"/>
              </w:rPr>
              <w:t>Scotland.</w:t>
            </w:r>
          </w:p>
          <w:p>
            <w:pPr>
              <w:pStyle w:val="TableParagraph"/>
              <w:spacing w:before="4"/>
              <w:ind w:left="0"/>
              <w:rPr>
                <w:sz w:val="19"/>
              </w:rPr>
            </w:pPr>
          </w:p>
          <w:p>
            <w:pPr>
              <w:pStyle w:val="TableParagraph"/>
              <w:numPr>
                <w:ilvl w:val="0"/>
                <w:numId w:val="30"/>
              </w:numPr>
              <w:tabs>
                <w:tab w:pos="754" w:val="left" w:leader="none"/>
                <w:tab w:pos="755" w:val="left" w:leader="none"/>
              </w:tabs>
              <w:spacing w:line="213" w:lineRule="auto" w:before="1" w:after="0"/>
              <w:ind w:left="755" w:right="290" w:hanging="681"/>
              <w:jc w:val="left"/>
              <w:rPr>
                <w:rFonts w:ascii="Stone Sans II ITC Std Bk"/>
                <w:b/>
                <w:sz w:val="20"/>
              </w:rPr>
            </w:pPr>
            <w:r>
              <w:rPr>
                <w:rFonts w:ascii="Stone Sans II ITC Std Bk"/>
                <w:b/>
                <w:w w:val="110"/>
                <w:sz w:val="20"/>
              </w:rPr>
              <w:t>In exercise of the power </w:t>
            </w:r>
            <w:r>
              <w:rPr>
                <w:rFonts w:ascii="Stone Sans II ITC Std Bk"/>
                <w:b/>
                <w:spacing w:val="2"/>
                <w:w w:val="110"/>
                <w:sz w:val="20"/>
              </w:rPr>
              <w:t>conferred </w:t>
            </w:r>
            <w:r>
              <w:rPr>
                <w:rFonts w:ascii="Stone Sans II ITC Std Bk"/>
                <w:b/>
                <w:w w:val="110"/>
                <w:sz w:val="20"/>
              </w:rPr>
              <w:t>by </w:t>
            </w:r>
            <w:r>
              <w:rPr>
                <w:rFonts w:ascii="Stone Sans II ITC Std Bk"/>
                <w:b/>
                <w:spacing w:val="-6"/>
                <w:w w:val="110"/>
                <w:sz w:val="20"/>
              </w:rPr>
              <w:t>s.18(2) </w:t>
            </w:r>
            <w:r>
              <w:rPr>
                <w:rFonts w:ascii="Stone Sans II ITC Std Bk"/>
                <w:b/>
                <w:w w:val="110"/>
                <w:sz w:val="20"/>
              </w:rPr>
              <w:t>of the </w:t>
            </w:r>
            <w:r>
              <w:rPr>
                <w:rFonts w:ascii="Stone Sans II ITC Std Bk"/>
                <w:b/>
                <w:spacing w:val="3"/>
                <w:w w:val="110"/>
                <w:sz w:val="20"/>
              </w:rPr>
              <w:t>Act </w:t>
            </w:r>
            <w:r>
              <w:rPr>
                <w:rFonts w:ascii="Stone Sans II ITC Std Bk"/>
                <w:b/>
                <w:w w:val="110"/>
                <w:sz w:val="20"/>
              </w:rPr>
              <w:t>of </w:t>
            </w:r>
            <w:r>
              <w:rPr>
                <w:rFonts w:ascii="Stone Sans II ITC Std Bk"/>
                <w:b/>
                <w:spacing w:val="-4"/>
                <w:w w:val="110"/>
                <w:sz w:val="20"/>
              </w:rPr>
              <w:t>1972 </w:t>
            </w:r>
            <w:r>
              <w:rPr>
                <w:rFonts w:ascii="Stone Sans II ITC Std Bk"/>
                <w:b/>
                <w:w w:val="110"/>
                <w:sz w:val="20"/>
              </w:rPr>
              <w:t>and </w:t>
            </w:r>
            <w:r>
              <w:rPr>
                <w:rFonts w:ascii="Stone Sans II ITC Std Bk"/>
                <w:b/>
                <w:spacing w:val="-5"/>
                <w:w w:val="110"/>
                <w:sz w:val="20"/>
              </w:rPr>
              <w:t>s.10(2)  </w:t>
            </w:r>
            <w:r>
              <w:rPr>
                <w:rFonts w:ascii="Stone Sans II ITC Std Bk"/>
                <w:b/>
                <w:w w:val="110"/>
                <w:sz w:val="20"/>
              </w:rPr>
              <w:t>of the </w:t>
            </w:r>
            <w:r>
              <w:rPr>
                <w:rFonts w:ascii="Stone Sans II ITC Std Bk"/>
                <w:b/>
                <w:spacing w:val="3"/>
                <w:w w:val="110"/>
                <w:sz w:val="20"/>
              </w:rPr>
              <w:t>Act </w:t>
            </w:r>
            <w:r>
              <w:rPr>
                <w:rFonts w:ascii="Stone Sans II ITC Std Bk"/>
                <w:b/>
                <w:w w:val="110"/>
                <w:sz w:val="20"/>
              </w:rPr>
              <w:t>of </w:t>
            </w:r>
            <w:r>
              <w:rPr>
                <w:rFonts w:ascii="Stone Sans II ITC Std Bk"/>
                <w:b/>
                <w:spacing w:val="-6"/>
                <w:w w:val="110"/>
                <w:sz w:val="20"/>
              </w:rPr>
              <w:t>1981,  </w:t>
            </w:r>
            <w:r>
              <w:rPr>
                <w:rFonts w:ascii="Stone Sans II ITC Std Bk"/>
                <w:b/>
                <w:w w:val="110"/>
                <w:sz w:val="20"/>
              </w:rPr>
              <w:t>the </w:t>
            </w:r>
            <w:r>
              <w:rPr>
                <w:rFonts w:ascii="Stone Sans II ITC Std Bk"/>
                <w:b/>
                <w:spacing w:val="2"/>
                <w:w w:val="110"/>
                <w:sz w:val="20"/>
              </w:rPr>
              <w:t>Assembly delegates </w:t>
            </w:r>
            <w:r>
              <w:rPr>
                <w:rFonts w:ascii="Stone Sans II ITC Std Bk"/>
                <w:b/>
                <w:w w:val="110"/>
                <w:sz w:val="20"/>
              </w:rPr>
              <w:t>any </w:t>
            </w:r>
            <w:r>
              <w:rPr>
                <w:rFonts w:ascii="Stone Sans II ITC Std Bk"/>
                <w:b/>
                <w:spacing w:val="3"/>
                <w:w w:val="110"/>
                <w:sz w:val="20"/>
              </w:rPr>
              <w:t>further </w:t>
            </w:r>
            <w:r>
              <w:rPr>
                <w:rFonts w:ascii="Stone Sans II ITC Std Bk"/>
                <w:b/>
                <w:w w:val="110"/>
                <w:sz w:val="20"/>
              </w:rPr>
              <w:t>exercise that may be </w:t>
            </w:r>
            <w:r>
              <w:rPr>
                <w:rFonts w:ascii="Stone Sans II ITC Std Bk"/>
                <w:b/>
                <w:spacing w:val="2"/>
                <w:w w:val="110"/>
                <w:sz w:val="20"/>
              </w:rPr>
              <w:t>necessary </w:t>
            </w:r>
            <w:r>
              <w:rPr>
                <w:rFonts w:ascii="Stone Sans II ITC Std Bk"/>
                <w:b/>
                <w:w w:val="110"/>
                <w:sz w:val="20"/>
              </w:rPr>
              <w:t>of </w:t>
            </w:r>
            <w:r>
              <w:rPr>
                <w:rFonts w:ascii="Stone Sans II ITC Std Bk"/>
                <w:b/>
                <w:spacing w:val="2"/>
                <w:w w:val="110"/>
                <w:sz w:val="20"/>
              </w:rPr>
              <w:t>its </w:t>
            </w:r>
            <w:r>
              <w:rPr>
                <w:rFonts w:ascii="Stone Sans II ITC Std Bk"/>
                <w:b/>
                <w:w w:val="110"/>
                <w:sz w:val="20"/>
              </w:rPr>
              <w:t>powers </w:t>
            </w:r>
            <w:r>
              <w:rPr>
                <w:rFonts w:ascii="Stone Sans II ITC Std Bk"/>
                <w:b/>
                <w:spacing w:val="2"/>
                <w:w w:val="110"/>
                <w:sz w:val="20"/>
              </w:rPr>
              <w:t>under </w:t>
            </w:r>
            <w:r>
              <w:rPr>
                <w:rFonts w:ascii="Stone Sans II ITC Std Bk"/>
                <w:b/>
                <w:spacing w:val="-7"/>
                <w:w w:val="110"/>
                <w:sz w:val="20"/>
              </w:rPr>
              <w:t>s.18(1) </w:t>
            </w:r>
            <w:r>
              <w:rPr>
                <w:rFonts w:ascii="Stone Sans II ITC Std Bk"/>
                <w:b/>
                <w:w w:val="110"/>
                <w:sz w:val="20"/>
              </w:rPr>
              <w:t>and </w:t>
            </w:r>
            <w:r>
              <w:rPr>
                <w:rFonts w:ascii="Stone Sans II ITC Std Bk"/>
                <w:b/>
                <w:spacing w:val="-7"/>
                <w:w w:val="110"/>
                <w:sz w:val="20"/>
              </w:rPr>
              <w:t>s.10(1) </w:t>
            </w:r>
            <w:r>
              <w:rPr>
                <w:rFonts w:ascii="Stone Sans II ITC Std Bk"/>
                <w:b/>
                <w:spacing w:val="2"/>
                <w:w w:val="110"/>
                <w:sz w:val="20"/>
              </w:rPr>
              <w:t>respectively </w:t>
            </w:r>
            <w:r>
              <w:rPr>
                <w:rFonts w:ascii="Stone Sans II ITC Std Bk"/>
                <w:b/>
                <w:w w:val="110"/>
                <w:sz w:val="20"/>
              </w:rPr>
              <w:t>(including  any  </w:t>
            </w:r>
            <w:r>
              <w:rPr>
                <w:rFonts w:ascii="Stone Sans II ITC Std Bk"/>
                <w:b/>
                <w:spacing w:val="2"/>
                <w:w w:val="110"/>
                <w:sz w:val="20"/>
              </w:rPr>
              <w:t>amendment </w:t>
            </w:r>
            <w:r>
              <w:rPr>
                <w:rFonts w:ascii="Stone Sans II ITC Std Bk"/>
                <w:b/>
                <w:w w:val="110"/>
                <w:sz w:val="20"/>
              </w:rPr>
              <w:t>of the provision now made) to Mission Council. This is in substitution for the </w:t>
            </w:r>
            <w:r>
              <w:rPr>
                <w:rFonts w:ascii="Stone Sans II ITC Std Bk"/>
                <w:b/>
                <w:spacing w:val="2"/>
                <w:w w:val="110"/>
                <w:sz w:val="20"/>
              </w:rPr>
              <w:t>delegation </w:t>
            </w:r>
            <w:r>
              <w:rPr>
                <w:rFonts w:ascii="Stone Sans II ITC Std Bk"/>
                <w:b/>
                <w:w w:val="110"/>
                <w:sz w:val="20"/>
              </w:rPr>
              <w:t>made to the executive </w:t>
            </w:r>
            <w:r>
              <w:rPr>
                <w:rFonts w:ascii="Stone Sans II ITC Std Bk"/>
                <w:b/>
                <w:spacing w:val="2"/>
                <w:w w:val="110"/>
                <w:sz w:val="20"/>
              </w:rPr>
              <w:t>committee </w:t>
            </w:r>
            <w:r>
              <w:rPr>
                <w:rFonts w:ascii="Stone Sans II ITC Std Bk"/>
                <w:b/>
                <w:w w:val="110"/>
                <w:sz w:val="20"/>
              </w:rPr>
              <w:t>by the </w:t>
            </w:r>
            <w:r>
              <w:rPr>
                <w:rFonts w:ascii="Stone Sans II ITC Std Bk"/>
                <w:b/>
                <w:spacing w:val="2"/>
                <w:w w:val="110"/>
                <w:sz w:val="20"/>
              </w:rPr>
              <w:t>Uniting </w:t>
            </w:r>
            <w:r>
              <w:rPr>
                <w:rFonts w:ascii="Stone Sans II ITC Std Bk"/>
                <w:b/>
                <w:spacing w:val="3"/>
                <w:w w:val="110"/>
                <w:sz w:val="20"/>
              </w:rPr>
              <w:t>Assembly </w:t>
            </w:r>
            <w:r>
              <w:rPr>
                <w:rFonts w:ascii="Stone Sans II ITC Std Bk"/>
                <w:b/>
                <w:w w:val="110"/>
                <w:sz w:val="20"/>
              </w:rPr>
              <w:t>of</w:t>
            </w:r>
            <w:r>
              <w:rPr>
                <w:rFonts w:ascii="Stone Sans II ITC Std Bk"/>
                <w:b/>
                <w:spacing w:val="3"/>
                <w:w w:val="110"/>
                <w:sz w:val="20"/>
              </w:rPr>
              <w:t> </w:t>
            </w:r>
            <w:r>
              <w:rPr>
                <w:rFonts w:ascii="Stone Sans II ITC Std Bk"/>
                <w:b/>
                <w:spacing w:val="-3"/>
                <w:w w:val="110"/>
                <w:sz w:val="20"/>
              </w:rPr>
              <w:t>1972.</w:t>
            </w:r>
          </w:p>
        </w:tc>
      </w:tr>
      <w:tr>
        <w:trPr>
          <w:trHeight w:val="480" w:hRule="atLeast"/>
        </w:trPr>
        <w:tc>
          <w:tcPr>
            <w:tcW w:w="9440" w:type="dxa"/>
            <w:gridSpan w:val="3"/>
            <w:tcBorders>
              <w:top w:val="nil"/>
              <w:left w:val="nil"/>
              <w:bottom w:val="nil"/>
              <w:right w:val="nil"/>
            </w:tcBorders>
            <w:shd w:val="clear" w:color="auto" w:fill="FFEDC2"/>
          </w:tcPr>
          <w:p>
            <w:pPr>
              <w:pStyle w:val="TableParagraph"/>
              <w:spacing w:before="191"/>
              <w:ind w:left="311"/>
              <w:rPr>
                <w:sz w:val="20"/>
              </w:rPr>
            </w:pPr>
            <w:r>
              <w:rPr>
                <w:w w:val="120"/>
                <w:sz w:val="20"/>
              </w:rPr>
              <w:t>Summary of Content</w:t>
            </w:r>
          </w:p>
        </w:tc>
      </w:tr>
      <w:tr>
        <w:trPr>
          <w:trHeight w:val="440" w:hRule="atLeast"/>
        </w:trPr>
        <w:tc>
          <w:tcPr>
            <w:tcW w:w="317" w:type="dxa"/>
            <w:vMerge w:val="restart"/>
            <w:tcBorders>
              <w:top w:val="nil"/>
              <w:left w:val="nil"/>
              <w:bottom w:val="nil"/>
            </w:tcBorders>
            <w:shd w:val="clear" w:color="auto" w:fill="FFEDC2"/>
          </w:tcPr>
          <w:p>
            <w:pPr>
              <w:pStyle w:val="TableParagraph"/>
              <w:ind w:left="0"/>
              <w:rPr>
                <w:rFonts w:ascii="Times New Roman"/>
                <w:sz w:val="22"/>
              </w:rPr>
            </w:pPr>
          </w:p>
        </w:tc>
        <w:tc>
          <w:tcPr>
            <w:tcW w:w="2660" w:type="dxa"/>
            <w:shd w:val="clear" w:color="auto" w:fill="FFFFFF"/>
          </w:tcPr>
          <w:p>
            <w:pPr>
              <w:pStyle w:val="TableParagraph"/>
              <w:spacing w:before="111"/>
              <w:ind w:left="74"/>
              <w:rPr>
                <w:rFonts w:ascii="Stone Sans II ITC Std Bk"/>
                <w:b/>
                <w:sz w:val="20"/>
              </w:rPr>
            </w:pPr>
            <w:r>
              <w:rPr>
                <w:rFonts w:ascii="Stone Sans II ITC Std Bk"/>
                <w:b/>
                <w:w w:val="110"/>
                <w:sz w:val="20"/>
              </w:rPr>
              <w:t>Subject and aim(s)</w:t>
            </w:r>
          </w:p>
        </w:tc>
        <w:tc>
          <w:tcPr>
            <w:tcW w:w="6463" w:type="dxa"/>
            <w:tcBorders>
              <w:right w:val="nil"/>
            </w:tcBorders>
            <w:shd w:val="clear" w:color="auto" w:fill="FFFFFF"/>
          </w:tcPr>
          <w:p>
            <w:pPr>
              <w:pStyle w:val="TableParagraph"/>
              <w:spacing w:before="123"/>
              <w:ind w:left="74"/>
              <w:rPr>
                <w:sz w:val="20"/>
              </w:rPr>
            </w:pPr>
            <w:r>
              <w:rPr>
                <w:w w:val="120"/>
                <w:sz w:val="20"/>
              </w:rPr>
              <w:t>Powers in pre-union trusts (England, Wales and the Islands)</w:t>
            </w:r>
          </w:p>
        </w:tc>
      </w:tr>
      <w:tr>
        <w:trPr>
          <w:trHeight w:val="1640" w:hRule="atLeast"/>
        </w:trPr>
        <w:tc>
          <w:tcPr>
            <w:tcW w:w="317" w:type="dxa"/>
            <w:vMerge/>
            <w:tcBorders>
              <w:top w:val="nil"/>
              <w:left w:val="nil"/>
              <w:bottom w:val="nil"/>
            </w:tcBorders>
            <w:shd w:val="clear" w:color="auto" w:fill="FFEDC2"/>
          </w:tcPr>
          <w:p>
            <w:pPr>
              <w:rPr>
                <w:sz w:val="2"/>
                <w:szCs w:val="2"/>
              </w:rPr>
            </w:pPr>
          </w:p>
        </w:tc>
        <w:tc>
          <w:tcPr>
            <w:tcW w:w="2660" w:type="dxa"/>
            <w:shd w:val="clear" w:color="auto" w:fill="FFFFFF"/>
          </w:tcPr>
          <w:p>
            <w:pPr>
              <w:pStyle w:val="TableParagraph"/>
              <w:spacing w:before="111"/>
              <w:ind w:left="74"/>
              <w:rPr>
                <w:rFonts w:ascii="Stone Sans II ITC Std Bk"/>
                <w:b/>
                <w:sz w:val="20"/>
              </w:rPr>
            </w:pPr>
            <w:r>
              <w:rPr>
                <w:rFonts w:ascii="Stone Sans II ITC Std Bk"/>
                <w:b/>
                <w:w w:val="110"/>
                <w:sz w:val="20"/>
              </w:rPr>
              <w:t>Main points</w:t>
            </w:r>
          </w:p>
        </w:tc>
        <w:tc>
          <w:tcPr>
            <w:tcW w:w="6463" w:type="dxa"/>
            <w:tcBorders>
              <w:right w:val="nil"/>
            </w:tcBorders>
            <w:shd w:val="clear" w:color="auto" w:fill="FFFFFF"/>
          </w:tcPr>
          <w:p>
            <w:pPr>
              <w:pStyle w:val="TableParagraph"/>
              <w:spacing w:line="235" w:lineRule="auto" w:before="127"/>
              <w:ind w:left="74"/>
              <w:rPr>
                <w:sz w:val="20"/>
              </w:rPr>
            </w:pPr>
            <w:r>
              <w:rPr>
                <w:spacing w:val="-4"/>
                <w:w w:val="120"/>
                <w:sz w:val="20"/>
              </w:rPr>
              <w:t>Trust </w:t>
            </w:r>
            <w:r>
              <w:rPr>
                <w:w w:val="120"/>
                <w:sz w:val="20"/>
              </w:rPr>
              <w:t>deeds predating the </w:t>
            </w:r>
            <w:r>
              <w:rPr>
                <w:spacing w:val="-9"/>
                <w:w w:val="120"/>
                <w:sz w:val="20"/>
              </w:rPr>
              <w:t>1972 </w:t>
            </w:r>
            <w:r>
              <w:rPr>
                <w:w w:val="120"/>
                <w:sz w:val="20"/>
              </w:rPr>
              <w:t>and </w:t>
            </w:r>
            <w:r>
              <w:rPr>
                <w:spacing w:val="-8"/>
                <w:w w:val="120"/>
                <w:sz w:val="20"/>
              </w:rPr>
              <w:t>1981 </w:t>
            </w:r>
            <w:r>
              <w:rPr>
                <w:spacing w:val="-3"/>
                <w:w w:val="120"/>
                <w:sz w:val="20"/>
              </w:rPr>
              <w:t>unions </w:t>
            </w:r>
            <w:r>
              <w:rPr>
                <w:w w:val="120"/>
                <w:sz w:val="20"/>
              </w:rPr>
              <w:t>forming the </w:t>
            </w:r>
            <w:r>
              <w:rPr>
                <w:spacing w:val="-3"/>
                <w:w w:val="120"/>
                <w:sz w:val="20"/>
              </w:rPr>
              <w:t>United </w:t>
            </w:r>
            <w:r>
              <w:rPr>
                <w:w w:val="120"/>
                <w:sz w:val="20"/>
              </w:rPr>
              <w:t>Reformed </w:t>
            </w:r>
            <w:r>
              <w:rPr>
                <w:spacing w:val="-3"/>
                <w:w w:val="120"/>
                <w:sz w:val="20"/>
              </w:rPr>
              <w:t>Church gave </w:t>
            </w:r>
            <w:r>
              <w:rPr>
                <w:w w:val="120"/>
                <w:sz w:val="20"/>
              </w:rPr>
              <w:t>powers </w:t>
            </w:r>
            <w:r>
              <w:rPr>
                <w:spacing w:val="-3"/>
                <w:w w:val="120"/>
                <w:sz w:val="20"/>
              </w:rPr>
              <w:t>to </w:t>
            </w:r>
            <w:r>
              <w:rPr>
                <w:w w:val="120"/>
                <w:sz w:val="20"/>
              </w:rPr>
              <w:t>certain </w:t>
            </w:r>
            <w:r>
              <w:rPr>
                <w:spacing w:val="-2"/>
                <w:w w:val="120"/>
                <w:sz w:val="20"/>
              </w:rPr>
              <w:t>organs </w:t>
            </w:r>
            <w:r>
              <w:rPr>
                <w:w w:val="120"/>
                <w:sz w:val="20"/>
              </w:rPr>
              <w:t>and officers of the predecessor </w:t>
            </w:r>
            <w:r>
              <w:rPr>
                <w:spacing w:val="-3"/>
                <w:w w:val="120"/>
                <w:sz w:val="20"/>
              </w:rPr>
              <w:t>Churches. </w:t>
            </w:r>
            <w:r>
              <w:rPr>
                <w:w w:val="120"/>
                <w:sz w:val="20"/>
              </w:rPr>
              <w:t>Sections of the two acts facilitating</w:t>
            </w:r>
            <w:r>
              <w:rPr>
                <w:spacing w:val="-7"/>
                <w:w w:val="120"/>
                <w:sz w:val="20"/>
              </w:rPr>
              <w:t> </w:t>
            </w:r>
            <w:r>
              <w:rPr>
                <w:w w:val="120"/>
                <w:sz w:val="20"/>
              </w:rPr>
              <w:t>the</w:t>
            </w:r>
            <w:r>
              <w:rPr>
                <w:spacing w:val="-7"/>
                <w:w w:val="120"/>
                <w:sz w:val="20"/>
              </w:rPr>
              <w:t> </w:t>
            </w:r>
            <w:r>
              <w:rPr>
                <w:spacing w:val="-3"/>
                <w:w w:val="120"/>
                <w:sz w:val="20"/>
              </w:rPr>
              <w:t>unions</w:t>
            </w:r>
            <w:r>
              <w:rPr>
                <w:spacing w:val="-7"/>
                <w:w w:val="120"/>
                <w:sz w:val="20"/>
              </w:rPr>
              <w:t> </w:t>
            </w:r>
            <w:r>
              <w:rPr>
                <w:spacing w:val="-3"/>
                <w:w w:val="120"/>
                <w:sz w:val="20"/>
              </w:rPr>
              <w:t>allowed</w:t>
            </w:r>
            <w:r>
              <w:rPr>
                <w:spacing w:val="-6"/>
                <w:w w:val="120"/>
                <w:sz w:val="20"/>
              </w:rPr>
              <w:t> </w:t>
            </w:r>
            <w:r>
              <w:rPr>
                <w:w w:val="120"/>
                <w:sz w:val="20"/>
              </w:rPr>
              <w:t>the</w:t>
            </w:r>
            <w:r>
              <w:rPr>
                <w:spacing w:val="-7"/>
                <w:w w:val="120"/>
                <w:sz w:val="20"/>
              </w:rPr>
              <w:t> </w:t>
            </w:r>
            <w:r>
              <w:rPr>
                <w:w w:val="120"/>
                <w:sz w:val="20"/>
              </w:rPr>
              <w:t>General</w:t>
            </w:r>
            <w:r>
              <w:rPr>
                <w:spacing w:val="-7"/>
                <w:w w:val="120"/>
                <w:sz w:val="20"/>
              </w:rPr>
              <w:t> </w:t>
            </w:r>
            <w:r>
              <w:rPr>
                <w:w w:val="120"/>
                <w:sz w:val="20"/>
              </w:rPr>
              <w:t>Assembly</w:t>
            </w:r>
            <w:r>
              <w:rPr>
                <w:spacing w:val="-6"/>
                <w:w w:val="120"/>
                <w:sz w:val="20"/>
              </w:rPr>
              <w:t> </w:t>
            </w:r>
            <w:r>
              <w:rPr>
                <w:spacing w:val="-3"/>
                <w:w w:val="120"/>
                <w:sz w:val="20"/>
              </w:rPr>
              <w:t>to</w:t>
            </w:r>
            <w:r>
              <w:rPr>
                <w:spacing w:val="-7"/>
                <w:w w:val="120"/>
                <w:sz w:val="20"/>
              </w:rPr>
              <w:t> </w:t>
            </w:r>
            <w:r>
              <w:rPr>
                <w:w w:val="120"/>
                <w:sz w:val="20"/>
              </w:rPr>
              <w:t>determine </w:t>
            </w:r>
            <w:r>
              <w:rPr>
                <w:spacing w:val="-2"/>
                <w:w w:val="120"/>
                <w:sz w:val="20"/>
              </w:rPr>
              <w:t>organs </w:t>
            </w:r>
            <w:r>
              <w:rPr>
                <w:w w:val="120"/>
                <w:sz w:val="20"/>
              </w:rPr>
              <w:t>or officers of the </w:t>
            </w:r>
            <w:r>
              <w:rPr>
                <w:spacing w:val="-3"/>
                <w:w w:val="120"/>
                <w:sz w:val="20"/>
              </w:rPr>
              <w:t>United </w:t>
            </w:r>
            <w:r>
              <w:rPr>
                <w:w w:val="120"/>
                <w:sz w:val="20"/>
              </w:rPr>
              <w:t>Reformed </w:t>
            </w:r>
            <w:r>
              <w:rPr>
                <w:spacing w:val="-3"/>
                <w:w w:val="120"/>
                <w:sz w:val="20"/>
              </w:rPr>
              <w:t>Church </w:t>
            </w:r>
            <w:r>
              <w:rPr>
                <w:w w:val="120"/>
                <w:sz w:val="20"/>
              </w:rPr>
              <w:t>which were </w:t>
            </w:r>
            <w:r>
              <w:rPr>
                <w:spacing w:val="-3"/>
                <w:w w:val="120"/>
                <w:sz w:val="20"/>
              </w:rPr>
              <w:t>to </w:t>
            </w:r>
            <w:r>
              <w:rPr>
                <w:w w:val="120"/>
                <w:sz w:val="20"/>
              </w:rPr>
              <w:t>‘inherit’ </w:t>
            </w:r>
            <w:r>
              <w:rPr>
                <w:spacing w:val="-3"/>
                <w:w w:val="120"/>
                <w:sz w:val="20"/>
              </w:rPr>
              <w:t>such </w:t>
            </w:r>
            <w:r>
              <w:rPr>
                <w:w w:val="120"/>
                <w:sz w:val="20"/>
              </w:rPr>
              <w:t>powers, but </w:t>
            </w:r>
            <w:r>
              <w:rPr>
                <w:spacing w:val="-3"/>
                <w:w w:val="120"/>
                <w:sz w:val="20"/>
              </w:rPr>
              <w:t>this </w:t>
            </w:r>
            <w:r>
              <w:rPr>
                <w:w w:val="120"/>
                <w:sz w:val="20"/>
              </w:rPr>
              <w:t>has never been</w:t>
            </w:r>
            <w:r>
              <w:rPr>
                <w:spacing w:val="-16"/>
                <w:w w:val="120"/>
                <w:sz w:val="20"/>
              </w:rPr>
              <w:t> </w:t>
            </w:r>
            <w:r>
              <w:rPr>
                <w:w w:val="120"/>
                <w:sz w:val="20"/>
              </w:rPr>
              <w:t>done.</w:t>
            </w:r>
          </w:p>
        </w:tc>
      </w:tr>
      <w:tr>
        <w:trPr>
          <w:trHeight w:val="680" w:hRule="atLeast"/>
        </w:trPr>
        <w:tc>
          <w:tcPr>
            <w:tcW w:w="317" w:type="dxa"/>
            <w:vMerge/>
            <w:tcBorders>
              <w:top w:val="nil"/>
              <w:left w:val="nil"/>
              <w:bottom w:val="nil"/>
            </w:tcBorders>
            <w:shd w:val="clear" w:color="auto" w:fill="FFEDC2"/>
          </w:tcPr>
          <w:p>
            <w:pPr>
              <w:rPr>
                <w:sz w:val="2"/>
                <w:szCs w:val="2"/>
              </w:rPr>
            </w:pPr>
          </w:p>
        </w:tc>
        <w:tc>
          <w:tcPr>
            <w:tcW w:w="2660" w:type="dxa"/>
            <w:shd w:val="clear" w:color="auto" w:fill="FFFFFF"/>
          </w:tcPr>
          <w:p>
            <w:pPr>
              <w:pStyle w:val="TableParagraph"/>
              <w:spacing w:line="213" w:lineRule="auto" w:before="133"/>
              <w:ind w:left="74" w:right="707"/>
              <w:rPr>
                <w:rFonts w:ascii="Stone Sans II ITC Std Bk"/>
                <w:b/>
                <w:sz w:val="20"/>
              </w:rPr>
            </w:pPr>
            <w:r>
              <w:rPr>
                <w:rFonts w:ascii="Stone Sans II ITC Std Bk"/>
                <w:b/>
                <w:w w:val="110"/>
                <w:sz w:val="20"/>
              </w:rPr>
              <w:t>Previous relevant documents</w:t>
            </w:r>
          </w:p>
        </w:tc>
        <w:tc>
          <w:tcPr>
            <w:tcW w:w="6463" w:type="dxa"/>
            <w:tcBorders>
              <w:right w:val="nil"/>
            </w:tcBorders>
            <w:shd w:val="clear" w:color="auto" w:fill="FFFFFF"/>
          </w:tcPr>
          <w:p>
            <w:pPr>
              <w:pStyle w:val="TableParagraph"/>
              <w:spacing w:before="123"/>
              <w:ind w:left="74"/>
              <w:rPr>
                <w:sz w:val="20"/>
              </w:rPr>
            </w:pPr>
            <w:r>
              <w:rPr>
                <w:w w:val="120"/>
                <w:sz w:val="20"/>
              </w:rPr>
              <w:t>The 1972 and 1981 United Reformed Church Acts</w:t>
            </w:r>
          </w:p>
        </w:tc>
      </w:tr>
      <w:tr>
        <w:trPr>
          <w:trHeight w:val="991" w:hRule="atLeast"/>
        </w:trPr>
        <w:tc>
          <w:tcPr>
            <w:tcW w:w="9440" w:type="dxa"/>
            <w:gridSpan w:val="3"/>
            <w:tcBorders>
              <w:top w:val="nil"/>
              <w:left w:val="nil"/>
              <w:bottom w:val="nil"/>
              <w:right w:val="nil"/>
            </w:tcBorders>
            <w:shd w:val="clear" w:color="auto" w:fill="FFEDC2"/>
          </w:tcPr>
          <w:p>
            <w:pPr>
              <w:pStyle w:val="TableParagraph"/>
              <w:spacing w:before="123"/>
              <w:ind w:left="311"/>
              <w:rPr>
                <w:sz w:val="23"/>
              </w:rPr>
            </w:pPr>
            <w:r>
              <w:rPr>
                <w:rFonts w:ascii="Stone Sans II ITC Std X Bd" w:hAnsi="Stone Sans II ITC Std X Bd"/>
                <w:b/>
                <w:w w:val="110"/>
                <w:sz w:val="24"/>
              </w:rPr>
              <w:t>44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c>
      </w:tr>
    </w:tbl>
    <w:p>
      <w:pPr>
        <w:rPr>
          <w:sz w:val="2"/>
          <w:szCs w:val="2"/>
        </w:rPr>
      </w:pPr>
      <w:r>
        <w:rPr/>
        <w:pict>
          <v:rect style="position:absolute;margin-left:594.374023pt;margin-top:.000015pt;width:.901pt;height:841.89pt;mso-position-horizontal-relative:page;mso-position-vertical-relative:page;z-index:251791360" filled="true" fillcolor="#ffedc2" stroked="false">
            <v:fill type="solid"/>
            <w10:wrap type="none"/>
          </v:rect>
        </w:pict>
      </w:r>
      <w:r>
        <w:rPr/>
        <w:drawing>
          <wp:anchor distT="0" distB="0" distL="0" distR="0" allowOverlap="1" layoutInCell="1" locked="0" behindDoc="0" simplePos="0" relativeHeight="251792384">
            <wp:simplePos x="0" y="0"/>
            <wp:positionH relativeFrom="page">
              <wp:posOffset>0</wp:posOffset>
            </wp:positionH>
            <wp:positionV relativeFrom="page">
              <wp:posOffset>0</wp:posOffset>
            </wp:positionV>
            <wp:extent cx="594067" cy="10692003"/>
            <wp:effectExtent l="0" t="0" r="0" b="0"/>
            <wp:wrapNone/>
            <wp:docPr id="81" name="image24.png"/>
            <wp:cNvGraphicFramePr>
              <a:graphicFrameLocks noChangeAspect="1"/>
            </wp:cNvGraphicFramePr>
            <a:graphic>
              <a:graphicData uri="http://schemas.openxmlformats.org/drawingml/2006/picture">
                <pic:pic>
                  <pic:nvPicPr>
                    <pic:cNvPr id="82" name="image24.png"/>
                    <pic:cNvPicPr/>
                  </pic:nvPicPr>
                  <pic:blipFill>
                    <a:blip r:embed="rId90"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267.5pt;mso-position-horizontal-relative:page;mso-position-vertical-relative:page;z-index:251793408" type="#_x0000_t202" filled="false" stroked="false">
            <v:textbox inset="0,0,0,0" style="layout-flow:vertical">
              <w:txbxContent>
                <w:p>
                  <w:pPr>
                    <w:spacing w:before="27"/>
                    <w:ind w:left="20" w:right="0" w:firstLine="0"/>
                    <w:jc w:val="left"/>
                    <w:rPr>
                      <w:sz w:val="39"/>
                    </w:rPr>
                  </w:pPr>
                  <w:r>
                    <w:rPr>
                      <w:color w:val="FFFFFF"/>
                      <w:spacing w:val="5"/>
                      <w:w w:val="120"/>
                      <w:sz w:val="39"/>
                    </w:rPr>
                    <w:t>Powers in </w:t>
                  </w:r>
                  <w:r>
                    <w:rPr>
                      <w:color w:val="FFFFFF"/>
                      <w:spacing w:val="9"/>
                      <w:w w:val="120"/>
                      <w:sz w:val="39"/>
                    </w:rPr>
                    <w:t>pre-union</w:t>
                  </w:r>
                  <w:r>
                    <w:rPr>
                      <w:color w:val="FFFFFF"/>
                      <w:spacing w:val="68"/>
                      <w:w w:val="120"/>
                      <w:sz w:val="39"/>
                    </w:rPr>
                    <w:t> </w:t>
                  </w:r>
                  <w:r>
                    <w:rPr>
                      <w:color w:val="FFFFFF"/>
                      <w:spacing w:val="11"/>
                      <w:w w:val="120"/>
                      <w:sz w:val="39"/>
                    </w:rPr>
                    <w:t>trusts</w:t>
                  </w:r>
                </w:p>
              </w:txbxContent>
            </v:textbox>
            <w10:wrap type="none"/>
          </v:shape>
        </w:pict>
      </w:r>
    </w:p>
    <w:p>
      <w:pPr>
        <w:spacing w:after="0"/>
        <w:rPr>
          <w:sz w:val="2"/>
          <w:szCs w:val="2"/>
        </w:rPr>
        <w:sectPr>
          <w:headerReference w:type="even" r:id="rId109"/>
          <w:footerReference w:type="even" r:id="rId110"/>
          <w:pgSz w:w="11910" w:h="16840"/>
          <w:pgMar w:header="0" w:footer="0" w:top="0" w:bottom="0" w:left="0" w:right="0"/>
        </w:sectPr>
      </w:pPr>
    </w:p>
    <w:p>
      <w:pPr>
        <w:spacing w:before="82"/>
        <w:ind w:left="0" w:right="1245" w:firstLine="0"/>
        <w:jc w:val="right"/>
        <w:rPr>
          <w:sz w:val="26"/>
        </w:rPr>
      </w:pPr>
      <w:r>
        <w:rPr/>
        <w:pict>
          <v:group style="position:absolute;margin-left:0pt;margin-top:.000015pt;width:595.3pt;height:841.9pt;mso-position-horizontal-relative:page;mso-position-vertical-relative:page;z-index:-267482112" coordorigin="0,0" coordsize="11906,16838">
            <v:rect style="position:absolute;left:0;top:0;width:10985;height:3841" filled="true" fillcolor="#ffedc2" stroked="false">
              <v:fill type="solid"/>
            </v:rect>
            <v:shape style="position:absolute;left:10984;top:0;width:922;height:16838" type="#_x0000_t75" stroked="false">
              <v:imagedata r:id="rId10" o:title=""/>
            </v:shape>
            <w10:wrap type="none"/>
          </v:group>
        </w:pict>
      </w:r>
      <w:r>
        <w:rPr/>
        <w:pict>
          <v:shape style="position:absolute;margin-left:554.141174pt;margin-top:19.976648pt;width:25.9pt;height:267.5pt;mso-position-horizontal-relative:page;mso-position-vertical-relative:paragraph;z-index:251795456" type="#_x0000_t202" filled="false" stroked="false">
            <v:textbox inset="0,0,0,0" style="layout-flow:vertical">
              <w:txbxContent>
                <w:p>
                  <w:pPr>
                    <w:spacing w:before="27"/>
                    <w:ind w:left="20" w:right="0" w:firstLine="0"/>
                    <w:jc w:val="left"/>
                    <w:rPr>
                      <w:sz w:val="39"/>
                    </w:rPr>
                  </w:pPr>
                  <w:r>
                    <w:rPr>
                      <w:color w:val="FFFFFF"/>
                      <w:spacing w:val="5"/>
                      <w:w w:val="120"/>
                      <w:sz w:val="39"/>
                    </w:rPr>
                    <w:t>Powers in </w:t>
                  </w:r>
                  <w:r>
                    <w:rPr>
                      <w:color w:val="FFFFFF"/>
                      <w:spacing w:val="9"/>
                      <w:w w:val="120"/>
                      <w:sz w:val="39"/>
                    </w:rPr>
                    <w:t>pre-union</w:t>
                  </w:r>
                  <w:r>
                    <w:rPr>
                      <w:color w:val="FFFFFF"/>
                      <w:spacing w:val="68"/>
                      <w:w w:val="120"/>
                      <w:sz w:val="39"/>
                    </w:rPr>
                    <w:t> </w:t>
                  </w:r>
                  <w:r>
                    <w:rPr>
                      <w:color w:val="FFFFFF"/>
                      <w:spacing w:val="11"/>
                      <w:w w:val="120"/>
                      <w:sz w:val="39"/>
                    </w:rPr>
                    <w:t>trusts</w:t>
                  </w:r>
                </w:p>
              </w:txbxContent>
            </v:textbox>
            <w10:wrap type="none"/>
          </v:shape>
        </w:pict>
      </w:r>
      <w:r>
        <w:rPr>
          <w:color w:val="7EAABF"/>
          <w:w w:val="120"/>
          <w:sz w:val="26"/>
        </w:rPr>
        <w:t>Mission Council</w:t>
      </w:r>
    </w:p>
    <w:p>
      <w:pPr>
        <w:pStyle w:val="BodyText"/>
        <w:spacing w:before="7" w:after="1"/>
        <w:rPr>
          <w:sz w:val="18"/>
        </w:rPr>
      </w:pPr>
    </w:p>
    <w:tbl>
      <w:tblPr>
        <w:tblW w:w="0" w:type="auto"/>
        <w:jc w:val="left"/>
        <w:tblInd w:w="19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335"/>
      </w:tblGrid>
      <w:tr>
        <w:trPr>
          <w:trHeight w:val="680" w:hRule="atLeast"/>
        </w:trPr>
        <w:tc>
          <w:tcPr>
            <w:tcW w:w="2660" w:type="dxa"/>
            <w:shd w:val="clear" w:color="auto" w:fill="FFFFFF"/>
          </w:tcPr>
          <w:p>
            <w:pPr>
              <w:pStyle w:val="TableParagraph"/>
              <w:spacing w:line="213" w:lineRule="auto" w:before="151"/>
              <w:ind w:right="104"/>
              <w:rPr>
                <w:rFonts w:ascii="Stone Sans II ITC Std Bk"/>
                <w:b/>
                <w:sz w:val="20"/>
              </w:rPr>
            </w:pPr>
            <w:r>
              <w:rPr>
                <w:rFonts w:ascii="Stone Sans II ITC Std Bk"/>
                <w:b/>
                <w:w w:val="110"/>
                <w:sz w:val="20"/>
              </w:rPr>
              <w:t>Consultation has taken place with...</w:t>
            </w:r>
          </w:p>
        </w:tc>
        <w:tc>
          <w:tcPr>
            <w:tcW w:w="6335" w:type="dxa"/>
            <w:tcBorders>
              <w:right w:val="nil"/>
            </w:tcBorders>
            <w:shd w:val="clear" w:color="auto" w:fill="FFFFFF"/>
          </w:tcPr>
          <w:p>
            <w:pPr>
              <w:pStyle w:val="TableParagraph"/>
              <w:spacing w:before="141"/>
              <w:rPr>
                <w:sz w:val="20"/>
              </w:rPr>
            </w:pPr>
            <w:r>
              <w:rPr>
                <w:w w:val="120"/>
                <w:sz w:val="20"/>
              </w:rPr>
              <w:t>N/A</w:t>
            </w:r>
          </w:p>
        </w:tc>
      </w:tr>
    </w:tbl>
    <w:p>
      <w:pPr>
        <w:pStyle w:val="BodyText"/>
        <w:spacing w:before="209" w:after="27"/>
        <w:ind w:left="1984"/>
      </w:pPr>
      <w:r>
        <w:rPr>
          <w:w w:val="120"/>
        </w:rPr>
        <w:t>Summary of Impact</w:t>
      </w:r>
    </w:p>
    <w:tbl>
      <w:tblPr>
        <w:tblW w:w="0" w:type="auto"/>
        <w:jc w:val="left"/>
        <w:tblInd w:w="19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335"/>
      </w:tblGrid>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335" w:type="dxa"/>
            <w:tcBorders>
              <w:right w:val="nil"/>
            </w:tcBorders>
            <w:shd w:val="clear" w:color="auto" w:fill="FFFFFF"/>
          </w:tcPr>
          <w:p>
            <w:pPr>
              <w:pStyle w:val="TableParagraph"/>
              <w:spacing w:before="141"/>
              <w:rPr>
                <w:sz w:val="20"/>
              </w:rPr>
            </w:pPr>
            <w:r>
              <w:rPr>
                <w:w w:val="120"/>
                <w:sz w:val="20"/>
              </w:rPr>
              <w:t>None</w:t>
            </w:r>
          </w:p>
        </w:tc>
      </w:tr>
      <w:tr>
        <w:trPr>
          <w:trHeight w:val="68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335" w:type="dxa"/>
            <w:tcBorders>
              <w:right w:val="nil"/>
            </w:tcBorders>
            <w:shd w:val="clear" w:color="auto" w:fill="FFFFFF"/>
          </w:tcPr>
          <w:p>
            <w:pPr>
              <w:pStyle w:val="TableParagraph"/>
              <w:spacing w:before="141"/>
              <w:rPr>
                <w:sz w:val="20"/>
              </w:rPr>
            </w:pPr>
            <w:r>
              <w:rPr>
                <w:w w:val="120"/>
                <w:sz w:val="20"/>
              </w:rPr>
              <w:t>None</w:t>
            </w:r>
          </w:p>
        </w:tc>
      </w:tr>
    </w:tbl>
    <w:p>
      <w:pPr>
        <w:pStyle w:val="BodyText"/>
        <w:spacing w:before="3"/>
        <w:rPr>
          <w:sz w:val="28"/>
        </w:rPr>
      </w:pPr>
    </w:p>
    <w:tbl>
      <w:tblPr>
        <w:tblW w:w="0" w:type="auto"/>
        <w:jc w:val="left"/>
        <w:tblInd w:w="19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322"/>
        <w:gridCol w:w="4423"/>
      </w:tblGrid>
      <w:tr>
        <w:trPr>
          <w:trHeight w:val="368" w:hRule="atLeast"/>
        </w:trPr>
        <w:tc>
          <w:tcPr>
            <w:tcW w:w="4322" w:type="dxa"/>
            <w:tcBorders>
              <w:top w:val="nil"/>
              <w:left w:val="nil"/>
              <w:bottom w:val="nil"/>
              <w:right w:val="nil"/>
            </w:tcBorders>
            <w:shd w:val="clear" w:color="auto" w:fill="000000"/>
          </w:tcPr>
          <w:p>
            <w:pPr>
              <w:pStyle w:val="TableParagraph"/>
              <w:spacing w:line="248" w:lineRule="exact" w:before="100"/>
              <w:ind w:left="1651" w:right="1646"/>
              <w:jc w:val="center"/>
              <w:rPr>
                <w:rFonts w:ascii="Stone Sans II ITC Std Bk"/>
                <w:b/>
                <w:sz w:val="19"/>
              </w:rPr>
            </w:pPr>
            <w:r>
              <w:rPr>
                <w:rFonts w:ascii="Stone Sans II ITC Std Bk"/>
                <w:b/>
                <w:color w:val="FFFFFF"/>
                <w:w w:val="110"/>
                <w:sz w:val="19"/>
              </w:rPr>
              <w:t>Column 1</w:t>
            </w:r>
          </w:p>
        </w:tc>
        <w:tc>
          <w:tcPr>
            <w:tcW w:w="4423" w:type="dxa"/>
            <w:tcBorders>
              <w:top w:val="nil"/>
              <w:left w:val="nil"/>
              <w:bottom w:val="nil"/>
              <w:right w:val="nil"/>
            </w:tcBorders>
            <w:shd w:val="clear" w:color="auto" w:fill="000000"/>
          </w:tcPr>
          <w:p>
            <w:pPr>
              <w:pStyle w:val="TableParagraph"/>
              <w:spacing w:line="248" w:lineRule="exact" w:before="100"/>
              <w:ind w:left="1702" w:right="1696"/>
              <w:jc w:val="center"/>
              <w:rPr>
                <w:rFonts w:ascii="Stone Sans II ITC Std Bk"/>
                <w:b/>
                <w:sz w:val="19"/>
              </w:rPr>
            </w:pPr>
            <w:r>
              <w:rPr>
                <w:rFonts w:ascii="Stone Sans II ITC Std Bk"/>
                <w:b/>
                <w:color w:val="FFFFFF"/>
                <w:w w:val="110"/>
                <w:sz w:val="19"/>
              </w:rPr>
              <w:t>Column 2</w:t>
            </w:r>
          </w:p>
        </w:tc>
      </w:tr>
      <w:tr>
        <w:trPr>
          <w:trHeight w:val="623" w:hRule="atLeast"/>
        </w:trPr>
        <w:tc>
          <w:tcPr>
            <w:tcW w:w="4322" w:type="dxa"/>
          </w:tcPr>
          <w:p>
            <w:pPr>
              <w:pStyle w:val="TableParagraph"/>
              <w:spacing w:line="260" w:lineRule="atLeast" w:before="92"/>
              <w:ind w:left="494" w:right="486" w:firstLine="421"/>
              <w:rPr>
                <w:rFonts w:ascii="Stone Sans II ITC Std Bk"/>
                <w:b/>
                <w:sz w:val="19"/>
              </w:rPr>
            </w:pPr>
            <w:r>
              <w:rPr>
                <w:rFonts w:ascii="Stone Sans II ITC Std Bk"/>
                <w:b/>
                <w:w w:val="110"/>
                <w:sz w:val="19"/>
              </w:rPr>
              <w:t>Power vested before the date of formation/unification in:</w:t>
            </w:r>
          </w:p>
        </w:tc>
        <w:tc>
          <w:tcPr>
            <w:tcW w:w="4423" w:type="dxa"/>
          </w:tcPr>
          <w:p>
            <w:pPr>
              <w:pStyle w:val="TableParagraph"/>
              <w:spacing w:before="95"/>
              <w:ind w:left="1675" w:right="1669"/>
              <w:jc w:val="center"/>
              <w:rPr>
                <w:rFonts w:ascii="Stone Sans II ITC Std Bk"/>
                <w:b/>
                <w:sz w:val="19"/>
              </w:rPr>
            </w:pPr>
            <w:r>
              <w:rPr>
                <w:rFonts w:ascii="Stone Sans II ITC Std Bk"/>
                <w:b/>
                <w:w w:val="110"/>
                <w:sz w:val="19"/>
              </w:rPr>
              <w:t>To vest in:</w:t>
            </w:r>
          </w:p>
        </w:tc>
      </w:tr>
      <w:tr>
        <w:trPr>
          <w:trHeight w:val="883" w:hRule="atLeast"/>
        </w:trPr>
        <w:tc>
          <w:tcPr>
            <w:tcW w:w="4322" w:type="dxa"/>
          </w:tcPr>
          <w:p>
            <w:pPr>
              <w:pStyle w:val="TableParagraph"/>
              <w:spacing w:line="260" w:lineRule="atLeast" w:before="79"/>
              <w:ind w:right="345"/>
              <w:rPr>
                <w:sz w:val="19"/>
              </w:rPr>
            </w:pPr>
            <w:r>
              <w:rPr>
                <w:w w:val="120"/>
                <w:sz w:val="19"/>
              </w:rPr>
              <w:t>The Session, Diaconate, Deacons’ Court, Committee of Management or Board of Managers of a uniting congregation.</w:t>
            </w:r>
          </w:p>
        </w:tc>
        <w:tc>
          <w:tcPr>
            <w:tcW w:w="4423" w:type="dxa"/>
            <w:vMerge w:val="restart"/>
          </w:tcPr>
          <w:p>
            <w:pPr>
              <w:pStyle w:val="TableParagraph"/>
              <w:spacing w:line="268" w:lineRule="auto" w:before="107"/>
              <w:ind w:left="75" w:right="282"/>
              <w:rPr>
                <w:sz w:val="19"/>
              </w:rPr>
            </w:pPr>
            <w:r>
              <w:rPr>
                <w:w w:val="120"/>
                <w:sz w:val="19"/>
              </w:rPr>
              <w:t>The church meeting of the corresponding local church, or of any local church formed by its union with other  local  churches since the date of formation; </w:t>
            </w:r>
            <w:r>
              <w:rPr>
                <w:spacing w:val="-4"/>
                <w:w w:val="120"/>
                <w:sz w:val="19"/>
              </w:rPr>
              <w:t>or, </w:t>
            </w:r>
            <w:r>
              <w:rPr>
                <w:w w:val="120"/>
                <w:sz w:val="19"/>
              </w:rPr>
              <w:t>if the local church has ceased to exist since the date of formation, the synod on which it was last represented.</w:t>
            </w:r>
          </w:p>
        </w:tc>
      </w:tr>
      <w:tr>
        <w:trPr>
          <w:trHeight w:val="1290" w:hRule="atLeast"/>
        </w:trPr>
        <w:tc>
          <w:tcPr>
            <w:tcW w:w="4322" w:type="dxa"/>
          </w:tcPr>
          <w:p>
            <w:pPr>
              <w:pStyle w:val="TableParagraph"/>
              <w:spacing w:line="268" w:lineRule="auto" w:before="107"/>
              <w:ind w:right="486"/>
              <w:rPr>
                <w:sz w:val="19"/>
              </w:rPr>
            </w:pPr>
            <w:r>
              <w:rPr>
                <w:w w:val="120"/>
                <w:sz w:val="19"/>
              </w:rPr>
              <w:t>The members or deacons of a uniting church.</w:t>
            </w:r>
          </w:p>
        </w:tc>
        <w:tc>
          <w:tcPr>
            <w:tcW w:w="4423" w:type="dxa"/>
            <w:vMerge/>
            <w:tcBorders>
              <w:top w:val="nil"/>
            </w:tcBorders>
          </w:tcPr>
          <w:p>
            <w:pPr>
              <w:rPr>
                <w:sz w:val="2"/>
                <w:szCs w:val="2"/>
              </w:rPr>
            </w:pPr>
          </w:p>
        </w:tc>
      </w:tr>
      <w:tr>
        <w:trPr>
          <w:trHeight w:val="2443" w:hRule="atLeast"/>
        </w:trPr>
        <w:tc>
          <w:tcPr>
            <w:tcW w:w="4322" w:type="dxa"/>
          </w:tcPr>
          <w:p>
            <w:pPr>
              <w:pStyle w:val="TableParagraph"/>
              <w:spacing w:line="268" w:lineRule="auto" w:before="107"/>
              <w:ind w:right="345"/>
              <w:rPr>
                <w:sz w:val="19"/>
              </w:rPr>
            </w:pPr>
            <w:r>
              <w:rPr>
                <w:w w:val="120"/>
                <w:sz w:val="19"/>
              </w:rPr>
              <w:t>A presbytery of the Presbyterian Church of England, defined in the relevant trust</w:t>
            </w:r>
          </w:p>
          <w:p>
            <w:pPr>
              <w:pStyle w:val="TableParagraph"/>
              <w:spacing w:line="268" w:lineRule="auto"/>
              <w:rPr>
                <w:sz w:val="19"/>
              </w:rPr>
            </w:pPr>
            <w:r>
              <w:rPr>
                <w:w w:val="120"/>
                <w:sz w:val="19"/>
              </w:rPr>
              <w:t>instrument by jurisdiction over a particular uniting congregation.</w:t>
            </w:r>
          </w:p>
        </w:tc>
        <w:tc>
          <w:tcPr>
            <w:tcW w:w="4423" w:type="dxa"/>
          </w:tcPr>
          <w:p>
            <w:pPr>
              <w:pStyle w:val="TableParagraph"/>
              <w:spacing w:line="268" w:lineRule="auto" w:before="107"/>
              <w:ind w:left="75" w:right="133"/>
              <w:rPr>
                <w:sz w:val="19"/>
              </w:rPr>
            </w:pPr>
            <w:r>
              <w:rPr>
                <w:w w:val="120"/>
                <w:sz w:val="19"/>
              </w:rPr>
              <w:t>The synod on which the local church corresponding to that uniting congregation, or any local church formed by its union</w:t>
            </w:r>
          </w:p>
          <w:p>
            <w:pPr>
              <w:pStyle w:val="TableParagraph"/>
              <w:spacing w:line="268" w:lineRule="auto" w:before="1"/>
              <w:ind w:left="75" w:right="133"/>
              <w:rPr>
                <w:sz w:val="19"/>
              </w:rPr>
            </w:pPr>
            <w:r>
              <w:rPr>
                <w:w w:val="120"/>
                <w:sz w:val="19"/>
              </w:rPr>
              <w:t>with other local churches since the date of formation, is for the time being represented; </w:t>
            </w:r>
            <w:r>
              <w:rPr>
                <w:spacing w:val="-4"/>
                <w:w w:val="120"/>
                <w:sz w:val="19"/>
              </w:rPr>
              <w:t>or, </w:t>
            </w:r>
            <w:r>
              <w:rPr>
                <w:w w:val="120"/>
                <w:sz w:val="19"/>
              </w:rPr>
              <w:t>if the local church has ceased to exist since the date of formation, the synod on which it was last</w:t>
            </w:r>
            <w:r>
              <w:rPr>
                <w:spacing w:val="10"/>
                <w:w w:val="120"/>
                <w:sz w:val="19"/>
              </w:rPr>
              <w:t> </w:t>
            </w:r>
            <w:r>
              <w:rPr>
                <w:w w:val="120"/>
                <w:sz w:val="19"/>
              </w:rPr>
              <w:t>represented.</w:t>
            </w:r>
          </w:p>
        </w:tc>
      </w:tr>
      <w:tr>
        <w:trPr>
          <w:trHeight w:val="2183" w:hRule="atLeast"/>
        </w:trPr>
        <w:tc>
          <w:tcPr>
            <w:tcW w:w="4322" w:type="dxa"/>
          </w:tcPr>
          <w:p>
            <w:pPr>
              <w:pStyle w:val="TableParagraph"/>
              <w:spacing w:line="268" w:lineRule="auto" w:before="107"/>
              <w:ind w:right="443"/>
              <w:jc w:val="both"/>
              <w:rPr>
                <w:sz w:val="19"/>
              </w:rPr>
            </w:pPr>
            <w:r>
              <w:rPr>
                <w:w w:val="120"/>
                <w:sz w:val="19"/>
              </w:rPr>
              <w:t>A presbytery of the Presbyterian Church of England, defined in the relevant trust instrument only by geographical name.</w:t>
            </w:r>
          </w:p>
        </w:tc>
        <w:tc>
          <w:tcPr>
            <w:tcW w:w="4423" w:type="dxa"/>
          </w:tcPr>
          <w:p>
            <w:pPr>
              <w:pStyle w:val="TableParagraph"/>
              <w:spacing w:line="268" w:lineRule="auto" w:before="107"/>
              <w:ind w:left="75" w:right="167"/>
              <w:rPr>
                <w:sz w:val="19"/>
              </w:rPr>
            </w:pPr>
            <w:r>
              <w:rPr>
                <w:w w:val="120"/>
                <w:sz w:val="19"/>
              </w:rPr>
              <w:t>The synod of the current province or nation of the United Reformed Church within which the bounds of the former presbytery </w:t>
            </w:r>
            <w:r>
              <w:rPr>
                <w:spacing w:val="-5"/>
                <w:w w:val="120"/>
                <w:sz w:val="19"/>
              </w:rPr>
              <w:t>(or </w:t>
            </w:r>
            <w:r>
              <w:rPr>
                <w:w w:val="120"/>
                <w:sz w:val="19"/>
              </w:rPr>
              <w:t>the greater </w:t>
            </w:r>
            <w:r>
              <w:rPr>
                <w:spacing w:val="2"/>
                <w:w w:val="120"/>
                <w:sz w:val="19"/>
              </w:rPr>
              <w:t>part </w:t>
            </w:r>
            <w:r>
              <w:rPr>
                <w:w w:val="120"/>
                <w:sz w:val="19"/>
              </w:rPr>
              <w:t>thereof) lay; to be determined  in case of doubt by a ruling of a moderator   of the Assembly on the advice of the clerk, which shall be</w:t>
            </w:r>
            <w:r>
              <w:rPr>
                <w:spacing w:val="8"/>
                <w:w w:val="120"/>
                <w:sz w:val="19"/>
              </w:rPr>
              <w:t> </w:t>
            </w:r>
            <w:r>
              <w:rPr>
                <w:w w:val="120"/>
                <w:sz w:val="19"/>
              </w:rPr>
              <w:t>final.</w:t>
            </w:r>
          </w:p>
        </w:tc>
      </w:tr>
      <w:tr>
        <w:trPr>
          <w:trHeight w:val="1923" w:hRule="atLeast"/>
        </w:trPr>
        <w:tc>
          <w:tcPr>
            <w:tcW w:w="4322" w:type="dxa"/>
          </w:tcPr>
          <w:p>
            <w:pPr>
              <w:pStyle w:val="TableParagraph"/>
              <w:spacing w:before="107"/>
              <w:rPr>
                <w:sz w:val="19"/>
              </w:rPr>
            </w:pPr>
            <w:r>
              <w:rPr>
                <w:w w:val="120"/>
                <w:sz w:val="19"/>
              </w:rPr>
              <w:t>A county Congregational Union.</w:t>
            </w:r>
          </w:p>
        </w:tc>
        <w:tc>
          <w:tcPr>
            <w:tcW w:w="4423" w:type="dxa"/>
          </w:tcPr>
          <w:p>
            <w:pPr>
              <w:pStyle w:val="TableParagraph"/>
              <w:spacing w:line="268" w:lineRule="auto" w:before="107"/>
              <w:ind w:left="75" w:right="167"/>
              <w:rPr>
                <w:sz w:val="19"/>
              </w:rPr>
            </w:pPr>
            <w:r>
              <w:rPr>
                <w:w w:val="120"/>
                <w:sz w:val="19"/>
              </w:rPr>
              <w:t>The synod of the current province or nation of the United Reformed Church within which the area of the former Union </w:t>
            </w:r>
            <w:r>
              <w:rPr>
                <w:spacing w:val="-5"/>
                <w:w w:val="120"/>
                <w:sz w:val="19"/>
              </w:rPr>
              <w:t>(or </w:t>
            </w:r>
            <w:r>
              <w:rPr>
                <w:w w:val="120"/>
                <w:sz w:val="19"/>
              </w:rPr>
              <w:t>the greater </w:t>
            </w:r>
            <w:r>
              <w:rPr>
                <w:spacing w:val="2"/>
                <w:w w:val="120"/>
                <w:sz w:val="19"/>
              </w:rPr>
              <w:t>part </w:t>
            </w:r>
            <w:r>
              <w:rPr>
                <w:w w:val="120"/>
                <w:sz w:val="19"/>
              </w:rPr>
              <w:t>thereof) lay; to be determined in case   of doubt by a moderator of the Assembly on the advice of the clerk, which shall be</w:t>
            </w:r>
            <w:r>
              <w:rPr>
                <w:spacing w:val="42"/>
                <w:w w:val="120"/>
                <w:sz w:val="19"/>
              </w:rPr>
              <w:t> </w:t>
            </w:r>
            <w:r>
              <w:rPr>
                <w:w w:val="120"/>
                <w:sz w:val="19"/>
              </w:rPr>
              <w:t>final.</w:t>
            </w:r>
          </w:p>
        </w:tc>
      </w:tr>
      <w:tr>
        <w:trPr>
          <w:trHeight w:val="843" w:hRule="atLeast"/>
        </w:trPr>
        <w:tc>
          <w:tcPr>
            <w:tcW w:w="4322" w:type="dxa"/>
          </w:tcPr>
          <w:p>
            <w:pPr>
              <w:pStyle w:val="TableParagraph"/>
              <w:spacing w:line="240" w:lineRule="atLeast" w:before="99"/>
              <w:ind w:right="486"/>
              <w:rPr>
                <w:sz w:val="19"/>
              </w:rPr>
            </w:pPr>
            <w:r>
              <w:rPr>
                <w:w w:val="120"/>
                <w:sz w:val="19"/>
              </w:rPr>
              <w:t>The General Assembly (or, prior to the adoption of that title, the synod) of the Presbyterian Church of England.</w:t>
            </w:r>
          </w:p>
        </w:tc>
        <w:tc>
          <w:tcPr>
            <w:tcW w:w="4423" w:type="dxa"/>
            <w:vMerge w:val="restart"/>
          </w:tcPr>
          <w:p>
            <w:pPr>
              <w:pStyle w:val="TableParagraph"/>
              <w:ind w:left="0"/>
              <w:rPr>
                <w:sz w:val="22"/>
              </w:rPr>
            </w:pPr>
          </w:p>
          <w:p>
            <w:pPr>
              <w:pStyle w:val="TableParagraph"/>
              <w:spacing w:before="1"/>
              <w:ind w:left="0"/>
              <w:rPr>
                <w:sz w:val="26"/>
              </w:rPr>
            </w:pPr>
          </w:p>
          <w:p>
            <w:pPr>
              <w:pStyle w:val="TableParagraph"/>
              <w:spacing w:line="247" w:lineRule="auto"/>
              <w:ind w:left="75" w:right="321"/>
              <w:rPr>
                <w:sz w:val="19"/>
              </w:rPr>
            </w:pPr>
            <w:r>
              <w:rPr>
                <w:w w:val="120"/>
                <w:sz w:val="19"/>
              </w:rPr>
              <w:t>Mission Council </w:t>
            </w:r>
            <w:r>
              <w:rPr>
                <w:spacing w:val="-5"/>
                <w:w w:val="120"/>
                <w:sz w:val="19"/>
              </w:rPr>
              <w:t>(or </w:t>
            </w:r>
            <w:r>
              <w:rPr>
                <w:w w:val="120"/>
                <w:sz w:val="19"/>
              </w:rPr>
              <w:t>the General Assembly if, whilst in session, it </w:t>
            </w:r>
            <w:r>
              <w:rPr>
                <w:spacing w:val="2"/>
                <w:w w:val="120"/>
                <w:sz w:val="19"/>
              </w:rPr>
              <w:t>elects </w:t>
            </w:r>
            <w:r>
              <w:rPr>
                <w:w w:val="120"/>
                <w:sz w:val="19"/>
              </w:rPr>
              <w:t>to exercise the power).</w:t>
            </w:r>
          </w:p>
        </w:tc>
      </w:tr>
      <w:tr>
        <w:trPr>
          <w:trHeight w:val="843" w:hRule="atLeast"/>
        </w:trPr>
        <w:tc>
          <w:tcPr>
            <w:tcW w:w="4322" w:type="dxa"/>
          </w:tcPr>
          <w:p>
            <w:pPr>
              <w:pStyle w:val="TableParagraph"/>
              <w:spacing w:line="240" w:lineRule="atLeast" w:before="99"/>
              <w:ind w:right="84"/>
              <w:rPr>
                <w:sz w:val="19"/>
              </w:rPr>
            </w:pPr>
            <w:r>
              <w:rPr>
                <w:w w:val="120"/>
                <w:sz w:val="19"/>
              </w:rPr>
              <w:t>The Assembly of the Congregational Union or of the Congregational Church of England and Wales.</w:t>
            </w:r>
          </w:p>
        </w:tc>
        <w:tc>
          <w:tcPr>
            <w:tcW w:w="4423" w:type="dxa"/>
            <w:vMerge/>
            <w:tcBorders>
              <w:top w:val="nil"/>
            </w:tcBorders>
          </w:tcPr>
          <w:p>
            <w:pPr>
              <w:rPr>
                <w:sz w:val="2"/>
                <w:szCs w:val="2"/>
              </w:rPr>
            </w:pPr>
          </w:p>
        </w:tc>
      </w:tr>
      <w:tr>
        <w:trPr>
          <w:trHeight w:val="603" w:hRule="atLeast"/>
        </w:trPr>
        <w:tc>
          <w:tcPr>
            <w:tcW w:w="4322" w:type="dxa"/>
          </w:tcPr>
          <w:p>
            <w:pPr>
              <w:pStyle w:val="TableParagraph"/>
              <w:spacing w:line="240" w:lineRule="atLeast" w:before="99"/>
              <w:ind w:right="345"/>
              <w:rPr>
                <w:sz w:val="19"/>
              </w:rPr>
            </w:pPr>
            <w:r>
              <w:rPr>
                <w:w w:val="120"/>
                <w:sz w:val="19"/>
              </w:rPr>
              <w:t>The Annual Conference of the Re-formed Association of Churches of Christ.</w:t>
            </w:r>
          </w:p>
        </w:tc>
        <w:tc>
          <w:tcPr>
            <w:tcW w:w="4423" w:type="dxa"/>
            <w:vMerge/>
            <w:tcBorders>
              <w:top w:val="nil"/>
            </w:tcBorders>
          </w:tcPr>
          <w:p>
            <w:pPr>
              <w:rPr>
                <w:sz w:val="2"/>
                <w:szCs w:val="2"/>
              </w:rPr>
            </w:pPr>
          </w:p>
        </w:tc>
      </w:tr>
    </w:tbl>
    <w:p>
      <w:pPr>
        <w:spacing w:after="0"/>
        <w:rPr>
          <w:sz w:val="2"/>
          <w:szCs w:val="2"/>
        </w:rPr>
        <w:sectPr>
          <w:headerReference w:type="default" r:id="rId112"/>
          <w:footerReference w:type="default" r:id="rId113"/>
          <w:footerReference w:type="even" r:id="rId114"/>
          <w:pgSz w:w="11910" w:h="16840"/>
          <w:pgMar w:header="0" w:footer="580" w:top="560" w:bottom="760" w:left="0" w:right="0"/>
          <w:pgNumType w:start="45"/>
        </w:sectPr>
      </w:pPr>
    </w:p>
    <w:p>
      <w:pPr>
        <w:pStyle w:val="BodyText"/>
      </w:pPr>
      <w:r>
        <w:rPr/>
        <w:drawing>
          <wp:anchor distT="0" distB="0" distL="0" distR="0" allowOverlap="1" layoutInCell="1" locked="0" behindDoc="0" simplePos="0" relativeHeight="251796480">
            <wp:simplePos x="0" y="0"/>
            <wp:positionH relativeFrom="page">
              <wp:posOffset>0</wp:posOffset>
            </wp:positionH>
            <wp:positionV relativeFrom="page">
              <wp:posOffset>0</wp:posOffset>
            </wp:positionV>
            <wp:extent cx="594067" cy="10692003"/>
            <wp:effectExtent l="0" t="0" r="0" b="0"/>
            <wp:wrapNone/>
            <wp:docPr id="83" name="image22.png"/>
            <wp:cNvGraphicFramePr>
              <a:graphicFrameLocks noChangeAspect="1"/>
            </wp:cNvGraphicFramePr>
            <a:graphic>
              <a:graphicData uri="http://schemas.openxmlformats.org/drawingml/2006/picture">
                <pic:pic>
                  <pic:nvPicPr>
                    <pic:cNvPr id="84" name="image22.png"/>
                    <pic:cNvPicPr/>
                  </pic:nvPicPr>
                  <pic:blipFill>
                    <a:blip r:embed="rId33"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shape style="position:absolute;margin-left:20.519100pt;margin-top:22.593945pt;width:25.9pt;height:267.5pt;mso-position-horizontal-relative:page;mso-position-vertical-relative:paragraph;z-index:251797504" type="#_x0000_t202" filled="false" stroked="false">
            <v:textbox inset="0,0,0,0" style="layout-flow:vertical">
              <w:txbxContent>
                <w:p>
                  <w:pPr>
                    <w:spacing w:before="27"/>
                    <w:ind w:left="20" w:right="0" w:firstLine="0"/>
                    <w:jc w:val="left"/>
                    <w:rPr>
                      <w:sz w:val="39"/>
                    </w:rPr>
                  </w:pPr>
                  <w:r>
                    <w:rPr>
                      <w:color w:val="FFFFFF"/>
                      <w:spacing w:val="5"/>
                      <w:w w:val="120"/>
                      <w:sz w:val="39"/>
                    </w:rPr>
                    <w:t>Powers in </w:t>
                  </w:r>
                  <w:r>
                    <w:rPr>
                      <w:color w:val="FFFFFF"/>
                      <w:spacing w:val="9"/>
                      <w:w w:val="120"/>
                      <w:sz w:val="39"/>
                    </w:rPr>
                    <w:t>pre-union</w:t>
                  </w:r>
                  <w:r>
                    <w:rPr>
                      <w:color w:val="FFFFFF"/>
                      <w:spacing w:val="68"/>
                      <w:w w:val="120"/>
                      <w:sz w:val="39"/>
                    </w:rPr>
                    <w:t> </w:t>
                  </w:r>
                  <w:r>
                    <w:rPr>
                      <w:color w:val="FFFFFF"/>
                      <w:spacing w:val="11"/>
                      <w:w w:val="120"/>
                      <w:sz w:val="39"/>
                    </w:rPr>
                    <w:t>trusts</w:t>
                  </w:r>
                </w:p>
              </w:txbxContent>
            </v:textbox>
            <w10:wrap type="none"/>
          </v:shape>
        </w:pict>
      </w:r>
      <w:r>
        <w:rPr>
          <w:color w:val="7EAABF"/>
          <w:w w:val="120"/>
        </w:rPr>
        <w:t>Mission Council</w:t>
      </w:r>
    </w:p>
    <w:p>
      <w:pPr>
        <w:spacing w:before="246"/>
        <w:ind w:left="1247" w:right="0" w:firstLine="0"/>
        <w:jc w:val="left"/>
        <w:rPr>
          <w:rFonts w:ascii="Stone Sans II ITC Std X Bd"/>
          <w:b/>
          <w:sz w:val="50"/>
        </w:rPr>
      </w:pPr>
      <w:r>
        <w:rPr>
          <w:rFonts w:ascii="Stone Sans II ITC Std X Bd"/>
          <w:b/>
          <w:w w:val="110"/>
          <w:sz w:val="50"/>
        </w:rPr>
        <w:t>Powers in pre-union trusts</w:t>
      </w:r>
    </w:p>
    <w:p>
      <w:pPr>
        <w:pStyle w:val="ListParagraph"/>
        <w:numPr>
          <w:ilvl w:val="0"/>
          <w:numId w:val="31"/>
        </w:numPr>
        <w:tabs>
          <w:tab w:pos="1927" w:val="left" w:leader="none"/>
          <w:tab w:pos="1928" w:val="left" w:leader="none"/>
        </w:tabs>
        <w:spacing w:line="235" w:lineRule="auto" w:before="365" w:after="0"/>
        <w:ind w:left="1247" w:right="2005" w:firstLine="0"/>
        <w:jc w:val="left"/>
        <w:rPr>
          <w:sz w:val="20"/>
        </w:rPr>
      </w:pPr>
      <w:r>
        <w:rPr>
          <w:w w:val="120"/>
          <w:sz w:val="20"/>
        </w:rPr>
        <w:t>Most property held for the </w:t>
      </w:r>
      <w:r>
        <w:rPr>
          <w:spacing w:val="-3"/>
          <w:w w:val="120"/>
          <w:sz w:val="20"/>
        </w:rPr>
        <w:t>United </w:t>
      </w:r>
      <w:r>
        <w:rPr>
          <w:w w:val="120"/>
          <w:sz w:val="20"/>
        </w:rPr>
        <w:t>Reformed </w:t>
      </w:r>
      <w:r>
        <w:rPr>
          <w:spacing w:val="-3"/>
          <w:w w:val="120"/>
          <w:sz w:val="20"/>
        </w:rPr>
        <w:t>Church </w:t>
      </w:r>
      <w:r>
        <w:rPr>
          <w:w w:val="120"/>
          <w:sz w:val="20"/>
        </w:rPr>
        <w:t>serves the </w:t>
      </w:r>
      <w:r>
        <w:rPr>
          <w:spacing w:val="-3"/>
          <w:w w:val="120"/>
          <w:sz w:val="20"/>
        </w:rPr>
        <w:t>Church </w:t>
      </w:r>
      <w:r>
        <w:rPr>
          <w:w w:val="120"/>
          <w:sz w:val="20"/>
        </w:rPr>
        <w:t>at the local </w:t>
      </w:r>
      <w:r>
        <w:rPr>
          <w:spacing w:val="-3"/>
          <w:w w:val="120"/>
          <w:sz w:val="20"/>
        </w:rPr>
        <w:t>level. Church buildings (here </w:t>
      </w:r>
      <w:r>
        <w:rPr>
          <w:w w:val="120"/>
          <w:sz w:val="20"/>
        </w:rPr>
        <w:t>called </w:t>
      </w:r>
      <w:r>
        <w:rPr>
          <w:spacing w:val="-5"/>
          <w:w w:val="120"/>
          <w:sz w:val="20"/>
        </w:rPr>
        <w:t>chapels) </w:t>
      </w:r>
      <w:r>
        <w:rPr>
          <w:w w:val="120"/>
          <w:sz w:val="20"/>
        </w:rPr>
        <w:t>and </w:t>
      </w:r>
      <w:r>
        <w:rPr>
          <w:spacing w:val="-3"/>
          <w:w w:val="120"/>
          <w:sz w:val="20"/>
        </w:rPr>
        <w:t>manses </w:t>
      </w:r>
      <w:r>
        <w:rPr>
          <w:w w:val="120"/>
          <w:sz w:val="20"/>
        </w:rPr>
        <w:t>are the best-known</w:t>
      </w:r>
      <w:r>
        <w:rPr>
          <w:spacing w:val="7"/>
          <w:w w:val="120"/>
          <w:sz w:val="20"/>
        </w:rPr>
        <w:t> </w:t>
      </w:r>
      <w:r>
        <w:rPr>
          <w:w w:val="120"/>
          <w:sz w:val="20"/>
        </w:rPr>
        <w:t>examples.</w:t>
      </w:r>
    </w:p>
    <w:p>
      <w:pPr>
        <w:pStyle w:val="BodyText"/>
        <w:spacing w:line="235" w:lineRule="auto" w:before="1"/>
        <w:ind w:left="1247" w:right="2528"/>
      </w:pPr>
      <w:r>
        <w:rPr>
          <w:w w:val="120"/>
        </w:rPr>
        <w:t>But from time to time land has been given or acquired to serve the denomination as a whole. This was true also of our predecessor denominations before the United Reformed Church came into being.</w:t>
      </w:r>
    </w:p>
    <w:p>
      <w:pPr>
        <w:pStyle w:val="BodyText"/>
        <w:spacing w:before="10"/>
        <w:rPr>
          <w:sz w:val="19"/>
        </w:rPr>
      </w:pPr>
    </w:p>
    <w:p>
      <w:pPr>
        <w:pStyle w:val="ListParagraph"/>
        <w:numPr>
          <w:ilvl w:val="0"/>
          <w:numId w:val="31"/>
        </w:numPr>
        <w:tabs>
          <w:tab w:pos="1927" w:val="left" w:leader="none"/>
          <w:tab w:pos="1928" w:val="left" w:leader="none"/>
        </w:tabs>
        <w:spacing w:line="235" w:lineRule="auto" w:before="0" w:after="0"/>
        <w:ind w:left="1247" w:right="2364" w:firstLine="0"/>
        <w:jc w:val="left"/>
        <w:rPr>
          <w:sz w:val="20"/>
        </w:rPr>
      </w:pPr>
      <w:r>
        <w:rPr>
          <w:w w:val="120"/>
          <w:sz w:val="20"/>
        </w:rPr>
        <w:t>When the United Reformed Church Act </w:t>
      </w:r>
      <w:r>
        <w:rPr>
          <w:spacing w:val="-7"/>
          <w:w w:val="120"/>
          <w:sz w:val="20"/>
        </w:rPr>
        <w:t>1972 </w:t>
      </w:r>
      <w:r>
        <w:rPr>
          <w:w w:val="120"/>
          <w:sz w:val="20"/>
        </w:rPr>
        <w:t>varied the trusts of former Presbyterian and Congregational assets to make them available to serve the United Reformed Church, it dealt with such assets under five main categories. In the United Reformed Church Act </w:t>
      </w:r>
      <w:r>
        <w:rPr>
          <w:spacing w:val="-7"/>
          <w:w w:val="120"/>
          <w:sz w:val="20"/>
        </w:rPr>
        <w:t>1981 </w:t>
      </w:r>
      <w:r>
        <w:rPr>
          <w:w w:val="120"/>
          <w:sz w:val="20"/>
        </w:rPr>
        <w:t>a similar approach was taken to former local Churches of Christ</w:t>
      </w:r>
      <w:r>
        <w:rPr>
          <w:spacing w:val="1"/>
          <w:w w:val="120"/>
          <w:sz w:val="20"/>
        </w:rPr>
        <w:t> </w:t>
      </w:r>
      <w:r>
        <w:rPr>
          <w:w w:val="120"/>
          <w:sz w:val="20"/>
        </w:rPr>
        <w:t>assets.</w:t>
      </w:r>
    </w:p>
    <w:p>
      <w:pPr>
        <w:pStyle w:val="BodyText"/>
        <w:spacing w:before="2"/>
        <w:rPr>
          <w:sz w:val="22"/>
        </w:rPr>
      </w:pPr>
    </w:p>
    <w:tbl>
      <w:tblPr>
        <w:tblW w:w="0" w:type="auto"/>
        <w:jc w:val="left"/>
        <w:tblInd w:w="1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01"/>
        <w:gridCol w:w="4564"/>
        <w:gridCol w:w="1628"/>
        <w:gridCol w:w="1711"/>
      </w:tblGrid>
      <w:tr>
        <w:trPr>
          <w:trHeight w:val="363" w:hRule="atLeast"/>
        </w:trPr>
        <w:tc>
          <w:tcPr>
            <w:tcW w:w="1101" w:type="dxa"/>
          </w:tcPr>
          <w:p>
            <w:pPr>
              <w:pStyle w:val="TableParagraph"/>
              <w:spacing w:line="248" w:lineRule="exact" w:before="95"/>
              <w:rPr>
                <w:rFonts w:ascii="Stone Sans II ITC Std Bk"/>
                <w:b/>
                <w:sz w:val="19"/>
              </w:rPr>
            </w:pPr>
            <w:r>
              <w:rPr>
                <w:rFonts w:ascii="Stone Sans II ITC Std Bk"/>
                <w:b/>
                <w:w w:val="110"/>
                <w:sz w:val="19"/>
              </w:rPr>
              <w:t>Category</w:t>
            </w:r>
          </w:p>
        </w:tc>
        <w:tc>
          <w:tcPr>
            <w:tcW w:w="4564" w:type="dxa"/>
          </w:tcPr>
          <w:p>
            <w:pPr>
              <w:pStyle w:val="TableParagraph"/>
              <w:spacing w:line="248" w:lineRule="exact" w:before="95"/>
              <w:ind w:left="79"/>
              <w:rPr>
                <w:rFonts w:ascii="Stone Sans II ITC Std Bk"/>
                <w:b/>
                <w:sz w:val="19"/>
              </w:rPr>
            </w:pPr>
            <w:r>
              <w:rPr>
                <w:rFonts w:ascii="Stone Sans II ITC Std Bk"/>
                <w:b/>
                <w:w w:val="110"/>
                <w:sz w:val="19"/>
              </w:rPr>
              <w:t>Type of asset</w:t>
            </w:r>
          </w:p>
        </w:tc>
        <w:tc>
          <w:tcPr>
            <w:tcW w:w="1628" w:type="dxa"/>
          </w:tcPr>
          <w:p>
            <w:pPr>
              <w:pStyle w:val="TableParagraph"/>
              <w:spacing w:line="248" w:lineRule="exact" w:before="95"/>
              <w:ind w:left="79"/>
              <w:rPr>
                <w:rFonts w:ascii="Stone Sans II ITC Std Bk"/>
                <w:b/>
                <w:sz w:val="19"/>
              </w:rPr>
            </w:pPr>
            <w:r>
              <w:rPr>
                <w:rFonts w:ascii="Stone Sans II ITC Std Bk"/>
                <w:b/>
                <w:w w:val="110"/>
                <w:sz w:val="19"/>
              </w:rPr>
              <w:t>Act of 1972</w:t>
            </w:r>
          </w:p>
        </w:tc>
        <w:tc>
          <w:tcPr>
            <w:tcW w:w="1711" w:type="dxa"/>
          </w:tcPr>
          <w:p>
            <w:pPr>
              <w:pStyle w:val="TableParagraph"/>
              <w:spacing w:line="248" w:lineRule="exact" w:before="95"/>
              <w:ind w:left="79"/>
              <w:rPr>
                <w:rFonts w:ascii="Stone Sans II ITC Std Bk"/>
                <w:b/>
                <w:sz w:val="19"/>
              </w:rPr>
            </w:pPr>
            <w:r>
              <w:rPr>
                <w:rFonts w:ascii="Stone Sans II ITC Std Bk"/>
                <w:b/>
                <w:w w:val="110"/>
                <w:sz w:val="19"/>
              </w:rPr>
              <w:t>Act of 1981</w:t>
            </w:r>
          </w:p>
        </w:tc>
      </w:tr>
      <w:tr>
        <w:trPr>
          <w:trHeight w:val="603" w:hRule="atLeast"/>
        </w:trPr>
        <w:tc>
          <w:tcPr>
            <w:tcW w:w="1101" w:type="dxa"/>
          </w:tcPr>
          <w:p>
            <w:pPr>
              <w:pStyle w:val="TableParagraph"/>
              <w:spacing w:before="107"/>
              <w:rPr>
                <w:sz w:val="19"/>
              </w:rPr>
            </w:pPr>
            <w:r>
              <w:rPr>
                <w:w w:val="119"/>
                <w:sz w:val="19"/>
              </w:rPr>
              <w:t>A</w:t>
            </w:r>
          </w:p>
        </w:tc>
        <w:tc>
          <w:tcPr>
            <w:tcW w:w="4564" w:type="dxa"/>
          </w:tcPr>
          <w:p>
            <w:pPr>
              <w:pStyle w:val="TableParagraph"/>
              <w:spacing w:line="240" w:lineRule="atLeast" w:before="99"/>
              <w:ind w:left="79" w:right="164"/>
              <w:rPr>
                <w:sz w:val="19"/>
              </w:rPr>
            </w:pPr>
            <w:r>
              <w:rPr>
                <w:w w:val="120"/>
                <w:sz w:val="19"/>
              </w:rPr>
              <w:t>Chapels, church halls, mission halls and manses of local churches</w:t>
            </w:r>
          </w:p>
        </w:tc>
        <w:tc>
          <w:tcPr>
            <w:tcW w:w="1628" w:type="dxa"/>
          </w:tcPr>
          <w:p>
            <w:pPr>
              <w:pStyle w:val="TableParagraph"/>
              <w:spacing w:before="107"/>
              <w:ind w:left="79"/>
              <w:rPr>
                <w:sz w:val="19"/>
              </w:rPr>
            </w:pPr>
            <w:r>
              <w:rPr>
                <w:w w:val="130"/>
                <w:sz w:val="19"/>
              </w:rPr>
              <w:t>ss.8(1) and (2),</w:t>
            </w:r>
          </w:p>
          <w:p>
            <w:pPr>
              <w:pStyle w:val="TableParagraph"/>
              <w:spacing w:before="8"/>
              <w:ind w:left="79"/>
              <w:rPr>
                <w:sz w:val="19"/>
              </w:rPr>
            </w:pPr>
            <w:r>
              <w:rPr>
                <w:w w:val="125"/>
                <w:sz w:val="19"/>
              </w:rPr>
              <w:t>and Sch 2</w:t>
            </w:r>
          </w:p>
        </w:tc>
        <w:tc>
          <w:tcPr>
            <w:tcW w:w="1711" w:type="dxa"/>
          </w:tcPr>
          <w:p>
            <w:pPr>
              <w:pStyle w:val="TableParagraph"/>
              <w:spacing w:before="107"/>
              <w:ind w:left="79"/>
              <w:rPr>
                <w:sz w:val="19"/>
              </w:rPr>
            </w:pPr>
            <w:r>
              <w:rPr>
                <w:w w:val="130"/>
                <w:sz w:val="19"/>
              </w:rPr>
              <w:t>ss.6(1) and (2),</w:t>
            </w:r>
          </w:p>
          <w:p>
            <w:pPr>
              <w:pStyle w:val="TableParagraph"/>
              <w:spacing w:before="8"/>
              <w:ind w:left="79"/>
              <w:rPr>
                <w:sz w:val="19"/>
              </w:rPr>
            </w:pPr>
            <w:r>
              <w:rPr>
                <w:w w:val="125"/>
                <w:sz w:val="19"/>
              </w:rPr>
              <w:t>and Sch 2</w:t>
            </w:r>
          </w:p>
        </w:tc>
      </w:tr>
      <w:tr>
        <w:trPr>
          <w:trHeight w:val="363" w:hRule="atLeast"/>
        </w:trPr>
        <w:tc>
          <w:tcPr>
            <w:tcW w:w="1101" w:type="dxa"/>
          </w:tcPr>
          <w:p>
            <w:pPr>
              <w:pStyle w:val="TableParagraph"/>
              <w:spacing w:before="107"/>
              <w:rPr>
                <w:sz w:val="19"/>
              </w:rPr>
            </w:pPr>
            <w:r>
              <w:rPr>
                <w:w w:val="116"/>
                <w:sz w:val="19"/>
              </w:rPr>
              <w:t>B</w:t>
            </w:r>
          </w:p>
        </w:tc>
        <w:tc>
          <w:tcPr>
            <w:tcW w:w="4564" w:type="dxa"/>
          </w:tcPr>
          <w:p>
            <w:pPr>
              <w:pStyle w:val="TableParagraph"/>
              <w:spacing w:before="107"/>
              <w:ind w:left="79"/>
              <w:rPr>
                <w:sz w:val="19"/>
              </w:rPr>
            </w:pPr>
            <w:r>
              <w:rPr>
                <w:w w:val="120"/>
                <w:sz w:val="19"/>
              </w:rPr>
              <w:t>Other local church land</w:t>
            </w:r>
          </w:p>
        </w:tc>
        <w:tc>
          <w:tcPr>
            <w:tcW w:w="1628" w:type="dxa"/>
          </w:tcPr>
          <w:p>
            <w:pPr>
              <w:pStyle w:val="TableParagraph"/>
              <w:spacing w:before="107"/>
              <w:ind w:left="79"/>
              <w:rPr>
                <w:sz w:val="19"/>
              </w:rPr>
            </w:pPr>
            <w:r>
              <w:rPr>
                <w:w w:val="130"/>
                <w:sz w:val="19"/>
              </w:rPr>
              <w:t>ss.8(1) and (3)</w:t>
            </w:r>
          </w:p>
        </w:tc>
        <w:tc>
          <w:tcPr>
            <w:tcW w:w="1711" w:type="dxa"/>
          </w:tcPr>
          <w:p>
            <w:pPr>
              <w:pStyle w:val="TableParagraph"/>
              <w:spacing w:before="107"/>
              <w:ind w:left="79"/>
              <w:rPr>
                <w:sz w:val="19"/>
              </w:rPr>
            </w:pPr>
            <w:r>
              <w:rPr>
                <w:w w:val="130"/>
                <w:sz w:val="19"/>
              </w:rPr>
              <w:t>ss.6(1) and (3)</w:t>
            </w:r>
          </w:p>
        </w:tc>
      </w:tr>
      <w:tr>
        <w:trPr>
          <w:trHeight w:val="363" w:hRule="atLeast"/>
        </w:trPr>
        <w:tc>
          <w:tcPr>
            <w:tcW w:w="1101" w:type="dxa"/>
          </w:tcPr>
          <w:p>
            <w:pPr>
              <w:pStyle w:val="TableParagraph"/>
              <w:spacing w:before="107"/>
              <w:rPr>
                <w:sz w:val="19"/>
              </w:rPr>
            </w:pPr>
            <w:r>
              <w:rPr>
                <w:w w:val="140"/>
                <w:sz w:val="19"/>
              </w:rPr>
              <w:t>C</w:t>
            </w:r>
          </w:p>
        </w:tc>
        <w:tc>
          <w:tcPr>
            <w:tcW w:w="4564" w:type="dxa"/>
          </w:tcPr>
          <w:p>
            <w:pPr>
              <w:pStyle w:val="TableParagraph"/>
              <w:spacing w:before="107"/>
              <w:ind w:left="79"/>
              <w:rPr>
                <w:sz w:val="19"/>
              </w:rPr>
            </w:pPr>
            <w:r>
              <w:rPr>
                <w:w w:val="120"/>
                <w:sz w:val="19"/>
              </w:rPr>
              <w:t>Other local church assets</w:t>
            </w:r>
          </w:p>
        </w:tc>
        <w:tc>
          <w:tcPr>
            <w:tcW w:w="1628" w:type="dxa"/>
          </w:tcPr>
          <w:p>
            <w:pPr>
              <w:pStyle w:val="TableParagraph"/>
              <w:spacing w:before="107"/>
              <w:ind w:left="79"/>
              <w:rPr>
                <w:sz w:val="19"/>
              </w:rPr>
            </w:pPr>
            <w:r>
              <w:rPr>
                <w:w w:val="120"/>
                <w:sz w:val="19"/>
              </w:rPr>
              <w:t>s.9</w:t>
            </w:r>
          </w:p>
        </w:tc>
        <w:tc>
          <w:tcPr>
            <w:tcW w:w="1711" w:type="dxa"/>
          </w:tcPr>
          <w:p>
            <w:pPr>
              <w:pStyle w:val="TableParagraph"/>
              <w:spacing w:before="107"/>
              <w:ind w:left="79"/>
              <w:rPr>
                <w:sz w:val="19"/>
              </w:rPr>
            </w:pPr>
            <w:r>
              <w:rPr>
                <w:w w:val="120"/>
                <w:sz w:val="19"/>
              </w:rPr>
              <w:t>s.7</w:t>
            </w:r>
          </w:p>
        </w:tc>
      </w:tr>
      <w:tr>
        <w:trPr>
          <w:trHeight w:val="363" w:hRule="atLeast"/>
        </w:trPr>
        <w:tc>
          <w:tcPr>
            <w:tcW w:w="1101" w:type="dxa"/>
          </w:tcPr>
          <w:p>
            <w:pPr>
              <w:pStyle w:val="TableParagraph"/>
              <w:spacing w:before="107"/>
              <w:rPr>
                <w:sz w:val="19"/>
              </w:rPr>
            </w:pPr>
            <w:r>
              <w:rPr>
                <w:w w:val="131"/>
                <w:sz w:val="19"/>
              </w:rPr>
              <w:t>D</w:t>
            </w:r>
          </w:p>
        </w:tc>
        <w:tc>
          <w:tcPr>
            <w:tcW w:w="4564" w:type="dxa"/>
          </w:tcPr>
          <w:p>
            <w:pPr>
              <w:pStyle w:val="TableParagraph"/>
              <w:spacing w:before="107"/>
              <w:ind w:left="79"/>
              <w:rPr>
                <w:sz w:val="19"/>
              </w:rPr>
            </w:pPr>
            <w:r>
              <w:rPr>
                <w:w w:val="120"/>
                <w:sz w:val="19"/>
              </w:rPr>
              <w:t>Denominational property – Presbyterian</w:t>
            </w:r>
          </w:p>
        </w:tc>
        <w:tc>
          <w:tcPr>
            <w:tcW w:w="1628" w:type="dxa"/>
          </w:tcPr>
          <w:p>
            <w:pPr>
              <w:pStyle w:val="TableParagraph"/>
              <w:spacing w:before="107"/>
              <w:ind w:left="79"/>
              <w:rPr>
                <w:sz w:val="19"/>
              </w:rPr>
            </w:pPr>
            <w:r>
              <w:rPr>
                <w:w w:val="125"/>
                <w:sz w:val="19"/>
              </w:rPr>
              <w:t>s.11</w:t>
            </w:r>
          </w:p>
        </w:tc>
        <w:tc>
          <w:tcPr>
            <w:tcW w:w="1711" w:type="dxa"/>
          </w:tcPr>
          <w:p>
            <w:pPr>
              <w:pStyle w:val="TableParagraph"/>
              <w:ind w:left="0"/>
              <w:rPr>
                <w:rFonts w:ascii="Times New Roman"/>
                <w:sz w:val="22"/>
              </w:rPr>
            </w:pPr>
          </w:p>
        </w:tc>
      </w:tr>
      <w:tr>
        <w:trPr>
          <w:trHeight w:val="363" w:hRule="atLeast"/>
        </w:trPr>
        <w:tc>
          <w:tcPr>
            <w:tcW w:w="1101" w:type="dxa"/>
          </w:tcPr>
          <w:p>
            <w:pPr>
              <w:pStyle w:val="TableParagraph"/>
              <w:spacing w:before="107"/>
              <w:rPr>
                <w:sz w:val="19"/>
              </w:rPr>
            </w:pPr>
            <w:r>
              <w:rPr>
                <w:w w:val="117"/>
                <w:sz w:val="19"/>
              </w:rPr>
              <w:t>E</w:t>
            </w:r>
          </w:p>
        </w:tc>
        <w:tc>
          <w:tcPr>
            <w:tcW w:w="4564" w:type="dxa"/>
          </w:tcPr>
          <w:p>
            <w:pPr>
              <w:pStyle w:val="TableParagraph"/>
              <w:spacing w:before="107"/>
              <w:ind w:left="79"/>
              <w:rPr>
                <w:sz w:val="19"/>
              </w:rPr>
            </w:pPr>
            <w:r>
              <w:rPr>
                <w:w w:val="125"/>
                <w:sz w:val="19"/>
              </w:rPr>
              <w:t>Denominational property – Congregational</w:t>
            </w:r>
          </w:p>
        </w:tc>
        <w:tc>
          <w:tcPr>
            <w:tcW w:w="1628" w:type="dxa"/>
          </w:tcPr>
          <w:p>
            <w:pPr>
              <w:pStyle w:val="TableParagraph"/>
              <w:spacing w:before="107"/>
              <w:ind w:left="79"/>
              <w:rPr>
                <w:sz w:val="19"/>
              </w:rPr>
            </w:pPr>
            <w:r>
              <w:rPr>
                <w:w w:val="125"/>
                <w:sz w:val="19"/>
              </w:rPr>
              <w:t>s.12</w:t>
            </w:r>
          </w:p>
        </w:tc>
        <w:tc>
          <w:tcPr>
            <w:tcW w:w="1711" w:type="dxa"/>
          </w:tcPr>
          <w:p>
            <w:pPr>
              <w:pStyle w:val="TableParagraph"/>
              <w:ind w:left="0"/>
              <w:rPr>
                <w:rFonts w:ascii="Times New Roman"/>
                <w:sz w:val="22"/>
              </w:rPr>
            </w:pPr>
          </w:p>
        </w:tc>
      </w:tr>
      <w:tr>
        <w:trPr>
          <w:trHeight w:val="1208" w:hRule="atLeast"/>
        </w:trPr>
        <w:tc>
          <w:tcPr>
            <w:tcW w:w="1101" w:type="dxa"/>
          </w:tcPr>
          <w:p>
            <w:pPr>
              <w:pStyle w:val="TableParagraph"/>
              <w:spacing w:before="107"/>
              <w:rPr>
                <w:sz w:val="19"/>
              </w:rPr>
            </w:pPr>
            <w:r>
              <w:rPr>
                <w:w w:val="111"/>
                <w:sz w:val="19"/>
              </w:rPr>
              <w:t>F</w:t>
            </w:r>
          </w:p>
        </w:tc>
        <w:tc>
          <w:tcPr>
            <w:tcW w:w="4564" w:type="dxa"/>
          </w:tcPr>
          <w:p>
            <w:pPr>
              <w:pStyle w:val="TableParagraph"/>
              <w:spacing w:before="107"/>
              <w:ind w:left="79"/>
              <w:rPr>
                <w:sz w:val="19"/>
              </w:rPr>
            </w:pPr>
            <w:r>
              <w:rPr>
                <w:w w:val="120"/>
                <w:sz w:val="19"/>
              </w:rPr>
              <w:t>Denominational property – Churches of Christ</w:t>
            </w:r>
          </w:p>
        </w:tc>
        <w:tc>
          <w:tcPr>
            <w:tcW w:w="1628" w:type="dxa"/>
          </w:tcPr>
          <w:p>
            <w:pPr>
              <w:pStyle w:val="TableParagraph"/>
              <w:ind w:left="0"/>
              <w:rPr>
                <w:rFonts w:ascii="Times New Roman"/>
                <w:sz w:val="22"/>
              </w:rPr>
            </w:pPr>
          </w:p>
        </w:tc>
        <w:tc>
          <w:tcPr>
            <w:tcW w:w="1711" w:type="dxa"/>
          </w:tcPr>
          <w:p>
            <w:pPr>
              <w:pStyle w:val="TableParagraph"/>
              <w:spacing w:line="247" w:lineRule="auto" w:before="107"/>
              <w:ind w:left="79" w:right="361"/>
              <w:rPr>
                <w:sz w:val="19"/>
              </w:rPr>
            </w:pPr>
            <w:r>
              <w:rPr>
                <w:w w:val="120"/>
                <w:sz w:val="19"/>
              </w:rPr>
              <w:t>[applied by Scheme of the Charity</w:t>
            </w:r>
          </w:p>
          <w:p>
            <w:pPr>
              <w:pStyle w:val="TableParagraph"/>
              <w:spacing w:before="3"/>
              <w:ind w:left="79"/>
              <w:rPr>
                <w:sz w:val="19"/>
              </w:rPr>
            </w:pPr>
            <w:r>
              <w:rPr>
                <w:w w:val="120"/>
                <w:sz w:val="19"/>
              </w:rPr>
              <w:t>Commissioners]</w:t>
            </w:r>
          </w:p>
        </w:tc>
      </w:tr>
    </w:tbl>
    <w:p>
      <w:pPr>
        <w:pStyle w:val="ListParagraph"/>
        <w:numPr>
          <w:ilvl w:val="0"/>
          <w:numId w:val="31"/>
        </w:numPr>
        <w:tabs>
          <w:tab w:pos="1927" w:val="left" w:leader="none"/>
          <w:tab w:pos="1928" w:val="left" w:leader="none"/>
        </w:tabs>
        <w:spacing w:line="235" w:lineRule="auto" w:before="213" w:after="0"/>
        <w:ind w:left="1247" w:right="1987" w:firstLine="0"/>
        <w:jc w:val="left"/>
        <w:rPr>
          <w:sz w:val="20"/>
        </w:rPr>
      </w:pPr>
      <w:r>
        <w:rPr>
          <w:w w:val="120"/>
          <w:sz w:val="20"/>
        </w:rPr>
        <w:t>Section </w:t>
      </w:r>
      <w:r>
        <w:rPr>
          <w:spacing w:val="-6"/>
          <w:w w:val="120"/>
          <w:sz w:val="20"/>
        </w:rPr>
        <w:t>8(2),  </w:t>
      </w:r>
      <w:r>
        <w:rPr>
          <w:w w:val="120"/>
          <w:sz w:val="20"/>
        </w:rPr>
        <w:t>applicable to </w:t>
      </w:r>
      <w:r>
        <w:rPr>
          <w:spacing w:val="2"/>
          <w:w w:val="120"/>
          <w:sz w:val="20"/>
        </w:rPr>
        <w:t>property </w:t>
      </w:r>
      <w:r>
        <w:rPr>
          <w:w w:val="120"/>
          <w:sz w:val="20"/>
        </w:rPr>
        <w:t>category </w:t>
      </w:r>
      <w:r>
        <w:rPr>
          <w:spacing w:val="3"/>
          <w:w w:val="120"/>
          <w:sz w:val="20"/>
        </w:rPr>
        <w:t>A, </w:t>
      </w:r>
      <w:r>
        <w:rPr>
          <w:w w:val="120"/>
          <w:sz w:val="20"/>
        </w:rPr>
        <w:t>replaced altogether the  operative provisions of the trust deeds governing the </w:t>
      </w:r>
      <w:r>
        <w:rPr>
          <w:spacing w:val="2"/>
          <w:w w:val="120"/>
          <w:sz w:val="20"/>
        </w:rPr>
        <w:t>property </w:t>
      </w:r>
      <w:r>
        <w:rPr>
          <w:w w:val="120"/>
          <w:sz w:val="20"/>
        </w:rPr>
        <w:t>to which it applied. In their place, came the well-known provisions of the Acts’ second schedules: Part II for manses, Part I for everything else. In relation to this category of property, there is no need to look beyond the provisions of the relevant schedule, which distribute necessary decision-making between trustees, church meeting and</w:t>
      </w:r>
      <w:r>
        <w:rPr>
          <w:spacing w:val="22"/>
          <w:w w:val="120"/>
          <w:sz w:val="20"/>
        </w:rPr>
        <w:t> </w:t>
      </w:r>
      <w:r>
        <w:rPr>
          <w:w w:val="120"/>
          <w:sz w:val="20"/>
        </w:rPr>
        <w:t>synod.</w:t>
      </w:r>
    </w:p>
    <w:p>
      <w:pPr>
        <w:pStyle w:val="BodyText"/>
      </w:pPr>
    </w:p>
    <w:p>
      <w:pPr>
        <w:pStyle w:val="ListParagraph"/>
        <w:numPr>
          <w:ilvl w:val="0"/>
          <w:numId w:val="31"/>
        </w:numPr>
        <w:tabs>
          <w:tab w:pos="1927" w:val="left" w:leader="none"/>
          <w:tab w:pos="1928" w:val="left" w:leader="none"/>
        </w:tabs>
        <w:spacing w:line="235" w:lineRule="auto" w:before="0" w:after="0"/>
        <w:ind w:left="1247" w:right="2044" w:firstLine="0"/>
        <w:jc w:val="left"/>
        <w:rPr>
          <w:sz w:val="20"/>
        </w:rPr>
      </w:pPr>
      <w:r>
        <w:rPr>
          <w:w w:val="120"/>
          <w:sz w:val="20"/>
        </w:rPr>
        <w:t>However the other sections made very few changes to existing trusts, apart   from substituting United Reformed Church purposes for those of the predecessor denomination. So it remains important to consider what the pre-union trust instrument governing </w:t>
      </w:r>
      <w:r>
        <w:rPr>
          <w:spacing w:val="2"/>
          <w:w w:val="120"/>
          <w:sz w:val="20"/>
        </w:rPr>
        <w:t>property </w:t>
      </w:r>
      <w:r>
        <w:rPr>
          <w:w w:val="120"/>
          <w:sz w:val="20"/>
        </w:rPr>
        <w:t>in categories </w:t>
      </w:r>
      <w:r>
        <w:rPr>
          <w:spacing w:val="5"/>
          <w:w w:val="120"/>
          <w:sz w:val="20"/>
        </w:rPr>
        <w:t>B-F </w:t>
      </w:r>
      <w:r>
        <w:rPr>
          <w:spacing w:val="-8"/>
          <w:w w:val="120"/>
          <w:sz w:val="20"/>
        </w:rPr>
        <w:t>(or, </w:t>
      </w:r>
      <w:r>
        <w:rPr>
          <w:w w:val="120"/>
          <w:sz w:val="20"/>
        </w:rPr>
        <w:t>if there was no written instrument, the unwritten trusts implied by the circumstances of its acquisition)</w:t>
      </w:r>
      <w:r>
        <w:rPr>
          <w:spacing w:val="18"/>
          <w:w w:val="120"/>
          <w:sz w:val="20"/>
        </w:rPr>
        <w:t> </w:t>
      </w:r>
      <w:r>
        <w:rPr>
          <w:w w:val="120"/>
          <w:sz w:val="20"/>
        </w:rPr>
        <w:t>said.</w:t>
      </w:r>
    </w:p>
    <w:p>
      <w:pPr>
        <w:pStyle w:val="BodyText"/>
      </w:pPr>
    </w:p>
    <w:p>
      <w:pPr>
        <w:pStyle w:val="ListParagraph"/>
        <w:numPr>
          <w:ilvl w:val="0"/>
          <w:numId w:val="31"/>
        </w:numPr>
        <w:tabs>
          <w:tab w:pos="1927" w:val="left" w:leader="none"/>
          <w:tab w:pos="1928" w:val="left" w:leader="none"/>
        </w:tabs>
        <w:spacing w:line="235" w:lineRule="auto" w:before="0" w:after="0"/>
        <w:ind w:left="1247" w:right="2093" w:firstLine="0"/>
        <w:jc w:val="left"/>
        <w:rPr>
          <w:sz w:val="20"/>
        </w:rPr>
      </w:pPr>
      <w:r>
        <w:rPr>
          <w:w w:val="120"/>
          <w:sz w:val="20"/>
        </w:rPr>
        <w:t>The difficulty here is that, in some cases, pre-union trusts conferred powers of direction, powers of nomination or appointment, and the right to give or withhold consent to a transaction, on organs of the predecessor denomination (for example on the Board of Managers of a Presbyterian congregation, a Presbytery, a special meeting of a Congregational church, or the Annual Conference of the Churches of Christ). Since such organs no longer exist, there is a question who can now exercise their</w:t>
      </w:r>
      <w:r>
        <w:rPr>
          <w:spacing w:val="3"/>
          <w:w w:val="120"/>
          <w:sz w:val="20"/>
        </w:rPr>
        <w:t> </w:t>
      </w:r>
      <w:r>
        <w:rPr>
          <w:w w:val="120"/>
          <w:sz w:val="20"/>
        </w:rPr>
        <w:t>powers.</w:t>
      </w:r>
    </w:p>
    <w:p>
      <w:pPr>
        <w:pStyle w:val="BodyText"/>
      </w:pPr>
    </w:p>
    <w:p>
      <w:pPr>
        <w:pStyle w:val="ListParagraph"/>
        <w:numPr>
          <w:ilvl w:val="0"/>
          <w:numId w:val="31"/>
        </w:numPr>
        <w:tabs>
          <w:tab w:pos="1927" w:val="left" w:leader="none"/>
          <w:tab w:pos="1928" w:val="left" w:leader="none"/>
        </w:tabs>
        <w:spacing w:line="235" w:lineRule="auto" w:before="0" w:after="0"/>
        <w:ind w:left="1247" w:right="2416" w:firstLine="0"/>
        <w:jc w:val="left"/>
        <w:rPr>
          <w:sz w:val="20"/>
        </w:rPr>
      </w:pPr>
      <w:r>
        <w:rPr>
          <w:w w:val="120"/>
          <w:sz w:val="20"/>
        </w:rPr>
        <w:t>No difficulty has been encountered in practice, and there has been a general assumption that ‘equivalent councils’ under the Structure of the United Reformed Church can exercise the powers. But this is not strictly true. One reason is that the ‘equivalent councils’ need to be expressly determined: otherwise it would be uncertain whether church meeting or elders’ meeting should replace earlier local organs. It would previously have been uncertain whether synod or district council should inherit the powers of a Presbytery. A deeper reason is that, although</w:t>
      </w:r>
      <w:r>
        <w:rPr>
          <w:spacing w:val="23"/>
          <w:w w:val="120"/>
          <w:sz w:val="20"/>
        </w:rPr>
        <w:t> </w:t>
      </w:r>
      <w:r>
        <w:rPr>
          <w:w w:val="120"/>
          <w:sz w:val="20"/>
        </w:rPr>
        <w:t>the</w:t>
      </w:r>
    </w:p>
    <w:p>
      <w:pPr>
        <w:spacing w:after="0" w:line="235" w:lineRule="auto"/>
        <w:jc w:val="left"/>
        <w:rPr>
          <w:sz w:val="20"/>
        </w:rPr>
        <w:sectPr>
          <w:headerReference w:type="even" r:id="rId115"/>
          <w:pgSz w:w="11910" w:h="16840"/>
          <w:pgMar w:header="0" w:footer="647" w:top="0" w:bottom="840" w:left="0" w:right="0"/>
        </w:sectPr>
      </w:pPr>
    </w:p>
    <w:p>
      <w:pPr>
        <w:pStyle w:val="BodyText"/>
      </w:pPr>
      <w:r>
        <w:rPr/>
        <w:drawing>
          <wp:anchor distT="0" distB="0" distL="0" distR="0" allowOverlap="1" layoutInCell="1" locked="0" behindDoc="0" simplePos="0" relativeHeight="251798528">
            <wp:simplePos x="0" y="0"/>
            <wp:positionH relativeFrom="page">
              <wp:posOffset>6974928</wp:posOffset>
            </wp:positionH>
            <wp:positionV relativeFrom="page">
              <wp:posOffset>0</wp:posOffset>
            </wp:positionV>
            <wp:extent cx="585076" cy="10692003"/>
            <wp:effectExtent l="0" t="0" r="0" b="0"/>
            <wp:wrapNone/>
            <wp:docPr id="85" name="image23.png"/>
            <wp:cNvGraphicFramePr>
              <a:graphicFrameLocks noChangeAspect="1"/>
            </wp:cNvGraphicFramePr>
            <a:graphic>
              <a:graphicData uri="http://schemas.openxmlformats.org/drawingml/2006/picture">
                <pic:pic>
                  <pic:nvPicPr>
                    <pic:cNvPr id="86" name="image23.png"/>
                    <pic:cNvPicPr/>
                  </pic:nvPicPr>
                  <pic:blipFill>
                    <a:blip r:embed="rId35" cstate="print"/>
                    <a:stretch>
                      <a:fillRect/>
                    </a:stretch>
                  </pic:blipFill>
                  <pic:spPr>
                    <a:xfrm>
                      <a:off x="0" y="0"/>
                      <a:ext cx="585076" cy="10692003"/>
                    </a:xfrm>
                    <a:prstGeom prst="rect">
                      <a:avLst/>
                    </a:prstGeom>
                  </pic:spPr>
                </pic:pic>
              </a:graphicData>
            </a:graphic>
          </wp:anchor>
        </w:drawing>
      </w:r>
    </w:p>
    <w:p>
      <w:pPr>
        <w:pStyle w:val="BodyText"/>
        <w:spacing w:before="7"/>
        <w:rPr>
          <w:sz w:val="21"/>
        </w:rPr>
      </w:pPr>
    </w:p>
    <w:p>
      <w:pPr>
        <w:pStyle w:val="Heading5"/>
        <w:ind w:left="0" w:right="1245"/>
        <w:jc w:val="right"/>
      </w:pPr>
      <w:r>
        <w:rPr/>
        <w:pict>
          <v:shape style="position:absolute;margin-left:554.141174pt;margin-top:22.593945pt;width:25.9pt;height:267.5pt;mso-position-horizontal-relative:page;mso-position-vertical-relative:paragraph;z-index:251799552" type="#_x0000_t202" filled="false" stroked="false">
            <v:textbox inset="0,0,0,0" style="layout-flow:vertical">
              <w:txbxContent>
                <w:p>
                  <w:pPr>
                    <w:spacing w:before="27"/>
                    <w:ind w:left="20" w:right="0" w:firstLine="0"/>
                    <w:jc w:val="left"/>
                    <w:rPr>
                      <w:sz w:val="39"/>
                    </w:rPr>
                  </w:pPr>
                  <w:r>
                    <w:rPr>
                      <w:color w:val="FFFFFF"/>
                      <w:spacing w:val="5"/>
                      <w:w w:val="120"/>
                      <w:sz w:val="39"/>
                    </w:rPr>
                    <w:t>Powers in </w:t>
                  </w:r>
                  <w:r>
                    <w:rPr>
                      <w:color w:val="FFFFFF"/>
                      <w:spacing w:val="9"/>
                      <w:w w:val="120"/>
                      <w:sz w:val="39"/>
                    </w:rPr>
                    <w:t>pre-union</w:t>
                  </w:r>
                  <w:r>
                    <w:rPr>
                      <w:color w:val="FFFFFF"/>
                      <w:spacing w:val="68"/>
                      <w:w w:val="120"/>
                      <w:sz w:val="39"/>
                    </w:rPr>
                    <w:t> </w:t>
                  </w:r>
                  <w:r>
                    <w:rPr>
                      <w:color w:val="FFFFFF"/>
                      <w:spacing w:val="11"/>
                      <w:w w:val="120"/>
                      <w:sz w:val="39"/>
                    </w:rPr>
                    <w:t>trusts</w:t>
                  </w:r>
                </w:p>
              </w:txbxContent>
            </v:textbox>
            <w10:wrap type="none"/>
          </v:shape>
        </w:pict>
      </w:r>
      <w:r>
        <w:rPr>
          <w:color w:val="7EAABF"/>
          <w:w w:val="120"/>
        </w:rPr>
        <w:t>Mission Council</w:t>
      </w:r>
    </w:p>
    <w:p>
      <w:pPr>
        <w:pStyle w:val="BodyText"/>
        <w:spacing w:line="235" w:lineRule="auto" w:before="222"/>
        <w:ind w:left="1984" w:right="1352"/>
      </w:pPr>
      <w:r>
        <w:rPr>
          <w:w w:val="120"/>
        </w:rPr>
        <w:t>Structure is part of our denominational constitution, setting out the terms on which members of the United Reformed Church past and present have agreed to order our common life, the agreement of church members is not enough to alter the terms</w:t>
      </w:r>
    </w:p>
    <w:p>
      <w:pPr>
        <w:pStyle w:val="BodyText"/>
        <w:spacing w:line="235" w:lineRule="auto" w:before="2"/>
        <w:ind w:left="1984" w:right="1352"/>
      </w:pPr>
      <w:r>
        <w:rPr>
          <w:w w:val="120"/>
        </w:rPr>
        <w:t>on which the owners of assets gave them at an earlier date. That is why the United Reformed Church Acts were necessary: so that parliament could make changes which the authorities of the uniting churches themselves could not.</w:t>
      </w:r>
    </w:p>
    <w:p>
      <w:pPr>
        <w:pStyle w:val="BodyText"/>
        <w:spacing w:before="10"/>
        <w:rPr>
          <w:sz w:val="19"/>
        </w:rPr>
      </w:pPr>
    </w:p>
    <w:p>
      <w:pPr>
        <w:pStyle w:val="ListParagraph"/>
        <w:numPr>
          <w:ilvl w:val="0"/>
          <w:numId w:val="31"/>
        </w:numPr>
        <w:tabs>
          <w:tab w:pos="2664" w:val="left" w:leader="none"/>
          <w:tab w:pos="2665" w:val="left" w:leader="none"/>
        </w:tabs>
        <w:spacing w:line="235" w:lineRule="auto" w:before="0" w:after="0"/>
        <w:ind w:left="1984" w:right="1597" w:firstLine="0"/>
        <w:jc w:val="left"/>
        <w:rPr>
          <w:sz w:val="20"/>
        </w:rPr>
      </w:pPr>
      <w:r>
        <w:rPr>
          <w:w w:val="120"/>
          <w:sz w:val="20"/>
        </w:rPr>
        <w:t>The authors of the Unions foresaw this difficulty and secured provisions in the United Reformed Church </w:t>
      </w:r>
      <w:r>
        <w:rPr>
          <w:spacing w:val="2"/>
          <w:w w:val="120"/>
          <w:sz w:val="20"/>
        </w:rPr>
        <w:t>Acts </w:t>
      </w:r>
      <w:r>
        <w:rPr>
          <w:w w:val="120"/>
          <w:sz w:val="20"/>
        </w:rPr>
        <w:t>to transfer trust deed powers in relation to </w:t>
      </w:r>
      <w:r>
        <w:rPr>
          <w:spacing w:val="2"/>
          <w:w w:val="120"/>
          <w:sz w:val="20"/>
        </w:rPr>
        <w:t>property  </w:t>
      </w:r>
      <w:r>
        <w:rPr>
          <w:w w:val="120"/>
          <w:sz w:val="20"/>
        </w:rPr>
        <w:t>in categories </w:t>
      </w:r>
      <w:r>
        <w:rPr>
          <w:spacing w:val="5"/>
          <w:w w:val="120"/>
          <w:sz w:val="20"/>
        </w:rPr>
        <w:t>B-E </w:t>
      </w:r>
      <w:r>
        <w:rPr>
          <w:w w:val="120"/>
          <w:sz w:val="20"/>
        </w:rPr>
        <w:t>above. (In relation to category F any provision for succession</w:t>
      </w:r>
      <w:r>
        <w:rPr>
          <w:spacing w:val="23"/>
          <w:w w:val="120"/>
          <w:sz w:val="20"/>
        </w:rPr>
        <w:t> </w:t>
      </w:r>
      <w:r>
        <w:rPr>
          <w:w w:val="120"/>
          <w:sz w:val="20"/>
        </w:rPr>
        <w:t>to</w:t>
      </w:r>
    </w:p>
    <w:p>
      <w:pPr>
        <w:pStyle w:val="BodyText"/>
        <w:spacing w:line="235" w:lineRule="auto" w:before="2"/>
        <w:ind w:left="1984" w:right="2004"/>
      </w:pPr>
      <w:r>
        <w:rPr>
          <w:w w:val="120"/>
        </w:rPr>
        <w:t>the predecessor denomination’s powers should have been made by the Charity Commission Scheme.)</w:t>
      </w:r>
    </w:p>
    <w:p>
      <w:pPr>
        <w:pStyle w:val="BodyText"/>
        <w:spacing w:before="10"/>
        <w:rPr>
          <w:sz w:val="19"/>
        </w:rPr>
      </w:pPr>
    </w:p>
    <w:p>
      <w:pPr>
        <w:pStyle w:val="ListParagraph"/>
        <w:numPr>
          <w:ilvl w:val="0"/>
          <w:numId w:val="31"/>
        </w:numPr>
        <w:tabs>
          <w:tab w:pos="2664" w:val="left" w:leader="none"/>
          <w:tab w:pos="2665" w:val="left" w:leader="none"/>
        </w:tabs>
        <w:spacing w:line="235" w:lineRule="auto" w:before="0" w:after="0"/>
        <w:ind w:left="1984" w:right="1310" w:firstLine="0"/>
        <w:jc w:val="left"/>
        <w:rPr>
          <w:sz w:val="20"/>
        </w:rPr>
      </w:pPr>
      <w:r>
        <w:rPr>
          <w:spacing w:val="-9"/>
          <w:w w:val="120"/>
          <w:sz w:val="20"/>
        </w:rPr>
        <w:t>s.18(1) </w:t>
      </w:r>
      <w:r>
        <w:rPr>
          <w:w w:val="120"/>
          <w:sz w:val="20"/>
        </w:rPr>
        <w:t>in the Act of </w:t>
      </w:r>
      <w:r>
        <w:rPr>
          <w:spacing w:val="-7"/>
          <w:w w:val="120"/>
          <w:sz w:val="20"/>
        </w:rPr>
        <w:t>1972 </w:t>
      </w:r>
      <w:r>
        <w:rPr>
          <w:w w:val="120"/>
          <w:sz w:val="20"/>
        </w:rPr>
        <w:t>and </w:t>
      </w:r>
      <w:r>
        <w:rPr>
          <w:spacing w:val="-8"/>
          <w:w w:val="120"/>
          <w:sz w:val="20"/>
        </w:rPr>
        <w:t>s.10(1) </w:t>
      </w:r>
      <w:r>
        <w:rPr>
          <w:w w:val="120"/>
          <w:sz w:val="20"/>
        </w:rPr>
        <w:t>in the Act of </w:t>
      </w:r>
      <w:r>
        <w:rPr>
          <w:spacing w:val="-7"/>
          <w:w w:val="120"/>
          <w:sz w:val="20"/>
        </w:rPr>
        <w:t>1981 </w:t>
      </w:r>
      <w:r>
        <w:rPr>
          <w:w w:val="120"/>
          <w:sz w:val="20"/>
        </w:rPr>
        <w:t>were designed to resolve difficulties arising “Where immediately before the date of formation/unification any power with respect to any trust or any power of nomination is or is to be vested in any association dissolved by </w:t>
      </w:r>
      <w:r>
        <w:rPr>
          <w:spacing w:val="-3"/>
          <w:w w:val="120"/>
          <w:sz w:val="20"/>
        </w:rPr>
        <w:t>[the</w:t>
      </w:r>
      <w:r>
        <w:rPr>
          <w:spacing w:val="9"/>
          <w:w w:val="120"/>
          <w:sz w:val="20"/>
        </w:rPr>
        <w:t> </w:t>
      </w:r>
      <w:r>
        <w:rPr>
          <w:spacing w:val="-4"/>
          <w:w w:val="120"/>
          <w:sz w:val="20"/>
        </w:rPr>
        <w:t>Act].”</w:t>
      </w:r>
    </w:p>
    <w:p>
      <w:pPr>
        <w:pStyle w:val="BodyText"/>
        <w:spacing w:before="11"/>
        <w:rPr>
          <w:sz w:val="19"/>
        </w:rPr>
      </w:pPr>
    </w:p>
    <w:p>
      <w:pPr>
        <w:pStyle w:val="ListParagraph"/>
        <w:numPr>
          <w:ilvl w:val="0"/>
          <w:numId w:val="31"/>
        </w:numPr>
        <w:tabs>
          <w:tab w:pos="2664" w:val="left" w:leader="none"/>
          <w:tab w:pos="2665" w:val="left" w:leader="none"/>
        </w:tabs>
        <w:spacing w:line="235" w:lineRule="auto" w:before="0" w:after="0"/>
        <w:ind w:left="1984" w:right="1500" w:firstLine="0"/>
        <w:jc w:val="left"/>
        <w:rPr>
          <w:sz w:val="20"/>
        </w:rPr>
      </w:pPr>
      <w:r>
        <w:rPr>
          <w:w w:val="120"/>
          <w:sz w:val="20"/>
        </w:rPr>
        <w:t>These sections did not say where such powers should go, but </w:t>
      </w:r>
      <w:r>
        <w:rPr>
          <w:spacing w:val="2"/>
          <w:w w:val="120"/>
          <w:sz w:val="20"/>
        </w:rPr>
        <w:t>left </w:t>
      </w:r>
      <w:r>
        <w:rPr>
          <w:w w:val="120"/>
          <w:sz w:val="20"/>
        </w:rPr>
        <w:t>that to the General Assembly to decide. </w:t>
      </w:r>
      <w:r>
        <w:rPr>
          <w:spacing w:val="-4"/>
          <w:w w:val="120"/>
          <w:sz w:val="20"/>
        </w:rPr>
        <w:t>“Any </w:t>
      </w:r>
      <w:r>
        <w:rPr>
          <w:w w:val="120"/>
          <w:sz w:val="20"/>
        </w:rPr>
        <w:t>such power shall (in the case of a power previously vested …in an association) vest in such person or body of persons as the General Assembly shall from time to time</w:t>
      </w:r>
      <w:r>
        <w:rPr>
          <w:spacing w:val="11"/>
          <w:w w:val="120"/>
          <w:sz w:val="20"/>
        </w:rPr>
        <w:t> </w:t>
      </w:r>
      <w:r>
        <w:rPr>
          <w:w w:val="120"/>
          <w:sz w:val="20"/>
        </w:rPr>
        <w:t>appoint.”</w:t>
      </w:r>
    </w:p>
    <w:p>
      <w:pPr>
        <w:pStyle w:val="BodyText"/>
        <w:spacing w:before="11"/>
        <w:rPr>
          <w:sz w:val="19"/>
        </w:rPr>
      </w:pPr>
    </w:p>
    <w:p>
      <w:pPr>
        <w:pStyle w:val="ListParagraph"/>
        <w:numPr>
          <w:ilvl w:val="0"/>
          <w:numId w:val="31"/>
        </w:numPr>
        <w:tabs>
          <w:tab w:pos="2664" w:val="left" w:leader="none"/>
          <w:tab w:pos="2665" w:val="left" w:leader="none"/>
        </w:tabs>
        <w:spacing w:line="235" w:lineRule="auto" w:before="0" w:after="0"/>
        <w:ind w:left="1984" w:right="1366" w:firstLine="0"/>
        <w:jc w:val="left"/>
        <w:rPr>
          <w:sz w:val="20"/>
        </w:rPr>
      </w:pPr>
      <w:r>
        <w:rPr>
          <w:w w:val="120"/>
          <w:sz w:val="20"/>
        </w:rPr>
        <w:t>The General Assembly has, </w:t>
      </w:r>
      <w:r>
        <w:rPr>
          <w:spacing w:val="-3"/>
          <w:w w:val="120"/>
          <w:sz w:val="20"/>
        </w:rPr>
        <w:t>however, </w:t>
      </w:r>
      <w:r>
        <w:rPr>
          <w:w w:val="120"/>
          <w:sz w:val="20"/>
        </w:rPr>
        <w:t>never exercised this right in general terms. The </w:t>
      </w:r>
      <w:r>
        <w:rPr>
          <w:spacing w:val="2"/>
          <w:w w:val="120"/>
          <w:sz w:val="20"/>
        </w:rPr>
        <w:t>Acts </w:t>
      </w:r>
      <w:r>
        <w:rPr>
          <w:w w:val="120"/>
          <w:sz w:val="20"/>
        </w:rPr>
        <w:t>permitted it to delegate the right, and it did delegate its right under the     </w:t>
      </w:r>
      <w:r>
        <w:rPr>
          <w:spacing w:val="-7"/>
          <w:w w:val="120"/>
          <w:sz w:val="20"/>
        </w:rPr>
        <w:t>1972 </w:t>
      </w:r>
      <w:r>
        <w:rPr>
          <w:w w:val="120"/>
          <w:sz w:val="20"/>
        </w:rPr>
        <w:t>Act to its Executive Committee </w:t>
      </w:r>
      <w:r>
        <w:rPr>
          <w:spacing w:val="-5"/>
          <w:w w:val="120"/>
          <w:sz w:val="20"/>
        </w:rPr>
        <w:t>(now </w:t>
      </w:r>
      <w:r>
        <w:rPr>
          <w:w w:val="120"/>
          <w:sz w:val="20"/>
        </w:rPr>
        <w:t>Mission Council); but the Committee never exercised the right either. The right under the </w:t>
      </w:r>
      <w:r>
        <w:rPr>
          <w:spacing w:val="-7"/>
          <w:w w:val="120"/>
          <w:sz w:val="20"/>
        </w:rPr>
        <w:t>1981 </w:t>
      </w:r>
      <w:r>
        <w:rPr>
          <w:w w:val="120"/>
          <w:sz w:val="20"/>
        </w:rPr>
        <w:t>Act was never</w:t>
      </w:r>
      <w:r>
        <w:rPr>
          <w:spacing w:val="6"/>
          <w:w w:val="120"/>
          <w:sz w:val="20"/>
        </w:rPr>
        <w:t> </w:t>
      </w:r>
      <w:r>
        <w:rPr>
          <w:w w:val="120"/>
          <w:sz w:val="20"/>
        </w:rPr>
        <w:t>delegated.</w:t>
      </w:r>
    </w:p>
    <w:p>
      <w:pPr>
        <w:pStyle w:val="BodyText"/>
        <w:spacing w:before="11"/>
        <w:rPr>
          <w:sz w:val="19"/>
        </w:rPr>
      </w:pPr>
    </w:p>
    <w:p>
      <w:pPr>
        <w:pStyle w:val="ListParagraph"/>
        <w:numPr>
          <w:ilvl w:val="0"/>
          <w:numId w:val="31"/>
        </w:numPr>
        <w:tabs>
          <w:tab w:pos="2664" w:val="left" w:leader="none"/>
          <w:tab w:pos="2665" w:val="left" w:leader="none"/>
        </w:tabs>
        <w:spacing w:line="235" w:lineRule="auto" w:before="0" w:after="0"/>
        <w:ind w:left="1984" w:right="1377" w:firstLine="0"/>
        <w:jc w:val="left"/>
        <w:rPr>
          <w:sz w:val="20"/>
        </w:rPr>
      </w:pPr>
      <w:r>
        <w:rPr>
          <w:w w:val="120"/>
          <w:sz w:val="20"/>
        </w:rPr>
        <w:t>The resolution in this paper proposes that the right under both </w:t>
      </w:r>
      <w:r>
        <w:rPr>
          <w:spacing w:val="2"/>
          <w:w w:val="120"/>
          <w:sz w:val="20"/>
        </w:rPr>
        <w:t>Acts </w:t>
      </w:r>
      <w:r>
        <w:rPr>
          <w:w w:val="120"/>
          <w:sz w:val="20"/>
        </w:rPr>
        <w:t>should be exercised by Assembly itself, to prevent any question as to powers in pre-union trusts arising in the future. It is suggested that decisions taken before the Union at the local level should pass to the church meeting, decisions at intermediate levels to the synod and decisions at the denominational level to Mission Council </w:t>
      </w:r>
      <w:r>
        <w:rPr>
          <w:spacing w:val="-3"/>
          <w:w w:val="120"/>
          <w:sz w:val="20"/>
        </w:rPr>
        <w:t>(unless </w:t>
      </w:r>
      <w:r>
        <w:rPr>
          <w:w w:val="120"/>
          <w:sz w:val="20"/>
        </w:rPr>
        <w:t>it should happen that a need arises for an urgent decision when a meeting of Assembly is closer than a Mission Council meeting). The resolution is carefully worded to cover the possibility that a local church created by a Union may since have merged with others or ceased to exist, and to cover two different ways in which pre-union Presbyterian deeds may have referred to a</w:t>
      </w:r>
      <w:r>
        <w:rPr>
          <w:spacing w:val="5"/>
          <w:w w:val="120"/>
          <w:sz w:val="20"/>
        </w:rPr>
        <w:t> </w:t>
      </w:r>
      <w:r>
        <w:rPr>
          <w:w w:val="120"/>
          <w:sz w:val="20"/>
        </w:rPr>
        <w:t>presbytery.</w:t>
      </w:r>
    </w:p>
    <w:p>
      <w:pPr>
        <w:pStyle w:val="BodyText"/>
        <w:spacing w:before="3"/>
      </w:pPr>
    </w:p>
    <w:p>
      <w:pPr>
        <w:pStyle w:val="ListParagraph"/>
        <w:numPr>
          <w:ilvl w:val="0"/>
          <w:numId w:val="31"/>
        </w:numPr>
        <w:tabs>
          <w:tab w:pos="2664" w:val="left" w:leader="none"/>
          <w:tab w:pos="2665" w:val="left" w:leader="none"/>
        </w:tabs>
        <w:spacing w:line="235" w:lineRule="auto" w:before="0" w:after="0"/>
        <w:ind w:left="1984" w:right="1533" w:firstLine="0"/>
        <w:jc w:val="left"/>
        <w:rPr>
          <w:sz w:val="20"/>
        </w:rPr>
      </w:pPr>
      <w:r>
        <w:rPr>
          <w:w w:val="120"/>
          <w:sz w:val="20"/>
        </w:rPr>
        <w:t>The choice of the church meeting to make local decisions, rather than the elders’ meeting, mirrors the choice made in the Second Schedules to the </w:t>
      </w:r>
      <w:r>
        <w:rPr>
          <w:spacing w:val="2"/>
          <w:w w:val="120"/>
          <w:sz w:val="20"/>
        </w:rPr>
        <w:t>Acts </w:t>
      </w:r>
      <w:r>
        <w:rPr>
          <w:w w:val="120"/>
          <w:sz w:val="20"/>
        </w:rPr>
        <w:t>regarding chapels, halls and manses. There too, the powers of direction, consent and appointment are bestowed on the church meeting, but church meetings are called upon to have regard to the recommendations of other councils including the elders’ meeting. That exhortation is repeated in the</w:t>
      </w:r>
      <w:r>
        <w:rPr>
          <w:spacing w:val="16"/>
          <w:w w:val="120"/>
          <w:sz w:val="20"/>
        </w:rPr>
        <w:t> </w:t>
      </w:r>
      <w:r>
        <w:rPr>
          <w:w w:val="120"/>
          <w:sz w:val="20"/>
        </w:rPr>
        <w:t>resolution.</w:t>
      </w:r>
    </w:p>
    <w:p>
      <w:pPr>
        <w:pStyle w:val="BodyText"/>
      </w:pPr>
    </w:p>
    <w:p>
      <w:pPr>
        <w:pStyle w:val="ListParagraph"/>
        <w:numPr>
          <w:ilvl w:val="0"/>
          <w:numId w:val="31"/>
        </w:numPr>
        <w:tabs>
          <w:tab w:pos="2664" w:val="left" w:leader="none"/>
          <w:tab w:pos="2665" w:val="left" w:leader="none"/>
        </w:tabs>
        <w:spacing w:line="235" w:lineRule="auto" w:before="1" w:after="0"/>
        <w:ind w:left="1984" w:right="1410" w:firstLine="0"/>
        <w:jc w:val="left"/>
        <w:rPr>
          <w:sz w:val="20"/>
        </w:rPr>
      </w:pPr>
      <w:r>
        <w:rPr>
          <w:w w:val="120"/>
          <w:sz w:val="20"/>
        </w:rPr>
        <w:t>It</w:t>
      </w:r>
      <w:r>
        <w:rPr>
          <w:spacing w:val="-7"/>
          <w:w w:val="120"/>
          <w:sz w:val="20"/>
        </w:rPr>
        <w:t> </w:t>
      </w:r>
      <w:r>
        <w:rPr>
          <w:w w:val="120"/>
          <w:sz w:val="20"/>
        </w:rPr>
        <w:t>is</w:t>
      </w:r>
      <w:r>
        <w:rPr>
          <w:spacing w:val="-6"/>
          <w:w w:val="120"/>
          <w:sz w:val="20"/>
        </w:rPr>
        <w:t> </w:t>
      </w:r>
      <w:r>
        <w:rPr>
          <w:spacing w:val="-3"/>
          <w:w w:val="120"/>
          <w:sz w:val="20"/>
        </w:rPr>
        <w:t>conceivable</w:t>
      </w:r>
      <w:r>
        <w:rPr>
          <w:spacing w:val="-6"/>
          <w:w w:val="120"/>
          <w:sz w:val="20"/>
        </w:rPr>
        <w:t> </w:t>
      </w:r>
      <w:r>
        <w:rPr>
          <w:w w:val="120"/>
          <w:sz w:val="20"/>
        </w:rPr>
        <w:t>that</w:t>
      </w:r>
      <w:r>
        <w:rPr>
          <w:spacing w:val="-6"/>
          <w:w w:val="120"/>
          <w:sz w:val="20"/>
        </w:rPr>
        <w:t> </w:t>
      </w:r>
      <w:r>
        <w:rPr>
          <w:w w:val="120"/>
          <w:sz w:val="20"/>
        </w:rPr>
        <w:t>a</w:t>
      </w:r>
      <w:r>
        <w:rPr>
          <w:spacing w:val="-7"/>
          <w:w w:val="120"/>
          <w:sz w:val="20"/>
        </w:rPr>
        <w:t> </w:t>
      </w:r>
      <w:r>
        <w:rPr>
          <w:w w:val="120"/>
          <w:sz w:val="20"/>
        </w:rPr>
        <w:t>pre-union</w:t>
      </w:r>
      <w:r>
        <w:rPr>
          <w:spacing w:val="-6"/>
          <w:w w:val="120"/>
          <w:sz w:val="20"/>
        </w:rPr>
        <w:t> </w:t>
      </w:r>
      <w:r>
        <w:rPr>
          <w:w w:val="120"/>
          <w:sz w:val="20"/>
        </w:rPr>
        <w:t>trust</w:t>
      </w:r>
      <w:r>
        <w:rPr>
          <w:spacing w:val="-6"/>
          <w:w w:val="120"/>
          <w:sz w:val="20"/>
        </w:rPr>
        <w:t> </w:t>
      </w:r>
      <w:r>
        <w:rPr>
          <w:w w:val="120"/>
          <w:sz w:val="20"/>
        </w:rPr>
        <w:t>deed</w:t>
      </w:r>
      <w:r>
        <w:rPr>
          <w:spacing w:val="-6"/>
          <w:w w:val="120"/>
          <w:sz w:val="20"/>
        </w:rPr>
        <w:t> </w:t>
      </w:r>
      <w:r>
        <w:rPr>
          <w:spacing w:val="-3"/>
          <w:w w:val="120"/>
          <w:sz w:val="20"/>
        </w:rPr>
        <w:t>may</w:t>
      </w:r>
      <w:r>
        <w:rPr>
          <w:spacing w:val="-7"/>
          <w:w w:val="120"/>
          <w:sz w:val="20"/>
        </w:rPr>
        <w:t> </w:t>
      </w:r>
      <w:r>
        <w:rPr>
          <w:spacing w:val="-3"/>
          <w:w w:val="120"/>
          <w:sz w:val="20"/>
        </w:rPr>
        <w:t>have</w:t>
      </w:r>
      <w:r>
        <w:rPr>
          <w:spacing w:val="-6"/>
          <w:w w:val="120"/>
          <w:sz w:val="20"/>
        </w:rPr>
        <w:t> </w:t>
      </w:r>
      <w:r>
        <w:rPr>
          <w:w w:val="120"/>
          <w:sz w:val="20"/>
        </w:rPr>
        <w:t>conferred</w:t>
      </w:r>
      <w:r>
        <w:rPr>
          <w:spacing w:val="-6"/>
          <w:w w:val="120"/>
          <w:sz w:val="20"/>
        </w:rPr>
        <w:t> </w:t>
      </w:r>
      <w:r>
        <w:rPr>
          <w:w w:val="120"/>
          <w:sz w:val="20"/>
        </w:rPr>
        <w:t>powers</w:t>
      </w:r>
      <w:r>
        <w:rPr>
          <w:spacing w:val="-6"/>
          <w:w w:val="120"/>
          <w:sz w:val="20"/>
        </w:rPr>
        <w:t> </w:t>
      </w:r>
      <w:r>
        <w:rPr>
          <w:w w:val="120"/>
          <w:sz w:val="20"/>
        </w:rPr>
        <w:t>on</w:t>
      </w:r>
      <w:r>
        <w:rPr>
          <w:spacing w:val="-7"/>
          <w:w w:val="120"/>
          <w:sz w:val="20"/>
        </w:rPr>
        <w:t> </w:t>
      </w:r>
      <w:r>
        <w:rPr>
          <w:w w:val="120"/>
          <w:sz w:val="20"/>
        </w:rPr>
        <w:t>some other pre-union entity </w:t>
      </w:r>
      <w:r>
        <w:rPr>
          <w:spacing w:val="-6"/>
          <w:w w:val="120"/>
          <w:sz w:val="20"/>
        </w:rPr>
        <w:t>(such </w:t>
      </w:r>
      <w:r>
        <w:rPr>
          <w:w w:val="120"/>
          <w:sz w:val="20"/>
        </w:rPr>
        <w:t>as a presbytery or </w:t>
      </w:r>
      <w:r>
        <w:rPr>
          <w:spacing w:val="-3"/>
          <w:w w:val="120"/>
          <w:sz w:val="20"/>
        </w:rPr>
        <w:t>denominational </w:t>
      </w:r>
      <w:r>
        <w:rPr>
          <w:spacing w:val="-4"/>
          <w:w w:val="120"/>
          <w:sz w:val="20"/>
        </w:rPr>
        <w:t>committee) </w:t>
      </w:r>
      <w:r>
        <w:rPr>
          <w:spacing w:val="-2"/>
          <w:w w:val="120"/>
          <w:sz w:val="20"/>
        </w:rPr>
        <w:t>not </w:t>
      </w:r>
      <w:r>
        <w:rPr>
          <w:spacing w:val="-3"/>
          <w:w w:val="120"/>
          <w:sz w:val="20"/>
        </w:rPr>
        <w:t>covered </w:t>
      </w:r>
      <w:r>
        <w:rPr>
          <w:w w:val="120"/>
          <w:sz w:val="20"/>
        </w:rPr>
        <w:t>by the </w:t>
      </w:r>
      <w:r>
        <w:rPr>
          <w:spacing w:val="-3"/>
          <w:w w:val="120"/>
          <w:sz w:val="20"/>
        </w:rPr>
        <w:t>resolution, creating </w:t>
      </w:r>
      <w:r>
        <w:rPr>
          <w:w w:val="120"/>
          <w:sz w:val="20"/>
        </w:rPr>
        <w:t>the necessity for a further </w:t>
      </w:r>
      <w:r>
        <w:rPr>
          <w:spacing w:val="-3"/>
          <w:w w:val="120"/>
          <w:sz w:val="20"/>
        </w:rPr>
        <w:t>exercise </w:t>
      </w:r>
      <w:r>
        <w:rPr>
          <w:w w:val="120"/>
          <w:sz w:val="20"/>
        </w:rPr>
        <w:t>of the </w:t>
      </w:r>
      <w:r>
        <w:rPr>
          <w:spacing w:val="-3"/>
          <w:w w:val="120"/>
          <w:sz w:val="20"/>
        </w:rPr>
        <w:t>Assembly’s </w:t>
      </w:r>
      <w:r>
        <w:rPr>
          <w:w w:val="120"/>
          <w:sz w:val="20"/>
        </w:rPr>
        <w:t>right of appointment </w:t>
      </w:r>
      <w:r>
        <w:rPr>
          <w:spacing w:val="-3"/>
          <w:w w:val="120"/>
          <w:sz w:val="20"/>
        </w:rPr>
        <w:t>to </w:t>
      </w:r>
      <w:r>
        <w:rPr>
          <w:spacing w:val="-2"/>
          <w:w w:val="120"/>
          <w:sz w:val="20"/>
        </w:rPr>
        <w:t>lay </w:t>
      </w:r>
      <w:r>
        <w:rPr>
          <w:w w:val="120"/>
          <w:sz w:val="20"/>
        </w:rPr>
        <w:t>uncertainty </w:t>
      </w:r>
      <w:r>
        <w:rPr>
          <w:spacing w:val="-3"/>
          <w:w w:val="120"/>
          <w:sz w:val="20"/>
        </w:rPr>
        <w:t>to </w:t>
      </w:r>
      <w:r>
        <w:rPr>
          <w:w w:val="120"/>
          <w:sz w:val="20"/>
        </w:rPr>
        <w:t>rest. It is also </w:t>
      </w:r>
      <w:r>
        <w:rPr>
          <w:spacing w:val="-3"/>
          <w:w w:val="120"/>
          <w:sz w:val="20"/>
        </w:rPr>
        <w:t>conceivable </w:t>
      </w:r>
      <w:r>
        <w:rPr>
          <w:w w:val="120"/>
          <w:sz w:val="20"/>
        </w:rPr>
        <w:t>that some amendment of the </w:t>
      </w:r>
      <w:r>
        <w:rPr>
          <w:spacing w:val="-3"/>
          <w:w w:val="120"/>
          <w:sz w:val="20"/>
        </w:rPr>
        <w:t>provisions </w:t>
      </w:r>
      <w:r>
        <w:rPr>
          <w:spacing w:val="-2"/>
          <w:w w:val="120"/>
          <w:sz w:val="20"/>
        </w:rPr>
        <w:t>now </w:t>
      </w:r>
      <w:r>
        <w:rPr>
          <w:w w:val="120"/>
          <w:sz w:val="20"/>
        </w:rPr>
        <w:t>proposed </w:t>
      </w:r>
      <w:r>
        <w:rPr>
          <w:spacing w:val="-3"/>
          <w:w w:val="120"/>
          <w:sz w:val="20"/>
        </w:rPr>
        <w:t>may </w:t>
      </w:r>
      <w:r>
        <w:rPr>
          <w:w w:val="120"/>
          <w:sz w:val="20"/>
        </w:rPr>
        <w:t>be needed in the light of experience. The</w:t>
      </w:r>
      <w:r>
        <w:rPr>
          <w:spacing w:val="-16"/>
          <w:w w:val="120"/>
          <w:sz w:val="20"/>
        </w:rPr>
        <w:t> </w:t>
      </w:r>
      <w:r>
        <w:rPr>
          <w:w w:val="120"/>
          <w:sz w:val="20"/>
        </w:rPr>
        <w:t>resolution</w:t>
      </w:r>
    </w:p>
    <w:p>
      <w:pPr>
        <w:pStyle w:val="BodyText"/>
        <w:ind w:left="1984"/>
      </w:pPr>
      <w:r>
        <w:rPr>
          <w:w w:val="120"/>
        </w:rPr>
        <w:t>therefore also contains a delegation of Assembly’s rights to Mission Council for the future.</w:t>
      </w:r>
    </w:p>
    <w:p>
      <w:pPr>
        <w:pStyle w:val="BodyText"/>
        <w:spacing w:before="7"/>
        <w:rPr>
          <w:sz w:val="19"/>
        </w:rPr>
      </w:pPr>
    </w:p>
    <w:p>
      <w:pPr>
        <w:pStyle w:val="ListParagraph"/>
        <w:numPr>
          <w:ilvl w:val="0"/>
          <w:numId w:val="31"/>
        </w:numPr>
        <w:tabs>
          <w:tab w:pos="2664" w:val="left" w:leader="none"/>
          <w:tab w:pos="2665" w:val="left" w:leader="none"/>
        </w:tabs>
        <w:spacing w:line="235" w:lineRule="auto" w:before="0" w:after="0"/>
        <w:ind w:left="1984" w:right="1437" w:firstLine="0"/>
        <w:jc w:val="left"/>
        <w:rPr>
          <w:sz w:val="20"/>
        </w:rPr>
      </w:pPr>
      <w:r>
        <w:rPr>
          <w:w w:val="120"/>
          <w:sz w:val="20"/>
        </w:rPr>
        <w:t>The resolution will not cover </w:t>
      </w:r>
      <w:r>
        <w:rPr>
          <w:spacing w:val="2"/>
          <w:w w:val="120"/>
          <w:sz w:val="20"/>
        </w:rPr>
        <w:t>property </w:t>
      </w:r>
      <w:r>
        <w:rPr>
          <w:w w:val="120"/>
          <w:sz w:val="20"/>
        </w:rPr>
        <w:t>category A above since the Acts’ Second Schedules have already made adequate provision for such property. This is stated, for the avoidance of any</w:t>
      </w:r>
      <w:r>
        <w:rPr>
          <w:spacing w:val="8"/>
          <w:w w:val="120"/>
          <w:sz w:val="20"/>
        </w:rPr>
        <w:t> </w:t>
      </w:r>
      <w:r>
        <w:rPr>
          <w:w w:val="120"/>
          <w:sz w:val="20"/>
        </w:rPr>
        <w:t>doubt.</w:t>
      </w:r>
    </w:p>
    <w:p>
      <w:pPr>
        <w:spacing w:after="0" w:line="235" w:lineRule="auto"/>
        <w:jc w:val="left"/>
        <w:rPr>
          <w:sz w:val="20"/>
        </w:rPr>
        <w:sectPr>
          <w:headerReference w:type="default" r:id="rId116"/>
          <w:footerReference w:type="default" r:id="rId117"/>
          <w:footerReference w:type="even" r:id="rId118"/>
          <w:pgSz w:w="11910" w:h="16840"/>
          <w:pgMar w:header="0" w:footer="647" w:top="0" w:bottom="840" w:left="0" w:right="0"/>
          <w:pgNumType w:start="47"/>
        </w:sectPr>
      </w:pPr>
    </w:p>
    <w:p>
      <w:pPr>
        <w:pStyle w:val="BodyText"/>
      </w:pPr>
      <w:r>
        <w:rPr/>
        <w:drawing>
          <wp:anchor distT="0" distB="0" distL="0" distR="0" allowOverlap="1" layoutInCell="1" locked="0" behindDoc="0" simplePos="0" relativeHeight="251800576">
            <wp:simplePos x="0" y="0"/>
            <wp:positionH relativeFrom="page">
              <wp:posOffset>0</wp:posOffset>
            </wp:positionH>
            <wp:positionV relativeFrom="page">
              <wp:posOffset>0</wp:posOffset>
            </wp:positionV>
            <wp:extent cx="594067" cy="10692003"/>
            <wp:effectExtent l="0" t="0" r="0" b="0"/>
            <wp:wrapNone/>
            <wp:docPr id="87" name="image22.png"/>
            <wp:cNvGraphicFramePr>
              <a:graphicFrameLocks noChangeAspect="1"/>
            </wp:cNvGraphicFramePr>
            <a:graphic>
              <a:graphicData uri="http://schemas.openxmlformats.org/drawingml/2006/picture">
                <pic:pic>
                  <pic:nvPicPr>
                    <pic:cNvPr id="88" name="image22.png"/>
                    <pic:cNvPicPr/>
                  </pic:nvPicPr>
                  <pic:blipFill>
                    <a:blip r:embed="rId33" cstate="print"/>
                    <a:stretch>
                      <a:fillRect/>
                    </a:stretch>
                  </pic:blipFill>
                  <pic:spPr>
                    <a:xfrm>
                      <a:off x="0" y="0"/>
                      <a:ext cx="594067" cy="10692003"/>
                    </a:xfrm>
                    <a:prstGeom prst="rect">
                      <a:avLst/>
                    </a:prstGeom>
                  </pic:spPr>
                </pic:pic>
              </a:graphicData>
            </a:graphic>
          </wp:anchor>
        </w:drawing>
      </w:r>
      <w:r>
        <w:rPr/>
        <w:pict>
          <v:line style="position:absolute;mso-position-horizontal-relative:page;mso-position-vertical-relative:page;z-index:251801600" from="595.276001pt,.000015pt" to="595.276001pt,841.890015pt" stroked="true" strokeweight="0pt" strokecolor="#ffedc2">
            <v:stroke dashstyle="solid"/>
            <w10:wrap type="none"/>
          </v:line>
        </w:pict>
      </w:r>
    </w:p>
    <w:p>
      <w:pPr>
        <w:pStyle w:val="BodyText"/>
        <w:spacing w:before="7"/>
        <w:rPr>
          <w:sz w:val="21"/>
        </w:rPr>
      </w:pPr>
    </w:p>
    <w:p>
      <w:pPr>
        <w:pStyle w:val="Heading5"/>
      </w:pPr>
      <w:r>
        <w:rPr/>
        <w:pict>
          <v:shape style="position:absolute;margin-left:20.519100pt;margin-top:22.593945pt;width:25.9pt;height:267.5pt;mso-position-horizontal-relative:page;mso-position-vertical-relative:paragraph;z-index:251802624" type="#_x0000_t202" filled="false" stroked="false">
            <v:textbox inset="0,0,0,0" style="layout-flow:vertical">
              <w:txbxContent>
                <w:p>
                  <w:pPr>
                    <w:spacing w:before="27"/>
                    <w:ind w:left="20" w:right="0" w:firstLine="0"/>
                    <w:jc w:val="left"/>
                    <w:rPr>
                      <w:sz w:val="39"/>
                    </w:rPr>
                  </w:pPr>
                  <w:r>
                    <w:rPr>
                      <w:color w:val="FFFFFF"/>
                      <w:spacing w:val="5"/>
                      <w:w w:val="120"/>
                      <w:sz w:val="39"/>
                    </w:rPr>
                    <w:t>Powers in </w:t>
                  </w:r>
                  <w:r>
                    <w:rPr>
                      <w:color w:val="FFFFFF"/>
                      <w:spacing w:val="9"/>
                      <w:w w:val="120"/>
                      <w:sz w:val="39"/>
                    </w:rPr>
                    <w:t>pre-union</w:t>
                  </w:r>
                  <w:r>
                    <w:rPr>
                      <w:color w:val="FFFFFF"/>
                      <w:spacing w:val="68"/>
                      <w:w w:val="120"/>
                      <w:sz w:val="39"/>
                    </w:rPr>
                    <w:t> </w:t>
                  </w:r>
                  <w:r>
                    <w:rPr>
                      <w:color w:val="FFFFFF"/>
                      <w:spacing w:val="11"/>
                      <w:w w:val="120"/>
                      <w:sz w:val="39"/>
                    </w:rPr>
                    <w:t>trusts</w:t>
                  </w:r>
                </w:p>
              </w:txbxContent>
            </v:textbox>
            <w10:wrap type="none"/>
          </v:shape>
        </w:pict>
      </w:r>
      <w:r>
        <w:rPr>
          <w:color w:val="7EAABF"/>
          <w:w w:val="120"/>
        </w:rPr>
        <w:t>Mission Council</w:t>
      </w:r>
    </w:p>
    <w:p>
      <w:pPr>
        <w:pStyle w:val="ListParagraph"/>
        <w:numPr>
          <w:ilvl w:val="0"/>
          <w:numId w:val="31"/>
        </w:numPr>
        <w:tabs>
          <w:tab w:pos="1927" w:val="left" w:leader="none"/>
          <w:tab w:pos="1928" w:val="left" w:leader="none"/>
        </w:tabs>
        <w:spacing w:line="235" w:lineRule="auto" w:before="222" w:after="0"/>
        <w:ind w:left="1247" w:right="2276" w:firstLine="0"/>
        <w:jc w:val="left"/>
        <w:rPr>
          <w:sz w:val="20"/>
        </w:rPr>
      </w:pPr>
      <w:r>
        <w:rPr>
          <w:w w:val="120"/>
          <w:sz w:val="20"/>
        </w:rPr>
        <w:t>Section </w:t>
      </w:r>
      <w:r>
        <w:rPr>
          <w:spacing w:val="-7"/>
          <w:w w:val="120"/>
          <w:sz w:val="20"/>
        </w:rPr>
        <w:t>18 </w:t>
      </w:r>
      <w:r>
        <w:rPr>
          <w:w w:val="120"/>
          <w:sz w:val="20"/>
        </w:rPr>
        <w:t>of the </w:t>
      </w:r>
      <w:r>
        <w:rPr>
          <w:spacing w:val="-7"/>
          <w:w w:val="120"/>
          <w:sz w:val="20"/>
        </w:rPr>
        <w:t>1972 </w:t>
      </w:r>
      <w:r>
        <w:rPr>
          <w:w w:val="120"/>
          <w:sz w:val="20"/>
        </w:rPr>
        <w:t>Act extends to the Isle of Man by virtue of the United Reformed Church Act </w:t>
      </w:r>
      <w:r>
        <w:rPr>
          <w:spacing w:val="-7"/>
          <w:w w:val="120"/>
          <w:sz w:val="20"/>
        </w:rPr>
        <w:t>1972 </w:t>
      </w:r>
      <w:r>
        <w:rPr>
          <w:w w:val="120"/>
          <w:sz w:val="20"/>
        </w:rPr>
        <w:t>(Isle of </w:t>
      </w:r>
      <w:r>
        <w:rPr>
          <w:spacing w:val="-4"/>
          <w:w w:val="120"/>
          <w:sz w:val="20"/>
        </w:rPr>
        <w:t>Man) </w:t>
      </w:r>
      <w:r>
        <w:rPr>
          <w:w w:val="120"/>
          <w:sz w:val="20"/>
        </w:rPr>
        <w:t>Order </w:t>
      </w:r>
      <w:r>
        <w:rPr>
          <w:spacing w:val="-11"/>
          <w:w w:val="120"/>
          <w:sz w:val="20"/>
        </w:rPr>
        <w:t>1977, </w:t>
      </w:r>
      <w:r>
        <w:rPr>
          <w:w w:val="120"/>
          <w:sz w:val="20"/>
        </w:rPr>
        <w:t>to Guernsey by virtue of the United Reformed Church Act </w:t>
      </w:r>
      <w:r>
        <w:rPr>
          <w:spacing w:val="-7"/>
          <w:w w:val="120"/>
          <w:sz w:val="20"/>
        </w:rPr>
        <w:t>1972 </w:t>
      </w:r>
      <w:r>
        <w:rPr>
          <w:spacing w:val="-3"/>
          <w:w w:val="120"/>
          <w:sz w:val="20"/>
        </w:rPr>
        <w:t>(Guernsey) </w:t>
      </w:r>
      <w:r>
        <w:rPr>
          <w:w w:val="120"/>
          <w:sz w:val="20"/>
        </w:rPr>
        <w:t>Order </w:t>
      </w:r>
      <w:r>
        <w:rPr>
          <w:spacing w:val="-7"/>
          <w:w w:val="120"/>
          <w:sz w:val="20"/>
        </w:rPr>
        <w:t>1981 </w:t>
      </w:r>
      <w:r>
        <w:rPr>
          <w:w w:val="120"/>
          <w:sz w:val="20"/>
        </w:rPr>
        <w:t>and to Jersey by virtue of the United Reformed Church </w:t>
      </w:r>
      <w:r>
        <w:rPr>
          <w:spacing w:val="2"/>
          <w:w w:val="120"/>
          <w:sz w:val="20"/>
        </w:rPr>
        <w:t>Acts </w:t>
      </w:r>
      <w:r>
        <w:rPr>
          <w:spacing w:val="-7"/>
          <w:w w:val="120"/>
          <w:sz w:val="20"/>
        </w:rPr>
        <w:t>1972 </w:t>
      </w:r>
      <w:r>
        <w:rPr>
          <w:w w:val="120"/>
          <w:sz w:val="20"/>
        </w:rPr>
        <w:t>and </w:t>
      </w:r>
      <w:r>
        <w:rPr>
          <w:spacing w:val="-7"/>
          <w:w w:val="120"/>
          <w:sz w:val="20"/>
        </w:rPr>
        <w:t>1981 </w:t>
      </w:r>
      <w:r>
        <w:rPr>
          <w:w w:val="120"/>
          <w:sz w:val="20"/>
        </w:rPr>
        <w:t>(Jersey) Order </w:t>
      </w:r>
      <w:r>
        <w:rPr>
          <w:spacing w:val="-4"/>
          <w:w w:val="120"/>
          <w:sz w:val="20"/>
        </w:rPr>
        <w:t>1998. </w:t>
      </w:r>
      <w:r>
        <w:rPr>
          <w:w w:val="120"/>
          <w:sz w:val="20"/>
        </w:rPr>
        <w:t>The resolution therefore also covers powers in relation to any </w:t>
      </w:r>
      <w:r>
        <w:rPr>
          <w:spacing w:val="2"/>
          <w:w w:val="120"/>
          <w:sz w:val="20"/>
        </w:rPr>
        <w:t>property </w:t>
      </w:r>
      <w:r>
        <w:rPr>
          <w:w w:val="120"/>
          <w:sz w:val="20"/>
        </w:rPr>
        <w:t>in categories </w:t>
      </w:r>
      <w:r>
        <w:rPr>
          <w:spacing w:val="5"/>
          <w:w w:val="120"/>
          <w:sz w:val="20"/>
        </w:rPr>
        <w:t>B-E </w:t>
      </w:r>
      <w:r>
        <w:rPr>
          <w:w w:val="120"/>
          <w:sz w:val="20"/>
        </w:rPr>
        <w:t>above that may exist in the</w:t>
      </w:r>
      <w:r>
        <w:rPr>
          <w:spacing w:val="7"/>
          <w:w w:val="120"/>
          <w:sz w:val="20"/>
        </w:rPr>
        <w:t> </w:t>
      </w:r>
      <w:r>
        <w:rPr>
          <w:w w:val="120"/>
          <w:sz w:val="20"/>
        </w:rPr>
        <w:t>Islands.</w:t>
      </w:r>
    </w:p>
    <w:p>
      <w:pPr>
        <w:pStyle w:val="BodyText"/>
      </w:pPr>
    </w:p>
    <w:p>
      <w:pPr>
        <w:pStyle w:val="ListParagraph"/>
        <w:numPr>
          <w:ilvl w:val="0"/>
          <w:numId w:val="31"/>
        </w:numPr>
        <w:tabs>
          <w:tab w:pos="1927" w:val="left" w:leader="none"/>
          <w:tab w:pos="1928" w:val="left" w:leader="none"/>
        </w:tabs>
        <w:spacing w:line="235" w:lineRule="auto" w:before="0" w:after="0"/>
        <w:ind w:left="1247" w:right="2084" w:firstLine="0"/>
        <w:jc w:val="left"/>
        <w:rPr>
          <w:sz w:val="20"/>
        </w:rPr>
      </w:pPr>
      <w:r>
        <w:rPr>
          <w:w w:val="125"/>
          <w:sz w:val="20"/>
        </w:rPr>
        <w:t>Sections </w:t>
      </w:r>
      <w:r>
        <w:rPr>
          <w:spacing w:val="-11"/>
          <w:w w:val="125"/>
          <w:sz w:val="20"/>
        </w:rPr>
        <w:t>12(1) </w:t>
      </w:r>
      <w:r>
        <w:rPr>
          <w:w w:val="125"/>
          <w:sz w:val="20"/>
        </w:rPr>
        <w:t>and </w:t>
      </w:r>
      <w:r>
        <w:rPr>
          <w:spacing w:val="-8"/>
          <w:w w:val="125"/>
          <w:sz w:val="20"/>
        </w:rPr>
        <w:t>(2) </w:t>
      </w:r>
      <w:r>
        <w:rPr>
          <w:w w:val="125"/>
          <w:sz w:val="20"/>
        </w:rPr>
        <w:t>of the United Reformed Church Act </w:t>
      </w:r>
      <w:r>
        <w:rPr>
          <w:spacing w:val="2"/>
          <w:w w:val="125"/>
          <w:sz w:val="20"/>
        </w:rPr>
        <w:t>2000 </w:t>
      </w:r>
      <w:r>
        <w:rPr>
          <w:w w:val="125"/>
          <w:sz w:val="20"/>
        </w:rPr>
        <w:t>make comparable</w:t>
      </w:r>
      <w:r>
        <w:rPr>
          <w:spacing w:val="-19"/>
          <w:w w:val="125"/>
          <w:sz w:val="20"/>
        </w:rPr>
        <w:t> </w:t>
      </w:r>
      <w:r>
        <w:rPr>
          <w:w w:val="125"/>
          <w:sz w:val="20"/>
        </w:rPr>
        <w:t>provision</w:t>
      </w:r>
      <w:r>
        <w:rPr>
          <w:spacing w:val="-19"/>
          <w:w w:val="125"/>
          <w:sz w:val="20"/>
        </w:rPr>
        <w:t> </w:t>
      </w:r>
      <w:r>
        <w:rPr>
          <w:w w:val="125"/>
          <w:sz w:val="20"/>
        </w:rPr>
        <w:t>in</w:t>
      </w:r>
      <w:r>
        <w:rPr>
          <w:spacing w:val="-18"/>
          <w:w w:val="125"/>
          <w:sz w:val="20"/>
        </w:rPr>
        <w:t> </w:t>
      </w:r>
      <w:r>
        <w:rPr>
          <w:w w:val="125"/>
          <w:sz w:val="20"/>
        </w:rPr>
        <w:t>respect</w:t>
      </w:r>
      <w:r>
        <w:rPr>
          <w:spacing w:val="-19"/>
          <w:w w:val="125"/>
          <w:sz w:val="20"/>
        </w:rPr>
        <w:t> </w:t>
      </w:r>
      <w:r>
        <w:rPr>
          <w:w w:val="125"/>
          <w:sz w:val="20"/>
        </w:rPr>
        <w:t>of</w:t>
      </w:r>
      <w:r>
        <w:rPr>
          <w:spacing w:val="-19"/>
          <w:w w:val="125"/>
          <w:sz w:val="20"/>
        </w:rPr>
        <w:t> </w:t>
      </w:r>
      <w:r>
        <w:rPr>
          <w:w w:val="125"/>
          <w:sz w:val="20"/>
        </w:rPr>
        <w:t>assets</w:t>
      </w:r>
      <w:r>
        <w:rPr>
          <w:spacing w:val="-18"/>
          <w:w w:val="125"/>
          <w:sz w:val="20"/>
        </w:rPr>
        <w:t> </w:t>
      </w:r>
      <w:r>
        <w:rPr>
          <w:w w:val="125"/>
          <w:sz w:val="20"/>
        </w:rPr>
        <w:t>formerly</w:t>
      </w:r>
      <w:r>
        <w:rPr>
          <w:spacing w:val="-19"/>
          <w:w w:val="125"/>
          <w:sz w:val="20"/>
        </w:rPr>
        <w:t> </w:t>
      </w:r>
      <w:r>
        <w:rPr>
          <w:w w:val="125"/>
          <w:sz w:val="20"/>
        </w:rPr>
        <w:t>held</w:t>
      </w:r>
      <w:r>
        <w:rPr>
          <w:spacing w:val="-19"/>
          <w:w w:val="125"/>
          <w:sz w:val="20"/>
        </w:rPr>
        <w:t> </w:t>
      </w:r>
      <w:r>
        <w:rPr>
          <w:w w:val="125"/>
          <w:sz w:val="20"/>
        </w:rPr>
        <w:t>for</w:t>
      </w:r>
      <w:r>
        <w:rPr>
          <w:spacing w:val="-18"/>
          <w:w w:val="125"/>
          <w:sz w:val="20"/>
        </w:rPr>
        <w:t> </w:t>
      </w:r>
      <w:r>
        <w:rPr>
          <w:w w:val="125"/>
          <w:sz w:val="20"/>
        </w:rPr>
        <w:t>the</w:t>
      </w:r>
      <w:r>
        <w:rPr>
          <w:spacing w:val="-19"/>
          <w:w w:val="125"/>
          <w:sz w:val="20"/>
        </w:rPr>
        <w:t> </w:t>
      </w:r>
      <w:r>
        <w:rPr>
          <w:w w:val="125"/>
          <w:sz w:val="20"/>
        </w:rPr>
        <w:t>Congregational</w:t>
      </w:r>
      <w:r>
        <w:rPr>
          <w:spacing w:val="-19"/>
          <w:w w:val="125"/>
          <w:sz w:val="20"/>
        </w:rPr>
        <w:t> </w:t>
      </w:r>
      <w:r>
        <w:rPr>
          <w:w w:val="125"/>
          <w:sz w:val="20"/>
        </w:rPr>
        <w:t>Union of</w:t>
      </w:r>
      <w:r>
        <w:rPr>
          <w:spacing w:val="-15"/>
          <w:w w:val="125"/>
          <w:sz w:val="20"/>
        </w:rPr>
        <w:t> </w:t>
      </w:r>
      <w:r>
        <w:rPr>
          <w:w w:val="125"/>
          <w:sz w:val="20"/>
        </w:rPr>
        <w:t>Scotland</w:t>
      </w:r>
      <w:r>
        <w:rPr>
          <w:spacing w:val="-15"/>
          <w:w w:val="125"/>
          <w:sz w:val="20"/>
        </w:rPr>
        <w:t> </w:t>
      </w:r>
      <w:r>
        <w:rPr>
          <w:w w:val="125"/>
          <w:sz w:val="20"/>
        </w:rPr>
        <w:t>and</w:t>
      </w:r>
      <w:r>
        <w:rPr>
          <w:spacing w:val="-15"/>
          <w:w w:val="125"/>
          <w:sz w:val="20"/>
        </w:rPr>
        <w:t> </w:t>
      </w:r>
      <w:r>
        <w:rPr>
          <w:w w:val="125"/>
          <w:sz w:val="20"/>
        </w:rPr>
        <w:t>its</w:t>
      </w:r>
      <w:r>
        <w:rPr>
          <w:spacing w:val="-14"/>
          <w:w w:val="125"/>
          <w:sz w:val="20"/>
        </w:rPr>
        <w:t> </w:t>
      </w:r>
      <w:r>
        <w:rPr>
          <w:w w:val="125"/>
          <w:sz w:val="20"/>
        </w:rPr>
        <w:t>churches,</w:t>
      </w:r>
      <w:r>
        <w:rPr>
          <w:spacing w:val="-15"/>
          <w:w w:val="125"/>
          <w:sz w:val="20"/>
        </w:rPr>
        <w:t> </w:t>
      </w:r>
      <w:r>
        <w:rPr>
          <w:w w:val="125"/>
          <w:sz w:val="20"/>
        </w:rPr>
        <w:t>but</w:t>
      </w:r>
      <w:r>
        <w:rPr>
          <w:spacing w:val="-15"/>
          <w:w w:val="125"/>
          <w:sz w:val="20"/>
        </w:rPr>
        <w:t> </w:t>
      </w:r>
      <w:r>
        <w:rPr>
          <w:w w:val="125"/>
          <w:sz w:val="20"/>
        </w:rPr>
        <w:t>in</w:t>
      </w:r>
      <w:r>
        <w:rPr>
          <w:spacing w:val="-14"/>
          <w:w w:val="125"/>
          <w:sz w:val="20"/>
        </w:rPr>
        <w:t> </w:t>
      </w:r>
      <w:r>
        <w:rPr>
          <w:w w:val="125"/>
          <w:sz w:val="20"/>
        </w:rPr>
        <w:t>that</w:t>
      </w:r>
      <w:r>
        <w:rPr>
          <w:spacing w:val="-15"/>
          <w:w w:val="125"/>
          <w:sz w:val="20"/>
        </w:rPr>
        <w:t> </w:t>
      </w:r>
      <w:r>
        <w:rPr>
          <w:w w:val="125"/>
          <w:sz w:val="20"/>
        </w:rPr>
        <w:t>case</w:t>
      </w:r>
      <w:r>
        <w:rPr>
          <w:spacing w:val="-15"/>
          <w:w w:val="125"/>
          <w:sz w:val="20"/>
        </w:rPr>
        <w:t> </w:t>
      </w:r>
      <w:r>
        <w:rPr>
          <w:w w:val="125"/>
          <w:sz w:val="20"/>
        </w:rPr>
        <w:t>the</w:t>
      </w:r>
      <w:r>
        <w:rPr>
          <w:spacing w:val="-14"/>
          <w:w w:val="125"/>
          <w:sz w:val="20"/>
        </w:rPr>
        <w:t> </w:t>
      </w:r>
      <w:r>
        <w:rPr>
          <w:w w:val="125"/>
          <w:sz w:val="20"/>
        </w:rPr>
        <w:t>power</w:t>
      </w:r>
      <w:r>
        <w:rPr>
          <w:spacing w:val="-15"/>
          <w:w w:val="125"/>
          <w:sz w:val="20"/>
        </w:rPr>
        <w:t> </w:t>
      </w:r>
      <w:r>
        <w:rPr>
          <w:w w:val="125"/>
          <w:sz w:val="20"/>
        </w:rPr>
        <w:t>of</w:t>
      </w:r>
      <w:r>
        <w:rPr>
          <w:spacing w:val="-15"/>
          <w:w w:val="125"/>
          <w:sz w:val="20"/>
        </w:rPr>
        <w:t> </w:t>
      </w:r>
      <w:r>
        <w:rPr>
          <w:w w:val="125"/>
          <w:sz w:val="20"/>
        </w:rPr>
        <w:t>appointment</w:t>
      </w:r>
      <w:r>
        <w:rPr>
          <w:spacing w:val="-14"/>
          <w:w w:val="125"/>
          <w:sz w:val="20"/>
        </w:rPr>
        <w:t> </w:t>
      </w:r>
      <w:r>
        <w:rPr>
          <w:w w:val="125"/>
          <w:sz w:val="20"/>
        </w:rPr>
        <w:t>lies</w:t>
      </w:r>
      <w:r>
        <w:rPr>
          <w:spacing w:val="-15"/>
          <w:w w:val="125"/>
          <w:sz w:val="20"/>
        </w:rPr>
        <w:t> </w:t>
      </w:r>
      <w:r>
        <w:rPr>
          <w:w w:val="125"/>
          <w:sz w:val="20"/>
        </w:rPr>
        <w:t>with</w:t>
      </w:r>
      <w:r>
        <w:rPr>
          <w:spacing w:val="-15"/>
          <w:w w:val="125"/>
          <w:sz w:val="20"/>
        </w:rPr>
        <w:t> </w:t>
      </w:r>
      <w:r>
        <w:rPr>
          <w:w w:val="125"/>
          <w:sz w:val="20"/>
        </w:rPr>
        <w:t>the Synod</w:t>
      </w:r>
      <w:r>
        <w:rPr>
          <w:spacing w:val="-27"/>
          <w:w w:val="125"/>
          <w:sz w:val="20"/>
        </w:rPr>
        <w:t> </w:t>
      </w:r>
      <w:r>
        <w:rPr>
          <w:w w:val="125"/>
          <w:sz w:val="20"/>
        </w:rPr>
        <w:t>of</w:t>
      </w:r>
      <w:r>
        <w:rPr>
          <w:spacing w:val="-26"/>
          <w:w w:val="125"/>
          <w:sz w:val="20"/>
        </w:rPr>
        <w:t> </w:t>
      </w:r>
      <w:r>
        <w:rPr>
          <w:w w:val="125"/>
          <w:sz w:val="20"/>
        </w:rPr>
        <w:t>Scotland</w:t>
      </w:r>
      <w:r>
        <w:rPr>
          <w:spacing w:val="-26"/>
          <w:w w:val="125"/>
          <w:sz w:val="20"/>
        </w:rPr>
        <w:t> </w:t>
      </w:r>
      <w:r>
        <w:rPr>
          <w:w w:val="125"/>
          <w:sz w:val="20"/>
        </w:rPr>
        <w:t>rather</w:t>
      </w:r>
      <w:r>
        <w:rPr>
          <w:spacing w:val="-26"/>
          <w:w w:val="125"/>
          <w:sz w:val="20"/>
        </w:rPr>
        <w:t> </w:t>
      </w:r>
      <w:r>
        <w:rPr>
          <w:w w:val="125"/>
          <w:sz w:val="20"/>
        </w:rPr>
        <w:t>than</w:t>
      </w:r>
      <w:r>
        <w:rPr>
          <w:spacing w:val="-26"/>
          <w:w w:val="125"/>
          <w:sz w:val="20"/>
        </w:rPr>
        <w:t> </w:t>
      </w:r>
      <w:r>
        <w:rPr>
          <w:w w:val="125"/>
          <w:sz w:val="20"/>
        </w:rPr>
        <w:t>the</w:t>
      </w:r>
      <w:r>
        <w:rPr>
          <w:spacing w:val="-26"/>
          <w:w w:val="125"/>
          <w:sz w:val="20"/>
        </w:rPr>
        <w:t> </w:t>
      </w:r>
      <w:r>
        <w:rPr>
          <w:w w:val="125"/>
          <w:sz w:val="20"/>
        </w:rPr>
        <w:t>General</w:t>
      </w:r>
      <w:r>
        <w:rPr>
          <w:spacing w:val="-26"/>
          <w:w w:val="125"/>
          <w:sz w:val="20"/>
        </w:rPr>
        <w:t> </w:t>
      </w:r>
      <w:r>
        <w:rPr>
          <w:w w:val="125"/>
          <w:sz w:val="20"/>
        </w:rPr>
        <w:t>Assembly.</w:t>
      </w:r>
      <w:r>
        <w:rPr>
          <w:spacing w:val="-26"/>
          <w:w w:val="125"/>
          <w:sz w:val="20"/>
        </w:rPr>
        <w:t> </w:t>
      </w:r>
      <w:r>
        <w:rPr>
          <w:w w:val="125"/>
          <w:sz w:val="20"/>
        </w:rPr>
        <w:t>The</w:t>
      </w:r>
      <w:r>
        <w:rPr>
          <w:spacing w:val="-26"/>
          <w:w w:val="125"/>
          <w:sz w:val="20"/>
        </w:rPr>
        <w:t> </w:t>
      </w:r>
      <w:r>
        <w:rPr>
          <w:w w:val="125"/>
          <w:sz w:val="20"/>
        </w:rPr>
        <w:t>resolution</w:t>
      </w:r>
      <w:r>
        <w:rPr>
          <w:spacing w:val="-26"/>
          <w:w w:val="125"/>
          <w:sz w:val="20"/>
        </w:rPr>
        <w:t> </w:t>
      </w:r>
      <w:r>
        <w:rPr>
          <w:w w:val="125"/>
          <w:sz w:val="20"/>
        </w:rPr>
        <w:t>does</w:t>
      </w:r>
      <w:r>
        <w:rPr>
          <w:spacing w:val="-26"/>
          <w:w w:val="125"/>
          <w:sz w:val="20"/>
        </w:rPr>
        <w:t> </w:t>
      </w:r>
      <w:r>
        <w:rPr>
          <w:w w:val="125"/>
          <w:sz w:val="20"/>
        </w:rPr>
        <w:t>not</w:t>
      </w:r>
      <w:r>
        <w:rPr>
          <w:spacing w:val="-26"/>
          <w:w w:val="125"/>
          <w:sz w:val="20"/>
        </w:rPr>
        <w:t> </w:t>
      </w:r>
      <w:r>
        <w:rPr>
          <w:w w:val="125"/>
          <w:sz w:val="20"/>
        </w:rPr>
        <w:t>therefore refer to the </w:t>
      </w:r>
      <w:r>
        <w:rPr>
          <w:spacing w:val="2"/>
          <w:w w:val="125"/>
          <w:sz w:val="20"/>
        </w:rPr>
        <w:t>2000 </w:t>
      </w:r>
      <w:r>
        <w:rPr>
          <w:w w:val="125"/>
          <w:sz w:val="20"/>
        </w:rPr>
        <w:t>Act; but if Mission Council agrees to propose the resolution to Assembly,</w:t>
      </w:r>
      <w:r>
        <w:rPr>
          <w:spacing w:val="-15"/>
          <w:w w:val="125"/>
          <w:sz w:val="20"/>
        </w:rPr>
        <w:t> </w:t>
      </w:r>
      <w:r>
        <w:rPr>
          <w:w w:val="125"/>
          <w:sz w:val="20"/>
        </w:rPr>
        <w:t>the</w:t>
      </w:r>
      <w:r>
        <w:rPr>
          <w:spacing w:val="-14"/>
          <w:w w:val="125"/>
          <w:sz w:val="20"/>
        </w:rPr>
        <w:t> </w:t>
      </w:r>
      <w:r>
        <w:rPr>
          <w:w w:val="125"/>
          <w:sz w:val="20"/>
        </w:rPr>
        <w:t>law</w:t>
      </w:r>
      <w:r>
        <w:rPr>
          <w:spacing w:val="-15"/>
          <w:w w:val="125"/>
          <w:sz w:val="20"/>
        </w:rPr>
        <w:t> </w:t>
      </w:r>
      <w:r>
        <w:rPr>
          <w:w w:val="125"/>
          <w:sz w:val="20"/>
        </w:rPr>
        <w:t>and</w:t>
      </w:r>
      <w:r>
        <w:rPr>
          <w:spacing w:val="-14"/>
          <w:w w:val="125"/>
          <w:sz w:val="20"/>
        </w:rPr>
        <w:t> </w:t>
      </w:r>
      <w:r>
        <w:rPr>
          <w:w w:val="125"/>
          <w:sz w:val="20"/>
        </w:rPr>
        <w:t>polity</w:t>
      </w:r>
      <w:r>
        <w:rPr>
          <w:spacing w:val="-15"/>
          <w:w w:val="125"/>
          <w:sz w:val="20"/>
        </w:rPr>
        <w:t> </w:t>
      </w:r>
      <w:r>
        <w:rPr>
          <w:w w:val="125"/>
          <w:sz w:val="20"/>
        </w:rPr>
        <w:t>advisory</w:t>
      </w:r>
      <w:r>
        <w:rPr>
          <w:spacing w:val="-14"/>
          <w:w w:val="125"/>
          <w:sz w:val="20"/>
        </w:rPr>
        <w:t> </w:t>
      </w:r>
      <w:r>
        <w:rPr>
          <w:w w:val="125"/>
          <w:sz w:val="20"/>
        </w:rPr>
        <w:t>group</w:t>
      </w:r>
      <w:r>
        <w:rPr>
          <w:spacing w:val="-15"/>
          <w:w w:val="125"/>
          <w:sz w:val="20"/>
        </w:rPr>
        <w:t> </w:t>
      </w:r>
      <w:r>
        <w:rPr>
          <w:w w:val="125"/>
          <w:sz w:val="20"/>
        </w:rPr>
        <w:t>will</w:t>
      </w:r>
      <w:r>
        <w:rPr>
          <w:spacing w:val="-14"/>
          <w:w w:val="125"/>
          <w:sz w:val="20"/>
        </w:rPr>
        <w:t> </w:t>
      </w:r>
      <w:r>
        <w:rPr>
          <w:w w:val="125"/>
          <w:sz w:val="20"/>
        </w:rPr>
        <w:t>send</w:t>
      </w:r>
      <w:r>
        <w:rPr>
          <w:spacing w:val="-15"/>
          <w:w w:val="125"/>
          <w:sz w:val="20"/>
        </w:rPr>
        <w:t> </w:t>
      </w:r>
      <w:r>
        <w:rPr>
          <w:w w:val="125"/>
          <w:sz w:val="20"/>
        </w:rPr>
        <w:t>a</w:t>
      </w:r>
      <w:r>
        <w:rPr>
          <w:spacing w:val="-14"/>
          <w:w w:val="125"/>
          <w:sz w:val="20"/>
        </w:rPr>
        <w:t> </w:t>
      </w:r>
      <w:r>
        <w:rPr>
          <w:w w:val="125"/>
          <w:sz w:val="20"/>
        </w:rPr>
        <w:t>copy</w:t>
      </w:r>
      <w:r>
        <w:rPr>
          <w:spacing w:val="-15"/>
          <w:w w:val="125"/>
          <w:sz w:val="20"/>
        </w:rPr>
        <w:t> </w:t>
      </w:r>
      <w:r>
        <w:rPr>
          <w:w w:val="125"/>
          <w:sz w:val="20"/>
        </w:rPr>
        <w:t>to</w:t>
      </w:r>
      <w:r>
        <w:rPr>
          <w:spacing w:val="-14"/>
          <w:w w:val="125"/>
          <w:sz w:val="20"/>
        </w:rPr>
        <w:t> </w:t>
      </w:r>
      <w:r>
        <w:rPr>
          <w:w w:val="125"/>
          <w:sz w:val="20"/>
        </w:rPr>
        <w:t>the</w:t>
      </w:r>
      <w:r>
        <w:rPr>
          <w:spacing w:val="-15"/>
          <w:w w:val="125"/>
          <w:sz w:val="20"/>
        </w:rPr>
        <w:t> </w:t>
      </w:r>
      <w:r>
        <w:rPr>
          <w:w w:val="125"/>
          <w:sz w:val="20"/>
        </w:rPr>
        <w:t>national</w:t>
      </w:r>
      <w:r>
        <w:rPr>
          <w:spacing w:val="-14"/>
          <w:w w:val="125"/>
          <w:sz w:val="20"/>
        </w:rPr>
        <w:t> </w:t>
      </w:r>
      <w:r>
        <w:rPr>
          <w:w w:val="125"/>
          <w:sz w:val="20"/>
        </w:rPr>
        <w:t>synod</w:t>
      </w:r>
      <w:r>
        <w:rPr>
          <w:spacing w:val="-15"/>
          <w:w w:val="125"/>
          <w:sz w:val="20"/>
        </w:rPr>
        <w:t> </w:t>
      </w:r>
      <w:r>
        <w:rPr>
          <w:w w:val="125"/>
          <w:sz w:val="20"/>
        </w:rPr>
        <w:t>for information, in case it should wish to follow</w:t>
      </w:r>
      <w:r>
        <w:rPr>
          <w:spacing w:val="-23"/>
          <w:w w:val="125"/>
          <w:sz w:val="20"/>
        </w:rPr>
        <w:t> </w:t>
      </w:r>
      <w:r>
        <w:rPr>
          <w:w w:val="125"/>
          <w:sz w:val="20"/>
        </w:rPr>
        <w:t>suit.</w:t>
      </w:r>
    </w:p>
    <w:p>
      <w:pPr>
        <w:spacing w:after="0" w:line="235" w:lineRule="auto"/>
        <w:jc w:val="left"/>
        <w:rPr>
          <w:sz w:val="20"/>
        </w:rPr>
        <w:sectPr>
          <w:headerReference w:type="even" r:id="rId119"/>
          <w:pgSz w:w="11910" w:h="16840"/>
          <w:pgMar w:header="0" w:footer="647" w:top="0" w:bottom="840" w:left="0" w:right="0"/>
        </w:sectPr>
      </w:pPr>
    </w:p>
    <w:p>
      <w:pPr>
        <w:pStyle w:val="BodyText"/>
      </w:pPr>
      <w:r>
        <w:rPr/>
        <w:pict>
          <v:rect style="position:absolute;margin-left:0pt;margin-top:.000015pt;width:549.207pt;height:841.89pt;mso-position-horizontal-relative:page;mso-position-vertical-relative:page;z-index:-267471872" filled="true" fillcolor="#ffedc2" stroked="false">
            <v:fill type="solid"/>
            <w10:wrap type="none"/>
          </v:rect>
        </w:pict>
      </w:r>
      <w:r>
        <w:rPr/>
        <w:drawing>
          <wp:anchor distT="0" distB="0" distL="0" distR="0" allowOverlap="1" layoutInCell="1" locked="0" behindDoc="0" simplePos="0" relativeHeight="251805696">
            <wp:simplePos x="0" y="0"/>
            <wp:positionH relativeFrom="page">
              <wp:posOffset>6974928</wp:posOffset>
            </wp:positionH>
            <wp:positionV relativeFrom="page">
              <wp:posOffset>0</wp:posOffset>
            </wp:positionV>
            <wp:extent cx="585063" cy="10692003"/>
            <wp:effectExtent l="0" t="0" r="0" b="0"/>
            <wp:wrapNone/>
            <wp:docPr id="89" name="image5.png"/>
            <wp:cNvGraphicFramePr>
              <a:graphicFrameLocks noChangeAspect="1"/>
            </wp:cNvGraphicFramePr>
            <a:graphic>
              <a:graphicData uri="http://schemas.openxmlformats.org/drawingml/2006/picture">
                <pic:pic>
                  <pic:nvPicPr>
                    <pic:cNvPr id="90" name="image5.png"/>
                    <pic:cNvPicPr/>
                  </pic:nvPicPr>
                  <pic:blipFill>
                    <a:blip r:embed="rId10"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8"/>
        <w:rPr>
          <w:sz w:val="15"/>
        </w:rPr>
      </w:pPr>
    </w:p>
    <w:p>
      <w:pPr>
        <w:pStyle w:val="Heading2"/>
        <w:spacing w:line="213" w:lineRule="auto"/>
        <w:ind w:left="1984" w:right="3100"/>
        <w:rPr>
          <w:b/>
        </w:rPr>
      </w:pPr>
      <w:r>
        <w:rPr/>
        <w:pict>
          <v:shape style="position:absolute;margin-left:554.141174pt;margin-top:1.805955pt;width:25.9pt;height:256.1500pt;mso-position-horizontal-relative:page;mso-position-vertical-relative:paragraph;z-index:251806720" type="#_x0000_t202" filled="false" stroked="false">
            <v:textbox inset="0,0,0,0" style="layout-flow:vertical">
              <w:txbxContent>
                <w:p>
                  <w:pPr>
                    <w:spacing w:before="27"/>
                    <w:ind w:left="20" w:right="0" w:firstLine="0"/>
                    <w:jc w:val="left"/>
                    <w:rPr>
                      <w:sz w:val="39"/>
                    </w:rPr>
                  </w:pPr>
                  <w:r>
                    <w:rPr>
                      <w:color w:val="FFFFFF"/>
                      <w:w w:val="120"/>
                      <w:sz w:val="39"/>
                    </w:rPr>
                    <w:t>Changes to the Structure</w:t>
                  </w:r>
                </w:p>
              </w:txbxContent>
            </v:textbox>
            <w10:wrap type="none"/>
          </v:shape>
        </w:pict>
      </w:r>
      <w:bookmarkStart w:name="_bookmark6" w:id="7"/>
      <w:bookmarkEnd w:id="7"/>
      <w:r>
        <w:rPr>
          <w:b w:val="0"/>
        </w:rPr>
      </w:r>
      <w:r>
        <w:rPr>
          <w:b/>
          <w:color w:val="FCC400"/>
          <w:spacing w:val="-4"/>
          <w:w w:val="110"/>
        </w:rPr>
        <w:t>Mission</w:t>
      </w:r>
      <w:r>
        <w:rPr>
          <w:b/>
          <w:color w:val="FCC400"/>
          <w:spacing w:val="138"/>
          <w:w w:val="110"/>
        </w:rPr>
        <w:t> </w:t>
      </w:r>
      <w:r>
        <w:rPr>
          <w:b/>
          <w:color w:val="FCC400"/>
          <w:spacing w:val="-6"/>
          <w:w w:val="110"/>
        </w:rPr>
        <w:t>Council: </w:t>
      </w:r>
      <w:r>
        <w:rPr>
          <w:b/>
          <w:spacing w:val="-5"/>
          <w:w w:val="110"/>
        </w:rPr>
        <w:t>Changes </w:t>
      </w:r>
      <w:r>
        <w:rPr>
          <w:b/>
          <w:spacing w:val="-7"/>
          <w:w w:val="110"/>
        </w:rPr>
        <w:t>to </w:t>
      </w:r>
      <w:r>
        <w:rPr>
          <w:b/>
          <w:spacing w:val="-4"/>
          <w:w w:val="110"/>
        </w:rPr>
        <w:t>the </w:t>
      </w:r>
      <w:r>
        <w:rPr>
          <w:b/>
          <w:spacing w:val="-5"/>
          <w:w w:val="110"/>
        </w:rPr>
        <w:t>Structure</w:t>
      </w:r>
    </w:p>
    <w:p>
      <w:pPr>
        <w:pStyle w:val="BodyText"/>
        <w:spacing w:before="378" w:after="27"/>
        <w:ind w:left="1984"/>
      </w:pPr>
      <w:r>
        <w:rPr>
          <w:w w:val="120"/>
        </w:rPr>
        <w:t>Basic Information</w:t>
      </w:r>
    </w:p>
    <w:tbl>
      <w:tblPr>
        <w:tblW w:w="0" w:type="auto"/>
        <w:jc w:val="left"/>
        <w:tblInd w:w="19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206"/>
        <w:gridCol w:w="6789"/>
      </w:tblGrid>
      <w:tr>
        <w:trPr>
          <w:trHeight w:val="720" w:hRule="atLeast"/>
        </w:trPr>
        <w:tc>
          <w:tcPr>
            <w:tcW w:w="2206" w:type="dxa"/>
            <w:shd w:val="clear" w:color="auto" w:fill="FFFFFF"/>
          </w:tcPr>
          <w:p>
            <w:pPr>
              <w:pStyle w:val="TableParagraph"/>
              <w:spacing w:line="249" w:lineRule="auto" w:before="128"/>
              <w:ind w:right="141"/>
              <w:rPr>
                <w:rFonts w:ascii="Stone Sans II ITC Std Bk"/>
                <w:b/>
                <w:sz w:val="20"/>
              </w:rPr>
            </w:pPr>
            <w:r>
              <w:rPr>
                <w:rFonts w:ascii="Stone Sans II ITC Std Bk"/>
                <w:b/>
                <w:w w:val="110"/>
                <w:sz w:val="20"/>
              </w:rPr>
              <w:t>Contact name and email address</w:t>
            </w:r>
          </w:p>
        </w:tc>
        <w:tc>
          <w:tcPr>
            <w:tcW w:w="6789" w:type="dxa"/>
            <w:tcBorders>
              <w:right w:val="nil"/>
            </w:tcBorders>
            <w:shd w:val="clear" w:color="auto" w:fill="FFFFFF"/>
          </w:tcPr>
          <w:p>
            <w:pPr>
              <w:pStyle w:val="TableParagraph"/>
              <w:spacing w:line="280" w:lineRule="atLeast" w:before="105"/>
              <w:ind w:right="2042"/>
              <w:rPr>
                <w:sz w:val="20"/>
              </w:rPr>
            </w:pPr>
            <w:r>
              <w:rPr>
                <w:w w:val="120"/>
                <w:sz w:val="20"/>
              </w:rPr>
              <w:t>Roberta Rominger </w:t>
            </w:r>
            <w:hyperlink r:id="rId29">
              <w:r>
                <w:rPr>
                  <w:w w:val="120"/>
                  <w:sz w:val="20"/>
                </w:rPr>
                <w:t>roberta.rominger@urc.org.uk</w:t>
              </w:r>
            </w:hyperlink>
          </w:p>
        </w:tc>
      </w:tr>
      <w:tr>
        <w:trPr>
          <w:trHeight w:val="440" w:hRule="atLeast"/>
        </w:trPr>
        <w:tc>
          <w:tcPr>
            <w:tcW w:w="2206" w:type="dxa"/>
            <w:shd w:val="clear" w:color="auto" w:fill="FFFFFF"/>
          </w:tcPr>
          <w:p>
            <w:pPr>
              <w:pStyle w:val="TableParagraph"/>
              <w:spacing w:before="128"/>
              <w:rPr>
                <w:rFonts w:ascii="Stone Sans II ITC Std Bk"/>
                <w:b/>
                <w:sz w:val="20"/>
              </w:rPr>
            </w:pPr>
            <w:r>
              <w:rPr>
                <w:rFonts w:ascii="Stone Sans II ITC Std Bk"/>
                <w:b/>
                <w:w w:val="110"/>
                <w:sz w:val="20"/>
              </w:rPr>
              <w:t>Action required</w:t>
            </w:r>
          </w:p>
        </w:tc>
        <w:tc>
          <w:tcPr>
            <w:tcW w:w="6789" w:type="dxa"/>
            <w:tcBorders>
              <w:right w:val="nil"/>
            </w:tcBorders>
            <w:shd w:val="clear" w:color="auto" w:fill="FFFFFF"/>
          </w:tcPr>
          <w:p>
            <w:pPr>
              <w:pStyle w:val="TableParagraph"/>
              <w:spacing w:before="141"/>
              <w:rPr>
                <w:sz w:val="20"/>
              </w:rPr>
            </w:pPr>
            <w:r>
              <w:rPr>
                <w:w w:val="115"/>
                <w:sz w:val="20"/>
              </w:rPr>
              <w:t>Ratification</w:t>
            </w:r>
          </w:p>
        </w:tc>
      </w:tr>
      <w:tr>
        <w:trPr>
          <w:trHeight w:val="11259" w:hRule="atLeast"/>
        </w:trPr>
        <w:tc>
          <w:tcPr>
            <w:tcW w:w="2206" w:type="dxa"/>
            <w:shd w:val="clear" w:color="auto" w:fill="FFFFFF"/>
          </w:tcPr>
          <w:p>
            <w:pPr>
              <w:pStyle w:val="TableParagraph"/>
              <w:spacing w:before="128"/>
              <w:rPr>
                <w:rFonts w:ascii="Stone Sans II ITC Std Bk"/>
                <w:b/>
                <w:sz w:val="20"/>
              </w:rPr>
            </w:pPr>
            <w:r>
              <w:rPr>
                <w:rFonts w:ascii="Stone Sans II ITC Std Bk"/>
                <w:b/>
                <w:w w:val="110"/>
                <w:sz w:val="20"/>
              </w:rPr>
              <w:t>Draft resolution(s)</w:t>
            </w:r>
          </w:p>
        </w:tc>
        <w:tc>
          <w:tcPr>
            <w:tcW w:w="6789" w:type="dxa"/>
            <w:tcBorders>
              <w:right w:val="nil"/>
            </w:tcBorders>
            <w:shd w:val="clear" w:color="auto" w:fill="FFFFFF"/>
          </w:tcPr>
          <w:p>
            <w:pPr>
              <w:pStyle w:val="TableParagraph"/>
              <w:spacing w:line="235" w:lineRule="auto" w:before="145"/>
              <w:ind w:right="415"/>
              <w:rPr>
                <w:sz w:val="20"/>
              </w:rPr>
            </w:pPr>
            <w:r>
              <w:rPr>
                <w:w w:val="120"/>
                <w:sz w:val="20"/>
              </w:rPr>
              <w:t>General Assembly resolves to ratify the resolution of Mission Council to amend the Structure of the United Reformed Church as follows:</w:t>
            </w:r>
          </w:p>
          <w:p>
            <w:pPr>
              <w:pStyle w:val="TableParagraph"/>
              <w:spacing w:before="4"/>
              <w:ind w:left="0"/>
              <w:rPr>
                <w:sz w:val="20"/>
              </w:rPr>
            </w:pPr>
          </w:p>
          <w:p>
            <w:pPr>
              <w:pStyle w:val="TableParagraph"/>
              <w:spacing w:line="213" w:lineRule="auto"/>
              <w:ind w:right="644"/>
              <w:rPr>
                <w:sz w:val="20"/>
              </w:rPr>
            </w:pPr>
            <w:r>
              <w:rPr>
                <w:w w:val="120"/>
                <w:sz w:val="20"/>
              </w:rPr>
              <w:t>Insert</w:t>
            </w:r>
            <w:r>
              <w:rPr>
                <w:spacing w:val="-17"/>
                <w:w w:val="120"/>
                <w:sz w:val="20"/>
              </w:rPr>
              <w:t> </w:t>
            </w:r>
            <w:r>
              <w:rPr>
                <w:w w:val="120"/>
                <w:sz w:val="20"/>
              </w:rPr>
              <w:t>the</w:t>
            </w:r>
            <w:r>
              <w:rPr>
                <w:spacing w:val="-17"/>
                <w:w w:val="120"/>
                <w:sz w:val="20"/>
              </w:rPr>
              <w:t> </w:t>
            </w:r>
            <w:r>
              <w:rPr>
                <w:w w:val="120"/>
                <w:sz w:val="20"/>
              </w:rPr>
              <w:t>following</w:t>
            </w:r>
            <w:r>
              <w:rPr>
                <w:spacing w:val="-17"/>
                <w:w w:val="120"/>
                <w:sz w:val="20"/>
              </w:rPr>
              <w:t> </w:t>
            </w:r>
            <w:r>
              <w:rPr>
                <w:w w:val="120"/>
                <w:sz w:val="20"/>
              </w:rPr>
              <w:t>immediately</w:t>
            </w:r>
            <w:r>
              <w:rPr>
                <w:spacing w:val="-16"/>
                <w:w w:val="120"/>
                <w:sz w:val="20"/>
              </w:rPr>
              <w:t> </w:t>
            </w:r>
            <w:r>
              <w:rPr>
                <w:w w:val="120"/>
                <w:sz w:val="20"/>
              </w:rPr>
              <w:t>after</w:t>
            </w:r>
            <w:r>
              <w:rPr>
                <w:spacing w:val="-17"/>
                <w:w w:val="120"/>
                <w:sz w:val="20"/>
              </w:rPr>
              <w:t> </w:t>
            </w:r>
            <w:r>
              <w:rPr>
                <w:rFonts w:ascii="Stone Sans II ITC Std Bk"/>
                <w:b/>
                <w:spacing w:val="-4"/>
                <w:w w:val="120"/>
                <w:sz w:val="20"/>
              </w:rPr>
              <w:t>2.(6)(A)(xxiii)</w:t>
            </w:r>
            <w:r>
              <w:rPr>
                <w:rFonts w:ascii="Stone Sans II ITC Std Bk"/>
                <w:b/>
                <w:spacing w:val="-25"/>
                <w:w w:val="120"/>
                <w:sz w:val="20"/>
              </w:rPr>
              <w:t> </w:t>
            </w:r>
            <w:r>
              <w:rPr>
                <w:w w:val="120"/>
                <w:sz w:val="20"/>
              </w:rPr>
              <w:t>so</w:t>
            </w:r>
            <w:r>
              <w:rPr>
                <w:spacing w:val="-17"/>
                <w:w w:val="120"/>
                <w:sz w:val="20"/>
              </w:rPr>
              <w:t> </w:t>
            </w:r>
            <w:r>
              <w:rPr>
                <w:w w:val="120"/>
                <w:sz w:val="20"/>
              </w:rPr>
              <w:t>as</w:t>
            </w:r>
            <w:r>
              <w:rPr>
                <w:spacing w:val="-16"/>
                <w:w w:val="120"/>
                <w:sz w:val="20"/>
              </w:rPr>
              <w:t> </w:t>
            </w:r>
            <w:r>
              <w:rPr>
                <w:w w:val="120"/>
                <w:sz w:val="20"/>
              </w:rPr>
              <w:t>to become </w:t>
            </w:r>
            <w:r>
              <w:rPr>
                <w:rFonts w:ascii="Stone Sans II ITC Std Bk"/>
                <w:b/>
                <w:spacing w:val="-3"/>
                <w:w w:val="120"/>
                <w:sz w:val="20"/>
              </w:rPr>
              <w:t>(xxiv) </w:t>
            </w:r>
            <w:r>
              <w:rPr>
                <w:w w:val="120"/>
                <w:sz w:val="20"/>
              </w:rPr>
              <w:t>and renumber the later functions</w:t>
            </w:r>
            <w:r>
              <w:rPr>
                <w:spacing w:val="-9"/>
                <w:w w:val="120"/>
                <w:sz w:val="20"/>
              </w:rPr>
              <w:t> </w:t>
            </w:r>
            <w:r>
              <w:rPr>
                <w:w w:val="120"/>
                <w:sz w:val="20"/>
              </w:rPr>
              <w:t>accordingly.</w:t>
            </w:r>
          </w:p>
          <w:p>
            <w:pPr>
              <w:pStyle w:val="TableParagraph"/>
              <w:spacing w:before="6"/>
              <w:ind w:left="0"/>
              <w:rPr>
                <w:sz w:val="19"/>
              </w:rPr>
            </w:pPr>
          </w:p>
          <w:p>
            <w:pPr>
              <w:pStyle w:val="TableParagraph"/>
              <w:spacing w:line="213" w:lineRule="auto" w:before="1"/>
              <w:ind w:right="415"/>
              <w:rPr>
                <w:sz w:val="20"/>
              </w:rPr>
            </w:pPr>
            <w:r>
              <w:rPr>
                <w:w w:val="110"/>
                <w:sz w:val="20"/>
              </w:rPr>
              <w:t>“</w:t>
            </w:r>
            <w:r>
              <w:rPr>
                <w:rFonts w:ascii="Stone Sans II ITC Std Bk" w:hAnsi="Stone Sans II ITC Std Bk"/>
                <w:b/>
                <w:w w:val="110"/>
                <w:sz w:val="20"/>
              </w:rPr>
              <w:t>(xxiv) to ensure that, where an Assembly Commission or an Appeals Commission following a Hearing under the Disciplinary Process contained in Section O of the Manual or a Review Commission or an Appeals Review Commission following a Hearing under the Incapacity Procedure contained in Section P of the Manual appends guidance to its decision to delete the name of the minister or Church Related Community Worker from the respective Roll, any such guidance is brought fully to the attention of those responsible for exercising oversight of the minister or Church Related Community Worker and any others who might in the future be identified as being proper and appropriate persons to receive such information;</w:t>
            </w:r>
            <w:r>
              <w:rPr>
                <w:w w:val="110"/>
                <w:sz w:val="20"/>
              </w:rPr>
              <w:t>”</w:t>
            </w:r>
          </w:p>
          <w:p>
            <w:pPr>
              <w:pStyle w:val="TableParagraph"/>
              <w:spacing w:before="8"/>
              <w:ind w:left="0"/>
              <w:rPr>
                <w:sz w:val="19"/>
              </w:rPr>
            </w:pPr>
          </w:p>
          <w:p>
            <w:pPr>
              <w:pStyle w:val="TableParagraph"/>
              <w:spacing w:line="216" w:lineRule="auto"/>
              <w:ind w:right="134"/>
              <w:rPr>
                <w:sz w:val="20"/>
              </w:rPr>
            </w:pPr>
            <w:r>
              <w:rPr>
                <w:w w:val="110"/>
                <w:sz w:val="20"/>
              </w:rPr>
              <w:t>Remove references to the deputy general secretary as follows: </w:t>
            </w:r>
            <w:r>
              <w:rPr>
                <w:rFonts w:ascii="Stone Sans II ITC Std Bk" w:hAnsi="Stone Sans II ITC Std Bk"/>
                <w:b/>
                <w:w w:val="110"/>
                <w:sz w:val="20"/>
              </w:rPr>
              <w:t>2.(6)(A)(xxiii) </w:t>
            </w:r>
            <w:r>
              <w:rPr>
                <w:w w:val="110"/>
                <w:sz w:val="20"/>
              </w:rPr>
              <w:t>delete the words “</w:t>
            </w:r>
            <w:r>
              <w:rPr>
                <w:rFonts w:ascii="Stone Sans II ITC Std Bk" w:hAnsi="Stone Sans II ITC Std Bk"/>
                <w:b/>
                <w:w w:val="110"/>
                <w:sz w:val="20"/>
              </w:rPr>
              <w:t>, the Deputy General Secretary” replace the words “(acting through the Deputy General Secretary or his/her duly appointed deputy)” with “(acting through the General Assembly Representative or his/her duly appointed deputy)</w:t>
            </w:r>
            <w:r>
              <w:rPr>
                <w:w w:val="110"/>
                <w:sz w:val="20"/>
              </w:rPr>
              <w:t>”</w:t>
            </w:r>
          </w:p>
          <w:p>
            <w:pPr>
              <w:pStyle w:val="TableParagraph"/>
              <w:spacing w:line="255" w:lineRule="exact" w:before="212"/>
              <w:rPr>
                <w:rFonts w:ascii="Stone Sans II ITC Std Bk"/>
                <w:b/>
                <w:sz w:val="20"/>
              </w:rPr>
            </w:pPr>
            <w:r>
              <w:rPr>
                <w:rFonts w:ascii="Stone Sans II ITC Std Bk"/>
                <w:b/>
                <w:w w:val="110"/>
                <w:sz w:val="20"/>
              </w:rPr>
              <w:t>6.5</w:t>
            </w:r>
          </w:p>
          <w:p>
            <w:pPr>
              <w:pStyle w:val="TableParagraph"/>
              <w:spacing w:line="213" w:lineRule="auto" w:before="7"/>
              <w:rPr>
                <w:sz w:val="20"/>
              </w:rPr>
            </w:pPr>
            <w:r>
              <w:rPr>
                <w:w w:val="115"/>
                <w:sz w:val="20"/>
              </w:rPr>
              <w:t>Replace the words “</w:t>
            </w:r>
            <w:r>
              <w:rPr>
                <w:rFonts w:ascii="Stone Sans II ITC Std Bk" w:hAnsi="Stone Sans II ITC Std Bk"/>
                <w:b/>
                <w:w w:val="115"/>
                <w:sz w:val="20"/>
              </w:rPr>
              <w:t>Deputy General Secretary</w:t>
            </w:r>
            <w:r>
              <w:rPr>
                <w:w w:val="115"/>
                <w:sz w:val="20"/>
              </w:rPr>
              <w:t>” with the words “</w:t>
            </w:r>
            <w:r>
              <w:rPr>
                <w:rFonts w:ascii="Stone Sans II ITC Std Bk" w:hAnsi="Stone Sans II ITC Std Bk"/>
                <w:b/>
                <w:w w:val="115"/>
                <w:sz w:val="20"/>
              </w:rPr>
              <w:t>General Assembly Representative</w:t>
            </w:r>
            <w:r>
              <w:rPr>
                <w:w w:val="115"/>
                <w:sz w:val="20"/>
              </w:rPr>
              <w:t>”.</w:t>
            </w:r>
          </w:p>
          <w:p>
            <w:pPr>
              <w:pStyle w:val="TableParagraph"/>
              <w:spacing w:before="9"/>
              <w:ind w:left="0"/>
              <w:rPr>
                <w:sz w:val="18"/>
              </w:rPr>
            </w:pPr>
          </w:p>
          <w:p>
            <w:pPr>
              <w:pStyle w:val="TableParagraph"/>
              <w:spacing w:before="1"/>
              <w:rPr>
                <w:sz w:val="20"/>
              </w:rPr>
            </w:pPr>
            <w:r>
              <w:rPr>
                <w:w w:val="120"/>
                <w:sz w:val="20"/>
              </w:rPr>
              <w:t>Remove an inappropriate reference to Section O:</w:t>
            </w:r>
          </w:p>
          <w:p>
            <w:pPr>
              <w:pStyle w:val="TableParagraph"/>
              <w:spacing w:before="1"/>
              <w:ind w:left="0"/>
              <w:rPr>
                <w:sz w:val="20"/>
              </w:rPr>
            </w:pPr>
          </w:p>
          <w:p>
            <w:pPr>
              <w:pStyle w:val="TableParagraph"/>
              <w:spacing w:line="213" w:lineRule="auto"/>
              <w:ind w:right="1189"/>
              <w:rPr>
                <w:sz w:val="20"/>
              </w:rPr>
            </w:pPr>
            <w:r>
              <w:rPr>
                <w:rFonts w:ascii="Stone Sans II ITC Std Bk" w:hAnsi="Stone Sans II ITC Std Bk"/>
                <w:b/>
                <w:spacing w:val="-6"/>
                <w:w w:val="115"/>
                <w:sz w:val="20"/>
              </w:rPr>
              <w:t>2.(4) </w:t>
            </w:r>
            <w:r>
              <w:rPr>
                <w:w w:val="115"/>
                <w:sz w:val="20"/>
              </w:rPr>
              <w:t>In the  sixth  bullet  point  following  the  words “</w:t>
            </w:r>
            <w:r>
              <w:rPr>
                <w:rFonts w:ascii="Stone Sans II ITC Std Bk" w:hAnsi="Stone Sans II ITC Std Bk"/>
                <w:b/>
                <w:w w:val="115"/>
                <w:sz w:val="20"/>
              </w:rPr>
              <w:t>The moderator shall</w:t>
            </w:r>
            <w:r>
              <w:rPr>
                <w:w w:val="115"/>
                <w:sz w:val="20"/>
              </w:rPr>
              <w:t>” replace the words “</w:t>
            </w:r>
            <w:r>
              <w:rPr>
                <w:rFonts w:ascii="Stone Sans II ITC Std Bk" w:hAnsi="Stone Sans II ITC Std Bk"/>
                <w:b/>
                <w:w w:val="115"/>
                <w:sz w:val="20"/>
              </w:rPr>
              <w:t>Section O</w:t>
            </w:r>
            <w:r>
              <w:rPr>
                <w:w w:val="115"/>
                <w:sz w:val="20"/>
              </w:rPr>
              <w:t>” with</w:t>
            </w:r>
            <w:r>
              <w:rPr>
                <w:spacing w:val="4"/>
                <w:w w:val="115"/>
                <w:sz w:val="20"/>
              </w:rPr>
              <w:t> </w:t>
            </w:r>
            <w:r>
              <w:rPr>
                <w:w w:val="115"/>
                <w:sz w:val="20"/>
              </w:rPr>
              <w:t>“</w:t>
            </w:r>
            <w:r>
              <w:rPr>
                <w:rFonts w:ascii="Stone Sans II ITC Std Bk" w:hAnsi="Stone Sans II ITC Std Bk"/>
                <w:b/>
                <w:w w:val="115"/>
                <w:sz w:val="20"/>
              </w:rPr>
              <w:t>Disciplinary</w:t>
            </w:r>
            <w:r>
              <w:rPr>
                <w:w w:val="115"/>
                <w:sz w:val="20"/>
              </w:rPr>
              <w:t>”</w:t>
            </w:r>
          </w:p>
          <w:p>
            <w:pPr>
              <w:pStyle w:val="TableParagraph"/>
              <w:spacing w:line="480" w:lineRule="atLeast" w:before="6"/>
              <w:ind w:right="895"/>
              <w:rPr>
                <w:rFonts w:ascii="Stone Sans II ITC Std Bk"/>
                <w:b/>
                <w:sz w:val="20"/>
              </w:rPr>
            </w:pPr>
            <w:r>
              <w:rPr>
                <w:w w:val="115"/>
                <w:sz w:val="20"/>
              </w:rPr>
              <w:t>Remove inaccurate references to </w:t>
            </w:r>
            <w:r>
              <w:rPr>
                <w:rFonts w:ascii="Stone Sans II ITC Std Bk"/>
                <w:b/>
                <w:w w:val="115"/>
                <w:sz w:val="20"/>
              </w:rPr>
              <w:t>paragraph (B)</w:t>
            </w:r>
            <w:r>
              <w:rPr>
                <w:w w:val="115"/>
                <w:sz w:val="20"/>
              </w:rPr>
              <w:t>: </w:t>
            </w:r>
            <w:r>
              <w:rPr>
                <w:rFonts w:ascii="Stone Sans II ITC Std Bk"/>
                <w:b/>
                <w:w w:val="115"/>
                <w:sz w:val="20"/>
              </w:rPr>
              <w:t>2.(4)(A), 2.(5)(A) and 2.(6)(A)</w:t>
            </w:r>
          </w:p>
          <w:p>
            <w:pPr>
              <w:pStyle w:val="TableParagraph"/>
              <w:spacing w:line="213" w:lineRule="auto"/>
              <w:ind w:right="644"/>
              <w:rPr>
                <w:rFonts w:ascii="Stone Sans II ITC Std Bk" w:hAnsi="Stone Sans II ITC Std Bk"/>
                <w:b/>
                <w:sz w:val="20"/>
              </w:rPr>
            </w:pPr>
            <w:r>
              <w:rPr>
                <w:w w:val="110"/>
                <w:sz w:val="20"/>
              </w:rPr>
              <w:t>In each case replace the words “</w:t>
            </w:r>
            <w:r>
              <w:rPr>
                <w:rFonts w:ascii="Stone Sans II ITC Std Bk" w:hAnsi="Stone Sans II ITC Std Bk"/>
                <w:b/>
                <w:w w:val="110"/>
                <w:sz w:val="20"/>
              </w:rPr>
              <w:t>(subject to the restriction referred to in Paragraph (B) below)</w:t>
            </w:r>
            <w:r>
              <w:rPr>
                <w:w w:val="110"/>
                <w:sz w:val="20"/>
              </w:rPr>
              <w:t>” with the words “</w:t>
            </w:r>
            <w:r>
              <w:rPr>
                <w:rFonts w:ascii="Stone Sans II ITC Std Bk" w:hAnsi="Stone Sans II ITC Std Bk"/>
                <w:b/>
                <w:w w:val="110"/>
                <w:sz w:val="20"/>
              </w:rPr>
              <w:t>(subject to the restriction referred to in Paragraph</w:t>
            </w:r>
          </w:p>
          <w:p>
            <w:pPr>
              <w:pStyle w:val="TableParagraph"/>
              <w:spacing w:line="246" w:lineRule="exact"/>
              <w:rPr>
                <w:sz w:val="20"/>
              </w:rPr>
            </w:pPr>
            <w:r>
              <w:rPr>
                <w:rFonts w:ascii="Stone Sans II ITC Std Bk" w:hAnsi="Stone Sans II ITC Std Bk"/>
                <w:b/>
                <w:w w:val="110"/>
                <w:sz w:val="20"/>
              </w:rPr>
              <w:t>7.4 below)</w:t>
            </w:r>
            <w:r>
              <w:rPr>
                <w:w w:val="110"/>
                <w:sz w:val="20"/>
              </w:rPr>
              <w:t>”</w:t>
            </w:r>
          </w:p>
        </w:tc>
      </w:tr>
    </w:tbl>
    <w:p>
      <w:pPr>
        <w:pStyle w:val="BodyText"/>
        <w:rPr>
          <w:sz w:val="24"/>
        </w:rPr>
      </w:pPr>
    </w:p>
    <w:p>
      <w:pPr>
        <w:pStyle w:val="BodyText"/>
        <w:spacing w:before="7"/>
        <w:rPr>
          <w:sz w:val="23"/>
        </w:rPr>
      </w:pPr>
    </w:p>
    <w:p>
      <w:pPr>
        <w:pStyle w:val="Heading8"/>
        <w:spacing w:before="0"/>
        <w:ind w:left="4519"/>
        <w:rPr>
          <w:rFonts w:ascii="Stone Sans II ITC Std X Bd" w:hAnsi="Stone Sans II ITC Std X Bd"/>
          <w:b/>
          <w:sz w:val="24"/>
        </w:rPr>
      </w:pPr>
      <w:r>
        <w:rPr/>
        <w:pict>
          <v:shape style="position:absolute;margin-left:225.539398pt;margin-top:.168001pt;width:307.4pt;height:15.45pt;mso-position-horizontal-relative:page;mso-position-vertical-relative:paragraph;z-index:-267472896" type="#_x0000_t202" filled="false" stroked="false">
            <v:textbox inset="0,0,0,0">
              <w:txbxContent>
                <w:p>
                  <w:pPr>
                    <w:spacing w:line="308" w:lineRule="exact" w:before="0"/>
                    <w:ind w:left="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rFonts w:ascii="Stone Sans II ITC Std X Bd" w:hAnsi="Stone Sans II ITC Std X Bd"/>
                      <w:b/>
                      <w:spacing w:val="-136"/>
                      <w:w w:val="110"/>
                      <w:sz w:val="24"/>
                    </w:rPr>
                    <w:t>49</w:t>
                  </w:r>
                </w:p>
              </w:txbxContent>
            </v:textbox>
            <w10:wrap type="none"/>
          </v:shape>
        </w:pict>
      </w: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2014 </w:t>
      </w:r>
      <w:r>
        <w:rPr>
          <w:rFonts w:ascii="Symbol" w:hAnsi="Symbol"/>
          <w:color w:val="7EAABF"/>
          <w:w w:val="110"/>
        </w:rPr>
        <w:t></w:t>
      </w:r>
      <w:r>
        <w:rPr>
          <w:rFonts w:ascii="Times New Roman" w:hAnsi="Times New Roman"/>
          <w:color w:val="7EAABF"/>
          <w:w w:val="110"/>
        </w:rPr>
        <w:t> </w:t>
      </w:r>
      <w:r>
        <w:rPr>
          <w:rFonts w:ascii="Stone Sans II ITC Std X Bd" w:hAnsi="Stone Sans II ITC Std X Bd"/>
          <w:b/>
          <w:w w:val="110"/>
          <w:sz w:val="24"/>
        </w:rPr>
        <w:t>49</w:t>
      </w:r>
    </w:p>
    <w:p>
      <w:pPr>
        <w:spacing w:after="0"/>
        <w:rPr>
          <w:rFonts w:ascii="Stone Sans II ITC Std X Bd" w:hAnsi="Stone Sans II ITC Std X Bd"/>
          <w:sz w:val="24"/>
        </w:rPr>
        <w:sectPr>
          <w:headerReference w:type="default" r:id="rId120"/>
          <w:footerReference w:type="default" r:id="rId121"/>
          <w:pgSz w:w="11910" w:h="16840"/>
          <w:pgMar w:header="0" w:footer="0" w:top="0" w:bottom="0" w:left="0" w:right="0"/>
        </w:sectPr>
      </w:pPr>
    </w:p>
    <w:p>
      <w:pPr>
        <w:pStyle w:val="BodyText"/>
        <w:rPr>
          <w:rFonts w:ascii="Stone Sans II ITC Std X Bd"/>
          <w:b/>
        </w:rPr>
      </w:pPr>
      <w:r>
        <w:rPr/>
        <w:pict>
          <v:rect style="position:absolute;margin-left:46.777pt;margin-top:.000015pt;width:548.498pt;height:841.89pt;mso-position-horizontal-relative:page;mso-position-vertical-relative:page;z-index:-267468800" filled="true" fillcolor="#ffedc2" stroked="false">
            <v:fill type="solid"/>
            <w10:wrap type="none"/>
          </v:rect>
        </w:pict>
      </w:r>
      <w:r>
        <w:rPr/>
        <w:drawing>
          <wp:anchor distT="0" distB="0" distL="0" distR="0" allowOverlap="1" layoutInCell="1" locked="0" behindDoc="0" simplePos="0" relativeHeight="251808768">
            <wp:simplePos x="0" y="0"/>
            <wp:positionH relativeFrom="page">
              <wp:posOffset>0</wp:posOffset>
            </wp:positionH>
            <wp:positionV relativeFrom="page">
              <wp:posOffset>0</wp:posOffset>
            </wp:positionV>
            <wp:extent cx="594067" cy="10692003"/>
            <wp:effectExtent l="0" t="0" r="0" b="0"/>
            <wp:wrapNone/>
            <wp:docPr id="91" name="image24.png"/>
            <wp:cNvGraphicFramePr>
              <a:graphicFrameLocks noChangeAspect="1"/>
            </wp:cNvGraphicFramePr>
            <a:graphic>
              <a:graphicData uri="http://schemas.openxmlformats.org/drawingml/2006/picture">
                <pic:pic>
                  <pic:nvPicPr>
                    <pic:cNvPr id="92" name="image24.png"/>
                    <pic:cNvPicPr/>
                  </pic:nvPicPr>
                  <pic:blipFill>
                    <a:blip r:embed="rId90" cstate="print"/>
                    <a:stretch>
                      <a:fillRect/>
                    </a:stretch>
                  </pic:blipFill>
                  <pic:spPr>
                    <a:xfrm>
                      <a:off x="0" y="0"/>
                      <a:ext cx="594067" cy="10692003"/>
                    </a:xfrm>
                    <a:prstGeom prst="rect">
                      <a:avLst/>
                    </a:prstGeom>
                  </pic:spPr>
                </pic:pic>
              </a:graphicData>
            </a:graphic>
          </wp:anchor>
        </w:drawing>
      </w:r>
    </w:p>
    <w:p>
      <w:pPr>
        <w:pStyle w:val="BodyText"/>
        <w:spacing w:before="7"/>
        <w:rPr>
          <w:rFonts w:ascii="Stone Sans II ITC Std X Bd"/>
          <w:b/>
          <w:sz w:val="17"/>
        </w:rPr>
      </w:pPr>
    </w:p>
    <w:p>
      <w:pPr>
        <w:spacing w:before="107"/>
        <w:ind w:left="1247" w:right="0" w:firstLine="0"/>
        <w:jc w:val="left"/>
        <w:rPr>
          <w:sz w:val="26"/>
        </w:rPr>
      </w:pPr>
      <w:r>
        <w:rPr/>
        <w:pict>
          <v:shape style="position:absolute;margin-left:20.519100pt;margin-top:22.643946pt;width:25.9pt;height:256.1500pt;mso-position-horizontal-relative:page;mso-position-vertical-relative:paragraph;z-index:251809792" type="#_x0000_t202" filled="false" stroked="false">
            <v:textbox inset="0,0,0,0" style="layout-flow:vertical">
              <w:txbxContent>
                <w:p>
                  <w:pPr>
                    <w:spacing w:before="27"/>
                    <w:ind w:left="20" w:right="0" w:firstLine="0"/>
                    <w:jc w:val="left"/>
                    <w:rPr>
                      <w:sz w:val="39"/>
                    </w:rPr>
                  </w:pPr>
                  <w:r>
                    <w:rPr>
                      <w:color w:val="FFFFFF"/>
                      <w:w w:val="120"/>
                      <w:sz w:val="39"/>
                    </w:rPr>
                    <w:t>Changes to the Structure</w:t>
                  </w:r>
                </w:p>
              </w:txbxContent>
            </v:textbox>
            <w10:wrap type="none"/>
          </v:shape>
        </w:pict>
      </w:r>
      <w:r>
        <w:rPr>
          <w:color w:val="7EAABF"/>
          <w:w w:val="120"/>
          <w:sz w:val="26"/>
        </w:rPr>
        <w:t>Mission Council</w:t>
      </w:r>
    </w:p>
    <w:p>
      <w:pPr>
        <w:pStyle w:val="BodyText"/>
        <w:spacing w:before="4"/>
        <w:rPr>
          <w:sz w:val="36"/>
        </w:rPr>
      </w:pPr>
    </w:p>
    <w:p>
      <w:pPr>
        <w:pStyle w:val="BodyText"/>
        <w:spacing w:after="27"/>
        <w:ind w:left="1247"/>
      </w:pPr>
      <w:r>
        <w:rPr>
          <w:w w:val="120"/>
        </w:rPr>
        <w:t>Summary of Content</w:t>
      </w:r>
    </w:p>
    <w:tbl>
      <w:tblPr>
        <w:tblW w:w="0" w:type="auto"/>
        <w:jc w:val="left"/>
        <w:tblInd w:w="1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92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Subject and aim(s)</w:t>
            </w:r>
          </w:p>
        </w:tc>
        <w:tc>
          <w:tcPr>
            <w:tcW w:w="6582" w:type="dxa"/>
            <w:shd w:val="clear" w:color="auto" w:fill="FFFFFF"/>
          </w:tcPr>
          <w:p>
            <w:pPr>
              <w:pStyle w:val="TableParagraph"/>
              <w:spacing w:line="235" w:lineRule="auto" w:before="145"/>
              <w:ind w:right="223"/>
              <w:rPr>
                <w:sz w:val="20"/>
              </w:rPr>
            </w:pPr>
            <w:r>
              <w:rPr>
                <w:w w:val="120"/>
                <w:sz w:val="20"/>
              </w:rPr>
              <w:t>The resolution (a) assigns a new function to the General Assembly; (b) removes a reference to the deputy general secretary; (c) offers corrections for other minor errors.</w:t>
            </w:r>
          </w:p>
        </w:tc>
      </w:tr>
      <w:tr>
        <w:trPr>
          <w:trHeight w:val="332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Main points</w:t>
            </w:r>
          </w:p>
        </w:tc>
        <w:tc>
          <w:tcPr>
            <w:tcW w:w="6582" w:type="dxa"/>
            <w:shd w:val="clear" w:color="auto" w:fill="FFFFFF"/>
          </w:tcPr>
          <w:p>
            <w:pPr>
              <w:pStyle w:val="TableParagraph"/>
              <w:spacing w:line="235" w:lineRule="auto" w:before="145"/>
              <w:ind w:right="175"/>
              <w:rPr>
                <w:sz w:val="20"/>
              </w:rPr>
            </w:pPr>
            <w:r>
              <w:rPr>
                <w:w w:val="120"/>
                <w:sz w:val="20"/>
              </w:rPr>
              <w:t>At its meeting in November </w:t>
            </w:r>
            <w:r>
              <w:rPr>
                <w:spacing w:val="-8"/>
                <w:w w:val="120"/>
                <w:sz w:val="20"/>
              </w:rPr>
              <w:t>2013 </w:t>
            </w:r>
            <w:r>
              <w:rPr>
                <w:w w:val="120"/>
                <w:sz w:val="20"/>
              </w:rPr>
              <w:t>Mission Council approved changes to the Structure with the necessary two-thirds majority. These changes concerned the ministerial disciplinary process and the incapacity procedure and were proposed by the ministerial incapacity and discipline advisory group</w:t>
            </w:r>
            <w:r>
              <w:rPr>
                <w:spacing w:val="53"/>
                <w:w w:val="120"/>
                <w:sz w:val="20"/>
              </w:rPr>
              <w:t> </w:t>
            </w:r>
            <w:r>
              <w:rPr>
                <w:w w:val="120"/>
                <w:sz w:val="20"/>
              </w:rPr>
              <w:t>(MIND).</w:t>
            </w:r>
          </w:p>
          <w:p>
            <w:pPr>
              <w:pStyle w:val="TableParagraph"/>
              <w:spacing w:line="235" w:lineRule="auto" w:before="3"/>
              <w:ind w:right="223"/>
              <w:rPr>
                <w:sz w:val="20"/>
              </w:rPr>
            </w:pPr>
            <w:r>
              <w:rPr>
                <w:w w:val="120"/>
                <w:sz w:val="20"/>
              </w:rPr>
              <w:t>They were remitted to synods with a request for responses by 31 March 2014. Since by that date no more than one third of synods had reported that they did not agree to the proposals, the resolution is now presented to the Assembly for ratification. Since the South Western Synod indicated that it did not agree that matter be proceeded with, a representative of that synod will be invited to address the Assembly in order to explain the reasons for its decision.</w:t>
            </w:r>
          </w:p>
        </w:tc>
      </w:tr>
      <w:tr>
        <w:trPr>
          <w:trHeight w:val="680" w:hRule="atLeast"/>
        </w:trPr>
        <w:tc>
          <w:tcPr>
            <w:tcW w:w="2660" w:type="dxa"/>
            <w:shd w:val="clear" w:color="auto" w:fill="FFFFFF"/>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582" w:type="dxa"/>
            <w:shd w:val="clear" w:color="auto" w:fill="FFFFFF"/>
          </w:tcPr>
          <w:p>
            <w:pPr>
              <w:pStyle w:val="TableParagraph"/>
              <w:spacing w:line="242" w:lineRule="exact" w:before="141"/>
              <w:rPr>
                <w:sz w:val="20"/>
              </w:rPr>
            </w:pPr>
            <w:r>
              <w:rPr>
                <w:w w:val="120"/>
                <w:sz w:val="20"/>
              </w:rPr>
              <w:t>The Structure of the United Reformed Church</w:t>
            </w:r>
          </w:p>
          <w:p>
            <w:pPr>
              <w:pStyle w:val="TableParagraph"/>
              <w:spacing w:line="242" w:lineRule="exact"/>
              <w:rPr>
                <w:sz w:val="20"/>
              </w:rPr>
            </w:pPr>
            <w:r>
              <w:rPr>
                <w:w w:val="120"/>
                <w:sz w:val="20"/>
              </w:rPr>
              <w:t>The ministerial disciplinary process and the incapacity</w:t>
            </w:r>
            <w:r>
              <w:rPr>
                <w:spacing w:val="51"/>
                <w:w w:val="120"/>
                <w:sz w:val="20"/>
              </w:rPr>
              <w:t> </w:t>
            </w:r>
            <w:r>
              <w:rPr>
                <w:w w:val="120"/>
                <w:sz w:val="20"/>
              </w:rPr>
              <w:t>procedure</w:t>
            </w:r>
          </w:p>
        </w:tc>
      </w:tr>
      <w:tr>
        <w:trPr>
          <w:trHeight w:val="680" w:hRule="atLeast"/>
        </w:trPr>
        <w:tc>
          <w:tcPr>
            <w:tcW w:w="2660" w:type="dxa"/>
            <w:shd w:val="clear" w:color="auto" w:fill="FFFFFF"/>
          </w:tcPr>
          <w:p>
            <w:pPr>
              <w:pStyle w:val="TableParagraph"/>
              <w:spacing w:line="213" w:lineRule="auto" w:before="151"/>
              <w:ind w:right="104"/>
              <w:rPr>
                <w:rFonts w:ascii="Stone Sans II ITC Std Bk"/>
                <w:b/>
                <w:sz w:val="20"/>
              </w:rPr>
            </w:pPr>
            <w:r>
              <w:rPr>
                <w:rFonts w:ascii="Stone Sans II ITC Std Bk"/>
                <w:b/>
                <w:w w:val="110"/>
                <w:sz w:val="20"/>
              </w:rPr>
              <w:t>Consultation has taken place with...</w:t>
            </w:r>
          </w:p>
        </w:tc>
        <w:tc>
          <w:tcPr>
            <w:tcW w:w="6582" w:type="dxa"/>
            <w:shd w:val="clear" w:color="auto" w:fill="FFFFFF"/>
          </w:tcPr>
          <w:p>
            <w:pPr>
              <w:pStyle w:val="TableParagraph"/>
              <w:spacing w:line="235" w:lineRule="auto" w:before="145"/>
              <w:ind w:right="223"/>
              <w:rPr>
                <w:sz w:val="20"/>
              </w:rPr>
            </w:pPr>
            <w:r>
              <w:rPr>
                <w:w w:val="120"/>
                <w:sz w:val="20"/>
              </w:rPr>
              <w:t>Members of the MIND Advisory Group, the United Reformed Church’s legal advisor and the assembly clerk</w:t>
            </w:r>
          </w:p>
        </w:tc>
      </w:tr>
    </w:tbl>
    <w:p>
      <w:pPr>
        <w:pStyle w:val="BodyText"/>
        <w:rPr>
          <w:sz w:val="24"/>
        </w:rPr>
      </w:pPr>
    </w:p>
    <w:p>
      <w:pPr>
        <w:pStyle w:val="BodyText"/>
        <w:spacing w:before="156" w:after="27"/>
        <w:ind w:left="1247"/>
      </w:pPr>
      <w:r>
        <w:rPr>
          <w:w w:val="120"/>
        </w:rPr>
        <w:t>Summary of Impact</w:t>
      </w:r>
    </w:p>
    <w:tbl>
      <w:tblPr>
        <w:tblW w:w="0" w:type="auto"/>
        <w:jc w:val="left"/>
        <w:tblInd w:w="1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582" w:type="dxa"/>
            <w:shd w:val="clear" w:color="auto" w:fill="FFFFFF"/>
          </w:tcPr>
          <w:p>
            <w:pPr>
              <w:pStyle w:val="TableParagraph"/>
              <w:spacing w:before="141"/>
              <w:rPr>
                <w:sz w:val="20"/>
              </w:rPr>
            </w:pPr>
            <w:r>
              <w:rPr>
                <w:w w:val="120"/>
                <w:sz w:val="20"/>
              </w:rPr>
              <w:t>None</w:t>
            </w:r>
          </w:p>
        </w:tc>
      </w:tr>
      <w:tr>
        <w:trPr>
          <w:trHeight w:val="68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582" w:type="dxa"/>
            <w:shd w:val="clear" w:color="auto" w:fill="FFFFFF"/>
          </w:tcPr>
          <w:p>
            <w:pPr>
              <w:pStyle w:val="TableParagraph"/>
              <w:spacing w:before="141"/>
              <w:rPr>
                <w:sz w:val="20"/>
              </w:rPr>
            </w:pPr>
            <w:r>
              <w:rPr>
                <w:w w:val="120"/>
                <w:sz w:val="20"/>
              </w:rPr>
              <w:t>None</w:t>
            </w:r>
          </w:p>
        </w:tc>
      </w:tr>
    </w:tbl>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3"/>
        <w:rPr>
          <w:sz w:val="29"/>
        </w:rPr>
      </w:pPr>
    </w:p>
    <w:p>
      <w:pPr>
        <w:pStyle w:val="Heading8"/>
        <w:spacing w:before="0"/>
        <w:ind w:left="1247"/>
      </w:pPr>
      <w:r>
        <w:rPr>
          <w:rFonts w:ascii="Stone Sans II ITC Std X Bd" w:hAnsi="Stone Sans II ITC Std X Bd"/>
          <w:b/>
          <w:w w:val="110"/>
          <w:sz w:val="24"/>
        </w:rPr>
        <w:t>50 </w:t>
      </w:r>
      <w:r>
        <w:rPr>
          <w:rFonts w:ascii="Symbol" w:hAnsi="Symbol"/>
          <w:color w:val="7EAABF"/>
          <w:w w:val="110"/>
        </w:rPr>
        <w:t></w:t>
      </w:r>
      <w:r>
        <w:rPr>
          <w:rFonts w:ascii="Times New Roman" w:hAnsi="Times New Roman"/>
          <w:color w:val="7EAABF"/>
          <w:w w:val="110"/>
        </w:rPr>
        <w:t> </w:t>
      </w: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2014</w:t>
      </w:r>
    </w:p>
    <w:p>
      <w:pPr>
        <w:spacing w:after="0"/>
        <w:sectPr>
          <w:headerReference w:type="even" r:id="rId122"/>
          <w:footerReference w:type="even" r:id="rId123"/>
          <w:pgSz w:w="11910" w:h="16840"/>
          <w:pgMar w:header="0" w:footer="0" w:top="0" w:bottom="0" w:left="0" w:right="0"/>
        </w:sectPr>
      </w:pPr>
    </w:p>
    <w:p>
      <w:pPr>
        <w:pStyle w:val="BodyText"/>
      </w:pPr>
      <w:r>
        <w:rPr/>
        <w:pict>
          <v:rect style="position:absolute;margin-left:0pt;margin-top:.000015pt;width:549.207pt;height:841.89pt;mso-position-horizontal-relative:page;mso-position-vertical-relative:page;z-index:-267464704" filled="true" fillcolor="#ffedc2" stroked="false">
            <v:fill type="solid"/>
            <w10:wrap type="none"/>
          </v:rect>
        </w:pict>
      </w:r>
      <w:r>
        <w:rPr/>
        <w:drawing>
          <wp:anchor distT="0" distB="0" distL="0" distR="0" allowOverlap="1" layoutInCell="1" locked="0" behindDoc="0" simplePos="0" relativeHeight="251812864">
            <wp:simplePos x="0" y="0"/>
            <wp:positionH relativeFrom="page">
              <wp:posOffset>6974928</wp:posOffset>
            </wp:positionH>
            <wp:positionV relativeFrom="page">
              <wp:posOffset>0</wp:posOffset>
            </wp:positionV>
            <wp:extent cx="585063" cy="10692003"/>
            <wp:effectExtent l="0" t="0" r="0" b="0"/>
            <wp:wrapNone/>
            <wp:docPr id="93" name="image5.png"/>
            <wp:cNvGraphicFramePr>
              <a:graphicFrameLocks noChangeAspect="1"/>
            </wp:cNvGraphicFramePr>
            <a:graphic>
              <a:graphicData uri="http://schemas.openxmlformats.org/drawingml/2006/picture">
                <pic:pic>
                  <pic:nvPicPr>
                    <pic:cNvPr id="94" name="image5.png"/>
                    <pic:cNvPicPr/>
                  </pic:nvPicPr>
                  <pic:blipFill>
                    <a:blip r:embed="rId10"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5"/>
        <w:rPr>
          <w:sz w:val="28"/>
        </w:rPr>
      </w:pPr>
    </w:p>
    <w:p>
      <w:pPr>
        <w:spacing w:line="213" w:lineRule="auto" w:before="153"/>
        <w:ind w:left="1984" w:right="2167" w:firstLine="0"/>
        <w:jc w:val="left"/>
        <w:rPr>
          <w:rFonts w:ascii="Stone Sans II ITC Std X Bd"/>
          <w:b/>
          <w:sz w:val="50"/>
        </w:rPr>
      </w:pPr>
      <w:r>
        <w:rPr/>
        <w:pict>
          <v:shape style="position:absolute;margin-left:554.141174pt;margin-top:-5.989334pt;width:25.9pt;height:356.25pt;mso-position-horizontal-relative:page;mso-position-vertical-relative:paragraph;z-index:251813888" type="#_x0000_t202" filled="false" stroked="false">
            <v:textbox inset="0,0,0,0" style="layout-flow:vertical">
              <w:txbxContent>
                <w:p>
                  <w:pPr>
                    <w:spacing w:before="27"/>
                    <w:ind w:left="20" w:right="0" w:firstLine="0"/>
                    <w:jc w:val="left"/>
                    <w:rPr>
                      <w:sz w:val="39"/>
                    </w:rPr>
                  </w:pPr>
                  <w:r>
                    <w:rPr>
                      <w:color w:val="FFFFFF"/>
                      <w:w w:val="120"/>
                      <w:sz w:val="39"/>
                    </w:rPr>
                    <w:t>Membership of governance bodies</w:t>
                  </w:r>
                </w:p>
              </w:txbxContent>
            </v:textbox>
            <w10:wrap type="none"/>
          </v:shape>
        </w:pict>
      </w:r>
      <w:bookmarkStart w:name="_bookmark7" w:id="8"/>
      <w:bookmarkEnd w:id="8"/>
      <w:r>
        <w:rPr/>
      </w:r>
      <w:r>
        <w:rPr>
          <w:rFonts w:ascii="Stone Sans II ITC Std X Bd"/>
          <w:b/>
          <w:color w:val="FCC400"/>
          <w:w w:val="110"/>
          <w:sz w:val="50"/>
        </w:rPr>
        <w:t>Mission Council: </w:t>
      </w:r>
      <w:r>
        <w:rPr>
          <w:rFonts w:ascii="Stone Sans II ITC Std X Bd"/>
          <w:b/>
          <w:w w:val="110"/>
          <w:sz w:val="50"/>
        </w:rPr>
        <w:t>Membership of governance bodies</w:t>
      </w:r>
    </w:p>
    <w:p>
      <w:pPr>
        <w:pStyle w:val="BodyText"/>
        <w:spacing w:before="377" w:after="26"/>
        <w:ind w:left="1984"/>
      </w:pPr>
      <w:r>
        <w:rPr>
          <w:w w:val="120"/>
        </w:rPr>
        <w:t>Basic Information</w:t>
      </w:r>
    </w:p>
    <w:tbl>
      <w:tblPr>
        <w:tblW w:w="0" w:type="auto"/>
        <w:jc w:val="left"/>
        <w:tblInd w:w="19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335"/>
      </w:tblGrid>
      <w:tr>
        <w:trPr>
          <w:trHeight w:val="680" w:hRule="atLeast"/>
        </w:trPr>
        <w:tc>
          <w:tcPr>
            <w:tcW w:w="2660" w:type="dxa"/>
            <w:shd w:val="clear" w:color="auto" w:fill="FFFFFF"/>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335" w:type="dxa"/>
            <w:tcBorders>
              <w:right w:val="nil"/>
            </w:tcBorders>
            <w:shd w:val="clear" w:color="auto" w:fill="FFFFFF"/>
          </w:tcPr>
          <w:p>
            <w:pPr>
              <w:pStyle w:val="TableParagraph"/>
              <w:spacing w:line="235" w:lineRule="auto" w:before="145"/>
              <w:ind w:right="2956"/>
              <w:rPr>
                <w:sz w:val="20"/>
              </w:rPr>
            </w:pPr>
            <w:r>
              <w:rPr>
                <w:w w:val="120"/>
                <w:sz w:val="20"/>
              </w:rPr>
              <w:t>James Breslin </w:t>
            </w:r>
            <w:hyperlink r:id="rId126">
              <w:r>
                <w:rPr>
                  <w:w w:val="120"/>
                  <w:sz w:val="20"/>
                </w:rPr>
                <w:t>urcassemblyclerk@gmail.com</w:t>
              </w:r>
            </w:hyperlink>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Action required</w:t>
            </w:r>
          </w:p>
        </w:tc>
        <w:tc>
          <w:tcPr>
            <w:tcW w:w="6335" w:type="dxa"/>
            <w:tcBorders>
              <w:right w:val="nil"/>
            </w:tcBorders>
            <w:shd w:val="clear" w:color="auto" w:fill="FFFFFF"/>
          </w:tcPr>
          <w:p>
            <w:pPr>
              <w:pStyle w:val="TableParagraph"/>
              <w:spacing w:before="141"/>
              <w:rPr>
                <w:sz w:val="20"/>
              </w:rPr>
            </w:pPr>
            <w:r>
              <w:rPr>
                <w:w w:val="120"/>
                <w:sz w:val="20"/>
              </w:rPr>
              <w:t>Decision</w:t>
            </w:r>
          </w:p>
        </w:tc>
      </w:tr>
      <w:tr>
        <w:trPr>
          <w:trHeight w:val="68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Draft resolution(s)</w:t>
            </w:r>
          </w:p>
        </w:tc>
        <w:tc>
          <w:tcPr>
            <w:tcW w:w="6335" w:type="dxa"/>
            <w:tcBorders>
              <w:right w:val="nil"/>
            </w:tcBorders>
            <w:shd w:val="clear" w:color="auto" w:fill="FFFFFF"/>
          </w:tcPr>
          <w:p>
            <w:pPr>
              <w:pStyle w:val="TableParagraph"/>
              <w:spacing w:before="128"/>
              <w:rPr>
                <w:rFonts w:ascii="Stone Sans II ITC Std Bk"/>
                <w:b/>
                <w:sz w:val="20"/>
              </w:rPr>
            </w:pPr>
            <w:r>
              <w:rPr>
                <w:rFonts w:ascii="Stone Sans II ITC Std Bk"/>
                <w:b/>
                <w:w w:val="110"/>
                <w:sz w:val="20"/>
              </w:rPr>
              <w:t>See pages 53-55.</w:t>
            </w:r>
          </w:p>
        </w:tc>
      </w:tr>
    </w:tbl>
    <w:p>
      <w:pPr>
        <w:pStyle w:val="BodyText"/>
        <w:rPr>
          <w:sz w:val="24"/>
        </w:rPr>
      </w:pPr>
    </w:p>
    <w:p>
      <w:pPr>
        <w:pStyle w:val="BodyText"/>
        <w:spacing w:before="156" w:after="27"/>
        <w:ind w:left="1984"/>
      </w:pPr>
      <w:r>
        <w:rPr>
          <w:w w:val="120"/>
        </w:rPr>
        <w:t>Summary of Content</w:t>
      </w:r>
    </w:p>
    <w:tbl>
      <w:tblPr>
        <w:tblW w:w="0" w:type="auto"/>
        <w:jc w:val="left"/>
        <w:tblInd w:w="19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335"/>
      </w:tblGrid>
      <w:tr>
        <w:trPr>
          <w:trHeight w:val="68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Subject and aim(s)</w:t>
            </w:r>
          </w:p>
        </w:tc>
        <w:tc>
          <w:tcPr>
            <w:tcW w:w="6335" w:type="dxa"/>
            <w:tcBorders>
              <w:right w:val="nil"/>
            </w:tcBorders>
            <w:shd w:val="clear" w:color="auto" w:fill="FFFFFF"/>
          </w:tcPr>
          <w:p>
            <w:pPr>
              <w:pStyle w:val="TableParagraph"/>
              <w:spacing w:line="235" w:lineRule="auto" w:before="145"/>
              <w:ind w:right="216"/>
              <w:rPr>
                <w:sz w:val="20"/>
              </w:rPr>
            </w:pPr>
            <w:r>
              <w:rPr>
                <w:w w:val="120"/>
                <w:sz w:val="20"/>
              </w:rPr>
              <w:t>This paper offers six resolutions (resolutions 19A-F) clarifying the membership of General Assembly and Mission Council.</w:t>
            </w:r>
          </w:p>
        </w:tc>
      </w:tr>
      <w:tr>
        <w:trPr>
          <w:trHeight w:val="28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Main points</w:t>
            </w:r>
          </w:p>
        </w:tc>
        <w:tc>
          <w:tcPr>
            <w:tcW w:w="6335" w:type="dxa"/>
            <w:tcBorders>
              <w:right w:val="nil"/>
            </w:tcBorders>
            <w:shd w:val="clear" w:color="auto" w:fill="FFFFFF"/>
          </w:tcPr>
          <w:p>
            <w:pPr>
              <w:pStyle w:val="TableParagraph"/>
              <w:numPr>
                <w:ilvl w:val="0"/>
                <w:numId w:val="32"/>
              </w:numPr>
              <w:tabs>
                <w:tab w:pos="760" w:val="left" w:leader="none"/>
                <w:tab w:pos="761" w:val="left" w:leader="none"/>
              </w:tabs>
              <w:spacing w:line="235" w:lineRule="auto" w:before="145" w:after="0"/>
              <w:ind w:left="760" w:right="592" w:hanging="681"/>
              <w:jc w:val="left"/>
              <w:rPr>
                <w:sz w:val="20"/>
              </w:rPr>
            </w:pPr>
            <w:r>
              <w:rPr>
                <w:w w:val="120"/>
                <w:sz w:val="20"/>
              </w:rPr>
              <w:t>The provision for six additional Assembly representatives from the Synod of Scotland should be</w:t>
            </w:r>
            <w:r>
              <w:rPr>
                <w:spacing w:val="2"/>
                <w:w w:val="120"/>
                <w:sz w:val="20"/>
              </w:rPr>
              <w:t> </w:t>
            </w:r>
            <w:r>
              <w:rPr>
                <w:w w:val="120"/>
                <w:sz w:val="20"/>
              </w:rPr>
              <w:t>removed.</w:t>
            </w:r>
          </w:p>
          <w:p>
            <w:pPr>
              <w:pStyle w:val="TableParagraph"/>
              <w:numPr>
                <w:ilvl w:val="0"/>
                <w:numId w:val="32"/>
              </w:numPr>
              <w:tabs>
                <w:tab w:pos="760" w:val="left" w:leader="none"/>
                <w:tab w:pos="761" w:val="left" w:leader="none"/>
              </w:tabs>
              <w:spacing w:line="235" w:lineRule="auto" w:before="2" w:after="0"/>
              <w:ind w:left="760" w:right="331" w:hanging="681"/>
              <w:jc w:val="left"/>
              <w:rPr>
                <w:sz w:val="20"/>
              </w:rPr>
            </w:pPr>
            <w:r>
              <w:rPr>
                <w:w w:val="120"/>
                <w:sz w:val="20"/>
              </w:rPr>
              <w:t>Membership of Assembly and Mission Council is clarified in respect of the three deputy general secretaries, the deputy treasurer, the convener of</w:t>
            </w:r>
            <w:r>
              <w:rPr>
                <w:spacing w:val="-30"/>
                <w:w w:val="120"/>
                <w:sz w:val="20"/>
              </w:rPr>
              <w:t> </w:t>
            </w:r>
            <w:r>
              <w:rPr>
                <w:w w:val="120"/>
                <w:sz w:val="20"/>
              </w:rPr>
              <w:t>the pastoral reference and welfare committee, and the legal</w:t>
            </w:r>
            <w:r>
              <w:rPr>
                <w:spacing w:val="1"/>
                <w:w w:val="120"/>
                <w:sz w:val="20"/>
              </w:rPr>
              <w:t> </w:t>
            </w:r>
            <w:r>
              <w:rPr>
                <w:w w:val="120"/>
                <w:sz w:val="20"/>
              </w:rPr>
              <w:t>adviser.</w:t>
            </w:r>
          </w:p>
          <w:p>
            <w:pPr>
              <w:pStyle w:val="TableParagraph"/>
              <w:numPr>
                <w:ilvl w:val="0"/>
                <w:numId w:val="32"/>
              </w:numPr>
              <w:tabs>
                <w:tab w:pos="760" w:val="left" w:leader="none"/>
                <w:tab w:pos="761" w:val="left" w:leader="none"/>
              </w:tabs>
              <w:spacing w:line="235" w:lineRule="auto" w:before="4" w:after="0"/>
              <w:ind w:left="760" w:right="371" w:hanging="681"/>
              <w:jc w:val="left"/>
              <w:rPr>
                <w:sz w:val="20"/>
              </w:rPr>
            </w:pPr>
            <w:r>
              <w:rPr>
                <w:w w:val="120"/>
                <w:sz w:val="20"/>
              </w:rPr>
              <w:t>Assembly-appointed ministers are made members of the synods in which they</w:t>
            </w:r>
            <w:r>
              <w:rPr>
                <w:spacing w:val="12"/>
                <w:w w:val="120"/>
                <w:sz w:val="20"/>
              </w:rPr>
              <w:t> </w:t>
            </w:r>
            <w:r>
              <w:rPr>
                <w:w w:val="120"/>
                <w:sz w:val="20"/>
              </w:rPr>
              <w:t>reside.</w:t>
            </w:r>
          </w:p>
          <w:p>
            <w:pPr>
              <w:pStyle w:val="TableParagraph"/>
              <w:numPr>
                <w:ilvl w:val="0"/>
                <w:numId w:val="32"/>
              </w:numPr>
              <w:tabs>
                <w:tab w:pos="760" w:val="left" w:leader="none"/>
                <w:tab w:pos="761" w:val="left" w:leader="none"/>
              </w:tabs>
              <w:spacing w:line="242" w:lineRule="exact" w:before="0" w:after="0"/>
              <w:ind w:left="760" w:right="0" w:hanging="681"/>
              <w:jc w:val="left"/>
              <w:rPr>
                <w:sz w:val="20"/>
              </w:rPr>
            </w:pPr>
            <w:r>
              <w:rPr>
                <w:w w:val="120"/>
                <w:sz w:val="20"/>
              </w:rPr>
              <w:t>The membership of Mission Council is spelled</w:t>
            </w:r>
            <w:r>
              <w:rPr>
                <w:spacing w:val="31"/>
                <w:w w:val="120"/>
                <w:sz w:val="20"/>
              </w:rPr>
              <w:t> </w:t>
            </w:r>
            <w:r>
              <w:rPr>
                <w:w w:val="120"/>
                <w:sz w:val="20"/>
              </w:rPr>
              <w:t>out.</w:t>
            </w:r>
          </w:p>
        </w:tc>
      </w:tr>
      <w:tr>
        <w:trPr>
          <w:trHeight w:val="680" w:hRule="atLeast"/>
        </w:trPr>
        <w:tc>
          <w:tcPr>
            <w:tcW w:w="2660" w:type="dxa"/>
            <w:shd w:val="clear" w:color="auto" w:fill="FFFFFF"/>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335" w:type="dxa"/>
            <w:tcBorders>
              <w:right w:val="nil"/>
            </w:tcBorders>
            <w:shd w:val="clear" w:color="auto" w:fill="FFFFFF"/>
          </w:tcPr>
          <w:p>
            <w:pPr>
              <w:pStyle w:val="TableParagraph"/>
              <w:spacing w:before="141"/>
              <w:rPr>
                <w:sz w:val="20"/>
              </w:rPr>
            </w:pPr>
            <w:r>
              <w:rPr>
                <w:w w:val="120"/>
                <w:sz w:val="20"/>
              </w:rPr>
              <w:t>Structure of the United Reformed Church</w:t>
            </w:r>
          </w:p>
        </w:tc>
      </w:tr>
      <w:tr>
        <w:trPr>
          <w:trHeight w:val="680" w:hRule="atLeast"/>
        </w:trPr>
        <w:tc>
          <w:tcPr>
            <w:tcW w:w="2660" w:type="dxa"/>
            <w:shd w:val="clear" w:color="auto" w:fill="FFFFFF"/>
          </w:tcPr>
          <w:p>
            <w:pPr>
              <w:pStyle w:val="TableParagraph"/>
              <w:spacing w:line="213" w:lineRule="auto" w:before="151"/>
              <w:ind w:right="104"/>
              <w:rPr>
                <w:rFonts w:ascii="Stone Sans II ITC Std Bk"/>
                <w:b/>
                <w:sz w:val="20"/>
              </w:rPr>
            </w:pPr>
            <w:r>
              <w:rPr>
                <w:rFonts w:ascii="Stone Sans II ITC Std Bk"/>
                <w:b/>
                <w:w w:val="110"/>
                <w:sz w:val="20"/>
              </w:rPr>
              <w:t>Consultation has taken place with...</w:t>
            </w:r>
          </w:p>
        </w:tc>
        <w:tc>
          <w:tcPr>
            <w:tcW w:w="6335" w:type="dxa"/>
            <w:tcBorders>
              <w:right w:val="nil"/>
            </w:tcBorders>
            <w:shd w:val="clear" w:color="auto" w:fill="FFFFFF"/>
          </w:tcPr>
          <w:p>
            <w:pPr>
              <w:pStyle w:val="TableParagraph"/>
              <w:spacing w:before="141"/>
              <w:rPr>
                <w:sz w:val="20"/>
              </w:rPr>
            </w:pPr>
            <w:r>
              <w:rPr>
                <w:w w:val="120"/>
                <w:sz w:val="20"/>
              </w:rPr>
              <w:t>Mission Council</w:t>
            </w:r>
          </w:p>
        </w:tc>
      </w:tr>
    </w:tbl>
    <w:p>
      <w:pPr>
        <w:pStyle w:val="BodyText"/>
        <w:rPr>
          <w:sz w:val="24"/>
        </w:rPr>
      </w:pPr>
    </w:p>
    <w:p>
      <w:pPr>
        <w:pStyle w:val="BodyText"/>
        <w:spacing w:before="156" w:after="27"/>
        <w:ind w:left="1984"/>
      </w:pPr>
      <w:r>
        <w:rPr>
          <w:w w:val="120"/>
        </w:rPr>
        <w:t>Summary of Impact</w:t>
      </w:r>
    </w:p>
    <w:tbl>
      <w:tblPr>
        <w:tblW w:w="0" w:type="auto"/>
        <w:jc w:val="left"/>
        <w:tblInd w:w="19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335"/>
      </w:tblGrid>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335" w:type="dxa"/>
            <w:tcBorders>
              <w:right w:val="nil"/>
            </w:tcBorders>
            <w:shd w:val="clear" w:color="auto" w:fill="FFFFFF"/>
          </w:tcPr>
          <w:p>
            <w:pPr>
              <w:pStyle w:val="TableParagraph"/>
              <w:spacing w:before="141"/>
              <w:rPr>
                <w:sz w:val="20"/>
              </w:rPr>
            </w:pPr>
            <w:r>
              <w:rPr>
                <w:w w:val="120"/>
                <w:sz w:val="20"/>
              </w:rPr>
              <w:t>None</w:t>
            </w:r>
          </w:p>
        </w:tc>
      </w:tr>
      <w:tr>
        <w:trPr>
          <w:trHeight w:val="68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335" w:type="dxa"/>
            <w:tcBorders>
              <w:right w:val="nil"/>
            </w:tcBorders>
            <w:shd w:val="clear" w:color="auto" w:fill="FFFFFF"/>
          </w:tcPr>
          <w:p>
            <w:pPr>
              <w:pStyle w:val="TableParagraph"/>
              <w:spacing w:before="141"/>
              <w:rPr>
                <w:sz w:val="20"/>
              </w:rPr>
            </w:pPr>
            <w:r>
              <w:rPr>
                <w:w w:val="120"/>
                <w:sz w:val="20"/>
              </w:rPr>
              <w:t>None</w:t>
            </w:r>
          </w:p>
        </w:tc>
      </w:tr>
    </w:tbl>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7"/>
        <w:rPr>
          <w:sz w:val="23"/>
        </w:rPr>
      </w:pPr>
    </w:p>
    <w:p>
      <w:pPr>
        <w:pStyle w:val="Heading8"/>
        <w:spacing w:before="0"/>
        <w:ind w:left="4519"/>
        <w:rPr>
          <w:rFonts w:ascii="Stone Sans II ITC Std X Bd" w:hAnsi="Stone Sans II ITC Std X Bd"/>
          <w:b/>
          <w:sz w:val="24"/>
        </w:rPr>
      </w:pPr>
      <w:r>
        <w:rPr/>
        <w:pict>
          <v:shape style="position:absolute;margin-left:225.539398pt;margin-top:.168001pt;width:307.4pt;height:15.45pt;mso-position-horizontal-relative:page;mso-position-vertical-relative:paragraph;z-index:-267465728" type="#_x0000_t202" filled="false" stroked="false">
            <v:textbox inset="0,0,0,0">
              <w:txbxContent>
                <w:p>
                  <w:pPr>
                    <w:spacing w:line="308" w:lineRule="exact" w:before="0"/>
                    <w:ind w:left="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rFonts w:ascii="Stone Sans II ITC Std X Bd" w:hAnsi="Stone Sans II ITC Std X Bd"/>
                      <w:b/>
                      <w:spacing w:val="-136"/>
                      <w:w w:val="110"/>
                      <w:sz w:val="24"/>
                    </w:rPr>
                    <w:t>51</w:t>
                  </w:r>
                </w:p>
              </w:txbxContent>
            </v:textbox>
            <w10:wrap type="none"/>
          </v:shape>
        </w:pict>
      </w: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2014 </w:t>
      </w:r>
      <w:r>
        <w:rPr>
          <w:rFonts w:ascii="Symbol" w:hAnsi="Symbol"/>
          <w:color w:val="7EAABF"/>
          <w:w w:val="110"/>
        </w:rPr>
        <w:t></w:t>
      </w:r>
      <w:r>
        <w:rPr>
          <w:rFonts w:ascii="Times New Roman" w:hAnsi="Times New Roman"/>
          <w:color w:val="7EAABF"/>
          <w:w w:val="110"/>
        </w:rPr>
        <w:t> </w:t>
      </w:r>
      <w:r>
        <w:rPr>
          <w:rFonts w:ascii="Stone Sans II ITC Std X Bd" w:hAnsi="Stone Sans II ITC Std X Bd"/>
          <w:b/>
          <w:w w:val="110"/>
          <w:sz w:val="24"/>
        </w:rPr>
        <w:t>51</w:t>
      </w:r>
    </w:p>
    <w:p>
      <w:pPr>
        <w:spacing w:after="0"/>
        <w:rPr>
          <w:rFonts w:ascii="Stone Sans II ITC Std X Bd" w:hAnsi="Stone Sans II ITC Std X Bd"/>
          <w:sz w:val="24"/>
        </w:rPr>
        <w:sectPr>
          <w:headerReference w:type="default" r:id="rId124"/>
          <w:footerReference w:type="default" r:id="rId125"/>
          <w:pgSz w:w="11910" w:h="16840"/>
          <w:pgMar w:header="0" w:footer="0" w:top="0" w:bottom="0" w:left="0" w:right="0"/>
        </w:sectPr>
      </w:pPr>
    </w:p>
    <w:p>
      <w:pPr>
        <w:pStyle w:val="BodyText"/>
        <w:rPr>
          <w:rFonts w:ascii="Stone Sans II ITC Std X Bd"/>
          <w:b/>
        </w:rPr>
      </w:pPr>
      <w:r>
        <w:rPr/>
        <w:drawing>
          <wp:anchor distT="0" distB="0" distL="0" distR="0" allowOverlap="1" layoutInCell="1" locked="0" behindDoc="0" simplePos="0" relativeHeight="251814912">
            <wp:simplePos x="0" y="0"/>
            <wp:positionH relativeFrom="page">
              <wp:posOffset>0</wp:posOffset>
            </wp:positionH>
            <wp:positionV relativeFrom="page">
              <wp:posOffset>0</wp:posOffset>
            </wp:positionV>
            <wp:extent cx="594067" cy="10692003"/>
            <wp:effectExtent l="0" t="0" r="0" b="0"/>
            <wp:wrapNone/>
            <wp:docPr id="95" name="image22.png"/>
            <wp:cNvGraphicFramePr>
              <a:graphicFrameLocks noChangeAspect="1"/>
            </wp:cNvGraphicFramePr>
            <a:graphic>
              <a:graphicData uri="http://schemas.openxmlformats.org/drawingml/2006/picture">
                <pic:pic>
                  <pic:nvPicPr>
                    <pic:cNvPr id="96" name="image22.png"/>
                    <pic:cNvPicPr/>
                  </pic:nvPicPr>
                  <pic:blipFill>
                    <a:blip r:embed="rId33" cstate="print"/>
                    <a:stretch>
                      <a:fillRect/>
                    </a:stretch>
                  </pic:blipFill>
                  <pic:spPr>
                    <a:xfrm>
                      <a:off x="0" y="0"/>
                      <a:ext cx="594067" cy="10692003"/>
                    </a:xfrm>
                    <a:prstGeom prst="rect">
                      <a:avLst/>
                    </a:prstGeom>
                  </pic:spPr>
                </pic:pic>
              </a:graphicData>
            </a:graphic>
          </wp:anchor>
        </w:drawing>
      </w:r>
    </w:p>
    <w:p>
      <w:pPr>
        <w:pStyle w:val="BodyText"/>
        <w:spacing w:before="7"/>
        <w:rPr>
          <w:rFonts w:ascii="Stone Sans II ITC Std X Bd"/>
          <w:b/>
          <w:sz w:val="17"/>
        </w:rPr>
      </w:pPr>
    </w:p>
    <w:p>
      <w:pPr>
        <w:spacing w:before="107"/>
        <w:ind w:left="1247" w:right="0" w:firstLine="0"/>
        <w:jc w:val="left"/>
        <w:rPr>
          <w:sz w:val="26"/>
        </w:rPr>
      </w:pPr>
      <w:r>
        <w:rPr/>
        <w:pict>
          <v:shape style="position:absolute;margin-left:20.519100pt;margin-top:22.643946pt;width:25.9pt;height:356.25pt;mso-position-horizontal-relative:page;mso-position-vertical-relative:paragraph;z-index:251815936" type="#_x0000_t202" filled="false" stroked="false">
            <v:textbox inset="0,0,0,0" style="layout-flow:vertical">
              <w:txbxContent>
                <w:p>
                  <w:pPr>
                    <w:spacing w:before="27"/>
                    <w:ind w:left="20" w:right="0" w:firstLine="0"/>
                    <w:jc w:val="left"/>
                    <w:rPr>
                      <w:sz w:val="39"/>
                    </w:rPr>
                  </w:pPr>
                  <w:r>
                    <w:rPr>
                      <w:color w:val="FFFFFF"/>
                      <w:w w:val="120"/>
                      <w:sz w:val="39"/>
                    </w:rPr>
                    <w:t>Membership of governance bodies</w:t>
                  </w:r>
                </w:p>
              </w:txbxContent>
            </v:textbox>
            <w10:wrap type="none"/>
          </v:shape>
        </w:pict>
      </w:r>
      <w:r>
        <w:rPr>
          <w:color w:val="7EAABF"/>
          <w:w w:val="120"/>
          <w:sz w:val="26"/>
        </w:rPr>
        <w:t>Mission Council</w:t>
      </w:r>
    </w:p>
    <w:p>
      <w:pPr>
        <w:pStyle w:val="BodyText"/>
        <w:spacing w:before="8"/>
        <w:rPr>
          <w:sz w:val="24"/>
        </w:rPr>
      </w:pPr>
    </w:p>
    <w:p>
      <w:pPr>
        <w:spacing w:line="213" w:lineRule="auto" w:before="0"/>
        <w:ind w:left="1247" w:right="2004" w:firstLine="0"/>
        <w:jc w:val="left"/>
        <w:rPr>
          <w:rFonts w:ascii="Stone Sans II ITC Std X Bd"/>
          <w:b/>
          <w:sz w:val="50"/>
        </w:rPr>
      </w:pPr>
      <w:r>
        <w:rPr>
          <w:rFonts w:ascii="Stone Sans II ITC Std X Bd"/>
          <w:b/>
          <w:w w:val="110"/>
          <w:sz w:val="50"/>
        </w:rPr>
        <w:t>Membership of governance bodies</w:t>
      </w:r>
    </w:p>
    <w:p>
      <w:pPr>
        <w:pStyle w:val="ListParagraph"/>
        <w:numPr>
          <w:ilvl w:val="0"/>
          <w:numId w:val="33"/>
        </w:numPr>
        <w:tabs>
          <w:tab w:pos="1927" w:val="left" w:leader="none"/>
          <w:tab w:pos="1928" w:val="left" w:leader="none"/>
        </w:tabs>
        <w:spacing w:line="235" w:lineRule="auto" w:before="382" w:after="0"/>
        <w:ind w:left="1247" w:right="2106" w:firstLine="0"/>
        <w:jc w:val="left"/>
        <w:rPr>
          <w:sz w:val="20"/>
        </w:rPr>
      </w:pPr>
      <w:r>
        <w:rPr>
          <w:w w:val="120"/>
          <w:sz w:val="20"/>
        </w:rPr>
        <w:t>Mission Council has spent some time considering membership, and presents certain proposals to the Assembly which are intended to make some adjustments to the membership of the Assembly and Mission Council, to correct an error of omission in the membership of synods, and to clarify and make explicit some implied conditions of</w:t>
      </w:r>
      <w:r>
        <w:rPr>
          <w:spacing w:val="2"/>
          <w:w w:val="120"/>
          <w:sz w:val="20"/>
        </w:rPr>
        <w:t> </w:t>
      </w:r>
      <w:r>
        <w:rPr>
          <w:w w:val="120"/>
          <w:sz w:val="20"/>
        </w:rPr>
        <w:t>membership.</w:t>
      </w:r>
    </w:p>
    <w:p>
      <w:pPr>
        <w:spacing w:before="216"/>
        <w:ind w:left="1247" w:right="0" w:firstLine="0"/>
        <w:jc w:val="left"/>
        <w:rPr>
          <w:rFonts w:ascii="Stone Sans II ITC Std Bk"/>
          <w:b/>
          <w:sz w:val="29"/>
        </w:rPr>
      </w:pPr>
      <w:r>
        <w:rPr>
          <w:rFonts w:ascii="Stone Sans II ITC Std Bk"/>
          <w:b/>
          <w:w w:val="110"/>
          <w:sz w:val="29"/>
        </w:rPr>
        <w:t>The General Assembly</w:t>
      </w:r>
    </w:p>
    <w:p>
      <w:pPr>
        <w:pStyle w:val="ListParagraph"/>
        <w:numPr>
          <w:ilvl w:val="0"/>
          <w:numId w:val="33"/>
        </w:numPr>
        <w:tabs>
          <w:tab w:pos="1927" w:val="left" w:leader="none"/>
          <w:tab w:pos="1928" w:val="left" w:leader="none"/>
        </w:tabs>
        <w:spacing w:line="235" w:lineRule="auto" w:before="69" w:after="0"/>
        <w:ind w:left="1247" w:right="2015" w:firstLine="0"/>
        <w:jc w:val="left"/>
        <w:rPr>
          <w:sz w:val="20"/>
        </w:rPr>
      </w:pPr>
      <w:r>
        <w:rPr>
          <w:w w:val="120"/>
          <w:sz w:val="20"/>
        </w:rPr>
        <w:t>On the whole, the Structure is silent on the question of whether members of the Assembly must be members of the URC. When it was first drafted it may well have been assumed that those representing </w:t>
      </w:r>
      <w:r>
        <w:rPr>
          <w:spacing w:val="-5"/>
          <w:w w:val="120"/>
          <w:sz w:val="20"/>
        </w:rPr>
        <w:t>(then) </w:t>
      </w:r>
      <w:r>
        <w:rPr>
          <w:w w:val="120"/>
          <w:sz w:val="20"/>
        </w:rPr>
        <w:t>district councils would be members. </w:t>
      </w:r>
      <w:r>
        <w:rPr>
          <w:spacing w:val="3"/>
          <w:w w:val="120"/>
          <w:sz w:val="20"/>
        </w:rPr>
        <w:t>As </w:t>
      </w:r>
      <w:r>
        <w:rPr>
          <w:w w:val="120"/>
          <w:sz w:val="20"/>
        </w:rPr>
        <w:t>new categories of membership were added to the list, in some cases it was specified that they must be drawn from the URC membership, but nothing is laid down about the matter in</w:t>
      </w:r>
      <w:r>
        <w:rPr>
          <w:spacing w:val="3"/>
          <w:w w:val="120"/>
          <w:sz w:val="20"/>
        </w:rPr>
        <w:t> </w:t>
      </w:r>
      <w:r>
        <w:rPr>
          <w:w w:val="120"/>
          <w:sz w:val="20"/>
        </w:rPr>
        <w:t>general.</w:t>
      </w:r>
    </w:p>
    <w:p>
      <w:pPr>
        <w:pStyle w:val="BodyText"/>
      </w:pPr>
    </w:p>
    <w:p>
      <w:pPr>
        <w:pStyle w:val="ListParagraph"/>
        <w:numPr>
          <w:ilvl w:val="0"/>
          <w:numId w:val="33"/>
        </w:numPr>
        <w:tabs>
          <w:tab w:pos="1927" w:val="left" w:leader="none"/>
          <w:tab w:pos="1928" w:val="left" w:leader="none"/>
        </w:tabs>
        <w:spacing w:line="235" w:lineRule="auto" w:before="0" w:after="0"/>
        <w:ind w:left="1247" w:right="2355" w:firstLine="0"/>
        <w:jc w:val="left"/>
        <w:rPr>
          <w:sz w:val="20"/>
        </w:rPr>
      </w:pPr>
      <w:r>
        <w:rPr>
          <w:w w:val="120"/>
          <w:sz w:val="20"/>
        </w:rPr>
        <w:t>At General Assembly in 2006 a resolution was passed (resolution </w:t>
      </w:r>
      <w:r>
        <w:rPr>
          <w:spacing w:val="-11"/>
          <w:w w:val="120"/>
          <w:sz w:val="20"/>
        </w:rPr>
        <w:t>51) </w:t>
      </w:r>
      <w:r>
        <w:rPr>
          <w:w w:val="120"/>
          <w:sz w:val="20"/>
        </w:rPr>
        <w:t>which stated that, with a few exceptions, members of Assembly should be members of the URC. However, this decision was not enshrined in the Structure, and so is not widely known. It is now proposed that the Structure be amended to clarify this</w:t>
      </w:r>
      <w:r>
        <w:rPr>
          <w:spacing w:val="50"/>
          <w:w w:val="120"/>
          <w:sz w:val="20"/>
        </w:rPr>
        <w:t> </w:t>
      </w:r>
      <w:r>
        <w:rPr>
          <w:w w:val="120"/>
          <w:sz w:val="20"/>
        </w:rPr>
        <w:t>point.</w:t>
      </w:r>
    </w:p>
    <w:p>
      <w:pPr>
        <w:pStyle w:val="BodyText"/>
        <w:spacing w:before="11"/>
        <w:rPr>
          <w:sz w:val="19"/>
        </w:rPr>
      </w:pPr>
    </w:p>
    <w:p>
      <w:pPr>
        <w:pStyle w:val="ListParagraph"/>
        <w:numPr>
          <w:ilvl w:val="0"/>
          <w:numId w:val="33"/>
        </w:numPr>
        <w:tabs>
          <w:tab w:pos="1927" w:val="left" w:leader="none"/>
          <w:tab w:pos="1928" w:val="left" w:leader="none"/>
        </w:tabs>
        <w:spacing w:line="235" w:lineRule="auto" w:before="0" w:after="0"/>
        <w:ind w:left="1247" w:right="2033" w:firstLine="0"/>
        <w:jc w:val="left"/>
        <w:rPr>
          <w:sz w:val="20"/>
        </w:rPr>
      </w:pPr>
      <w:r>
        <w:rPr>
          <w:w w:val="120"/>
          <w:sz w:val="20"/>
        </w:rPr>
        <w:t>It is suggested that another change be considered at the same time. The Structure currently states that: “Where the moderator of synod is an officer of the Assembly, a committee convener or otherwise entitled to membership of the Assembly, the synod concerned shall appoint a substitute as its representative”. Whilst it</w:t>
      </w:r>
      <w:r>
        <w:rPr>
          <w:spacing w:val="1"/>
          <w:w w:val="120"/>
          <w:sz w:val="20"/>
        </w:rPr>
        <w:t> </w:t>
      </w:r>
      <w:r>
        <w:rPr>
          <w:w w:val="120"/>
          <w:sz w:val="20"/>
        </w:rPr>
        <w:t>is</w:t>
      </w:r>
    </w:p>
    <w:p>
      <w:pPr>
        <w:pStyle w:val="BodyText"/>
        <w:spacing w:line="235" w:lineRule="auto" w:before="3"/>
        <w:ind w:left="1247" w:right="2167"/>
      </w:pPr>
      <w:r>
        <w:rPr>
          <w:w w:val="120"/>
        </w:rPr>
        <w:t>clearly appropriate that if the moderator of a synod is an officer of the Assembly an alternative synod representative should be appointed, being a convener of a standing committee does not impede the synod moderator from representing the synod so the appointment of a substitute in that case is unnecessary. It is therefore suggested that the Structure be amended to restrict this provision.</w:t>
      </w:r>
    </w:p>
    <w:p>
      <w:pPr>
        <w:pStyle w:val="BodyText"/>
        <w:spacing w:before="12"/>
        <w:rPr>
          <w:sz w:val="19"/>
        </w:rPr>
      </w:pPr>
    </w:p>
    <w:p>
      <w:pPr>
        <w:pStyle w:val="ListParagraph"/>
        <w:numPr>
          <w:ilvl w:val="0"/>
          <w:numId w:val="33"/>
        </w:numPr>
        <w:tabs>
          <w:tab w:pos="1927" w:val="left" w:leader="none"/>
          <w:tab w:pos="1928" w:val="left" w:leader="none"/>
        </w:tabs>
        <w:spacing w:line="235" w:lineRule="auto" w:before="0" w:after="0"/>
        <w:ind w:left="1247" w:right="2537" w:firstLine="0"/>
        <w:jc w:val="both"/>
        <w:rPr>
          <w:sz w:val="20"/>
        </w:rPr>
      </w:pPr>
      <w:r>
        <w:rPr>
          <w:w w:val="120"/>
          <w:sz w:val="20"/>
        </w:rPr>
        <w:t>One other change is proposed which, if accepted, will result in the need for an amendment to the Structure. Currently the Synod of Scotland has six additional representatives to the Assembly, under category </w:t>
      </w:r>
      <w:r>
        <w:rPr>
          <w:spacing w:val="-6"/>
          <w:w w:val="120"/>
          <w:sz w:val="20"/>
        </w:rPr>
        <w:t>2.(6)(h).</w:t>
      </w:r>
      <w:r>
        <w:rPr>
          <w:spacing w:val="14"/>
          <w:w w:val="120"/>
          <w:sz w:val="20"/>
        </w:rPr>
        <w:t> </w:t>
      </w:r>
      <w:r>
        <w:rPr>
          <w:w w:val="120"/>
          <w:sz w:val="20"/>
        </w:rPr>
        <w:t>It is a widely held</w:t>
      </w:r>
    </w:p>
    <w:p>
      <w:pPr>
        <w:pStyle w:val="BodyText"/>
        <w:spacing w:line="235" w:lineRule="auto" w:before="2"/>
        <w:ind w:left="1247" w:right="2004"/>
      </w:pPr>
      <w:r>
        <w:rPr>
          <w:w w:val="120"/>
        </w:rPr>
        <w:t>understanding that at the time of union these additional places were put in place in lieu of all former chairmen and presidents of the Congregational Union of Scotland being entitled to membership as were all former chairmen, presidents and moderators of the other constituent parts of the URC. The fact that the former chairmen and presidents</w:t>
      </w:r>
    </w:p>
    <w:p>
      <w:pPr>
        <w:pStyle w:val="BodyText"/>
        <w:spacing w:line="235" w:lineRule="auto" w:before="3"/>
        <w:ind w:left="1247" w:right="2030"/>
      </w:pPr>
      <w:r>
        <w:rPr>
          <w:w w:val="120"/>
        </w:rPr>
        <w:t>of the Congregational Union of Scotland were not at that time included in the category of membership with those from England and Wales could be taken to confirm the understanding, but it was, </w:t>
      </w:r>
      <w:r>
        <w:rPr>
          <w:spacing w:val="-3"/>
          <w:w w:val="120"/>
        </w:rPr>
        <w:t>however,</w:t>
      </w:r>
      <w:r>
        <w:rPr>
          <w:spacing w:val="12"/>
          <w:w w:val="120"/>
        </w:rPr>
        <w:t> </w:t>
      </w:r>
      <w:r>
        <w:rPr>
          <w:w w:val="120"/>
        </w:rPr>
        <w:t>not contained in the written record at the time.</w:t>
      </w:r>
    </w:p>
    <w:p>
      <w:pPr>
        <w:pStyle w:val="BodyText"/>
        <w:spacing w:line="235" w:lineRule="auto" w:before="2"/>
        <w:ind w:left="1247" w:right="2030"/>
      </w:pPr>
      <w:r>
        <w:rPr>
          <w:w w:val="120"/>
        </w:rPr>
        <w:t>What </w:t>
      </w:r>
      <w:r>
        <w:rPr>
          <w:i/>
          <w:w w:val="120"/>
        </w:rPr>
        <w:t>was </w:t>
      </w:r>
      <w:r>
        <w:rPr>
          <w:w w:val="120"/>
        </w:rPr>
        <w:t>recorded was that this provision was “to enable the national life of the URC in Scotland to be reflected in the General Assembly.” Given that since </w:t>
      </w:r>
      <w:r>
        <w:rPr>
          <w:spacing w:val="-6"/>
          <w:w w:val="120"/>
        </w:rPr>
        <w:t>2010 </w:t>
      </w:r>
      <w:r>
        <w:rPr>
          <w:w w:val="120"/>
        </w:rPr>
        <w:t>all the former leaders in England and Wales have been represented by only two of their number,</w:t>
      </w:r>
      <w:r>
        <w:rPr>
          <w:spacing w:val="35"/>
          <w:w w:val="120"/>
        </w:rPr>
        <w:t> </w:t>
      </w:r>
      <w:r>
        <w:rPr>
          <w:w w:val="120"/>
        </w:rPr>
        <w:t>it</w:t>
      </w:r>
    </w:p>
    <w:p>
      <w:pPr>
        <w:pStyle w:val="BodyText"/>
        <w:spacing w:line="235" w:lineRule="auto" w:before="2"/>
        <w:ind w:left="1247" w:right="1982"/>
      </w:pPr>
      <w:r>
        <w:rPr>
          <w:w w:val="120"/>
        </w:rPr>
        <w:t>is proposed that the representation from Scotland now be brought into line with the other synods. If the Assembly decides to remove the </w:t>
      </w:r>
      <w:r>
        <w:rPr>
          <w:spacing w:val="2"/>
          <w:w w:val="120"/>
        </w:rPr>
        <w:t>extra </w:t>
      </w:r>
      <w:r>
        <w:rPr>
          <w:w w:val="120"/>
        </w:rPr>
        <w:t>six, then the former leaders from Scotland should be added to category (j) in Assembly membership. The removal    of these additional representatives does not itself require a change to the Structure, and would be achieved by passing resolution</w:t>
      </w:r>
      <w:r>
        <w:rPr>
          <w:spacing w:val="16"/>
          <w:w w:val="120"/>
        </w:rPr>
        <w:t> </w:t>
      </w:r>
      <w:r>
        <w:rPr>
          <w:spacing w:val="3"/>
          <w:w w:val="120"/>
        </w:rPr>
        <w:t>A.</w:t>
      </w:r>
    </w:p>
    <w:p>
      <w:pPr>
        <w:spacing w:after="0" w:line="235" w:lineRule="auto"/>
        <w:sectPr>
          <w:headerReference w:type="even" r:id="rId127"/>
          <w:footerReference w:type="even" r:id="rId128"/>
          <w:footerReference w:type="default" r:id="rId129"/>
          <w:pgSz w:w="11910" w:h="16840"/>
          <w:pgMar w:header="0" w:footer="647" w:top="0" w:bottom="840" w:left="0" w:right="0"/>
          <w:pgNumType w:start="52"/>
        </w:sectPr>
      </w:pPr>
    </w:p>
    <w:p>
      <w:pPr>
        <w:pStyle w:val="BodyText"/>
      </w:pPr>
    </w:p>
    <w:p>
      <w:pPr>
        <w:pStyle w:val="BodyText"/>
        <w:spacing w:before="7"/>
        <w:rPr>
          <w:sz w:val="21"/>
        </w:rPr>
      </w:pPr>
    </w:p>
    <w:p>
      <w:pPr>
        <w:spacing w:after="0"/>
        <w:rPr>
          <w:sz w:val="21"/>
        </w:rPr>
        <w:sectPr>
          <w:headerReference w:type="default" r:id="rId130"/>
          <w:pgSz w:w="11910" w:h="16840"/>
          <w:pgMar w:header="0" w:footer="647" w:top="0" w:bottom="840" w:left="0" w:right="0"/>
        </w:sectPr>
      </w:pPr>
    </w:p>
    <w:p>
      <w:pPr>
        <w:pStyle w:val="BodyText"/>
        <w:spacing w:before="4"/>
        <w:rPr>
          <w:sz w:val="52"/>
        </w:rPr>
      </w:pPr>
    </w:p>
    <w:p>
      <w:pPr>
        <w:pStyle w:val="Heading4"/>
        <w:ind w:left="1984" w:firstLine="0"/>
      </w:pPr>
      <w:r>
        <w:rPr/>
        <w:pict>
          <v:line style="position:absolute;mso-position-horizontal-relative:page;mso-position-vertical-relative:paragraph;z-index:251817984" from="89.874001pt,.604109pt" to="89.874001pt,57.534109pt" stroked="true" strokeweight="4pt" strokecolor="#b0cbd9">
            <v:stroke dashstyle="solid"/>
            <w10:wrap type="none"/>
          </v:line>
        </w:pict>
      </w:r>
      <w:r>
        <w:rPr>
          <w:w w:val="110"/>
        </w:rPr>
        <w:t>Resolution A</w:t>
      </w:r>
    </w:p>
    <w:p>
      <w:pPr>
        <w:pStyle w:val="Heading5"/>
        <w:ind w:left="1984"/>
      </w:pPr>
      <w:r>
        <w:rPr/>
        <w:br w:type="column"/>
      </w:r>
      <w:r>
        <w:rPr>
          <w:color w:val="7EAABF"/>
          <w:w w:val="120"/>
        </w:rPr>
        <w:t>Mission Council</w:t>
      </w:r>
    </w:p>
    <w:p>
      <w:pPr>
        <w:spacing w:after="0"/>
        <w:sectPr>
          <w:type w:val="continuous"/>
          <w:pgSz w:w="11910" w:h="16840"/>
          <w:pgMar w:top="680" w:bottom="280" w:left="0" w:right="0"/>
          <w:cols w:num="2" w:equalWidth="0">
            <w:col w:w="4032" w:space="2695"/>
            <w:col w:w="5183"/>
          </w:cols>
        </w:sectPr>
      </w:pPr>
    </w:p>
    <w:p>
      <w:pPr>
        <w:pStyle w:val="BodyText"/>
        <w:spacing w:line="235" w:lineRule="auto" w:before="69"/>
        <w:ind w:left="1984" w:right="1701"/>
      </w:pPr>
      <w:r>
        <w:rPr/>
        <w:drawing>
          <wp:anchor distT="0" distB="0" distL="0" distR="0" allowOverlap="1" layoutInCell="1" locked="0" behindDoc="0" simplePos="0" relativeHeight="251816960">
            <wp:simplePos x="0" y="0"/>
            <wp:positionH relativeFrom="page">
              <wp:posOffset>6974928</wp:posOffset>
            </wp:positionH>
            <wp:positionV relativeFrom="page">
              <wp:posOffset>0</wp:posOffset>
            </wp:positionV>
            <wp:extent cx="585076" cy="10692003"/>
            <wp:effectExtent l="0" t="0" r="0" b="0"/>
            <wp:wrapNone/>
            <wp:docPr id="97" name="image23.png"/>
            <wp:cNvGraphicFramePr>
              <a:graphicFrameLocks noChangeAspect="1"/>
            </wp:cNvGraphicFramePr>
            <a:graphic>
              <a:graphicData uri="http://schemas.openxmlformats.org/drawingml/2006/picture">
                <pic:pic>
                  <pic:nvPicPr>
                    <pic:cNvPr id="98" name="image23.png"/>
                    <pic:cNvPicPr/>
                  </pic:nvPicPr>
                  <pic:blipFill>
                    <a:blip r:embed="rId35" cstate="print"/>
                    <a:stretch>
                      <a:fillRect/>
                    </a:stretch>
                  </pic:blipFill>
                  <pic:spPr>
                    <a:xfrm>
                      <a:off x="0" y="0"/>
                      <a:ext cx="585076" cy="10692003"/>
                    </a:xfrm>
                    <a:prstGeom prst="rect">
                      <a:avLst/>
                    </a:prstGeom>
                  </pic:spPr>
                </pic:pic>
              </a:graphicData>
            </a:graphic>
          </wp:anchor>
        </w:drawing>
      </w:r>
      <w:r>
        <w:rPr/>
        <w:pict>
          <v:shape style="position:absolute;margin-left:554.141174pt;margin-top:-28.931347pt;width:25.9pt;height:356.25pt;mso-position-horizontal-relative:page;mso-position-vertical-relative:paragraph;z-index:251821056" type="#_x0000_t202" filled="false" stroked="false">
            <v:textbox inset="0,0,0,0" style="layout-flow:vertical">
              <w:txbxContent>
                <w:p>
                  <w:pPr>
                    <w:spacing w:before="27"/>
                    <w:ind w:left="20" w:right="0" w:firstLine="0"/>
                    <w:jc w:val="left"/>
                    <w:rPr>
                      <w:sz w:val="39"/>
                    </w:rPr>
                  </w:pPr>
                  <w:r>
                    <w:rPr>
                      <w:color w:val="FFFFFF"/>
                      <w:w w:val="120"/>
                      <w:sz w:val="39"/>
                    </w:rPr>
                    <w:t>Membership of governance bodies</w:t>
                  </w:r>
                </w:p>
              </w:txbxContent>
            </v:textbox>
            <w10:wrap type="none"/>
          </v:shape>
        </w:pict>
      </w:r>
      <w:r>
        <w:rPr>
          <w:w w:val="120"/>
        </w:rPr>
        <w:t>General Assembly agrees that with effect from the General Assembly of 2016 there shall no longer be six additional representatives of the Synod of Scotland under category 2.(6)(h).</w:t>
      </w:r>
    </w:p>
    <w:p>
      <w:pPr>
        <w:pStyle w:val="BodyText"/>
        <w:rPr>
          <w:sz w:val="24"/>
        </w:rPr>
      </w:pPr>
    </w:p>
    <w:p>
      <w:pPr>
        <w:pStyle w:val="ListParagraph"/>
        <w:numPr>
          <w:ilvl w:val="0"/>
          <w:numId w:val="33"/>
        </w:numPr>
        <w:tabs>
          <w:tab w:pos="2664" w:val="left" w:leader="none"/>
          <w:tab w:pos="2665" w:val="left" w:leader="none"/>
        </w:tabs>
        <w:spacing w:line="235" w:lineRule="auto" w:before="189" w:after="0"/>
        <w:ind w:left="1984" w:right="1690" w:firstLine="0"/>
        <w:jc w:val="left"/>
        <w:rPr>
          <w:sz w:val="20"/>
        </w:rPr>
      </w:pPr>
      <w:r>
        <w:rPr>
          <w:w w:val="120"/>
          <w:sz w:val="20"/>
        </w:rPr>
        <w:t>Resolution B would make the amendments to the Structure to put into effect the changes outlined in paragraphs 3, 4 and 5 above. </w:t>
      </w:r>
      <w:r>
        <w:rPr>
          <w:spacing w:val="-3"/>
          <w:w w:val="120"/>
          <w:sz w:val="20"/>
        </w:rPr>
        <w:t>{nb: </w:t>
      </w:r>
      <w:r>
        <w:rPr>
          <w:w w:val="120"/>
          <w:sz w:val="20"/>
        </w:rPr>
        <w:t>The current text of the categories of membership of Assembly in the Structure is shown in the</w:t>
      </w:r>
      <w:r>
        <w:rPr>
          <w:spacing w:val="3"/>
          <w:w w:val="120"/>
          <w:sz w:val="20"/>
        </w:rPr>
        <w:t> </w:t>
      </w:r>
      <w:r>
        <w:rPr>
          <w:w w:val="120"/>
          <w:sz w:val="20"/>
        </w:rPr>
        <w:t>appendix.}</w:t>
      </w:r>
    </w:p>
    <w:p>
      <w:pPr>
        <w:pStyle w:val="BodyText"/>
        <w:rPr>
          <w:sz w:val="24"/>
        </w:rPr>
      </w:pPr>
    </w:p>
    <w:p>
      <w:pPr>
        <w:pStyle w:val="Heading4"/>
        <w:spacing w:before="162"/>
        <w:ind w:left="1984" w:firstLine="0"/>
      </w:pPr>
      <w:r>
        <w:rPr/>
        <w:pict>
          <v:line style="position:absolute;mso-position-horizontal-relative:page;mso-position-vertical-relative:paragraph;z-index:251819008" from="89.874001pt,12.310198pt" to="89.874001pt,341.128198pt" stroked="true" strokeweight="4pt" strokecolor="#b0cbd9">
            <v:stroke dashstyle="solid"/>
            <w10:wrap type="none"/>
          </v:line>
        </w:pict>
      </w:r>
      <w:r>
        <w:rPr>
          <w:w w:val="110"/>
        </w:rPr>
        <w:t>Resolution B</w:t>
      </w:r>
    </w:p>
    <w:p>
      <w:pPr>
        <w:pStyle w:val="BodyText"/>
        <w:spacing w:line="235" w:lineRule="auto" w:before="69"/>
        <w:ind w:left="1984" w:right="2004"/>
      </w:pPr>
      <w:r>
        <w:rPr>
          <w:w w:val="120"/>
        </w:rPr>
        <w:t>General Assembly agrees to make the following changes to the Structure of the United Reformed Church:</w:t>
      </w:r>
    </w:p>
    <w:p>
      <w:pPr>
        <w:pStyle w:val="BodyText"/>
        <w:spacing w:before="5"/>
        <w:rPr>
          <w:sz w:val="19"/>
        </w:rPr>
      </w:pPr>
    </w:p>
    <w:p>
      <w:pPr>
        <w:pStyle w:val="BodyText"/>
        <w:spacing w:line="236" w:lineRule="exact" w:before="1"/>
        <w:ind w:left="1984"/>
      </w:pPr>
      <w:r>
        <w:rPr>
          <w:w w:val="125"/>
        </w:rPr>
        <w:t>Paragraph 2.(6)</w:t>
      </w:r>
    </w:p>
    <w:p>
      <w:pPr>
        <w:pStyle w:val="Heading9"/>
        <w:spacing w:line="213" w:lineRule="auto" w:before="14"/>
        <w:ind w:left="1984" w:right="1352" w:firstLine="0"/>
        <w:rPr>
          <w:rFonts w:ascii="Calibri" w:hAnsi="Calibri"/>
          <w:b w:val="0"/>
        </w:rPr>
      </w:pPr>
      <w:r>
        <w:rPr>
          <w:rFonts w:ascii="Calibri" w:hAnsi="Calibri"/>
          <w:b w:val="0"/>
          <w:w w:val="110"/>
        </w:rPr>
        <w:t>Amend the first sentence to read: “</w:t>
      </w:r>
      <w:r>
        <w:rPr>
          <w:w w:val="110"/>
        </w:rPr>
        <w:t>The General Assembly which shall embody the unity of the United Reformed Church and act as the central organ of its life and the final authority, under the Word of God and the promised guidance of the Holy Spirit, in all matters of doctrine and order and in all other concerns of its common life shall consist of members of the United Reformed Church (save for those in categories (g), (l), (m) and (n)) as follows:</w:t>
      </w:r>
      <w:r>
        <w:rPr>
          <w:rFonts w:ascii="Calibri" w:hAnsi="Calibri"/>
          <w:b w:val="0"/>
          <w:w w:val="110"/>
        </w:rPr>
        <w:t>”</w:t>
      </w:r>
    </w:p>
    <w:p>
      <w:pPr>
        <w:pStyle w:val="BodyText"/>
        <w:spacing w:before="3"/>
        <w:rPr>
          <w:sz w:val="19"/>
        </w:rPr>
      </w:pPr>
    </w:p>
    <w:p>
      <w:pPr>
        <w:spacing w:line="213" w:lineRule="auto" w:before="1"/>
        <w:ind w:left="1984" w:right="1519" w:firstLine="0"/>
        <w:jc w:val="left"/>
        <w:rPr>
          <w:sz w:val="20"/>
        </w:rPr>
      </w:pPr>
      <w:r>
        <w:rPr>
          <w:w w:val="110"/>
          <w:sz w:val="20"/>
        </w:rPr>
        <w:t>Amend category </w:t>
      </w:r>
      <w:r>
        <w:rPr>
          <w:spacing w:val="-7"/>
          <w:w w:val="110"/>
          <w:sz w:val="20"/>
        </w:rPr>
        <w:t>(d) </w:t>
      </w:r>
      <w:r>
        <w:rPr>
          <w:w w:val="110"/>
          <w:sz w:val="20"/>
        </w:rPr>
        <w:t>by the deletion of the words: </w:t>
      </w:r>
      <w:r>
        <w:rPr>
          <w:spacing w:val="-10"/>
          <w:w w:val="110"/>
          <w:sz w:val="20"/>
        </w:rPr>
        <w:t>“</w:t>
      </w:r>
      <w:r>
        <w:rPr>
          <w:rFonts w:ascii="Stone Sans II ITC Std Bk" w:hAnsi="Stone Sans II ITC Std Bk"/>
          <w:b/>
          <w:spacing w:val="-10"/>
          <w:w w:val="110"/>
          <w:sz w:val="20"/>
        </w:rPr>
        <w:t>, </w:t>
      </w:r>
      <w:r>
        <w:rPr>
          <w:rFonts w:ascii="Stone Sans II ITC Std Bk" w:hAnsi="Stone Sans II ITC Std Bk"/>
          <w:b/>
          <w:w w:val="110"/>
          <w:sz w:val="20"/>
        </w:rPr>
        <w:t>a committee convener  or otherwise entitled to membership of the Assembly,</w:t>
      </w:r>
      <w:r>
        <w:rPr>
          <w:w w:val="110"/>
          <w:sz w:val="20"/>
        </w:rPr>
        <w:t>” so  that  it  reads:  “</w:t>
      </w:r>
      <w:r>
        <w:rPr>
          <w:rFonts w:ascii="Stone Sans II ITC Std Bk" w:hAnsi="Stone Sans II ITC Std Bk"/>
          <w:b/>
          <w:w w:val="110"/>
          <w:sz w:val="20"/>
        </w:rPr>
        <w:t>Where the moderator of synod is an officer of the Assembly the synod concerned shall appoint a substitute as its</w:t>
      </w:r>
      <w:r>
        <w:rPr>
          <w:rFonts w:ascii="Stone Sans II ITC Std Bk" w:hAnsi="Stone Sans II ITC Std Bk"/>
          <w:b/>
          <w:spacing w:val="-2"/>
          <w:w w:val="110"/>
          <w:sz w:val="20"/>
        </w:rPr>
        <w:t> </w:t>
      </w:r>
      <w:r>
        <w:rPr>
          <w:rFonts w:ascii="Stone Sans II ITC Std Bk" w:hAnsi="Stone Sans II ITC Std Bk"/>
          <w:b/>
          <w:w w:val="110"/>
          <w:sz w:val="20"/>
        </w:rPr>
        <w:t>representative</w:t>
      </w:r>
      <w:r>
        <w:rPr>
          <w:w w:val="110"/>
          <w:sz w:val="20"/>
        </w:rPr>
        <w:t>”.</w:t>
      </w:r>
    </w:p>
    <w:p>
      <w:pPr>
        <w:pStyle w:val="BodyText"/>
        <w:spacing w:before="5"/>
        <w:rPr>
          <w:sz w:val="19"/>
        </w:rPr>
      </w:pPr>
    </w:p>
    <w:p>
      <w:pPr>
        <w:spacing w:line="213" w:lineRule="auto" w:before="0"/>
        <w:ind w:left="1984" w:right="1820" w:firstLine="0"/>
        <w:jc w:val="left"/>
        <w:rPr>
          <w:sz w:val="20"/>
        </w:rPr>
      </w:pPr>
      <w:r>
        <w:rPr>
          <w:w w:val="115"/>
          <w:sz w:val="20"/>
        </w:rPr>
        <w:t>Amend category (f) by the deletion of the words: “</w:t>
      </w:r>
      <w:r>
        <w:rPr>
          <w:rFonts w:ascii="Stone Sans II ITC Std Bk" w:hAnsi="Stone Sans II ITC Std Bk"/>
          <w:b/>
          <w:w w:val="115"/>
          <w:sz w:val="20"/>
        </w:rPr>
        <w:t>being members of the United</w:t>
      </w:r>
      <w:r>
        <w:rPr>
          <w:rFonts w:ascii="Stone Sans II ITC Std Bk" w:hAnsi="Stone Sans II ITC Std Bk"/>
          <w:b/>
          <w:spacing w:val="60"/>
          <w:w w:val="115"/>
          <w:sz w:val="20"/>
        </w:rPr>
        <w:t> </w:t>
      </w:r>
      <w:r>
        <w:rPr>
          <w:rFonts w:ascii="Stone Sans II ITC Std Bk" w:hAnsi="Stone Sans II ITC Std Bk"/>
          <w:b/>
          <w:w w:val="115"/>
          <w:sz w:val="20"/>
        </w:rPr>
        <w:t>Reformed Church,</w:t>
      </w:r>
      <w:r>
        <w:rPr>
          <w:w w:val="115"/>
          <w:sz w:val="20"/>
        </w:rPr>
        <w:t>” </w:t>
      </w:r>
      <w:r>
        <w:rPr>
          <w:spacing w:val="-5"/>
          <w:w w:val="115"/>
          <w:sz w:val="20"/>
        </w:rPr>
        <w:t>(twice).</w:t>
      </w:r>
    </w:p>
    <w:p>
      <w:pPr>
        <w:pStyle w:val="BodyText"/>
        <w:spacing w:before="7"/>
        <w:rPr>
          <w:sz w:val="19"/>
        </w:rPr>
      </w:pPr>
    </w:p>
    <w:p>
      <w:pPr>
        <w:spacing w:line="213" w:lineRule="auto" w:before="0"/>
        <w:ind w:left="1984" w:right="1419" w:firstLine="0"/>
        <w:jc w:val="left"/>
        <w:rPr>
          <w:sz w:val="20"/>
        </w:rPr>
      </w:pPr>
      <w:r>
        <w:rPr>
          <w:w w:val="115"/>
          <w:sz w:val="20"/>
        </w:rPr>
        <w:t>Amend category (j) by the addition of the words: “</w:t>
      </w:r>
      <w:r>
        <w:rPr>
          <w:rFonts w:ascii="Stone Sans II ITC Std Bk" w:hAnsi="Stone Sans II ITC Std Bk"/>
          <w:b/>
          <w:w w:val="115"/>
          <w:sz w:val="20"/>
        </w:rPr>
        <w:t>former chairmen and presidents</w:t>
      </w:r>
      <w:r>
        <w:rPr>
          <w:rFonts w:ascii="Stone Sans II ITC Std Bk" w:hAnsi="Stone Sans II ITC Std Bk"/>
          <w:b/>
          <w:spacing w:val="60"/>
          <w:w w:val="115"/>
          <w:sz w:val="20"/>
        </w:rPr>
        <w:t> </w:t>
      </w:r>
      <w:r>
        <w:rPr>
          <w:rFonts w:ascii="Stone Sans II ITC Std Bk" w:hAnsi="Stone Sans II ITC Std Bk"/>
          <w:b/>
          <w:w w:val="115"/>
          <w:sz w:val="20"/>
        </w:rPr>
        <w:t>of the Congregational Union of Scotland,</w:t>
      </w:r>
      <w:r>
        <w:rPr>
          <w:w w:val="115"/>
          <w:sz w:val="20"/>
        </w:rPr>
        <w:t>” before the words: “provided that”</w:t>
      </w:r>
    </w:p>
    <w:p>
      <w:pPr>
        <w:spacing w:line="213" w:lineRule="auto" w:before="0"/>
        <w:ind w:left="1984" w:right="1352" w:firstLine="0"/>
        <w:jc w:val="left"/>
        <w:rPr>
          <w:sz w:val="20"/>
        </w:rPr>
      </w:pPr>
      <w:r>
        <w:rPr>
          <w:w w:val="110"/>
          <w:sz w:val="20"/>
        </w:rPr>
        <w:t>and delete the words </w:t>
      </w:r>
      <w:r>
        <w:rPr>
          <w:rFonts w:ascii="Stone Sans II ITC Std Bk" w:hAnsi="Stone Sans II ITC Std Bk"/>
          <w:b/>
          <w:w w:val="110"/>
          <w:sz w:val="20"/>
        </w:rPr>
        <w:t>“such former officers are members of the United Reformed Church and that</w:t>
      </w:r>
      <w:r>
        <w:rPr>
          <w:w w:val="110"/>
          <w:sz w:val="20"/>
        </w:rPr>
        <w:t>”</w:t>
      </w:r>
    </w:p>
    <w:p>
      <w:pPr>
        <w:pStyle w:val="BodyText"/>
        <w:spacing w:before="5"/>
        <w:rPr>
          <w:sz w:val="19"/>
        </w:rPr>
      </w:pPr>
    </w:p>
    <w:p>
      <w:pPr>
        <w:spacing w:line="213" w:lineRule="auto" w:before="0"/>
        <w:ind w:left="1984" w:right="1352" w:firstLine="0"/>
        <w:jc w:val="left"/>
        <w:rPr>
          <w:sz w:val="20"/>
        </w:rPr>
      </w:pPr>
      <w:r>
        <w:rPr>
          <w:w w:val="115"/>
          <w:sz w:val="20"/>
        </w:rPr>
        <w:t>Amend category (k) by the deletion of the words: “</w:t>
      </w:r>
      <w:r>
        <w:rPr>
          <w:rFonts w:ascii="Stone Sans II ITC Std Bk" w:hAnsi="Stone Sans II ITC Std Bk"/>
          <w:b/>
          <w:w w:val="115"/>
          <w:sz w:val="20"/>
        </w:rPr>
        <w:t>, being members of the United Reformed Church,</w:t>
      </w:r>
      <w:r>
        <w:rPr>
          <w:w w:val="115"/>
          <w:sz w:val="20"/>
        </w:rPr>
        <w:t>”</w:t>
      </w:r>
    </w:p>
    <w:p>
      <w:pPr>
        <w:pStyle w:val="BodyText"/>
        <w:rPr>
          <w:sz w:val="24"/>
        </w:rPr>
      </w:pPr>
    </w:p>
    <w:p>
      <w:pPr>
        <w:pStyle w:val="ListParagraph"/>
        <w:numPr>
          <w:ilvl w:val="0"/>
          <w:numId w:val="33"/>
        </w:numPr>
        <w:tabs>
          <w:tab w:pos="2664" w:val="left" w:leader="none"/>
          <w:tab w:pos="2665" w:val="left" w:leader="none"/>
        </w:tabs>
        <w:spacing w:line="235" w:lineRule="auto" w:before="180" w:after="0"/>
        <w:ind w:left="1984" w:right="1320" w:firstLine="0"/>
        <w:jc w:val="left"/>
        <w:rPr>
          <w:sz w:val="20"/>
        </w:rPr>
      </w:pPr>
      <w:r>
        <w:rPr>
          <w:w w:val="120"/>
          <w:sz w:val="20"/>
        </w:rPr>
        <w:t>It is proposed that the three deputy general secretary post-holders should be members of the Assembly. This can be done under the provision in the Structure which allows the Assembly to determine that certain Assembly-appointed staff should be members of</w:t>
      </w:r>
      <w:r>
        <w:rPr>
          <w:spacing w:val="3"/>
          <w:w w:val="120"/>
          <w:sz w:val="20"/>
        </w:rPr>
        <w:t> </w:t>
      </w:r>
      <w:r>
        <w:rPr>
          <w:w w:val="120"/>
          <w:sz w:val="20"/>
        </w:rPr>
        <w:t>Assembly.</w:t>
      </w:r>
    </w:p>
    <w:p>
      <w:pPr>
        <w:pStyle w:val="BodyText"/>
        <w:rPr>
          <w:sz w:val="24"/>
        </w:rPr>
      </w:pPr>
    </w:p>
    <w:p>
      <w:pPr>
        <w:pStyle w:val="Heading4"/>
        <w:spacing w:before="162"/>
        <w:ind w:left="1984" w:firstLine="0"/>
      </w:pPr>
      <w:r>
        <w:rPr/>
        <w:pict>
          <v:line style="position:absolute;mso-position-horizontal-relative:page;mso-position-vertical-relative:paragraph;z-index:251820032" from="89.874001pt,10.435802pt" to="89.874001pt,67.363802pt" stroked="true" strokeweight="4pt" strokecolor="#b0cbd9">
            <v:stroke dashstyle="solid"/>
            <w10:wrap type="none"/>
          </v:line>
        </w:pict>
      </w:r>
      <w:r>
        <w:rPr>
          <w:w w:val="110"/>
        </w:rPr>
        <w:t>Resolution C</w:t>
      </w:r>
    </w:p>
    <w:p>
      <w:pPr>
        <w:pStyle w:val="BodyText"/>
        <w:spacing w:line="235" w:lineRule="auto" w:before="69"/>
        <w:ind w:left="1984" w:right="1352"/>
      </w:pPr>
      <w:r>
        <w:rPr>
          <w:w w:val="120"/>
        </w:rPr>
        <w:t>General Assembly agrees to appoint the deputy general secretary administration and resources, the deputy general secretary discipleship and the deputy general secretary mission as members of Assembly under category 2.(6)(n).</w:t>
      </w:r>
    </w:p>
    <w:p>
      <w:pPr>
        <w:spacing w:after="0" w:line="235" w:lineRule="auto"/>
        <w:sectPr>
          <w:type w:val="continuous"/>
          <w:pgSz w:w="11910" w:h="16840"/>
          <w:pgMar w:top="680" w:bottom="280" w:left="0" w:right="0"/>
        </w:sectPr>
      </w:pPr>
    </w:p>
    <w:p>
      <w:pPr>
        <w:pStyle w:val="BodyText"/>
      </w:pPr>
      <w:r>
        <w:rPr/>
        <w:drawing>
          <wp:anchor distT="0" distB="0" distL="0" distR="0" allowOverlap="1" layoutInCell="1" locked="0" behindDoc="0" simplePos="0" relativeHeight="251822080">
            <wp:simplePos x="0" y="0"/>
            <wp:positionH relativeFrom="page">
              <wp:posOffset>0</wp:posOffset>
            </wp:positionH>
            <wp:positionV relativeFrom="page">
              <wp:posOffset>0</wp:posOffset>
            </wp:positionV>
            <wp:extent cx="594067" cy="10692003"/>
            <wp:effectExtent l="0" t="0" r="0" b="0"/>
            <wp:wrapNone/>
            <wp:docPr id="99" name="image22.png"/>
            <wp:cNvGraphicFramePr>
              <a:graphicFrameLocks noChangeAspect="1"/>
            </wp:cNvGraphicFramePr>
            <a:graphic>
              <a:graphicData uri="http://schemas.openxmlformats.org/drawingml/2006/picture">
                <pic:pic>
                  <pic:nvPicPr>
                    <pic:cNvPr id="100" name="image22.png"/>
                    <pic:cNvPicPr/>
                  </pic:nvPicPr>
                  <pic:blipFill>
                    <a:blip r:embed="rId33"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shape style="position:absolute;margin-left:20.519100pt;margin-top:22.593945pt;width:25.9pt;height:356.25pt;mso-position-horizontal-relative:page;mso-position-vertical-relative:paragraph;z-index:251825152" type="#_x0000_t202" filled="false" stroked="false">
            <v:textbox inset="0,0,0,0" style="layout-flow:vertical">
              <w:txbxContent>
                <w:p>
                  <w:pPr>
                    <w:spacing w:before="27"/>
                    <w:ind w:left="20" w:right="0" w:firstLine="0"/>
                    <w:jc w:val="left"/>
                    <w:rPr>
                      <w:sz w:val="39"/>
                    </w:rPr>
                  </w:pPr>
                  <w:r>
                    <w:rPr>
                      <w:color w:val="FFFFFF"/>
                      <w:w w:val="120"/>
                      <w:sz w:val="39"/>
                    </w:rPr>
                    <w:t>Membership of governance bodies</w:t>
                  </w:r>
                </w:p>
              </w:txbxContent>
            </v:textbox>
            <w10:wrap type="none"/>
          </v:shape>
        </w:pict>
      </w:r>
      <w:r>
        <w:rPr>
          <w:color w:val="7EAABF"/>
          <w:w w:val="120"/>
        </w:rPr>
        <w:t>Mission Council</w:t>
      </w:r>
    </w:p>
    <w:p>
      <w:pPr>
        <w:pStyle w:val="ListParagraph"/>
        <w:numPr>
          <w:ilvl w:val="0"/>
          <w:numId w:val="33"/>
        </w:numPr>
        <w:tabs>
          <w:tab w:pos="1927" w:val="left" w:leader="none"/>
          <w:tab w:pos="1928" w:val="left" w:leader="none"/>
        </w:tabs>
        <w:spacing w:line="235" w:lineRule="auto" w:before="222" w:after="0"/>
        <w:ind w:left="1247" w:right="2363" w:firstLine="0"/>
        <w:jc w:val="left"/>
        <w:rPr>
          <w:sz w:val="20"/>
        </w:rPr>
      </w:pPr>
      <w:r>
        <w:rPr>
          <w:w w:val="120"/>
          <w:sz w:val="20"/>
        </w:rPr>
        <w:t>Since it is the intention that normally the deputy treasurer will, in due course, be appointed as the treasurer, who as convener of the finance committee must</w:t>
      </w:r>
      <w:r>
        <w:rPr>
          <w:spacing w:val="-4"/>
          <w:w w:val="120"/>
          <w:sz w:val="20"/>
        </w:rPr>
        <w:t> </w:t>
      </w:r>
      <w:r>
        <w:rPr>
          <w:w w:val="120"/>
          <w:sz w:val="20"/>
        </w:rPr>
        <w:t>be</w:t>
      </w:r>
    </w:p>
    <w:p>
      <w:pPr>
        <w:pStyle w:val="BodyText"/>
        <w:spacing w:line="235" w:lineRule="auto" w:before="1"/>
        <w:ind w:left="1247" w:right="2004"/>
      </w:pPr>
      <w:r>
        <w:rPr>
          <w:w w:val="120"/>
        </w:rPr>
        <w:t>a member of the URC, it is proposed that it should be determined that the deputy treasurer should be a member of the URC and of the Assembly.</w:t>
      </w:r>
    </w:p>
    <w:p>
      <w:pPr>
        <w:pStyle w:val="BodyText"/>
        <w:rPr>
          <w:sz w:val="24"/>
        </w:rPr>
      </w:pPr>
    </w:p>
    <w:p>
      <w:pPr>
        <w:pStyle w:val="Heading4"/>
        <w:spacing w:before="161"/>
        <w:ind w:left="1247" w:firstLine="0"/>
      </w:pPr>
      <w:r>
        <w:rPr/>
        <w:pict>
          <v:line style="position:absolute;mso-position-horizontal-relative:page;mso-position-vertical-relative:paragraph;z-index:251823104" from="56.818802pt,11.428322pt" to="56.818802pt,68.358322pt" stroked="true" strokeweight="4pt" strokecolor="#b0cbd9">
            <v:stroke dashstyle="solid"/>
            <w10:wrap type="none"/>
          </v:line>
        </w:pict>
      </w:r>
      <w:r>
        <w:rPr>
          <w:w w:val="110"/>
        </w:rPr>
        <w:t>Resolution D</w:t>
      </w:r>
    </w:p>
    <w:p>
      <w:pPr>
        <w:pStyle w:val="BodyText"/>
        <w:spacing w:line="235" w:lineRule="auto" w:before="69"/>
        <w:ind w:left="1247" w:right="2412"/>
      </w:pPr>
      <w:r>
        <w:rPr>
          <w:w w:val="120"/>
        </w:rPr>
        <w:t>General Assembly agrees that the deputy treasurer shall be a member of the United Reformed Church, and further agrees that the deputy treasurer for the time being shall be appointed as a member of Assembly under category</w:t>
      </w:r>
      <w:r>
        <w:rPr>
          <w:spacing w:val="54"/>
          <w:w w:val="120"/>
        </w:rPr>
        <w:t> </w:t>
      </w:r>
      <w:r>
        <w:rPr>
          <w:spacing w:val="-6"/>
          <w:w w:val="120"/>
        </w:rPr>
        <w:t>2.(6)(h).</w:t>
      </w:r>
    </w:p>
    <w:p>
      <w:pPr>
        <w:pStyle w:val="BodyText"/>
        <w:rPr>
          <w:sz w:val="24"/>
        </w:rPr>
      </w:pPr>
    </w:p>
    <w:p>
      <w:pPr>
        <w:pStyle w:val="Heading4"/>
        <w:spacing w:before="161"/>
        <w:ind w:left="1247" w:firstLine="0"/>
      </w:pPr>
      <w:r>
        <w:rPr>
          <w:w w:val="110"/>
        </w:rPr>
        <w:t>Synods</w:t>
      </w:r>
    </w:p>
    <w:p>
      <w:pPr>
        <w:pStyle w:val="ListParagraph"/>
        <w:numPr>
          <w:ilvl w:val="0"/>
          <w:numId w:val="33"/>
        </w:numPr>
        <w:tabs>
          <w:tab w:pos="1927" w:val="left" w:leader="none"/>
          <w:tab w:pos="1928" w:val="left" w:leader="none"/>
        </w:tabs>
        <w:spacing w:line="235" w:lineRule="auto" w:before="69" w:after="0"/>
        <w:ind w:left="1247" w:right="2066" w:firstLine="0"/>
        <w:jc w:val="left"/>
        <w:rPr>
          <w:sz w:val="20"/>
        </w:rPr>
      </w:pPr>
      <w:r>
        <w:rPr>
          <w:w w:val="120"/>
          <w:sz w:val="20"/>
        </w:rPr>
        <w:t>Mission </w:t>
      </w:r>
      <w:r>
        <w:rPr>
          <w:spacing w:val="-3"/>
          <w:w w:val="120"/>
          <w:sz w:val="20"/>
        </w:rPr>
        <w:t>Council </w:t>
      </w:r>
      <w:r>
        <w:rPr>
          <w:w w:val="120"/>
          <w:sz w:val="20"/>
        </w:rPr>
        <w:t>has </w:t>
      </w:r>
      <w:r>
        <w:rPr>
          <w:spacing w:val="-3"/>
          <w:w w:val="120"/>
          <w:sz w:val="20"/>
        </w:rPr>
        <w:t>discovered </w:t>
      </w:r>
      <w:r>
        <w:rPr>
          <w:w w:val="120"/>
          <w:sz w:val="20"/>
        </w:rPr>
        <w:t>that there is an </w:t>
      </w:r>
      <w:r>
        <w:rPr>
          <w:spacing w:val="-3"/>
          <w:w w:val="120"/>
          <w:sz w:val="20"/>
        </w:rPr>
        <w:t>issue concerning </w:t>
      </w:r>
      <w:r>
        <w:rPr>
          <w:w w:val="120"/>
          <w:sz w:val="20"/>
        </w:rPr>
        <w:t>Assembly- </w:t>
      </w:r>
      <w:r>
        <w:rPr>
          <w:spacing w:val="-2"/>
          <w:w w:val="120"/>
          <w:sz w:val="20"/>
        </w:rPr>
        <w:t>appointed </w:t>
      </w:r>
      <w:r>
        <w:rPr>
          <w:spacing w:val="-3"/>
          <w:w w:val="120"/>
          <w:sz w:val="20"/>
        </w:rPr>
        <w:t>ministers </w:t>
      </w:r>
      <w:r>
        <w:rPr>
          <w:w w:val="120"/>
          <w:sz w:val="20"/>
        </w:rPr>
        <w:t>and their membership of synods. The first category of membership </w:t>
      </w:r>
      <w:r>
        <w:rPr>
          <w:spacing w:val="-11"/>
          <w:w w:val="120"/>
          <w:sz w:val="20"/>
        </w:rPr>
        <w:t>2.(4)(a) </w:t>
      </w:r>
      <w:r>
        <w:rPr>
          <w:w w:val="120"/>
          <w:sz w:val="20"/>
        </w:rPr>
        <w:t>is as </w:t>
      </w:r>
      <w:r>
        <w:rPr>
          <w:spacing w:val="-3"/>
          <w:w w:val="120"/>
          <w:sz w:val="20"/>
        </w:rPr>
        <w:t>follows: </w:t>
      </w:r>
      <w:r>
        <w:rPr>
          <w:spacing w:val="-5"/>
          <w:w w:val="120"/>
          <w:sz w:val="20"/>
        </w:rPr>
        <w:t>“All </w:t>
      </w:r>
      <w:r>
        <w:rPr>
          <w:spacing w:val="-3"/>
          <w:w w:val="120"/>
          <w:sz w:val="20"/>
        </w:rPr>
        <w:t>ministers, </w:t>
      </w:r>
      <w:r>
        <w:rPr>
          <w:w w:val="120"/>
          <w:sz w:val="20"/>
        </w:rPr>
        <w:t>registered pastors </w:t>
      </w:r>
      <w:r>
        <w:rPr>
          <w:spacing w:val="-3"/>
          <w:w w:val="120"/>
          <w:sz w:val="20"/>
        </w:rPr>
        <w:t>(in Scotland) </w:t>
      </w:r>
      <w:r>
        <w:rPr>
          <w:w w:val="120"/>
          <w:sz w:val="20"/>
        </w:rPr>
        <w:t>and </w:t>
      </w:r>
      <w:r>
        <w:rPr>
          <w:spacing w:val="-3"/>
          <w:w w:val="120"/>
          <w:sz w:val="20"/>
        </w:rPr>
        <w:t>church related community </w:t>
      </w:r>
      <w:r>
        <w:rPr>
          <w:w w:val="120"/>
          <w:sz w:val="20"/>
        </w:rPr>
        <w:t>workers engaged directly in the service of the </w:t>
      </w:r>
      <w:r>
        <w:rPr>
          <w:spacing w:val="-3"/>
          <w:w w:val="120"/>
          <w:sz w:val="20"/>
        </w:rPr>
        <w:t>United </w:t>
      </w:r>
      <w:r>
        <w:rPr>
          <w:w w:val="120"/>
          <w:sz w:val="20"/>
        </w:rPr>
        <w:t>Reformed </w:t>
      </w:r>
      <w:r>
        <w:rPr>
          <w:spacing w:val="-3"/>
          <w:w w:val="120"/>
          <w:sz w:val="20"/>
        </w:rPr>
        <w:t>Church within </w:t>
      </w:r>
      <w:r>
        <w:rPr>
          <w:w w:val="120"/>
          <w:sz w:val="20"/>
        </w:rPr>
        <w:t>that </w:t>
      </w:r>
      <w:r>
        <w:rPr>
          <w:spacing w:val="-3"/>
          <w:w w:val="120"/>
          <w:sz w:val="20"/>
        </w:rPr>
        <w:t>synod.” </w:t>
      </w:r>
      <w:r>
        <w:rPr>
          <w:w w:val="120"/>
          <w:sz w:val="20"/>
        </w:rPr>
        <w:t>Assembly-appointed staff, though </w:t>
      </w:r>
      <w:r>
        <w:rPr>
          <w:spacing w:val="-3"/>
          <w:w w:val="120"/>
          <w:sz w:val="20"/>
        </w:rPr>
        <w:t>obviously </w:t>
      </w:r>
      <w:r>
        <w:rPr>
          <w:w w:val="120"/>
          <w:sz w:val="20"/>
        </w:rPr>
        <w:t>engaged directly in the work of the URC, are </w:t>
      </w:r>
      <w:r>
        <w:rPr>
          <w:spacing w:val="-2"/>
          <w:w w:val="120"/>
          <w:sz w:val="20"/>
        </w:rPr>
        <w:t>not </w:t>
      </w:r>
      <w:r>
        <w:rPr>
          <w:spacing w:val="-3"/>
          <w:w w:val="120"/>
          <w:sz w:val="20"/>
        </w:rPr>
        <w:t>usually </w:t>
      </w:r>
      <w:r>
        <w:rPr>
          <w:w w:val="120"/>
          <w:sz w:val="20"/>
        </w:rPr>
        <w:t>engaged in work </w:t>
      </w:r>
      <w:r>
        <w:rPr>
          <w:spacing w:val="-3"/>
          <w:w w:val="120"/>
          <w:sz w:val="20"/>
        </w:rPr>
        <w:t>within </w:t>
      </w:r>
      <w:r>
        <w:rPr>
          <w:w w:val="120"/>
          <w:sz w:val="20"/>
        </w:rPr>
        <w:t>the synod. No other category  of membership </w:t>
      </w:r>
      <w:r>
        <w:rPr>
          <w:spacing w:val="-3"/>
          <w:w w:val="120"/>
          <w:sz w:val="20"/>
        </w:rPr>
        <w:t>would </w:t>
      </w:r>
      <w:r>
        <w:rPr>
          <w:spacing w:val="-4"/>
          <w:w w:val="120"/>
          <w:sz w:val="20"/>
        </w:rPr>
        <w:t>cover </w:t>
      </w:r>
      <w:r>
        <w:rPr>
          <w:w w:val="120"/>
          <w:sz w:val="20"/>
        </w:rPr>
        <w:t>them. In the time of fully functional district </w:t>
      </w:r>
      <w:r>
        <w:rPr>
          <w:spacing w:val="-3"/>
          <w:w w:val="120"/>
          <w:sz w:val="20"/>
        </w:rPr>
        <w:t>councils </w:t>
      </w:r>
      <w:r>
        <w:rPr>
          <w:w w:val="120"/>
          <w:sz w:val="20"/>
        </w:rPr>
        <w:t>the </w:t>
      </w:r>
      <w:r>
        <w:rPr>
          <w:spacing w:val="-3"/>
          <w:w w:val="120"/>
          <w:sz w:val="20"/>
        </w:rPr>
        <w:t>issue </w:t>
      </w:r>
      <w:r>
        <w:rPr>
          <w:w w:val="120"/>
          <w:sz w:val="20"/>
        </w:rPr>
        <w:t>was clearly dealt with. The first category of membership of district </w:t>
      </w:r>
      <w:r>
        <w:rPr>
          <w:spacing w:val="-3"/>
          <w:w w:val="120"/>
          <w:sz w:val="20"/>
        </w:rPr>
        <w:t>councils was: </w:t>
      </w:r>
      <w:r>
        <w:rPr>
          <w:spacing w:val="-5"/>
          <w:w w:val="120"/>
          <w:sz w:val="20"/>
        </w:rPr>
        <w:t>“All </w:t>
      </w:r>
      <w:r>
        <w:rPr>
          <w:spacing w:val="-3"/>
          <w:w w:val="120"/>
          <w:sz w:val="20"/>
        </w:rPr>
        <w:t>ministers, </w:t>
      </w:r>
      <w:r>
        <w:rPr>
          <w:w w:val="120"/>
          <w:sz w:val="20"/>
        </w:rPr>
        <w:t>registered pastors </w:t>
      </w:r>
      <w:r>
        <w:rPr>
          <w:spacing w:val="-3"/>
          <w:w w:val="120"/>
          <w:sz w:val="20"/>
        </w:rPr>
        <w:t>(in Scotland) </w:t>
      </w:r>
      <w:r>
        <w:rPr>
          <w:w w:val="120"/>
          <w:sz w:val="20"/>
        </w:rPr>
        <w:t>and </w:t>
      </w:r>
      <w:r>
        <w:rPr>
          <w:spacing w:val="-3"/>
          <w:w w:val="120"/>
          <w:sz w:val="20"/>
        </w:rPr>
        <w:t>church related community </w:t>
      </w:r>
      <w:r>
        <w:rPr>
          <w:w w:val="120"/>
          <w:sz w:val="20"/>
        </w:rPr>
        <w:t>workers engaged directly in the service of the </w:t>
      </w:r>
      <w:r>
        <w:rPr>
          <w:spacing w:val="-3"/>
          <w:w w:val="120"/>
          <w:sz w:val="20"/>
        </w:rPr>
        <w:t>United </w:t>
      </w:r>
      <w:r>
        <w:rPr>
          <w:w w:val="120"/>
          <w:sz w:val="20"/>
        </w:rPr>
        <w:t>Reformed </w:t>
      </w:r>
      <w:r>
        <w:rPr>
          <w:spacing w:val="-3"/>
          <w:w w:val="120"/>
          <w:sz w:val="20"/>
        </w:rPr>
        <w:t>Church within </w:t>
      </w:r>
      <w:r>
        <w:rPr>
          <w:w w:val="120"/>
          <w:sz w:val="20"/>
        </w:rPr>
        <w:t>that district, and Assembly </w:t>
      </w:r>
      <w:r>
        <w:rPr>
          <w:spacing w:val="-2"/>
          <w:w w:val="120"/>
          <w:sz w:val="20"/>
        </w:rPr>
        <w:t>appointed </w:t>
      </w:r>
      <w:r>
        <w:rPr>
          <w:spacing w:val="-3"/>
          <w:w w:val="120"/>
          <w:sz w:val="20"/>
        </w:rPr>
        <w:t>ministers </w:t>
      </w:r>
      <w:r>
        <w:rPr>
          <w:w w:val="120"/>
          <w:sz w:val="20"/>
        </w:rPr>
        <w:t>who are members of a local </w:t>
      </w:r>
      <w:r>
        <w:rPr>
          <w:spacing w:val="-3"/>
          <w:w w:val="120"/>
          <w:sz w:val="20"/>
        </w:rPr>
        <w:t>church </w:t>
      </w:r>
      <w:r>
        <w:rPr>
          <w:w w:val="120"/>
          <w:sz w:val="20"/>
        </w:rPr>
        <w:t>in that </w:t>
      </w:r>
      <w:r>
        <w:rPr>
          <w:spacing w:val="-3"/>
          <w:w w:val="120"/>
          <w:sz w:val="20"/>
        </w:rPr>
        <w:t>district.” </w:t>
      </w:r>
      <w:r>
        <w:rPr>
          <w:w w:val="120"/>
          <w:sz w:val="20"/>
        </w:rPr>
        <w:t>Then the first category of membership of synods </w:t>
      </w:r>
      <w:r>
        <w:rPr>
          <w:spacing w:val="-3"/>
          <w:w w:val="120"/>
          <w:sz w:val="20"/>
        </w:rPr>
        <w:t>was: </w:t>
      </w:r>
      <w:r>
        <w:rPr>
          <w:spacing w:val="-5"/>
          <w:w w:val="120"/>
          <w:sz w:val="20"/>
        </w:rPr>
        <w:t>“All </w:t>
      </w:r>
      <w:r>
        <w:rPr>
          <w:spacing w:val="-3"/>
          <w:w w:val="120"/>
          <w:sz w:val="20"/>
        </w:rPr>
        <w:t>ministers, </w:t>
      </w:r>
      <w:r>
        <w:rPr>
          <w:w w:val="120"/>
          <w:sz w:val="20"/>
        </w:rPr>
        <w:t>registered pastors </w:t>
      </w:r>
      <w:r>
        <w:rPr>
          <w:spacing w:val="-3"/>
          <w:w w:val="120"/>
          <w:sz w:val="20"/>
        </w:rPr>
        <w:t>(in Scotland) </w:t>
      </w:r>
      <w:r>
        <w:rPr>
          <w:w w:val="120"/>
          <w:sz w:val="20"/>
        </w:rPr>
        <w:t>and </w:t>
      </w:r>
      <w:r>
        <w:rPr>
          <w:spacing w:val="-3"/>
          <w:w w:val="120"/>
          <w:sz w:val="20"/>
        </w:rPr>
        <w:t>church related community </w:t>
      </w:r>
      <w:r>
        <w:rPr>
          <w:w w:val="120"/>
          <w:sz w:val="20"/>
        </w:rPr>
        <w:t>workers who are for the time being members  of district </w:t>
      </w:r>
      <w:r>
        <w:rPr>
          <w:spacing w:val="-3"/>
          <w:w w:val="120"/>
          <w:sz w:val="20"/>
        </w:rPr>
        <w:t>councils within </w:t>
      </w:r>
      <w:r>
        <w:rPr>
          <w:w w:val="120"/>
          <w:sz w:val="20"/>
        </w:rPr>
        <w:t>the </w:t>
      </w:r>
      <w:r>
        <w:rPr>
          <w:spacing w:val="-3"/>
          <w:w w:val="120"/>
          <w:sz w:val="20"/>
        </w:rPr>
        <w:t>province </w:t>
      </w:r>
      <w:r>
        <w:rPr>
          <w:w w:val="120"/>
          <w:sz w:val="20"/>
        </w:rPr>
        <w:t>or </w:t>
      </w:r>
      <w:r>
        <w:rPr>
          <w:spacing w:val="-5"/>
          <w:w w:val="120"/>
          <w:sz w:val="20"/>
        </w:rPr>
        <w:t>nation”. </w:t>
      </w:r>
      <w:r>
        <w:rPr>
          <w:w w:val="120"/>
          <w:sz w:val="20"/>
        </w:rPr>
        <w:t>It is clear that Assembly-appointed </w:t>
      </w:r>
      <w:r>
        <w:rPr>
          <w:spacing w:val="-3"/>
          <w:w w:val="120"/>
          <w:sz w:val="20"/>
        </w:rPr>
        <w:t>ministers</w:t>
      </w:r>
      <w:r>
        <w:rPr>
          <w:spacing w:val="-6"/>
          <w:w w:val="120"/>
          <w:sz w:val="20"/>
        </w:rPr>
        <w:t> </w:t>
      </w:r>
      <w:r>
        <w:rPr>
          <w:w w:val="120"/>
          <w:sz w:val="20"/>
        </w:rPr>
        <w:t>should</w:t>
      </w:r>
      <w:r>
        <w:rPr>
          <w:spacing w:val="-5"/>
          <w:w w:val="120"/>
          <w:sz w:val="20"/>
        </w:rPr>
        <w:t> </w:t>
      </w:r>
      <w:r>
        <w:rPr>
          <w:w w:val="120"/>
          <w:sz w:val="20"/>
        </w:rPr>
        <w:t>be</w:t>
      </w:r>
      <w:r>
        <w:rPr>
          <w:spacing w:val="-5"/>
          <w:w w:val="120"/>
          <w:sz w:val="20"/>
        </w:rPr>
        <w:t> </w:t>
      </w:r>
      <w:r>
        <w:rPr>
          <w:w w:val="120"/>
          <w:sz w:val="20"/>
        </w:rPr>
        <w:t>members</w:t>
      </w:r>
      <w:r>
        <w:rPr>
          <w:spacing w:val="-5"/>
          <w:w w:val="120"/>
          <w:sz w:val="20"/>
        </w:rPr>
        <w:t> </w:t>
      </w:r>
      <w:r>
        <w:rPr>
          <w:w w:val="120"/>
          <w:sz w:val="20"/>
        </w:rPr>
        <w:t>of</w:t>
      </w:r>
      <w:r>
        <w:rPr>
          <w:spacing w:val="-5"/>
          <w:w w:val="120"/>
          <w:sz w:val="20"/>
        </w:rPr>
        <w:t> </w:t>
      </w:r>
      <w:r>
        <w:rPr>
          <w:w w:val="120"/>
          <w:sz w:val="20"/>
        </w:rPr>
        <w:t>a</w:t>
      </w:r>
      <w:r>
        <w:rPr>
          <w:spacing w:val="-5"/>
          <w:w w:val="120"/>
          <w:sz w:val="20"/>
        </w:rPr>
        <w:t> </w:t>
      </w:r>
      <w:r>
        <w:rPr>
          <w:w w:val="120"/>
          <w:sz w:val="20"/>
        </w:rPr>
        <w:t>synod,</w:t>
      </w:r>
      <w:r>
        <w:rPr>
          <w:spacing w:val="-5"/>
          <w:w w:val="120"/>
          <w:sz w:val="20"/>
        </w:rPr>
        <w:t> </w:t>
      </w:r>
      <w:r>
        <w:rPr>
          <w:w w:val="120"/>
          <w:sz w:val="20"/>
        </w:rPr>
        <w:t>and</w:t>
      </w:r>
      <w:r>
        <w:rPr>
          <w:spacing w:val="-5"/>
          <w:w w:val="120"/>
          <w:sz w:val="20"/>
        </w:rPr>
        <w:t> </w:t>
      </w:r>
      <w:r>
        <w:rPr>
          <w:spacing w:val="-3"/>
          <w:w w:val="120"/>
          <w:sz w:val="20"/>
        </w:rPr>
        <w:t>this</w:t>
      </w:r>
      <w:r>
        <w:rPr>
          <w:spacing w:val="-5"/>
          <w:w w:val="120"/>
          <w:sz w:val="20"/>
        </w:rPr>
        <w:t> </w:t>
      </w:r>
      <w:r>
        <w:rPr>
          <w:w w:val="120"/>
          <w:sz w:val="20"/>
        </w:rPr>
        <w:t>is</w:t>
      </w:r>
      <w:r>
        <w:rPr>
          <w:spacing w:val="-5"/>
          <w:w w:val="120"/>
          <w:sz w:val="20"/>
        </w:rPr>
        <w:t> </w:t>
      </w:r>
      <w:r>
        <w:rPr>
          <w:w w:val="120"/>
          <w:sz w:val="20"/>
        </w:rPr>
        <w:t>a</w:t>
      </w:r>
      <w:r>
        <w:rPr>
          <w:spacing w:val="-6"/>
          <w:w w:val="120"/>
          <w:sz w:val="20"/>
        </w:rPr>
        <w:t> </w:t>
      </w:r>
      <w:r>
        <w:rPr>
          <w:w w:val="120"/>
          <w:sz w:val="20"/>
        </w:rPr>
        <w:t>mistake</w:t>
      </w:r>
      <w:r>
        <w:rPr>
          <w:spacing w:val="-5"/>
          <w:w w:val="120"/>
          <w:sz w:val="20"/>
        </w:rPr>
        <w:t> </w:t>
      </w:r>
      <w:r>
        <w:rPr>
          <w:w w:val="120"/>
          <w:sz w:val="20"/>
        </w:rPr>
        <w:t>which</w:t>
      </w:r>
      <w:r>
        <w:rPr>
          <w:spacing w:val="-5"/>
          <w:w w:val="120"/>
          <w:sz w:val="20"/>
        </w:rPr>
        <w:t> </w:t>
      </w:r>
      <w:r>
        <w:rPr>
          <w:w w:val="120"/>
          <w:sz w:val="20"/>
        </w:rPr>
        <w:t>happened</w:t>
      </w:r>
      <w:r>
        <w:rPr>
          <w:spacing w:val="-5"/>
          <w:w w:val="120"/>
          <w:sz w:val="20"/>
        </w:rPr>
        <w:t> </w:t>
      </w:r>
      <w:r>
        <w:rPr>
          <w:w w:val="120"/>
          <w:sz w:val="20"/>
        </w:rPr>
        <w:t>when</w:t>
      </w:r>
      <w:r>
        <w:rPr>
          <w:spacing w:val="-5"/>
          <w:w w:val="120"/>
          <w:sz w:val="20"/>
        </w:rPr>
        <w:t> </w:t>
      </w:r>
      <w:r>
        <w:rPr>
          <w:w w:val="120"/>
          <w:sz w:val="20"/>
        </w:rPr>
        <w:t>the Structure</w:t>
      </w:r>
      <w:r>
        <w:rPr>
          <w:spacing w:val="-6"/>
          <w:w w:val="120"/>
          <w:sz w:val="20"/>
        </w:rPr>
        <w:t> </w:t>
      </w:r>
      <w:r>
        <w:rPr>
          <w:w w:val="120"/>
          <w:sz w:val="20"/>
        </w:rPr>
        <w:t>was</w:t>
      </w:r>
      <w:r>
        <w:rPr>
          <w:spacing w:val="-6"/>
          <w:w w:val="120"/>
          <w:sz w:val="20"/>
        </w:rPr>
        <w:t> </w:t>
      </w:r>
      <w:r>
        <w:rPr>
          <w:w w:val="120"/>
          <w:sz w:val="20"/>
        </w:rPr>
        <w:t>changed</w:t>
      </w:r>
      <w:r>
        <w:rPr>
          <w:spacing w:val="-6"/>
          <w:w w:val="120"/>
          <w:sz w:val="20"/>
        </w:rPr>
        <w:t> </w:t>
      </w:r>
      <w:r>
        <w:rPr>
          <w:spacing w:val="-3"/>
          <w:w w:val="120"/>
          <w:sz w:val="20"/>
        </w:rPr>
        <w:t>to</w:t>
      </w:r>
      <w:r>
        <w:rPr>
          <w:spacing w:val="-5"/>
          <w:w w:val="120"/>
          <w:sz w:val="20"/>
        </w:rPr>
        <w:t> </w:t>
      </w:r>
      <w:r>
        <w:rPr>
          <w:spacing w:val="-3"/>
          <w:w w:val="120"/>
          <w:sz w:val="20"/>
        </w:rPr>
        <w:t>remove</w:t>
      </w:r>
      <w:r>
        <w:rPr>
          <w:spacing w:val="-6"/>
          <w:w w:val="120"/>
          <w:sz w:val="20"/>
        </w:rPr>
        <w:t> </w:t>
      </w:r>
      <w:r>
        <w:rPr>
          <w:w w:val="120"/>
          <w:sz w:val="20"/>
        </w:rPr>
        <w:t>district</w:t>
      </w:r>
      <w:r>
        <w:rPr>
          <w:spacing w:val="-6"/>
          <w:w w:val="120"/>
          <w:sz w:val="20"/>
        </w:rPr>
        <w:t> </w:t>
      </w:r>
      <w:r>
        <w:rPr>
          <w:spacing w:val="-3"/>
          <w:w w:val="120"/>
          <w:sz w:val="20"/>
        </w:rPr>
        <w:t>councils.</w:t>
      </w:r>
      <w:r>
        <w:rPr>
          <w:spacing w:val="-5"/>
          <w:w w:val="120"/>
          <w:sz w:val="20"/>
        </w:rPr>
        <w:t> </w:t>
      </w:r>
      <w:r>
        <w:rPr>
          <w:w w:val="120"/>
          <w:sz w:val="20"/>
        </w:rPr>
        <w:t>Resolution</w:t>
      </w:r>
      <w:r>
        <w:rPr>
          <w:spacing w:val="-6"/>
          <w:w w:val="120"/>
          <w:sz w:val="20"/>
        </w:rPr>
        <w:t> </w:t>
      </w:r>
      <w:r>
        <w:rPr>
          <w:w w:val="120"/>
          <w:sz w:val="20"/>
        </w:rPr>
        <w:t>E</w:t>
      </w:r>
      <w:r>
        <w:rPr>
          <w:spacing w:val="-6"/>
          <w:w w:val="120"/>
          <w:sz w:val="20"/>
        </w:rPr>
        <w:t> </w:t>
      </w:r>
      <w:r>
        <w:rPr>
          <w:w w:val="120"/>
          <w:sz w:val="20"/>
        </w:rPr>
        <w:t>will</w:t>
      </w:r>
      <w:r>
        <w:rPr>
          <w:spacing w:val="-5"/>
          <w:w w:val="120"/>
          <w:sz w:val="20"/>
        </w:rPr>
        <w:t> </w:t>
      </w:r>
      <w:r>
        <w:rPr>
          <w:w w:val="120"/>
          <w:sz w:val="20"/>
        </w:rPr>
        <w:t>rectify</w:t>
      </w:r>
      <w:r>
        <w:rPr>
          <w:spacing w:val="-6"/>
          <w:w w:val="120"/>
          <w:sz w:val="20"/>
        </w:rPr>
        <w:t> </w:t>
      </w:r>
      <w:r>
        <w:rPr>
          <w:w w:val="120"/>
          <w:sz w:val="20"/>
        </w:rPr>
        <w:t>that</w:t>
      </w:r>
      <w:r>
        <w:rPr>
          <w:spacing w:val="-6"/>
          <w:w w:val="120"/>
          <w:sz w:val="20"/>
        </w:rPr>
        <w:t> </w:t>
      </w:r>
      <w:r>
        <w:rPr>
          <w:spacing w:val="-3"/>
          <w:w w:val="120"/>
          <w:sz w:val="20"/>
        </w:rPr>
        <w:t>mistake.</w:t>
      </w:r>
    </w:p>
    <w:p>
      <w:pPr>
        <w:pStyle w:val="BodyText"/>
        <w:rPr>
          <w:sz w:val="24"/>
        </w:rPr>
      </w:pPr>
    </w:p>
    <w:p>
      <w:pPr>
        <w:pStyle w:val="Heading4"/>
        <w:spacing w:before="172"/>
        <w:ind w:left="1247" w:firstLine="0"/>
      </w:pPr>
      <w:r>
        <w:rPr/>
        <w:pict>
          <v:line style="position:absolute;mso-position-horizontal-relative:page;mso-position-vertical-relative:paragraph;z-index:251824128" from="56.818802pt,12.245198pt" to="56.818802pt,78.083198pt" stroked="true" strokeweight="4pt" strokecolor="#b0cbd9">
            <v:stroke dashstyle="solid"/>
            <w10:wrap type="none"/>
          </v:line>
        </w:pict>
      </w:r>
      <w:r>
        <w:rPr>
          <w:w w:val="110"/>
        </w:rPr>
        <w:t>Resolution E</w:t>
      </w:r>
    </w:p>
    <w:p>
      <w:pPr>
        <w:spacing w:line="223" w:lineRule="auto" w:before="78"/>
        <w:ind w:left="1247" w:right="2721" w:firstLine="0"/>
        <w:jc w:val="left"/>
        <w:rPr>
          <w:rFonts w:ascii="Stone Sans II ITC Std Bk" w:hAnsi="Stone Sans II ITC Std Bk"/>
          <w:b/>
          <w:sz w:val="20"/>
        </w:rPr>
      </w:pPr>
      <w:r>
        <w:rPr>
          <w:w w:val="115"/>
          <w:sz w:val="20"/>
        </w:rPr>
        <w:t>General Assembly agrees to make the following change to the Structure of the United Reformed Church: Amend category </w:t>
      </w:r>
      <w:r>
        <w:rPr>
          <w:spacing w:val="-9"/>
          <w:w w:val="115"/>
          <w:sz w:val="20"/>
        </w:rPr>
        <w:t>2.(4)(a) </w:t>
      </w:r>
      <w:r>
        <w:rPr>
          <w:w w:val="115"/>
          <w:sz w:val="20"/>
        </w:rPr>
        <w:t>by the addition of the words: </w:t>
      </w:r>
      <w:r>
        <w:rPr>
          <w:rFonts w:ascii="Stone Sans II ITC Std Bk" w:hAnsi="Stone Sans II ITC Std Bk"/>
          <w:b/>
          <w:w w:val="115"/>
          <w:sz w:val="20"/>
        </w:rPr>
        <w:t>“and</w:t>
      </w:r>
      <w:r>
        <w:rPr>
          <w:rFonts w:ascii="Stone Sans II ITC Std Bk" w:hAnsi="Stone Sans II ITC Std Bk"/>
          <w:b/>
          <w:spacing w:val="-28"/>
          <w:w w:val="115"/>
          <w:sz w:val="20"/>
        </w:rPr>
        <w:t> </w:t>
      </w:r>
      <w:r>
        <w:rPr>
          <w:rFonts w:ascii="Stone Sans II ITC Std Bk" w:hAnsi="Stone Sans II ITC Std Bk"/>
          <w:b/>
          <w:w w:val="115"/>
          <w:sz w:val="20"/>
        </w:rPr>
        <w:t>Assembly</w:t>
      </w:r>
      <w:r>
        <w:rPr>
          <w:rFonts w:ascii="Stone Sans II ITC Std Bk" w:hAnsi="Stone Sans II ITC Std Bk"/>
          <w:b/>
          <w:spacing w:val="-28"/>
          <w:w w:val="115"/>
          <w:sz w:val="20"/>
        </w:rPr>
        <w:t> </w:t>
      </w:r>
      <w:r>
        <w:rPr>
          <w:rFonts w:ascii="Stone Sans II ITC Std Bk" w:hAnsi="Stone Sans II ITC Std Bk"/>
          <w:b/>
          <w:w w:val="115"/>
          <w:sz w:val="20"/>
        </w:rPr>
        <w:t>appointed</w:t>
      </w:r>
      <w:r>
        <w:rPr>
          <w:rFonts w:ascii="Stone Sans II ITC Std Bk" w:hAnsi="Stone Sans II ITC Std Bk"/>
          <w:b/>
          <w:spacing w:val="-28"/>
          <w:w w:val="115"/>
          <w:sz w:val="20"/>
        </w:rPr>
        <w:t> </w:t>
      </w:r>
      <w:r>
        <w:rPr>
          <w:rFonts w:ascii="Stone Sans II ITC Std Bk" w:hAnsi="Stone Sans II ITC Std Bk"/>
          <w:b/>
          <w:w w:val="115"/>
          <w:sz w:val="20"/>
        </w:rPr>
        <w:t>ministers</w:t>
      </w:r>
      <w:r>
        <w:rPr>
          <w:rFonts w:ascii="Stone Sans II ITC Std Bk" w:hAnsi="Stone Sans II ITC Std Bk"/>
          <w:b/>
          <w:spacing w:val="-28"/>
          <w:w w:val="115"/>
          <w:sz w:val="20"/>
        </w:rPr>
        <w:t> </w:t>
      </w:r>
      <w:r>
        <w:rPr>
          <w:rFonts w:ascii="Stone Sans II ITC Std Bk" w:hAnsi="Stone Sans II ITC Std Bk"/>
          <w:b/>
          <w:w w:val="115"/>
          <w:sz w:val="20"/>
        </w:rPr>
        <w:t>who</w:t>
      </w:r>
      <w:r>
        <w:rPr>
          <w:rFonts w:ascii="Stone Sans II ITC Std Bk" w:hAnsi="Stone Sans II ITC Std Bk"/>
          <w:b/>
          <w:spacing w:val="-28"/>
          <w:w w:val="115"/>
          <w:sz w:val="20"/>
        </w:rPr>
        <w:t> </w:t>
      </w:r>
      <w:r>
        <w:rPr>
          <w:rFonts w:ascii="Stone Sans II ITC Std Bk" w:hAnsi="Stone Sans II ITC Std Bk"/>
          <w:b/>
          <w:w w:val="115"/>
          <w:sz w:val="20"/>
        </w:rPr>
        <w:t>are</w:t>
      </w:r>
      <w:r>
        <w:rPr>
          <w:rFonts w:ascii="Stone Sans II ITC Std Bk" w:hAnsi="Stone Sans II ITC Std Bk"/>
          <w:b/>
          <w:spacing w:val="-27"/>
          <w:w w:val="115"/>
          <w:sz w:val="20"/>
        </w:rPr>
        <w:t> </w:t>
      </w:r>
      <w:r>
        <w:rPr>
          <w:rFonts w:ascii="Stone Sans II ITC Std Bk" w:hAnsi="Stone Sans II ITC Std Bk"/>
          <w:b/>
          <w:w w:val="115"/>
          <w:sz w:val="20"/>
        </w:rPr>
        <w:t>members</w:t>
      </w:r>
      <w:r>
        <w:rPr>
          <w:rFonts w:ascii="Stone Sans II ITC Std Bk" w:hAnsi="Stone Sans II ITC Std Bk"/>
          <w:b/>
          <w:spacing w:val="-28"/>
          <w:w w:val="115"/>
          <w:sz w:val="20"/>
        </w:rPr>
        <w:t> </w:t>
      </w:r>
      <w:r>
        <w:rPr>
          <w:rFonts w:ascii="Stone Sans II ITC Std Bk" w:hAnsi="Stone Sans II ITC Std Bk"/>
          <w:b/>
          <w:w w:val="115"/>
          <w:sz w:val="20"/>
        </w:rPr>
        <w:t>of</w:t>
      </w:r>
      <w:r>
        <w:rPr>
          <w:rFonts w:ascii="Stone Sans II ITC Std Bk" w:hAnsi="Stone Sans II ITC Std Bk"/>
          <w:b/>
          <w:spacing w:val="-28"/>
          <w:w w:val="115"/>
          <w:sz w:val="20"/>
        </w:rPr>
        <w:t> </w:t>
      </w:r>
      <w:r>
        <w:rPr>
          <w:rFonts w:ascii="Stone Sans II ITC Std Bk" w:hAnsi="Stone Sans II ITC Std Bk"/>
          <w:b/>
          <w:w w:val="115"/>
          <w:sz w:val="20"/>
        </w:rPr>
        <w:t>a</w:t>
      </w:r>
      <w:r>
        <w:rPr>
          <w:rFonts w:ascii="Stone Sans II ITC Std Bk" w:hAnsi="Stone Sans II ITC Std Bk"/>
          <w:b/>
          <w:spacing w:val="-28"/>
          <w:w w:val="115"/>
          <w:sz w:val="20"/>
        </w:rPr>
        <w:t> </w:t>
      </w:r>
      <w:r>
        <w:rPr>
          <w:rFonts w:ascii="Stone Sans II ITC Std Bk" w:hAnsi="Stone Sans II ITC Std Bk"/>
          <w:b/>
          <w:w w:val="115"/>
          <w:sz w:val="20"/>
        </w:rPr>
        <w:t>local</w:t>
      </w:r>
      <w:r>
        <w:rPr>
          <w:rFonts w:ascii="Stone Sans II ITC Std Bk" w:hAnsi="Stone Sans II ITC Std Bk"/>
          <w:b/>
          <w:spacing w:val="-28"/>
          <w:w w:val="115"/>
          <w:sz w:val="20"/>
        </w:rPr>
        <w:t> </w:t>
      </w:r>
      <w:r>
        <w:rPr>
          <w:rFonts w:ascii="Stone Sans II ITC Std Bk" w:hAnsi="Stone Sans II ITC Std Bk"/>
          <w:b/>
          <w:w w:val="115"/>
          <w:sz w:val="20"/>
        </w:rPr>
        <w:t>church</w:t>
      </w:r>
      <w:r>
        <w:rPr>
          <w:rFonts w:ascii="Stone Sans II ITC Std Bk" w:hAnsi="Stone Sans II ITC Std Bk"/>
          <w:b/>
          <w:spacing w:val="-28"/>
          <w:w w:val="115"/>
          <w:sz w:val="20"/>
        </w:rPr>
        <w:t> </w:t>
      </w:r>
      <w:r>
        <w:rPr>
          <w:rFonts w:ascii="Stone Sans II ITC Std Bk" w:hAnsi="Stone Sans II ITC Std Bk"/>
          <w:b/>
          <w:w w:val="115"/>
          <w:sz w:val="20"/>
        </w:rPr>
        <w:t>in that</w:t>
      </w:r>
      <w:r>
        <w:rPr>
          <w:rFonts w:ascii="Stone Sans II ITC Std Bk" w:hAnsi="Stone Sans II ITC Std Bk"/>
          <w:b/>
          <w:spacing w:val="-4"/>
          <w:w w:val="115"/>
          <w:sz w:val="20"/>
        </w:rPr>
        <w:t> </w:t>
      </w:r>
      <w:r>
        <w:rPr>
          <w:rFonts w:ascii="Stone Sans II ITC Std Bk" w:hAnsi="Stone Sans II ITC Std Bk"/>
          <w:b/>
          <w:w w:val="115"/>
          <w:sz w:val="20"/>
        </w:rPr>
        <w:t>synod”.</w:t>
      </w:r>
    </w:p>
    <w:p>
      <w:pPr>
        <w:pStyle w:val="BodyText"/>
        <w:rPr>
          <w:rFonts w:ascii="Stone Sans II ITC Std Bk"/>
          <w:b/>
          <w:sz w:val="33"/>
        </w:rPr>
      </w:pPr>
    </w:p>
    <w:p>
      <w:pPr>
        <w:pStyle w:val="Heading4"/>
        <w:ind w:left="1247" w:firstLine="0"/>
      </w:pPr>
      <w:r>
        <w:rPr>
          <w:w w:val="110"/>
        </w:rPr>
        <w:t>Mission Council</w:t>
      </w:r>
    </w:p>
    <w:p>
      <w:pPr>
        <w:pStyle w:val="ListParagraph"/>
        <w:numPr>
          <w:ilvl w:val="0"/>
          <w:numId w:val="33"/>
        </w:numPr>
        <w:tabs>
          <w:tab w:pos="1927" w:val="left" w:leader="none"/>
          <w:tab w:pos="1928" w:val="left" w:leader="none"/>
        </w:tabs>
        <w:spacing w:line="235" w:lineRule="auto" w:before="69" w:after="0"/>
        <w:ind w:left="1247" w:right="2220" w:firstLine="0"/>
        <w:jc w:val="left"/>
        <w:rPr>
          <w:sz w:val="20"/>
        </w:rPr>
      </w:pPr>
      <w:r>
        <w:rPr>
          <w:w w:val="120"/>
          <w:sz w:val="20"/>
        </w:rPr>
        <w:t>When the membership of Mission Council was determined in </w:t>
      </w:r>
      <w:r>
        <w:rPr>
          <w:spacing w:val="-6"/>
          <w:w w:val="120"/>
          <w:sz w:val="20"/>
        </w:rPr>
        <w:t>1992, </w:t>
      </w:r>
      <w:r>
        <w:rPr>
          <w:w w:val="120"/>
          <w:sz w:val="20"/>
        </w:rPr>
        <w:t>the legal adviser was included as a full member. S/he is not, </w:t>
      </w:r>
      <w:r>
        <w:rPr>
          <w:spacing w:val="-3"/>
          <w:w w:val="120"/>
          <w:sz w:val="20"/>
        </w:rPr>
        <w:t>however, </w:t>
      </w:r>
      <w:r>
        <w:rPr>
          <w:w w:val="120"/>
          <w:sz w:val="20"/>
        </w:rPr>
        <w:t>a member of Assembly, but ‘in </w:t>
      </w:r>
      <w:r>
        <w:rPr>
          <w:spacing w:val="-3"/>
          <w:w w:val="120"/>
          <w:sz w:val="20"/>
        </w:rPr>
        <w:t>attendance’. </w:t>
      </w:r>
      <w:r>
        <w:rPr>
          <w:w w:val="120"/>
          <w:sz w:val="20"/>
        </w:rPr>
        <w:t>Mission Council believes that in future the legal adviser should be in attendance at Mission Council but not a</w:t>
      </w:r>
      <w:r>
        <w:rPr>
          <w:spacing w:val="16"/>
          <w:w w:val="120"/>
          <w:sz w:val="20"/>
        </w:rPr>
        <w:t> </w:t>
      </w:r>
      <w:r>
        <w:rPr>
          <w:w w:val="120"/>
          <w:sz w:val="20"/>
        </w:rPr>
        <w:t>member.</w:t>
      </w:r>
    </w:p>
    <w:p>
      <w:pPr>
        <w:pStyle w:val="BodyText"/>
        <w:spacing w:before="11"/>
        <w:rPr>
          <w:sz w:val="19"/>
        </w:rPr>
      </w:pPr>
    </w:p>
    <w:p>
      <w:pPr>
        <w:pStyle w:val="ListParagraph"/>
        <w:numPr>
          <w:ilvl w:val="0"/>
          <w:numId w:val="33"/>
        </w:numPr>
        <w:tabs>
          <w:tab w:pos="1927" w:val="left" w:leader="none"/>
          <w:tab w:pos="1928" w:val="left" w:leader="none"/>
        </w:tabs>
        <w:spacing w:line="235" w:lineRule="auto" w:before="0" w:after="0"/>
        <w:ind w:left="1247" w:right="2020" w:firstLine="0"/>
        <w:jc w:val="left"/>
        <w:rPr>
          <w:sz w:val="20"/>
        </w:rPr>
      </w:pPr>
      <w:r>
        <w:rPr>
          <w:w w:val="120"/>
          <w:sz w:val="20"/>
        </w:rPr>
        <w:t>Although all conveners of Assembly committees are members of the Assembly, because the pastoral reference and welfare committee (PRWC) is not a programme committee, its convener has not been a member of Mission Council, while all the others are. Recent experience has indicated that it has often been helpful for the convener of the PRWC to be present at Mission Council, and so it is now proposed that s/he should be a</w:t>
      </w:r>
      <w:r>
        <w:rPr>
          <w:spacing w:val="3"/>
          <w:w w:val="120"/>
          <w:sz w:val="20"/>
        </w:rPr>
        <w:t> </w:t>
      </w:r>
      <w:r>
        <w:rPr>
          <w:w w:val="120"/>
          <w:sz w:val="20"/>
        </w:rPr>
        <w:t>member.</w:t>
      </w:r>
    </w:p>
    <w:p>
      <w:pPr>
        <w:pStyle w:val="BodyText"/>
      </w:pPr>
    </w:p>
    <w:p>
      <w:pPr>
        <w:pStyle w:val="ListParagraph"/>
        <w:numPr>
          <w:ilvl w:val="0"/>
          <w:numId w:val="33"/>
        </w:numPr>
        <w:tabs>
          <w:tab w:pos="1927" w:val="left" w:leader="none"/>
          <w:tab w:pos="1928" w:val="left" w:leader="none"/>
        </w:tabs>
        <w:spacing w:line="235" w:lineRule="auto" w:before="0" w:after="0"/>
        <w:ind w:left="1247" w:right="2072" w:firstLine="0"/>
        <w:jc w:val="left"/>
        <w:rPr>
          <w:sz w:val="20"/>
        </w:rPr>
      </w:pPr>
      <w:r>
        <w:rPr>
          <w:w w:val="120"/>
          <w:sz w:val="20"/>
        </w:rPr>
        <w:t>It is also proposed that the three deputy general secretaries should be members of Mission</w:t>
      </w:r>
      <w:r>
        <w:rPr>
          <w:spacing w:val="4"/>
          <w:w w:val="120"/>
          <w:sz w:val="20"/>
        </w:rPr>
        <w:t> </w:t>
      </w:r>
      <w:r>
        <w:rPr>
          <w:w w:val="120"/>
          <w:sz w:val="20"/>
        </w:rPr>
        <w:t>Council.</w:t>
      </w:r>
    </w:p>
    <w:p>
      <w:pPr>
        <w:spacing w:after="0" w:line="235" w:lineRule="auto"/>
        <w:jc w:val="left"/>
        <w:rPr>
          <w:sz w:val="20"/>
        </w:rPr>
        <w:sectPr>
          <w:headerReference w:type="even" r:id="rId131"/>
          <w:footerReference w:type="even" r:id="rId132"/>
          <w:footerReference w:type="default" r:id="rId133"/>
          <w:pgSz w:w="11910" w:h="16840"/>
          <w:pgMar w:header="0" w:footer="647" w:top="0" w:bottom="840" w:left="0" w:right="0"/>
          <w:pgNumType w:start="54"/>
        </w:sectPr>
      </w:pPr>
    </w:p>
    <w:p>
      <w:pPr>
        <w:pStyle w:val="BodyText"/>
      </w:pPr>
      <w:r>
        <w:rPr/>
        <w:drawing>
          <wp:anchor distT="0" distB="0" distL="0" distR="0" allowOverlap="1" layoutInCell="1" locked="0" behindDoc="0" simplePos="0" relativeHeight="251826176">
            <wp:simplePos x="0" y="0"/>
            <wp:positionH relativeFrom="page">
              <wp:posOffset>6974928</wp:posOffset>
            </wp:positionH>
            <wp:positionV relativeFrom="page">
              <wp:posOffset>0</wp:posOffset>
            </wp:positionV>
            <wp:extent cx="585076" cy="10692003"/>
            <wp:effectExtent l="0" t="0" r="0" b="0"/>
            <wp:wrapNone/>
            <wp:docPr id="101" name="image23.png"/>
            <wp:cNvGraphicFramePr>
              <a:graphicFrameLocks noChangeAspect="1"/>
            </wp:cNvGraphicFramePr>
            <a:graphic>
              <a:graphicData uri="http://schemas.openxmlformats.org/drawingml/2006/picture">
                <pic:pic>
                  <pic:nvPicPr>
                    <pic:cNvPr id="102" name="image23.png"/>
                    <pic:cNvPicPr/>
                  </pic:nvPicPr>
                  <pic:blipFill>
                    <a:blip r:embed="rId35" cstate="print"/>
                    <a:stretch>
                      <a:fillRect/>
                    </a:stretch>
                  </pic:blipFill>
                  <pic:spPr>
                    <a:xfrm>
                      <a:off x="0" y="0"/>
                      <a:ext cx="585076" cy="10692003"/>
                    </a:xfrm>
                    <a:prstGeom prst="rect">
                      <a:avLst/>
                    </a:prstGeom>
                  </pic:spPr>
                </pic:pic>
              </a:graphicData>
            </a:graphic>
          </wp:anchor>
        </w:drawing>
      </w:r>
    </w:p>
    <w:p>
      <w:pPr>
        <w:pStyle w:val="BodyText"/>
        <w:spacing w:before="7"/>
        <w:rPr>
          <w:sz w:val="21"/>
        </w:rPr>
      </w:pPr>
    </w:p>
    <w:p>
      <w:pPr>
        <w:pStyle w:val="Heading5"/>
        <w:ind w:left="0" w:right="1245"/>
        <w:jc w:val="right"/>
      </w:pPr>
      <w:r>
        <w:rPr/>
        <w:pict>
          <v:shape style="position:absolute;margin-left:554.141174pt;margin-top:22.593945pt;width:25.9pt;height:356.25pt;mso-position-horizontal-relative:page;mso-position-vertical-relative:paragraph;z-index:251828224" type="#_x0000_t202" filled="false" stroked="false">
            <v:textbox inset="0,0,0,0" style="layout-flow:vertical">
              <w:txbxContent>
                <w:p>
                  <w:pPr>
                    <w:spacing w:before="27"/>
                    <w:ind w:left="20" w:right="0" w:firstLine="0"/>
                    <w:jc w:val="left"/>
                    <w:rPr>
                      <w:sz w:val="39"/>
                    </w:rPr>
                  </w:pPr>
                  <w:r>
                    <w:rPr>
                      <w:color w:val="FFFFFF"/>
                      <w:w w:val="120"/>
                      <w:sz w:val="39"/>
                    </w:rPr>
                    <w:t>Membership of governance bodies</w:t>
                  </w:r>
                </w:p>
              </w:txbxContent>
            </v:textbox>
            <w10:wrap type="none"/>
          </v:shape>
        </w:pict>
      </w:r>
      <w:r>
        <w:rPr>
          <w:color w:val="7EAABF"/>
          <w:w w:val="120"/>
        </w:rPr>
        <w:t>Mission Council</w:t>
      </w:r>
    </w:p>
    <w:p>
      <w:pPr>
        <w:pStyle w:val="ListParagraph"/>
        <w:numPr>
          <w:ilvl w:val="0"/>
          <w:numId w:val="33"/>
        </w:numPr>
        <w:tabs>
          <w:tab w:pos="2664" w:val="left" w:leader="none"/>
          <w:tab w:pos="2665" w:val="left" w:leader="none"/>
        </w:tabs>
        <w:spacing w:line="235" w:lineRule="auto" w:before="222" w:after="0"/>
        <w:ind w:left="1984" w:right="1381" w:firstLine="0"/>
        <w:jc w:val="left"/>
        <w:rPr>
          <w:sz w:val="20"/>
        </w:rPr>
      </w:pPr>
      <w:r>
        <w:rPr>
          <w:w w:val="120"/>
          <w:sz w:val="20"/>
        </w:rPr>
        <w:t>Mission Council, contrary to the implication of its name, is not a council of the Church. It does not have a separate section in the Structure. It is a committee of the Assembly which, at times, </w:t>
      </w:r>
      <w:r>
        <w:rPr>
          <w:spacing w:val="2"/>
          <w:w w:val="120"/>
          <w:sz w:val="20"/>
        </w:rPr>
        <w:t>acts </w:t>
      </w:r>
      <w:r>
        <w:rPr>
          <w:w w:val="120"/>
          <w:sz w:val="20"/>
        </w:rPr>
        <w:t>on behalf of the Assembly. The Structure makes it clear that members of standing committees must be members of the URC. Therefore, in line with both the General Assembly and the standing committees, it is proposed that it    be stated explicitly that </w:t>
      </w:r>
      <w:r>
        <w:rPr>
          <w:spacing w:val="-3"/>
          <w:w w:val="120"/>
          <w:sz w:val="20"/>
        </w:rPr>
        <w:t>(with </w:t>
      </w:r>
      <w:r>
        <w:rPr>
          <w:w w:val="120"/>
          <w:sz w:val="20"/>
        </w:rPr>
        <w:t>a few exceptions) members of Mission Council should be members of the</w:t>
      </w:r>
      <w:r>
        <w:rPr>
          <w:spacing w:val="6"/>
          <w:w w:val="120"/>
          <w:sz w:val="20"/>
        </w:rPr>
        <w:t> </w:t>
      </w:r>
      <w:r>
        <w:rPr>
          <w:w w:val="120"/>
          <w:sz w:val="20"/>
        </w:rPr>
        <w:t>URC.</w:t>
      </w:r>
    </w:p>
    <w:p>
      <w:pPr>
        <w:pStyle w:val="BodyText"/>
      </w:pPr>
    </w:p>
    <w:p>
      <w:pPr>
        <w:pStyle w:val="ListParagraph"/>
        <w:numPr>
          <w:ilvl w:val="0"/>
          <w:numId w:val="33"/>
        </w:numPr>
        <w:tabs>
          <w:tab w:pos="2664" w:val="left" w:leader="none"/>
          <w:tab w:pos="2665" w:val="left" w:leader="none"/>
        </w:tabs>
        <w:spacing w:line="235" w:lineRule="auto" w:before="1" w:after="0"/>
        <w:ind w:left="1984" w:right="1486" w:firstLine="0"/>
        <w:jc w:val="left"/>
        <w:rPr>
          <w:sz w:val="20"/>
        </w:rPr>
      </w:pPr>
      <w:r>
        <w:rPr>
          <w:w w:val="120"/>
          <w:sz w:val="20"/>
        </w:rPr>
        <w:t>Sometimes the officers receive requests from synods and other bodies for permission to send </w:t>
      </w:r>
      <w:r>
        <w:rPr>
          <w:spacing w:val="-3"/>
          <w:w w:val="120"/>
          <w:sz w:val="20"/>
        </w:rPr>
        <w:t>observer(s) </w:t>
      </w:r>
      <w:r>
        <w:rPr>
          <w:w w:val="120"/>
          <w:sz w:val="20"/>
        </w:rPr>
        <w:t>to Mission Council. The resolution which follows seeks to bring clarity to this</w:t>
      </w:r>
      <w:r>
        <w:rPr>
          <w:spacing w:val="10"/>
          <w:w w:val="120"/>
          <w:sz w:val="20"/>
        </w:rPr>
        <w:t> </w:t>
      </w:r>
      <w:r>
        <w:rPr>
          <w:w w:val="120"/>
          <w:sz w:val="20"/>
        </w:rPr>
        <w:t>issue.</w:t>
      </w:r>
    </w:p>
    <w:p>
      <w:pPr>
        <w:pStyle w:val="BodyText"/>
        <w:spacing w:before="6"/>
        <w:rPr>
          <w:sz w:val="19"/>
        </w:rPr>
      </w:pPr>
    </w:p>
    <w:p>
      <w:pPr>
        <w:pStyle w:val="ListParagraph"/>
        <w:numPr>
          <w:ilvl w:val="0"/>
          <w:numId w:val="33"/>
        </w:numPr>
        <w:tabs>
          <w:tab w:pos="2664" w:val="left" w:leader="none"/>
          <w:tab w:pos="2665" w:val="left" w:leader="none"/>
        </w:tabs>
        <w:spacing w:line="240" w:lineRule="auto" w:before="0" w:after="0"/>
        <w:ind w:left="2664" w:right="0" w:hanging="681"/>
        <w:jc w:val="left"/>
        <w:rPr>
          <w:sz w:val="20"/>
        </w:rPr>
      </w:pPr>
      <w:r>
        <w:rPr>
          <w:w w:val="120"/>
          <w:sz w:val="20"/>
        </w:rPr>
        <w:t>Resolution F deals with all the above</w:t>
      </w:r>
      <w:r>
        <w:rPr>
          <w:spacing w:val="11"/>
          <w:w w:val="120"/>
          <w:sz w:val="20"/>
        </w:rPr>
        <w:t> </w:t>
      </w:r>
      <w:r>
        <w:rPr>
          <w:w w:val="120"/>
          <w:sz w:val="20"/>
        </w:rPr>
        <w:t>issues.</w:t>
      </w:r>
    </w:p>
    <w:p>
      <w:pPr>
        <w:pStyle w:val="BodyText"/>
        <w:rPr>
          <w:sz w:val="24"/>
        </w:rPr>
      </w:pPr>
    </w:p>
    <w:p>
      <w:pPr>
        <w:pStyle w:val="Heading4"/>
        <w:spacing w:before="159"/>
        <w:ind w:left="1984" w:firstLine="0"/>
      </w:pPr>
      <w:r>
        <w:rPr/>
        <w:pict>
          <v:line style="position:absolute;mso-position-horizontal-relative:page;mso-position-vertical-relative:paragraph;z-index:251827200" from="89.874001pt,10.336122pt" to="89.874001pt,496.479122pt" stroked="true" strokeweight="4pt" strokecolor="#b0cbd9">
            <v:stroke dashstyle="solid"/>
            <w10:wrap type="none"/>
          </v:line>
        </w:pict>
      </w:r>
      <w:r>
        <w:rPr>
          <w:w w:val="110"/>
        </w:rPr>
        <w:t>Resolution F</w:t>
      </w:r>
    </w:p>
    <w:p>
      <w:pPr>
        <w:pStyle w:val="BodyText"/>
        <w:spacing w:before="65"/>
        <w:ind w:left="1984"/>
      </w:pPr>
      <w:r>
        <w:rPr>
          <w:w w:val="120"/>
        </w:rPr>
        <w:t>General Assembly agrees that the membership of Mission Council shall be:</w:t>
      </w:r>
    </w:p>
    <w:p>
      <w:pPr>
        <w:pStyle w:val="BodyText"/>
        <w:spacing w:before="4"/>
        <w:rPr>
          <w:sz w:val="19"/>
        </w:rPr>
      </w:pPr>
    </w:p>
    <w:p>
      <w:pPr>
        <w:pStyle w:val="ListParagraph"/>
        <w:numPr>
          <w:ilvl w:val="1"/>
          <w:numId w:val="33"/>
        </w:numPr>
        <w:tabs>
          <w:tab w:pos="3424" w:val="left" w:leader="none"/>
          <w:tab w:pos="3425" w:val="left" w:leader="none"/>
        </w:tabs>
        <w:spacing w:line="242" w:lineRule="exact" w:before="0" w:after="0"/>
        <w:ind w:left="3424" w:right="0" w:hanging="761"/>
        <w:jc w:val="left"/>
        <w:rPr>
          <w:sz w:val="20"/>
        </w:rPr>
      </w:pPr>
      <w:r>
        <w:rPr>
          <w:w w:val="115"/>
          <w:sz w:val="20"/>
        </w:rPr>
        <w:t>Moderators of</w:t>
      </w:r>
      <w:r>
        <w:rPr>
          <w:spacing w:val="9"/>
          <w:w w:val="115"/>
          <w:sz w:val="20"/>
        </w:rPr>
        <w:t> </w:t>
      </w:r>
      <w:r>
        <w:rPr>
          <w:w w:val="115"/>
          <w:sz w:val="20"/>
        </w:rPr>
        <w:t>Assembly</w:t>
      </w:r>
    </w:p>
    <w:p>
      <w:pPr>
        <w:pStyle w:val="ListParagraph"/>
        <w:numPr>
          <w:ilvl w:val="1"/>
          <w:numId w:val="33"/>
        </w:numPr>
        <w:tabs>
          <w:tab w:pos="3424" w:val="left" w:leader="none"/>
          <w:tab w:pos="3425" w:val="left" w:leader="none"/>
        </w:tabs>
        <w:spacing w:line="240" w:lineRule="exact" w:before="0" w:after="0"/>
        <w:ind w:left="3424" w:right="0" w:hanging="761"/>
        <w:jc w:val="left"/>
        <w:rPr>
          <w:sz w:val="20"/>
        </w:rPr>
      </w:pPr>
      <w:r>
        <w:rPr>
          <w:w w:val="120"/>
          <w:sz w:val="20"/>
        </w:rPr>
        <w:t>Moderators-elect</w:t>
      </w:r>
    </w:p>
    <w:p>
      <w:pPr>
        <w:pStyle w:val="ListParagraph"/>
        <w:numPr>
          <w:ilvl w:val="1"/>
          <w:numId w:val="33"/>
        </w:numPr>
        <w:tabs>
          <w:tab w:pos="3424" w:val="left" w:leader="none"/>
          <w:tab w:pos="3425" w:val="left" w:leader="none"/>
        </w:tabs>
        <w:spacing w:line="240" w:lineRule="exact" w:before="0" w:after="0"/>
        <w:ind w:left="3424" w:right="0" w:hanging="761"/>
        <w:jc w:val="left"/>
        <w:rPr>
          <w:sz w:val="20"/>
        </w:rPr>
      </w:pPr>
      <w:r>
        <w:rPr>
          <w:w w:val="120"/>
          <w:sz w:val="20"/>
        </w:rPr>
        <w:t>Immediate past</w:t>
      </w:r>
      <w:r>
        <w:rPr>
          <w:spacing w:val="3"/>
          <w:w w:val="120"/>
          <w:sz w:val="20"/>
        </w:rPr>
        <w:t> </w:t>
      </w:r>
      <w:r>
        <w:rPr>
          <w:w w:val="120"/>
          <w:sz w:val="20"/>
        </w:rPr>
        <w:t>moderators</w:t>
      </w:r>
    </w:p>
    <w:p>
      <w:pPr>
        <w:pStyle w:val="ListParagraph"/>
        <w:numPr>
          <w:ilvl w:val="1"/>
          <w:numId w:val="33"/>
        </w:numPr>
        <w:tabs>
          <w:tab w:pos="3424" w:val="left" w:leader="none"/>
          <w:tab w:pos="3425" w:val="left" w:leader="none"/>
        </w:tabs>
        <w:spacing w:line="240" w:lineRule="exact" w:before="0" w:after="0"/>
        <w:ind w:left="3424" w:right="0" w:hanging="761"/>
        <w:jc w:val="left"/>
        <w:rPr>
          <w:sz w:val="20"/>
        </w:rPr>
      </w:pPr>
      <w:r>
        <w:rPr>
          <w:w w:val="120"/>
          <w:sz w:val="20"/>
        </w:rPr>
        <w:t>General</w:t>
      </w:r>
      <w:r>
        <w:rPr>
          <w:spacing w:val="1"/>
          <w:w w:val="120"/>
          <w:sz w:val="20"/>
        </w:rPr>
        <w:t> </w:t>
      </w:r>
      <w:r>
        <w:rPr>
          <w:w w:val="120"/>
          <w:sz w:val="20"/>
        </w:rPr>
        <w:t>secretary</w:t>
      </w:r>
    </w:p>
    <w:p>
      <w:pPr>
        <w:pStyle w:val="ListParagraph"/>
        <w:numPr>
          <w:ilvl w:val="1"/>
          <w:numId w:val="33"/>
        </w:numPr>
        <w:tabs>
          <w:tab w:pos="3424" w:val="left" w:leader="none"/>
          <w:tab w:pos="3425" w:val="left" w:leader="none"/>
        </w:tabs>
        <w:spacing w:line="240" w:lineRule="exact" w:before="0" w:after="0"/>
        <w:ind w:left="3424" w:right="0" w:hanging="761"/>
        <w:jc w:val="left"/>
        <w:rPr>
          <w:sz w:val="20"/>
        </w:rPr>
      </w:pPr>
      <w:r>
        <w:rPr>
          <w:w w:val="120"/>
          <w:sz w:val="20"/>
        </w:rPr>
        <w:t>Deputy general</w:t>
      </w:r>
      <w:r>
        <w:rPr>
          <w:spacing w:val="4"/>
          <w:w w:val="120"/>
          <w:sz w:val="20"/>
        </w:rPr>
        <w:t> </w:t>
      </w:r>
      <w:r>
        <w:rPr>
          <w:w w:val="120"/>
          <w:sz w:val="20"/>
        </w:rPr>
        <w:t>secretaries</w:t>
      </w:r>
    </w:p>
    <w:p>
      <w:pPr>
        <w:pStyle w:val="ListParagraph"/>
        <w:numPr>
          <w:ilvl w:val="1"/>
          <w:numId w:val="33"/>
        </w:numPr>
        <w:tabs>
          <w:tab w:pos="3424" w:val="left" w:leader="none"/>
          <w:tab w:pos="3425" w:val="left" w:leader="none"/>
        </w:tabs>
        <w:spacing w:line="240" w:lineRule="exact" w:before="0" w:after="0"/>
        <w:ind w:left="3424" w:right="0" w:hanging="761"/>
        <w:jc w:val="left"/>
        <w:rPr>
          <w:sz w:val="20"/>
        </w:rPr>
      </w:pPr>
      <w:r>
        <w:rPr>
          <w:w w:val="120"/>
          <w:sz w:val="20"/>
        </w:rPr>
        <w:t>Clerk</w:t>
      </w:r>
    </w:p>
    <w:p>
      <w:pPr>
        <w:pStyle w:val="ListParagraph"/>
        <w:numPr>
          <w:ilvl w:val="1"/>
          <w:numId w:val="33"/>
        </w:numPr>
        <w:tabs>
          <w:tab w:pos="3424" w:val="left" w:leader="none"/>
          <w:tab w:pos="3425" w:val="left" w:leader="none"/>
        </w:tabs>
        <w:spacing w:line="240" w:lineRule="exact" w:before="0" w:after="0"/>
        <w:ind w:left="3424" w:right="0" w:hanging="761"/>
        <w:jc w:val="left"/>
        <w:rPr>
          <w:sz w:val="20"/>
        </w:rPr>
      </w:pPr>
      <w:r>
        <w:rPr>
          <w:w w:val="115"/>
          <w:sz w:val="20"/>
        </w:rPr>
        <w:t>Treasurer</w:t>
      </w:r>
    </w:p>
    <w:p>
      <w:pPr>
        <w:pStyle w:val="ListParagraph"/>
        <w:numPr>
          <w:ilvl w:val="1"/>
          <w:numId w:val="33"/>
        </w:numPr>
        <w:tabs>
          <w:tab w:pos="3424" w:val="left" w:leader="none"/>
          <w:tab w:pos="3425" w:val="left" w:leader="none"/>
        </w:tabs>
        <w:spacing w:line="240" w:lineRule="exact" w:before="0" w:after="0"/>
        <w:ind w:left="3424" w:right="0" w:hanging="761"/>
        <w:jc w:val="left"/>
        <w:rPr>
          <w:sz w:val="20"/>
        </w:rPr>
      </w:pPr>
      <w:r>
        <w:rPr>
          <w:w w:val="120"/>
          <w:sz w:val="20"/>
        </w:rPr>
        <w:t>Deputy</w:t>
      </w:r>
      <w:r>
        <w:rPr>
          <w:spacing w:val="1"/>
          <w:w w:val="120"/>
          <w:sz w:val="20"/>
        </w:rPr>
        <w:t> </w:t>
      </w:r>
      <w:r>
        <w:rPr>
          <w:w w:val="120"/>
          <w:sz w:val="20"/>
        </w:rPr>
        <w:t>treasurer</w:t>
      </w:r>
    </w:p>
    <w:p>
      <w:pPr>
        <w:pStyle w:val="ListParagraph"/>
        <w:numPr>
          <w:ilvl w:val="1"/>
          <w:numId w:val="33"/>
        </w:numPr>
        <w:tabs>
          <w:tab w:pos="3424" w:val="left" w:leader="none"/>
          <w:tab w:pos="3425" w:val="left" w:leader="none"/>
        </w:tabs>
        <w:spacing w:line="240" w:lineRule="exact" w:before="0" w:after="0"/>
        <w:ind w:left="3424" w:right="0" w:hanging="761"/>
        <w:jc w:val="left"/>
        <w:rPr>
          <w:sz w:val="20"/>
        </w:rPr>
      </w:pPr>
      <w:r>
        <w:rPr>
          <w:w w:val="120"/>
          <w:sz w:val="20"/>
        </w:rPr>
        <w:t>Conveners of all Assembly standing</w:t>
      </w:r>
      <w:r>
        <w:rPr>
          <w:spacing w:val="11"/>
          <w:w w:val="120"/>
          <w:sz w:val="20"/>
        </w:rPr>
        <w:t> </w:t>
      </w:r>
      <w:r>
        <w:rPr>
          <w:w w:val="120"/>
          <w:sz w:val="20"/>
        </w:rPr>
        <w:t>committees</w:t>
      </w:r>
    </w:p>
    <w:p>
      <w:pPr>
        <w:pStyle w:val="ListParagraph"/>
        <w:numPr>
          <w:ilvl w:val="1"/>
          <w:numId w:val="33"/>
        </w:numPr>
        <w:tabs>
          <w:tab w:pos="3424" w:val="left" w:leader="none"/>
          <w:tab w:pos="3425" w:val="left" w:leader="none"/>
        </w:tabs>
        <w:spacing w:line="240" w:lineRule="exact" w:before="0" w:after="0"/>
        <w:ind w:left="3424" w:right="0" w:hanging="761"/>
        <w:jc w:val="left"/>
        <w:rPr>
          <w:sz w:val="20"/>
        </w:rPr>
      </w:pPr>
      <w:r>
        <w:rPr>
          <w:w w:val="120"/>
          <w:sz w:val="20"/>
        </w:rPr>
        <w:t>Synod</w:t>
      </w:r>
      <w:r>
        <w:rPr>
          <w:spacing w:val="2"/>
          <w:w w:val="120"/>
          <w:sz w:val="20"/>
        </w:rPr>
        <w:t> </w:t>
      </w:r>
      <w:r>
        <w:rPr>
          <w:w w:val="120"/>
          <w:sz w:val="20"/>
        </w:rPr>
        <w:t>moderators</w:t>
      </w:r>
    </w:p>
    <w:p>
      <w:pPr>
        <w:pStyle w:val="ListParagraph"/>
        <w:numPr>
          <w:ilvl w:val="1"/>
          <w:numId w:val="33"/>
        </w:numPr>
        <w:tabs>
          <w:tab w:pos="3424" w:val="left" w:leader="none"/>
          <w:tab w:pos="3425" w:val="left" w:leader="none"/>
        </w:tabs>
        <w:spacing w:line="240" w:lineRule="exact" w:before="0" w:after="0"/>
        <w:ind w:left="3424" w:right="0" w:hanging="761"/>
        <w:jc w:val="left"/>
        <w:rPr>
          <w:sz w:val="20"/>
        </w:rPr>
      </w:pPr>
      <w:r>
        <w:rPr>
          <w:w w:val="120"/>
          <w:sz w:val="20"/>
        </w:rPr>
        <w:t>Three further representatives of each</w:t>
      </w:r>
      <w:r>
        <w:rPr>
          <w:spacing w:val="8"/>
          <w:w w:val="120"/>
          <w:sz w:val="20"/>
        </w:rPr>
        <w:t> </w:t>
      </w:r>
      <w:r>
        <w:rPr>
          <w:w w:val="120"/>
          <w:sz w:val="20"/>
        </w:rPr>
        <w:t>synod</w:t>
      </w:r>
    </w:p>
    <w:p>
      <w:pPr>
        <w:pStyle w:val="ListParagraph"/>
        <w:numPr>
          <w:ilvl w:val="1"/>
          <w:numId w:val="33"/>
        </w:numPr>
        <w:tabs>
          <w:tab w:pos="3424" w:val="left" w:leader="none"/>
          <w:tab w:pos="3425" w:val="left" w:leader="none"/>
        </w:tabs>
        <w:spacing w:line="240" w:lineRule="exact" w:before="0" w:after="0"/>
        <w:ind w:left="3424" w:right="0" w:hanging="761"/>
        <w:jc w:val="left"/>
        <w:rPr>
          <w:sz w:val="20"/>
        </w:rPr>
      </w:pPr>
      <w:r>
        <w:rPr>
          <w:w w:val="120"/>
          <w:sz w:val="20"/>
        </w:rPr>
        <w:t>Three representatives of FURY (including the FURY</w:t>
      </w:r>
      <w:r>
        <w:rPr>
          <w:spacing w:val="14"/>
          <w:w w:val="120"/>
          <w:sz w:val="20"/>
        </w:rPr>
        <w:t> </w:t>
      </w:r>
      <w:r>
        <w:rPr>
          <w:w w:val="120"/>
          <w:sz w:val="20"/>
        </w:rPr>
        <w:t>moderator)</w:t>
      </w:r>
    </w:p>
    <w:p>
      <w:pPr>
        <w:pStyle w:val="ListParagraph"/>
        <w:numPr>
          <w:ilvl w:val="1"/>
          <w:numId w:val="33"/>
        </w:numPr>
        <w:tabs>
          <w:tab w:pos="3424" w:val="left" w:leader="none"/>
          <w:tab w:pos="3425" w:val="left" w:leader="none"/>
        </w:tabs>
        <w:spacing w:line="242" w:lineRule="exact" w:before="0" w:after="0"/>
        <w:ind w:left="3424" w:right="0" w:hanging="761"/>
        <w:jc w:val="left"/>
        <w:rPr>
          <w:sz w:val="20"/>
        </w:rPr>
      </w:pPr>
      <w:r>
        <w:rPr>
          <w:w w:val="120"/>
          <w:sz w:val="20"/>
        </w:rPr>
        <w:t>Chair of the United Reformed Church</w:t>
      </w:r>
      <w:r>
        <w:rPr>
          <w:spacing w:val="12"/>
          <w:w w:val="120"/>
          <w:sz w:val="20"/>
        </w:rPr>
        <w:t> </w:t>
      </w:r>
      <w:r>
        <w:rPr>
          <w:w w:val="120"/>
          <w:sz w:val="20"/>
        </w:rPr>
        <w:t>Trust</w:t>
      </w:r>
    </w:p>
    <w:p>
      <w:pPr>
        <w:pStyle w:val="BodyText"/>
        <w:spacing w:before="8"/>
        <w:rPr>
          <w:sz w:val="19"/>
        </w:rPr>
      </w:pPr>
    </w:p>
    <w:p>
      <w:pPr>
        <w:pStyle w:val="BodyText"/>
        <w:spacing w:line="235" w:lineRule="auto"/>
        <w:ind w:left="1984" w:right="2004"/>
      </w:pPr>
      <w:r>
        <w:rPr>
          <w:w w:val="120"/>
        </w:rPr>
        <w:t>With the exception of those in category 5 (the deputy general secretaries) all the above shall be members of the United Reformed Church.</w:t>
      </w:r>
    </w:p>
    <w:p>
      <w:pPr>
        <w:pStyle w:val="BodyText"/>
        <w:spacing w:before="6"/>
        <w:rPr>
          <w:sz w:val="19"/>
        </w:rPr>
      </w:pPr>
    </w:p>
    <w:p>
      <w:pPr>
        <w:pStyle w:val="BodyText"/>
        <w:spacing w:line="242" w:lineRule="exact"/>
        <w:ind w:left="1984"/>
      </w:pPr>
      <w:r>
        <w:rPr>
          <w:w w:val="120"/>
        </w:rPr>
        <w:t>The legal adviser and the convener of the law and polity advisory group shall be</w:t>
      </w:r>
    </w:p>
    <w:p>
      <w:pPr>
        <w:pStyle w:val="BodyText"/>
        <w:spacing w:line="235" w:lineRule="auto" w:before="1"/>
        <w:ind w:left="1984" w:right="1701"/>
      </w:pPr>
      <w:r>
        <w:rPr>
          <w:w w:val="120"/>
        </w:rPr>
        <w:t>in attendance with the right to speak at all times, but not to use consensus cards or to vote.</w:t>
      </w:r>
    </w:p>
    <w:p>
      <w:pPr>
        <w:pStyle w:val="BodyText"/>
        <w:spacing w:before="10"/>
        <w:rPr>
          <w:sz w:val="19"/>
        </w:rPr>
      </w:pPr>
    </w:p>
    <w:p>
      <w:pPr>
        <w:pStyle w:val="BodyText"/>
        <w:spacing w:line="235" w:lineRule="auto"/>
        <w:ind w:left="1984" w:right="1352"/>
      </w:pPr>
      <w:r>
        <w:rPr>
          <w:w w:val="120"/>
        </w:rPr>
        <w:t>Staff secretaries shall be in attendance with the right to speak (except during the decision stage of the consensus process) but not to use consensus cards or to vote.</w:t>
      </w:r>
    </w:p>
    <w:p>
      <w:pPr>
        <w:pStyle w:val="BodyText"/>
        <w:spacing w:before="9"/>
        <w:rPr>
          <w:sz w:val="19"/>
        </w:rPr>
      </w:pPr>
    </w:p>
    <w:p>
      <w:pPr>
        <w:pStyle w:val="BodyText"/>
        <w:spacing w:line="235" w:lineRule="auto" w:before="1"/>
        <w:ind w:left="1984" w:right="1701"/>
      </w:pPr>
      <w:r>
        <w:rPr>
          <w:w w:val="120"/>
        </w:rPr>
        <w:t>Up to two ecumenical representatives may attend with the right to speak (except during the decision stage of the consensus process) but not to use consensus cards or to vote.</w:t>
      </w:r>
    </w:p>
    <w:p>
      <w:pPr>
        <w:pStyle w:val="BodyText"/>
        <w:spacing w:before="10"/>
        <w:rPr>
          <w:sz w:val="19"/>
        </w:rPr>
      </w:pPr>
    </w:p>
    <w:p>
      <w:pPr>
        <w:pStyle w:val="BodyText"/>
        <w:spacing w:line="235" w:lineRule="auto"/>
        <w:ind w:left="1984" w:right="1521"/>
      </w:pPr>
      <w:r>
        <w:rPr>
          <w:w w:val="120"/>
        </w:rPr>
        <w:t>Also present shall be the moderators’ chaplains, the minute secretary, the consensus adviser (pending separate decision) and other staff members as agreed by committee conveners and the general secretary. These may participate in group sessions, and may speak during plenary sessions with the consent of the moderator.</w:t>
      </w:r>
    </w:p>
    <w:p>
      <w:pPr>
        <w:pStyle w:val="BodyText"/>
        <w:spacing w:before="11"/>
        <w:rPr>
          <w:sz w:val="19"/>
        </w:rPr>
      </w:pPr>
    </w:p>
    <w:p>
      <w:pPr>
        <w:pStyle w:val="BodyText"/>
        <w:spacing w:line="235" w:lineRule="auto"/>
        <w:ind w:left="1984" w:right="1820"/>
      </w:pPr>
      <w:r>
        <w:rPr>
          <w:w w:val="120"/>
        </w:rPr>
        <w:t>From time to time there may be visitors and/or observers present by prior arrangement with the general secretary. They shall not have the right to speak or participate in any way during plenary or group sessions, unless with the explicit consent of the moderator.</w:t>
      </w:r>
    </w:p>
    <w:p>
      <w:pPr>
        <w:spacing w:after="0" w:line="235" w:lineRule="auto"/>
        <w:sectPr>
          <w:headerReference w:type="default" r:id="rId134"/>
          <w:pgSz w:w="11910" w:h="16840"/>
          <w:pgMar w:header="0" w:footer="647" w:top="0" w:bottom="840" w:left="0" w:right="0"/>
        </w:sectPr>
      </w:pPr>
    </w:p>
    <w:p>
      <w:pPr>
        <w:pStyle w:val="BodyText"/>
      </w:pPr>
    </w:p>
    <w:p>
      <w:pPr>
        <w:pStyle w:val="BodyText"/>
        <w:spacing w:before="7"/>
        <w:rPr>
          <w:sz w:val="21"/>
        </w:rPr>
      </w:pPr>
    </w:p>
    <w:p>
      <w:pPr>
        <w:spacing w:after="0"/>
        <w:rPr>
          <w:sz w:val="21"/>
        </w:rPr>
        <w:sectPr>
          <w:headerReference w:type="even" r:id="rId135"/>
          <w:footerReference w:type="even" r:id="rId136"/>
          <w:footerReference w:type="default" r:id="rId137"/>
          <w:pgSz w:w="11910" w:h="16840"/>
          <w:pgMar w:header="0" w:footer="647" w:top="0" w:bottom="840" w:left="0" w:right="0"/>
          <w:pgNumType w:start="56"/>
        </w:sectPr>
      </w:pPr>
    </w:p>
    <w:p>
      <w:pPr>
        <w:pStyle w:val="Heading5"/>
      </w:pPr>
      <w:r>
        <w:rPr>
          <w:color w:val="7EAABF"/>
          <w:w w:val="120"/>
        </w:rPr>
        <w:t>Mission</w:t>
      </w:r>
      <w:r>
        <w:rPr>
          <w:color w:val="7EAABF"/>
          <w:spacing w:val="-31"/>
          <w:w w:val="120"/>
        </w:rPr>
        <w:t> </w:t>
      </w:r>
      <w:r>
        <w:rPr>
          <w:color w:val="7EAABF"/>
          <w:spacing w:val="-3"/>
          <w:w w:val="120"/>
        </w:rPr>
        <w:t>Council</w:t>
      </w:r>
    </w:p>
    <w:p>
      <w:pPr>
        <w:pStyle w:val="BodyText"/>
        <w:spacing w:before="4"/>
        <w:rPr>
          <w:sz w:val="52"/>
        </w:rPr>
      </w:pPr>
      <w:r>
        <w:rPr/>
        <w:br w:type="column"/>
      </w:r>
      <w:r>
        <w:rPr>
          <w:sz w:val="52"/>
        </w:rPr>
      </w:r>
    </w:p>
    <w:p>
      <w:pPr>
        <w:tabs>
          <w:tab w:pos="616" w:val="left" w:leader="none"/>
          <w:tab w:pos="2834" w:val="left" w:leader="none"/>
        </w:tabs>
        <w:spacing w:before="0"/>
        <w:ind w:left="0" w:right="3968" w:firstLine="0"/>
        <w:jc w:val="center"/>
        <w:rPr>
          <w:rFonts w:ascii="Stone Sans II ITC Std X Bd"/>
          <w:b/>
          <w:sz w:val="29"/>
        </w:rPr>
      </w:pPr>
      <w:r>
        <w:rPr>
          <w:rFonts w:ascii="Stone Sans II ITC Std X Bd"/>
          <w:b/>
          <w:w w:val="110"/>
          <w:sz w:val="29"/>
          <w:shd w:fill="FFDB7B" w:color="auto" w:val="clear"/>
        </w:rPr>
        <w:t> </w:t>
      </w:r>
      <w:r>
        <w:rPr>
          <w:rFonts w:ascii="Stone Sans II ITC Std X Bd"/>
          <w:b/>
          <w:sz w:val="29"/>
          <w:shd w:fill="FFDB7B" w:color="auto" w:val="clear"/>
        </w:rPr>
        <w:tab/>
      </w:r>
      <w:r>
        <w:rPr>
          <w:rFonts w:ascii="Stone Sans II ITC Std X Bd"/>
          <w:b/>
          <w:w w:val="110"/>
          <w:sz w:val="29"/>
          <w:shd w:fill="FFDB7B" w:color="auto" w:val="clear"/>
        </w:rPr>
        <w:t>Appendix</w:t>
      </w:r>
      <w:r>
        <w:rPr>
          <w:rFonts w:ascii="Stone Sans II ITC Std X Bd"/>
          <w:b/>
          <w:sz w:val="29"/>
          <w:shd w:fill="FFDB7B" w:color="auto" w:val="clear"/>
        </w:rPr>
        <w:tab/>
      </w:r>
    </w:p>
    <w:p>
      <w:pPr>
        <w:spacing w:line="220" w:lineRule="auto" w:before="231"/>
        <w:ind w:left="234" w:right="4203" w:firstLine="0"/>
        <w:jc w:val="center"/>
        <w:rPr>
          <w:rFonts w:ascii="Stone Sans II ITC Std X Bd"/>
          <w:b/>
          <w:sz w:val="29"/>
        </w:rPr>
      </w:pPr>
      <w:r>
        <w:rPr>
          <w:rFonts w:ascii="Stone Sans II ITC Std X Bd"/>
          <w:b/>
          <w:w w:val="110"/>
          <w:sz w:val="29"/>
        </w:rPr>
        <w:t>Extract from the Structure (as at December 2013)</w:t>
      </w:r>
    </w:p>
    <w:p>
      <w:pPr>
        <w:spacing w:after="0" w:line="220" w:lineRule="auto"/>
        <w:jc w:val="center"/>
        <w:rPr>
          <w:rFonts w:ascii="Stone Sans II ITC Std X Bd"/>
          <w:sz w:val="29"/>
        </w:rPr>
        <w:sectPr>
          <w:type w:val="continuous"/>
          <w:pgSz w:w="11910" w:h="16840"/>
          <w:pgMar w:top="680" w:bottom="280" w:left="0" w:right="0"/>
          <w:cols w:num="2" w:equalWidth="0">
            <w:col w:w="3194" w:space="40"/>
            <w:col w:w="8676"/>
          </w:cols>
        </w:sectPr>
      </w:pPr>
    </w:p>
    <w:p>
      <w:pPr>
        <w:pStyle w:val="BodyText"/>
        <w:spacing w:before="1"/>
        <w:rPr>
          <w:rFonts w:ascii="Stone Sans II ITC Std X Bd"/>
          <w:b/>
          <w:sz w:val="25"/>
        </w:rPr>
      </w:pPr>
      <w:r>
        <w:rPr/>
        <w:drawing>
          <wp:anchor distT="0" distB="0" distL="0" distR="0" allowOverlap="1" layoutInCell="1" locked="0" behindDoc="0" simplePos="0" relativeHeight="251829248">
            <wp:simplePos x="0" y="0"/>
            <wp:positionH relativeFrom="page">
              <wp:posOffset>0</wp:posOffset>
            </wp:positionH>
            <wp:positionV relativeFrom="page">
              <wp:posOffset>0</wp:posOffset>
            </wp:positionV>
            <wp:extent cx="594067" cy="10692003"/>
            <wp:effectExtent l="0" t="0" r="0" b="0"/>
            <wp:wrapNone/>
            <wp:docPr id="103" name="image22.png"/>
            <wp:cNvGraphicFramePr>
              <a:graphicFrameLocks noChangeAspect="1"/>
            </wp:cNvGraphicFramePr>
            <a:graphic>
              <a:graphicData uri="http://schemas.openxmlformats.org/drawingml/2006/picture">
                <pic:pic>
                  <pic:nvPicPr>
                    <pic:cNvPr id="104" name="image22.png"/>
                    <pic:cNvPicPr/>
                  </pic:nvPicPr>
                  <pic:blipFill>
                    <a:blip r:embed="rId33" cstate="print"/>
                    <a:stretch>
                      <a:fillRect/>
                    </a:stretch>
                  </pic:blipFill>
                  <pic:spPr>
                    <a:xfrm>
                      <a:off x="0" y="0"/>
                      <a:ext cx="594067" cy="10692003"/>
                    </a:xfrm>
                    <a:prstGeom prst="rect">
                      <a:avLst/>
                    </a:prstGeom>
                  </pic:spPr>
                </pic:pic>
              </a:graphicData>
            </a:graphic>
          </wp:anchor>
        </w:drawing>
      </w:r>
    </w:p>
    <w:p>
      <w:pPr>
        <w:pStyle w:val="BodyText"/>
        <w:tabs>
          <w:tab w:pos="1927" w:val="left" w:leader="none"/>
        </w:tabs>
        <w:spacing w:line="235" w:lineRule="auto" w:before="104"/>
        <w:ind w:left="1247" w:right="2074"/>
      </w:pPr>
      <w:r>
        <w:rPr/>
        <w:pict>
          <v:shape style="position:absolute;margin-left:20.519100pt;margin-top:-93.512039pt;width:25.9pt;height:479.25pt;mso-position-horizontal-relative:page;mso-position-vertical-relative:paragraph;z-index:251830272" type="#_x0000_t202" filled="false" stroked="false">
            <v:textbox inset="0,0,0,0" style="layout-flow:vertical">
              <w:txbxContent>
                <w:p>
                  <w:pPr>
                    <w:spacing w:before="27"/>
                    <w:ind w:left="20" w:right="0" w:firstLine="0"/>
                    <w:jc w:val="left"/>
                    <w:rPr>
                      <w:sz w:val="39"/>
                    </w:rPr>
                  </w:pPr>
                  <w:r>
                    <w:rPr>
                      <w:color w:val="FFFFFF"/>
                      <w:spacing w:val="9"/>
                      <w:w w:val="125"/>
                      <w:sz w:val="39"/>
                    </w:rPr>
                    <w:t>Membership </w:t>
                  </w:r>
                  <w:r>
                    <w:rPr>
                      <w:color w:val="FFFFFF"/>
                      <w:spacing w:val="5"/>
                      <w:w w:val="125"/>
                      <w:sz w:val="39"/>
                    </w:rPr>
                    <w:t>of </w:t>
                  </w:r>
                  <w:r>
                    <w:rPr>
                      <w:color w:val="FFFFFF"/>
                      <w:spacing w:val="8"/>
                      <w:w w:val="125"/>
                      <w:sz w:val="39"/>
                    </w:rPr>
                    <w:t>governance </w:t>
                  </w:r>
                  <w:r>
                    <w:rPr>
                      <w:color w:val="FFFFFF"/>
                      <w:spacing w:val="9"/>
                      <w:w w:val="125"/>
                      <w:sz w:val="39"/>
                    </w:rPr>
                    <w:t>bodies </w:t>
                  </w:r>
                  <w:r>
                    <w:rPr>
                      <w:color w:val="FFFFFF"/>
                      <w:w w:val="125"/>
                      <w:sz w:val="39"/>
                    </w:rPr>
                    <w:t>–</w:t>
                  </w:r>
                  <w:r>
                    <w:rPr>
                      <w:color w:val="FFFFFF"/>
                      <w:spacing w:val="-41"/>
                      <w:w w:val="125"/>
                      <w:sz w:val="39"/>
                    </w:rPr>
                    <w:t> </w:t>
                  </w:r>
                  <w:r>
                    <w:rPr>
                      <w:spacing w:val="11"/>
                      <w:w w:val="125"/>
                      <w:sz w:val="39"/>
                    </w:rPr>
                    <w:t>Appendix</w:t>
                  </w:r>
                </w:p>
              </w:txbxContent>
            </v:textbox>
            <w10:wrap type="none"/>
          </v:shape>
        </w:pict>
      </w:r>
      <w:r>
        <w:rPr>
          <w:spacing w:val="-6"/>
          <w:w w:val="120"/>
        </w:rPr>
        <w:t>2.(6)</w:t>
        <w:tab/>
      </w:r>
      <w:r>
        <w:rPr>
          <w:w w:val="120"/>
        </w:rPr>
        <w:t>The General Assembly which shall embody the unity of the United Reformed Church and act as the central organ of its life and the final authority, under the Word of God and the promised guidance of the Holy Spirit, in all matters of doctrine and order and in all other concerns of its common life shall consist</w:t>
      </w:r>
      <w:r>
        <w:rPr>
          <w:spacing w:val="17"/>
          <w:w w:val="120"/>
        </w:rPr>
        <w:t> </w:t>
      </w:r>
      <w:r>
        <w:rPr>
          <w:w w:val="120"/>
        </w:rPr>
        <w:t>of:</w:t>
      </w:r>
    </w:p>
    <w:p>
      <w:pPr>
        <w:pStyle w:val="BodyText"/>
        <w:spacing w:before="11"/>
        <w:rPr>
          <w:sz w:val="19"/>
        </w:rPr>
      </w:pPr>
    </w:p>
    <w:p>
      <w:pPr>
        <w:pStyle w:val="ListParagraph"/>
        <w:numPr>
          <w:ilvl w:val="0"/>
          <w:numId w:val="34"/>
        </w:numPr>
        <w:tabs>
          <w:tab w:pos="1927" w:val="left" w:leader="none"/>
          <w:tab w:pos="1928" w:val="left" w:leader="none"/>
        </w:tabs>
        <w:spacing w:line="235" w:lineRule="auto" w:before="0" w:after="0"/>
        <w:ind w:left="1927" w:right="2088" w:hanging="681"/>
        <w:jc w:val="left"/>
        <w:rPr>
          <w:sz w:val="20"/>
        </w:rPr>
      </w:pPr>
      <w:r>
        <w:rPr>
          <w:w w:val="120"/>
          <w:sz w:val="20"/>
        </w:rPr>
        <w:t>Such number of representatives of synods (ministerial and lay in equal numbers) as the General Assembly shall from time to time determine. These numbers  shall be calculated proportionately to the total membership of each</w:t>
      </w:r>
      <w:r>
        <w:rPr>
          <w:spacing w:val="35"/>
          <w:w w:val="120"/>
          <w:sz w:val="20"/>
        </w:rPr>
        <w:t> </w:t>
      </w:r>
      <w:r>
        <w:rPr>
          <w:w w:val="120"/>
          <w:sz w:val="20"/>
        </w:rPr>
        <w:t>synod,</w:t>
      </w:r>
    </w:p>
    <w:p>
      <w:pPr>
        <w:pStyle w:val="BodyText"/>
        <w:spacing w:line="235" w:lineRule="auto" w:before="2"/>
        <w:ind w:left="1927" w:right="2004"/>
      </w:pPr>
      <w:r>
        <w:rPr>
          <w:w w:val="120"/>
        </w:rPr>
        <w:t>as recorded in the year book of the United Reformed Church (at present this calculation shall be such as to produce a total of synod representatives not exceeding 250);</w:t>
      </w:r>
    </w:p>
    <w:p>
      <w:pPr>
        <w:pStyle w:val="BodyText"/>
        <w:spacing w:before="11"/>
        <w:rPr>
          <w:sz w:val="19"/>
        </w:rPr>
      </w:pPr>
    </w:p>
    <w:p>
      <w:pPr>
        <w:pStyle w:val="ListParagraph"/>
        <w:numPr>
          <w:ilvl w:val="0"/>
          <w:numId w:val="34"/>
        </w:numPr>
        <w:tabs>
          <w:tab w:pos="1927" w:val="left" w:leader="none"/>
          <w:tab w:pos="1928" w:val="left" w:leader="none"/>
        </w:tabs>
        <w:spacing w:line="235" w:lineRule="auto" w:before="0" w:after="0"/>
        <w:ind w:left="1927" w:right="2336" w:hanging="681"/>
        <w:jc w:val="left"/>
        <w:rPr>
          <w:sz w:val="20"/>
        </w:rPr>
      </w:pPr>
      <w:r>
        <w:rPr>
          <w:w w:val="120"/>
          <w:sz w:val="20"/>
        </w:rPr>
        <w:t>Among the representatives of synods shall be included at least two from each synod aged </w:t>
      </w:r>
      <w:r>
        <w:rPr>
          <w:spacing w:val="-3"/>
          <w:w w:val="120"/>
          <w:sz w:val="20"/>
        </w:rPr>
        <w:t>26 </w:t>
      </w:r>
      <w:r>
        <w:rPr>
          <w:w w:val="120"/>
          <w:sz w:val="20"/>
        </w:rPr>
        <w:t>or under, at the date of appointment. Should a synod prove unable to make such an appointment it may appoint from another synod but these persons must be </w:t>
      </w:r>
      <w:r>
        <w:rPr>
          <w:spacing w:val="-3"/>
          <w:w w:val="120"/>
          <w:sz w:val="20"/>
        </w:rPr>
        <w:t>26 </w:t>
      </w:r>
      <w:r>
        <w:rPr>
          <w:w w:val="120"/>
          <w:sz w:val="20"/>
        </w:rPr>
        <w:t>or under at the date of</w:t>
      </w:r>
      <w:r>
        <w:rPr>
          <w:spacing w:val="25"/>
          <w:w w:val="120"/>
          <w:sz w:val="20"/>
        </w:rPr>
        <w:t> </w:t>
      </w:r>
      <w:r>
        <w:rPr>
          <w:w w:val="120"/>
          <w:sz w:val="20"/>
        </w:rPr>
        <w:t>appointment;</w:t>
      </w:r>
    </w:p>
    <w:p>
      <w:pPr>
        <w:pStyle w:val="BodyText"/>
        <w:spacing w:before="11"/>
        <w:rPr>
          <w:sz w:val="19"/>
        </w:rPr>
      </w:pPr>
    </w:p>
    <w:p>
      <w:pPr>
        <w:pStyle w:val="ListParagraph"/>
        <w:numPr>
          <w:ilvl w:val="0"/>
          <w:numId w:val="34"/>
        </w:numPr>
        <w:tabs>
          <w:tab w:pos="1927" w:val="left" w:leader="none"/>
          <w:tab w:pos="1928" w:val="left" w:leader="none"/>
        </w:tabs>
        <w:spacing w:line="235" w:lineRule="auto" w:before="0" w:after="0"/>
        <w:ind w:left="1927" w:right="2055" w:hanging="681"/>
        <w:jc w:val="left"/>
        <w:rPr>
          <w:sz w:val="20"/>
        </w:rPr>
      </w:pPr>
      <w:r>
        <w:rPr>
          <w:w w:val="120"/>
          <w:sz w:val="20"/>
        </w:rPr>
        <w:t>The moderators of the General Assembly and of the synods, and such other officers of the General Assembly as the General Assembly shall from time to time determine (The Assembly has determined that the clerk of Assembly and the general secretary shall be members of</w:t>
      </w:r>
      <w:r>
        <w:rPr>
          <w:spacing w:val="12"/>
          <w:w w:val="120"/>
          <w:sz w:val="20"/>
        </w:rPr>
        <w:t> </w:t>
      </w:r>
      <w:r>
        <w:rPr>
          <w:w w:val="120"/>
          <w:sz w:val="20"/>
        </w:rPr>
        <w:t>Assembly);</w:t>
      </w:r>
    </w:p>
    <w:p>
      <w:pPr>
        <w:pStyle w:val="BodyText"/>
        <w:spacing w:before="11"/>
        <w:rPr>
          <w:sz w:val="19"/>
        </w:rPr>
      </w:pPr>
    </w:p>
    <w:p>
      <w:pPr>
        <w:pStyle w:val="ListParagraph"/>
        <w:numPr>
          <w:ilvl w:val="0"/>
          <w:numId w:val="34"/>
        </w:numPr>
        <w:tabs>
          <w:tab w:pos="1927" w:val="left" w:leader="none"/>
          <w:tab w:pos="1928" w:val="left" w:leader="none"/>
        </w:tabs>
        <w:spacing w:line="235" w:lineRule="auto" w:before="0" w:after="0"/>
        <w:ind w:left="1927" w:right="2647" w:hanging="681"/>
        <w:jc w:val="left"/>
        <w:rPr>
          <w:sz w:val="20"/>
        </w:rPr>
      </w:pPr>
      <w:r>
        <w:rPr>
          <w:w w:val="120"/>
          <w:sz w:val="20"/>
        </w:rPr>
        <w:t>Where the moderator of synod is an officer of the Assembly, a committee convener or otherwise entitled to membership of the Assembly, the synod concerned shall appoint a substitute as its</w:t>
      </w:r>
      <w:r>
        <w:rPr>
          <w:spacing w:val="7"/>
          <w:w w:val="120"/>
          <w:sz w:val="20"/>
        </w:rPr>
        <w:t> </w:t>
      </w:r>
      <w:r>
        <w:rPr>
          <w:w w:val="120"/>
          <w:sz w:val="20"/>
        </w:rPr>
        <w:t>representative;</w:t>
      </w:r>
    </w:p>
    <w:p>
      <w:pPr>
        <w:pStyle w:val="BodyText"/>
        <w:spacing w:before="6"/>
        <w:rPr>
          <w:sz w:val="19"/>
        </w:rPr>
      </w:pPr>
    </w:p>
    <w:p>
      <w:pPr>
        <w:pStyle w:val="ListParagraph"/>
        <w:numPr>
          <w:ilvl w:val="0"/>
          <w:numId w:val="34"/>
        </w:numPr>
        <w:tabs>
          <w:tab w:pos="1927" w:val="left" w:leader="none"/>
          <w:tab w:pos="1928" w:val="left" w:leader="none"/>
        </w:tabs>
        <w:spacing w:line="240" w:lineRule="auto" w:before="0" w:after="0"/>
        <w:ind w:left="1927" w:right="0" w:hanging="681"/>
        <w:jc w:val="left"/>
        <w:rPr>
          <w:sz w:val="20"/>
        </w:rPr>
      </w:pPr>
      <w:r>
        <w:rPr>
          <w:w w:val="120"/>
          <w:sz w:val="20"/>
        </w:rPr>
        <w:t>The convener of each of the standing committees of the General</w:t>
      </w:r>
      <w:r>
        <w:rPr>
          <w:spacing w:val="24"/>
          <w:w w:val="120"/>
          <w:sz w:val="20"/>
        </w:rPr>
        <w:t> </w:t>
      </w:r>
      <w:r>
        <w:rPr>
          <w:w w:val="120"/>
          <w:sz w:val="20"/>
        </w:rPr>
        <w:t>Assembly;</w:t>
      </w:r>
    </w:p>
    <w:p>
      <w:pPr>
        <w:pStyle w:val="BodyText"/>
        <w:spacing w:before="8"/>
        <w:rPr>
          <w:sz w:val="19"/>
        </w:rPr>
      </w:pPr>
    </w:p>
    <w:p>
      <w:pPr>
        <w:pStyle w:val="ListParagraph"/>
        <w:numPr>
          <w:ilvl w:val="0"/>
          <w:numId w:val="34"/>
        </w:numPr>
        <w:tabs>
          <w:tab w:pos="1927" w:val="left" w:leader="none"/>
          <w:tab w:pos="1928" w:val="left" w:leader="none"/>
        </w:tabs>
        <w:spacing w:line="235" w:lineRule="auto" w:before="0" w:after="0"/>
        <w:ind w:left="1927" w:right="2408" w:hanging="681"/>
        <w:jc w:val="left"/>
        <w:rPr>
          <w:sz w:val="20"/>
        </w:rPr>
      </w:pPr>
      <w:r>
        <w:rPr>
          <w:w w:val="120"/>
          <w:sz w:val="20"/>
        </w:rPr>
        <w:t>A staff representative and a student representative being members of the United Reformed Church, from each of such theological colleges as the General Assembly has designated as resource centres for learning, and a staff representative and a student representative being members of the United Reformed Church, from such other colleges or centres as shall from time to time be designated by the education and learning committee as engaged in significant training for the United Reformed</w:t>
      </w:r>
      <w:r>
        <w:rPr>
          <w:spacing w:val="15"/>
          <w:w w:val="120"/>
          <w:sz w:val="20"/>
        </w:rPr>
        <w:t> </w:t>
      </w:r>
      <w:r>
        <w:rPr>
          <w:w w:val="120"/>
          <w:sz w:val="20"/>
        </w:rPr>
        <w:t>Church;</w:t>
      </w:r>
    </w:p>
    <w:p>
      <w:pPr>
        <w:pStyle w:val="BodyText"/>
        <w:spacing w:before="1"/>
      </w:pPr>
    </w:p>
    <w:p>
      <w:pPr>
        <w:pStyle w:val="ListParagraph"/>
        <w:numPr>
          <w:ilvl w:val="0"/>
          <w:numId w:val="34"/>
        </w:numPr>
        <w:tabs>
          <w:tab w:pos="1927" w:val="left" w:leader="none"/>
          <w:tab w:pos="1928" w:val="left" w:leader="none"/>
        </w:tabs>
        <w:spacing w:line="235" w:lineRule="auto" w:before="0" w:after="0"/>
        <w:ind w:left="1927" w:right="2157" w:hanging="681"/>
        <w:jc w:val="left"/>
        <w:rPr>
          <w:sz w:val="20"/>
        </w:rPr>
      </w:pPr>
      <w:r>
        <w:rPr>
          <w:w w:val="120"/>
          <w:sz w:val="20"/>
        </w:rPr>
        <w:t>Such number of representatives from the partner churches of the United Reformed Church outside of Britain and Ireland as the Assembly shall from time to time determine (currently</w:t>
      </w:r>
      <w:r>
        <w:rPr>
          <w:spacing w:val="7"/>
          <w:w w:val="120"/>
          <w:sz w:val="20"/>
        </w:rPr>
        <w:t> </w:t>
      </w:r>
      <w:r>
        <w:rPr>
          <w:spacing w:val="-3"/>
          <w:w w:val="120"/>
          <w:sz w:val="20"/>
        </w:rPr>
        <w:t>six);</w:t>
      </w:r>
    </w:p>
    <w:p>
      <w:pPr>
        <w:pStyle w:val="BodyText"/>
        <w:spacing w:before="10"/>
        <w:rPr>
          <w:sz w:val="19"/>
        </w:rPr>
      </w:pPr>
    </w:p>
    <w:p>
      <w:pPr>
        <w:pStyle w:val="ListParagraph"/>
        <w:numPr>
          <w:ilvl w:val="0"/>
          <w:numId w:val="34"/>
        </w:numPr>
        <w:tabs>
          <w:tab w:pos="1927" w:val="left" w:leader="none"/>
          <w:tab w:pos="1928" w:val="left" w:leader="none"/>
        </w:tabs>
        <w:spacing w:line="235" w:lineRule="auto" w:before="0" w:after="0"/>
        <w:ind w:left="1927" w:right="2372" w:hanging="681"/>
        <w:jc w:val="left"/>
        <w:rPr>
          <w:sz w:val="20"/>
        </w:rPr>
      </w:pPr>
      <w:r>
        <w:rPr>
          <w:w w:val="120"/>
          <w:sz w:val="20"/>
        </w:rPr>
        <w:t>Such other ministers, church related community workers and members of  the United Reformed Church as the General Assembly shall from time to time determine </w:t>
      </w:r>
      <w:r>
        <w:rPr>
          <w:spacing w:val="-3"/>
          <w:w w:val="120"/>
          <w:sz w:val="20"/>
        </w:rPr>
        <w:t>(the</w:t>
      </w:r>
      <w:r>
        <w:rPr>
          <w:spacing w:val="15"/>
          <w:w w:val="120"/>
          <w:sz w:val="20"/>
        </w:rPr>
        <w:t> </w:t>
      </w:r>
      <w:r>
        <w:rPr>
          <w:w w:val="120"/>
          <w:sz w:val="20"/>
        </w:rPr>
        <w:t>Assembly has added to its membership one serving United</w:t>
      </w:r>
    </w:p>
    <w:p>
      <w:pPr>
        <w:pStyle w:val="BodyText"/>
        <w:spacing w:line="235" w:lineRule="auto" w:before="3"/>
        <w:ind w:left="1927" w:right="2081"/>
        <w:jc w:val="both"/>
      </w:pPr>
      <w:r>
        <w:rPr>
          <w:w w:val="120"/>
        </w:rPr>
        <w:t>Reformed Church chaplain to the forces, nominated each year by the organising secretary of the United Board, in consultation with the three principal chaplains, and six representatives of the Synod of Scotland);</w:t>
      </w:r>
    </w:p>
    <w:p>
      <w:pPr>
        <w:pStyle w:val="BodyText"/>
        <w:spacing w:before="10"/>
        <w:rPr>
          <w:sz w:val="19"/>
        </w:rPr>
      </w:pPr>
    </w:p>
    <w:p>
      <w:pPr>
        <w:pStyle w:val="ListParagraph"/>
        <w:numPr>
          <w:ilvl w:val="0"/>
          <w:numId w:val="34"/>
        </w:numPr>
        <w:tabs>
          <w:tab w:pos="1927" w:val="left" w:leader="none"/>
          <w:tab w:pos="1928" w:val="left" w:leader="none"/>
        </w:tabs>
        <w:spacing w:line="235" w:lineRule="auto" w:before="0" w:after="0"/>
        <w:ind w:left="1927" w:right="2010" w:hanging="681"/>
        <w:jc w:val="left"/>
        <w:rPr>
          <w:sz w:val="20"/>
        </w:rPr>
      </w:pPr>
      <w:r>
        <w:rPr>
          <w:w w:val="120"/>
          <w:sz w:val="20"/>
        </w:rPr>
        <w:t>The two most immediate past moderators of the General Assembly of the United Reformed</w:t>
      </w:r>
      <w:r>
        <w:rPr>
          <w:spacing w:val="2"/>
          <w:w w:val="120"/>
          <w:sz w:val="20"/>
        </w:rPr>
        <w:t> </w:t>
      </w:r>
      <w:r>
        <w:rPr>
          <w:w w:val="120"/>
          <w:sz w:val="20"/>
        </w:rPr>
        <w:t>Church;</w:t>
      </w:r>
    </w:p>
    <w:p>
      <w:pPr>
        <w:spacing w:after="0" w:line="235" w:lineRule="auto"/>
        <w:jc w:val="left"/>
        <w:rPr>
          <w:sz w:val="20"/>
        </w:rPr>
        <w:sectPr>
          <w:type w:val="continuous"/>
          <w:pgSz w:w="11910" w:h="16840"/>
          <w:pgMar w:top="680" w:bottom="280" w:left="0" w:right="0"/>
        </w:sectPr>
      </w:pPr>
    </w:p>
    <w:p>
      <w:pPr>
        <w:pStyle w:val="BodyText"/>
      </w:pPr>
      <w:r>
        <w:rPr/>
        <w:drawing>
          <wp:anchor distT="0" distB="0" distL="0" distR="0" allowOverlap="1" layoutInCell="1" locked="0" behindDoc="0" simplePos="0" relativeHeight="251831296">
            <wp:simplePos x="0" y="0"/>
            <wp:positionH relativeFrom="page">
              <wp:posOffset>6974928</wp:posOffset>
            </wp:positionH>
            <wp:positionV relativeFrom="page">
              <wp:posOffset>0</wp:posOffset>
            </wp:positionV>
            <wp:extent cx="585076" cy="10692003"/>
            <wp:effectExtent l="0" t="0" r="0" b="0"/>
            <wp:wrapNone/>
            <wp:docPr id="105" name="image23.png"/>
            <wp:cNvGraphicFramePr>
              <a:graphicFrameLocks noChangeAspect="1"/>
            </wp:cNvGraphicFramePr>
            <a:graphic>
              <a:graphicData uri="http://schemas.openxmlformats.org/drawingml/2006/picture">
                <pic:pic>
                  <pic:nvPicPr>
                    <pic:cNvPr id="106" name="image23.png"/>
                    <pic:cNvPicPr/>
                  </pic:nvPicPr>
                  <pic:blipFill>
                    <a:blip r:embed="rId35" cstate="print"/>
                    <a:stretch>
                      <a:fillRect/>
                    </a:stretch>
                  </pic:blipFill>
                  <pic:spPr>
                    <a:xfrm>
                      <a:off x="0" y="0"/>
                      <a:ext cx="585076" cy="10692003"/>
                    </a:xfrm>
                    <a:prstGeom prst="rect">
                      <a:avLst/>
                    </a:prstGeom>
                  </pic:spPr>
                </pic:pic>
              </a:graphicData>
            </a:graphic>
          </wp:anchor>
        </w:drawing>
      </w:r>
    </w:p>
    <w:p>
      <w:pPr>
        <w:pStyle w:val="BodyText"/>
        <w:spacing w:before="7"/>
        <w:rPr>
          <w:sz w:val="21"/>
        </w:rPr>
      </w:pPr>
    </w:p>
    <w:p>
      <w:pPr>
        <w:pStyle w:val="Heading5"/>
        <w:ind w:left="0" w:right="1245"/>
        <w:jc w:val="right"/>
      </w:pPr>
      <w:r>
        <w:rPr/>
        <w:pict>
          <v:shape style="position:absolute;margin-left:554.141174pt;margin-top:22.593945pt;width:25.9pt;height:479.25pt;mso-position-horizontal-relative:page;mso-position-vertical-relative:paragraph;z-index:251832320" type="#_x0000_t202" filled="false" stroked="false">
            <v:textbox inset="0,0,0,0" style="layout-flow:vertical">
              <w:txbxContent>
                <w:p>
                  <w:pPr>
                    <w:spacing w:before="27"/>
                    <w:ind w:left="20" w:right="0" w:firstLine="0"/>
                    <w:jc w:val="left"/>
                    <w:rPr>
                      <w:sz w:val="39"/>
                    </w:rPr>
                  </w:pPr>
                  <w:r>
                    <w:rPr>
                      <w:color w:val="FFFFFF"/>
                      <w:spacing w:val="9"/>
                      <w:w w:val="125"/>
                      <w:sz w:val="39"/>
                    </w:rPr>
                    <w:t>Membership </w:t>
                  </w:r>
                  <w:r>
                    <w:rPr>
                      <w:color w:val="FFFFFF"/>
                      <w:spacing w:val="5"/>
                      <w:w w:val="125"/>
                      <w:sz w:val="39"/>
                    </w:rPr>
                    <w:t>of </w:t>
                  </w:r>
                  <w:r>
                    <w:rPr>
                      <w:color w:val="FFFFFF"/>
                      <w:spacing w:val="8"/>
                      <w:w w:val="125"/>
                      <w:sz w:val="39"/>
                    </w:rPr>
                    <w:t>governance </w:t>
                  </w:r>
                  <w:r>
                    <w:rPr>
                      <w:color w:val="FFFFFF"/>
                      <w:spacing w:val="9"/>
                      <w:w w:val="125"/>
                      <w:sz w:val="39"/>
                    </w:rPr>
                    <w:t>bodies </w:t>
                  </w:r>
                  <w:r>
                    <w:rPr>
                      <w:color w:val="FFFFFF"/>
                      <w:w w:val="125"/>
                      <w:sz w:val="39"/>
                    </w:rPr>
                    <w:t>–</w:t>
                  </w:r>
                  <w:r>
                    <w:rPr>
                      <w:color w:val="FFFFFF"/>
                      <w:spacing w:val="-41"/>
                      <w:w w:val="125"/>
                      <w:sz w:val="39"/>
                    </w:rPr>
                    <w:t> </w:t>
                  </w:r>
                  <w:r>
                    <w:rPr>
                      <w:spacing w:val="11"/>
                      <w:w w:val="125"/>
                      <w:sz w:val="39"/>
                    </w:rPr>
                    <w:t>Appendix</w:t>
                  </w:r>
                </w:p>
              </w:txbxContent>
            </v:textbox>
            <w10:wrap type="none"/>
          </v:shape>
        </w:pict>
      </w:r>
      <w:r>
        <w:rPr>
          <w:color w:val="7EAABF"/>
          <w:w w:val="120"/>
        </w:rPr>
        <w:t>Mission Council</w:t>
      </w:r>
    </w:p>
    <w:p>
      <w:pPr>
        <w:pStyle w:val="ListParagraph"/>
        <w:numPr>
          <w:ilvl w:val="0"/>
          <w:numId w:val="34"/>
        </w:numPr>
        <w:tabs>
          <w:tab w:pos="2664" w:val="left" w:leader="none"/>
          <w:tab w:pos="2665" w:val="left" w:leader="none"/>
        </w:tabs>
        <w:spacing w:line="235" w:lineRule="auto" w:before="222" w:after="0"/>
        <w:ind w:left="2664" w:right="1489" w:hanging="681"/>
        <w:jc w:val="left"/>
        <w:rPr>
          <w:sz w:val="20"/>
        </w:rPr>
      </w:pPr>
      <w:r>
        <w:rPr>
          <w:spacing w:val="-6"/>
          <w:w w:val="120"/>
          <w:sz w:val="20"/>
        </w:rPr>
        <w:t>Two  </w:t>
      </w:r>
      <w:r>
        <w:rPr>
          <w:w w:val="120"/>
          <w:sz w:val="20"/>
        </w:rPr>
        <w:t>in total from the following: former moderators of the General Assembly  of the United Reformed Church, past chairmen of the Congregational Union of England and Wales, past presidents of the Congregational Church in England and Wales, former moderators of the General Assembly of the Presbyterian Church, former chairmen or presidents of the Annual Conference of</w:t>
      </w:r>
      <w:r>
        <w:rPr>
          <w:spacing w:val="28"/>
          <w:w w:val="120"/>
          <w:sz w:val="20"/>
        </w:rPr>
        <w:t> </w:t>
      </w:r>
      <w:r>
        <w:rPr>
          <w:w w:val="120"/>
          <w:sz w:val="20"/>
        </w:rPr>
        <w:t>the</w:t>
      </w:r>
    </w:p>
    <w:p>
      <w:pPr>
        <w:pStyle w:val="BodyText"/>
        <w:spacing w:line="235" w:lineRule="auto" w:before="3"/>
        <w:ind w:left="2664" w:right="1352"/>
      </w:pPr>
      <w:r>
        <w:rPr>
          <w:w w:val="120"/>
        </w:rPr>
        <w:t>Association of Churches of Christ in Great Britain and Ireland, former presidents of the Annual Conference of the Re-formed Association of Churches of Christ</w:t>
      </w:r>
    </w:p>
    <w:p>
      <w:pPr>
        <w:pStyle w:val="BodyText"/>
        <w:spacing w:line="235" w:lineRule="auto" w:before="2"/>
        <w:ind w:left="2664" w:right="1352"/>
      </w:pPr>
      <w:r>
        <w:rPr>
          <w:w w:val="120"/>
        </w:rPr>
        <w:t>in Great Britain and Ireland, provided that such former officers are members of the United Reformed Church and that they shall have been elected by a college consisting of all such past and former moderators, presidents and chairmen as are members of the United Reformed Church;</w:t>
      </w:r>
    </w:p>
    <w:p>
      <w:pPr>
        <w:pStyle w:val="BodyText"/>
        <w:spacing w:before="11"/>
        <w:rPr>
          <w:sz w:val="19"/>
        </w:rPr>
      </w:pPr>
    </w:p>
    <w:p>
      <w:pPr>
        <w:pStyle w:val="ListParagraph"/>
        <w:numPr>
          <w:ilvl w:val="0"/>
          <w:numId w:val="34"/>
        </w:numPr>
        <w:tabs>
          <w:tab w:pos="2664" w:val="left" w:leader="none"/>
          <w:tab w:pos="2665" w:val="left" w:leader="none"/>
        </w:tabs>
        <w:spacing w:line="235" w:lineRule="auto" w:before="0" w:after="0"/>
        <w:ind w:left="2664" w:right="1301" w:hanging="681"/>
        <w:jc w:val="left"/>
        <w:rPr>
          <w:sz w:val="20"/>
        </w:rPr>
      </w:pPr>
      <w:r>
        <w:rPr>
          <w:w w:val="120"/>
          <w:sz w:val="20"/>
        </w:rPr>
        <w:t>Such number of representatives of the Fellowship of United Reformed </w:t>
      </w:r>
      <w:r>
        <w:rPr>
          <w:spacing w:val="-3"/>
          <w:w w:val="120"/>
          <w:sz w:val="20"/>
        </w:rPr>
        <w:t>Youth, </w:t>
      </w:r>
      <w:r>
        <w:rPr>
          <w:w w:val="120"/>
          <w:sz w:val="20"/>
        </w:rPr>
        <w:t>being members of the United Reformed Church, as the Assembly shall from time to time determine </w:t>
      </w:r>
      <w:r>
        <w:rPr>
          <w:spacing w:val="-7"/>
          <w:w w:val="120"/>
          <w:sz w:val="20"/>
        </w:rPr>
        <w:t>(at </w:t>
      </w:r>
      <w:r>
        <w:rPr>
          <w:w w:val="120"/>
          <w:sz w:val="20"/>
        </w:rPr>
        <w:t>present</w:t>
      </w:r>
      <w:r>
        <w:rPr>
          <w:spacing w:val="17"/>
          <w:w w:val="120"/>
          <w:sz w:val="20"/>
        </w:rPr>
        <w:t> </w:t>
      </w:r>
      <w:r>
        <w:rPr>
          <w:spacing w:val="-3"/>
          <w:w w:val="120"/>
          <w:sz w:val="20"/>
        </w:rPr>
        <w:t>three);</w:t>
      </w:r>
    </w:p>
    <w:p>
      <w:pPr>
        <w:pStyle w:val="BodyText"/>
        <w:spacing w:before="10"/>
        <w:rPr>
          <w:sz w:val="19"/>
        </w:rPr>
      </w:pPr>
    </w:p>
    <w:p>
      <w:pPr>
        <w:pStyle w:val="ListParagraph"/>
        <w:numPr>
          <w:ilvl w:val="0"/>
          <w:numId w:val="34"/>
        </w:numPr>
        <w:tabs>
          <w:tab w:pos="2664" w:val="left" w:leader="none"/>
          <w:tab w:pos="2665" w:val="left" w:leader="none"/>
        </w:tabs>
        <w:spacing w:line="235" w:lineRule="auto" w:before="0" w:after="0"/>
        <w:ind w:left="2664" w:right="1520" w:hanging="681"/>
        <w:jc w:val="left"/>
        <w:rPr>
          <w:sz w:val="20"/>
        </w:rPr>
      </w:pPr>
      <w:r>
        <w:rPr>
          <w:w w:val="120"/>
          <w:sz w:val="20"/>
        </w:rPr>
        <w:t>Representatives of other denominations in the United Kingdom as the General Assembly may from time to time determine (currently</w:t>
      </w:r>
      <w:r>
        <w:rPr>
          <w:spacing w:val="14"/>
          <w:w w:val="120"/>
          <w:sz w:val="20"/>
        </w:rPr>
        <w:t> </w:t>
      </w:r>
      <w:r>
        <w:rPr>
          <w:spacing w:val="-3"/>
          <w:w w:val="120"/>
          <w:sz w:val="20"/>
        </w:rPr>
        <w:t>six);</w:t>
      </w:r>
    </w:p>
    <w:p>
      <w:pPr>
        <w:pStyle w:val="BodyText"/>
        <w:spacing w:before="6"/>
        <w:rPr>
          <w:sz w:val="19"/>
        </w:rPr>
      </w:pPr>
    </w:p>
    <w:p>
      <w:pPr>
        <w:pStyle w:val="ListParagraph"/>
        <w:numPr>
          <w:ilvl w:val="0"/>
          <w:numId w:val="34"/>
        </w:numPr>
        <w:tabs>
          <w:tab w:pos="2664" w:val="left" w:leader="none"/>
          <w:tab w:pos="2665" w:val="left" w:leader="none"/>
        </w:tabs>
        <w:spacing w:line="240" w:lineRule="auto" w:before="0" w:after="0"/>
        <w:ind w:left="2664" w:right="0" w:hanging="681"/>
        <w:jc w:val="left"/>
        <w:rPr>
          <w:sz w:val="20"/>
        </w:rPr>
      </w:pPr>
      <w:r>
        <w:rPr>
          <w:w w:val="120"/>
          <w:sz w:val="20"/>
        </w:rPr>
        <w:t>A representative of the Council for World</w:t>
      </w:r>
      <w:r>
        <w:rPr>
          <w:spacing w:val="11"/>
          <w:w w:val="120"/>
          <w:sz w:val="20"/>
        </w:rPr>
        <w:t> </w:t>
      </w:r>
      <w:r>
        <w:rPr>
          <w:w w:val="120"/>
          <w:sz w:val="20"/>
        </w:rPr>
        <w:t>Mission;</w:t>
      </w:r>
    </w:p>
    <w:p>
      <w:pPr>
        <w:pStyle w:val="BodyText"/>
        <w:spacing w:before="7"/>
        <w:rPr>
          <w:sz w:val="19"/>
        </w:rPr>
      </w:pPr>
    </w:p>
    <w:p>
      <w:pPr>
        <w:pStyle w:val="ListParagraph"/>
        <w:numPr>
          <w:ilvl w:val="0"/>
          <w:numId w:val="34"/>
        </w:numPr>
        <w:tabs>
          <w:tab w:pos="2664" w:val="left" w:leader="none"/>
          <w:tab w:pos="2665" w:val="left" w:leader="none"/>
        </w:tabs>
        <w:spacing w:line="235" w:lineRule="auto" w:before="1" w:after="0"/>
        <w:ind w:left="2664" w:right="1655" w:hanging="681"/>
        <w:jc w:val="left"/>
        <w:rPr>
          <w:sz w:val="20"/>
        </w:rPr>
      </w:pPr>
      <w:r>
        <w:rPr>
          <w:w w:val="120"/>
          <w:sz w:val="20"/>
        </w:rPr>
        <w:t>Such number of Assembly-appointed staff as the General Assembly may from time to time</w:t>
      </w:r>
      <w:r>
        <w:rPr>
          <w:spacing w:val="5"/>
          <w:w w:val="120"/>
          <w:sz w:val="20"/>
        </w:rPr>
        <w:t> </w:t>
      </w:r>
      <w:r>
        <w:rPr>
          <w:w w:val="120"/>
          <w:sz w:val="20"/>
        </w:rPr>
        <w:t>determine;</w:t>
      </w:r>
    </w:p>
    <w:p>
      <w:pPr>
        <w:pStyle w:val="BodyText"/>
        <w:spacing w:before="5"/>
        <w:rPr>
          <w:sz w:val="19"/>
        </w:rPr>
      </w:pPr>
    </w:p>
    <w:p>
      <w:pPr>
        <w:pStyle w:val="ListParagraph"/>
        <w:numPr>
          <w:ilvl w:val="0"/>
          <w:numId w:val="34"/>
        </w:numPr>
        <w:tabs>
          <w:tab w:pos="2664" w:val="left" w:leader="none"/>
          <w:tab w:pos="2665" w:val="left" w:leader="none"/>
        </w:tabs>
        <w:spacing w:line="240" w:lineRule="auto" w:before="0" w:after="0"/>
        <w:ind w:left="2664" w:right="0" w:hanging="681"/>
        <w:jc w:val="left"/>
        <w:rPr>
          <w:sz w:val="20"/>
        </w:rPr>
      </w:pPr>
      <w:r>
        <w:rPr>
          <w:w w:val="120"/>
          <w:sz w:val="20"/>
        </w:rPr>
        <w:t>The chair of the United Reformed Church</w:t>
      </w:r>
      <w:r>
        <w:rPr>
          <w:spacing w:val="14"/>
          <w:w w:val="120"/>
          <w:sz w:val="20"/>
        </w:rPr>
        <w:t> </w:t>
      </w:r>
      <w:r>
        <w:rPr>
          <w:w w:val="120"/>
          <w:sz w:val="20"/>
        </w:rPr>
        <w:t>Trust.</w:t>
      </w:r>
    </w:p>
    <w:p>
      <w:pPr>
        <w:spacing w:after="0" w:line="240" w:lineRule="auto"/>
        <w:jc w:val="left"/>
        <w:rPr>
          <w:sz w:val="20"/>
        </w:rPr>
        <w:sectPr>
          <w:headerReference w:type="default" r:id="rId138"/>
          <w:pgSz w:w="11910" w:h="16840"/>
          <w:pgMar w:header="0" w:footer="647" w:top="0" w:bottom="840" w:left="0" w:right="0"/>
        </w:sectPr>
      </w:pPr>
    </w:p>
    <w:tbl>
      <w:tblPr>
        <w:tblW w:w="0" w:type="auto"/>
        <w:jc w:val="left"/>
        <w:tblInd w:w="9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
        <w:gridCol w:w="2660"/>
        <w:gridCol w:w="6463"/>
      </w:tblGrid>
      <w:tr>
        <w:trPr>
          <w:trHeight w:val="3102" w:hRule="atLeast"/>
        </w:trPr>
        <w:tc>
          <w:tcPr>
            <w:tcW w:w="9440" w:type="dxa"/>
            <w:gridSpan w:val="3"/>
            <w:tcBorders>
              <w:top w:val="nil"/>
              <w:left w:val="nil"/>
              <w:bottom w:val="nil"/>
              <w:right w:val="nil"/>
            </w:tcBorders>
            <w:shd w:val="clear" w:color="auto" w:fill="FFEDC2"/>
          </w:tcPr>
          <w:p>
            <w:pPr>
              <w:pStyle w:val="TableParagraph"/>
              <w:ind w:left="0"/>
              <w:rPr>
                <w:sz w:val="64"/>
              </w:rPr>
            </w:pPr>
          </w:p>
          <w:p>
            <w:pPr>
              <w:pStyle w:val="TableParagraph"/>
              <w:spacing w:line="638" w:lineRule="exact" w:before="395"/>
              <w:ind w:left="311"/>
              <w:rPr>
                <w:rFonts w:ascii="Stone Sans II ITC Std X Bd"/>
                <w:b/>
                <w:sz w:val="50"/>
              </w:rPr>
            </w:pPr>
            <w:bookmarkStart w:name="_bookmark8" w:id="9"/>
            <w:bookmarkEnd w:id="9"/>
            <w:r>
              <w:rPr/>
            </w:r>
            <w:r>
              <w:rPr>
                <w:rFonts w:ascii="Stone Sans II ITC Std X Bd"/>
                <w:b/>
                <w:color w:val="FCC400"/>
                <w:w w:val="110"/>
                <w:sz w:val="50"/>
              </w:rPr>
              <w:t>Mission Council:</w:t>
            </w:r>
          </w:p>
          <w:p>
            <w:pPr>
              <w:pStyle w:val="TableParagraph"/>
              <w:spacing w:line="638" w:lineRule="exact"/>
              <w:ind w:left="311"/>
              <w:rPr>
                <w:rFonts w:ascii="Stone Sans II ITC Std X Bd"/>
                <w:b/>
                <w:sz w:val="50"/>
              </w:rPr>
            </w:pPr>
            <w:r>
              <w:rPr>
                <w:rFonts w:ascii="Stone Sans II ITC Std X Bd"/>
                <w:b/>
                <w:spacing w:val="-5"/>
                <w:w w:val="110"/>
                <w:sz w:val="50"/>
              </w:rPr>
              <w:t>Changes </w:t>
            </w:r>
            <w:r>
              <w:rPr>
                <w:rFonts w:ascii="Stone Sans II ITC Std X Bd"/>
                <w:b/>
                <w:spacing w:val="-7"/>
                <w:w w:val="110"/>
                <w:sz w:val="50"/>
              </w:rPr>
              <w:t>to </w:t>
            </w:r>
            <w:r>
              <w:rPr>
                <w:rFonts w:ascii="Stone Sans II ITC Std X Bd"/>
                <w:b/>
                <w:spacing w:val="-4"/>
                <w:w w:val="110"/>
                <w:sz w:val="50"/>
              </w:rPr>
              <w:t>the standing</w:t>
            </w:r>
            <w:r>
              <w:rPr>
                <w:rFonts w:ascii="Stone Sans II ITC Std X Bd"/>
                <w:b/>
                <w:spacing w:val="112"/>
                <w:w w:val="110"/>
                <w:sz w:val="50"/>
              </w:rPr>
              <w:t> </w:t>
            </w:r>
            <w:r>
              <w:rPr>
                <w:rFonts w:ascii="Stone Sans II ITC Std X Bd"/>
                <w:b/>
                <w:spacing w:val="-4"/>
                <w:w w:val="110"/>
                <w:sz w:val="50"/>
              </w:rPr>
              <w:t>orders</w:t>
            </w:r>
          </w:p>
          <w:p>
            <w:pPr>
              <w:pStyle w:val="TableParagraph"/>
              <w:spacing w:before="361"/>
              <w:ind w:left="311"/>
              <w:rPr>
                <w:sz w:val="20"/>
              </w:rPr>
            </w:pPr>
            <w:r>
              <w:rPr>
                <w:w w:val="120"/>
                <w:sz w:val="20"/>
              </w:rPr>
              <w:t>Basic Information</w:t>
            </w:r>
          </w:p>
        </w:tc>
      </w:tr>
      <w:tr>
        <w:trPr>
          <w:trHeight w:val="680" w:hRule="atLeast"/>
        </w:trPr>
        <w:tc>
          <w:tcPr>
            <w:tcW w:w="317" w:type="dxa"/>
            <w:vMerge w:val="restart"/>
            <w:tcBorders>
              <w:top w:val="nil"/>
              <w:left w:val="nil"/>
              <w:bottom w:val="nil"/>
            </w:tcBorders>
            <w:shd w:val="clear" w:color="auto" w:fill="FFEDC2"/>
          </w:tcPr>
          <w:p>
            <w:pPr>
              <w:pStyle w:val="TableParagraph"/>
              <w:ind w:left="0"/>
              <w:rPr>
                <w:rFonts w:ascii="Times New Roman"/>
                <w:sz w:val="22"/>
              </w:rPr>
            </w:pPr>
          </w:p>
        </w:tc>
        <w:tc>
          <w:tcPr>
            <w:tcW w:w="2660" w:type="dxa"/>
            <w:shd w:val="clear" w:color="auto" w:fill="FFFFFF"/>
          </w:tcPr>
          <w:p>
            <w:pPr>
              <w:pStyle w:val="TableParagraph"/>
              <w:spacing w:line="213" w:lineRule="auto" w:before="133"/>
              <w:ind w:left="74" w:right="601"/>
              <w:rPr>
                <w:rFonts w:ascii="Stone Sans II ITC Std Bk"/>
                <w:b/>
                <w:sz w:val="20"/>
              </w:rPr>
            </w:pPr>
            <w:r>
              <w:rPr>
                <w:rFonts w:ascii="Stone Sans II ITC Std Bk"/>
                <w:b/>
                <w:w w:val="110"/>
                <w:sz w:val="20"/>
              </w:rPr>
              <w:t>Contact name and email address</w:t>
            </w:r>
          </w:p>
        </w:tc>
        <w:tc>
          <w:tcPr>
            <w:tcW w:w="6463" w:type="dxa"/>
            <w:tcBorders>
              <w:right w:val="nil"/>
            </w:tcBorders>
            <w:shd w:val="clear" w:color="auto" w:fill="FFFFFF"/>
          </w:tcPr>
          <w:p>
            <w:pPr>
              <w:pStyle w:val="TableParagraph"/>
              <w:spacing w:line="235" w:lineRule="auto" w:before="127"/>
              <w:ind w:left="74" w:right="2751"/>
              <w:rPr>
                <w:sz w:val="20"/>
              </w:rPr>
            </w:pPr>
            <w:r>
              <w:rPr>
                <w:w w:val="120"/>
                <w:sz w:val="20"/>
              </w:rPr>
              <w:t>James Breslin </w:t>
            </w:r>
            <w:hyperlink r:id="rId126">
              <w:r>
                <w:rPr>
                  <w:w w:val="120"/>
                  <w:sz w:val="20"/>
                </w:rPr>
                <w:t>urcassemblyclerk@gmail.com</w:t>
              </w:r>
            </w:hyperlink>
          </w:p>
        </w:tc>
      </w:tr>
      <w:tr>
        <w:trPr>
          <w:trHeight w:val="440" w:hRule="atLeast"/>
        </w:trPr>
        <w:tc>
          <w:tcPr>
            <w:tcW w:w="317" w:type="dxa"/>
            <w:vMerge/>
            <w:tcBorders>
              <w:top w:val="nil"/>
              <w:left w:val="nil"/>
              <w:bottom w:val="nil"/>
            </w:tcBorders>
            <w:shd w:val="clear" w:color="auto" w:fill="FFEDC2"/>
          </w:tcPr>
          <w:p>
            <w:pPr>
              <w:rPr>
                <w:sz w:val="2"/>
                <w:szCs w:val="2"/>
              </w:rPr>
            </w:pPr>
          </w:p>
        </w:tc>
        <w:tc>
          <w:tcPr>
            <w:tcW w:w="2660" w:type="dxa"/>
            <w:shd w:val="clear" w:color="auto" w:fill="FFFFFF"/>
          </w:tcPr>
          <w:p>
            <w:pPr>
              <w:pStyle w:val="TableParagraph"/>
              <w:spacing w:before="111"/>
              <w:ind w:left="74"/>
              <w:rPr>
                <w:rFonts w:ascii="Stone Sans II ITC Std Bk"/>
                <w:b/>
                <w:sz w:val="20"/>
              </w:rPr>
            </w:pPr>
            <w:r>
              <w:rPr>
                <w:rFonts w:ascii="Stone Sans II ITC Std Bk"/>
                <w:b/>
                <w:w w:val="110"/>
                <w:sz w:val="20"/>
              </w:rPr>
              <w:t>Action required</w:t>
            </w:r>
          </w:p>
        </w:tc>
        <w:tc>
          <w:tcPr>
            <w:tcW w:w="6463" w:type="dxa"/>
            <w:tcBorders>
              <w:right w:val="nil"/>
            </w:tcBorders>
            <w:shd w:val="clear" w:color="auto" w:fill="FFFFFF"/>
          </w:tcPr>
          <w:p>
            <w:pPr>
              <w:pStyle w:val="TableParagraph"/>
              <w:spacing w:before="123"/>
              <w:ind w:left="74"/>
              <w:rPr>
                <w:sz w:val="20"/>
              </w:rPr>
            </w:pPr>
            <w:r>
              <w:rPr>
                <w:w w:val="120"/>
                <w:sz w:val="20"/>
              </w:rPr>
              <w:t>Decision</w:t>
            </w:r>
          </w:p>
        </w:tc>
      </w:tr>
      <w:tr>
        <w:trPr>
          <w:trHeight w:val="920" w:hRule="atLeast"/>
        </w:trPr>
        <w:tc>
          <w:tcPr>
            <w:tcW w:w="317" w:type="dxa"/>
            <w:vMerge/>
            <w:tcBorders>
              <w:top w:val="nil"/>
              <w:left w:val="nil"/>
              <w:bottom w:val="nil"/>
            </w:tcBorders>
            <w:shd w:val="clear" w:color="auto" w:fill="FFEDC2"/>
          </w:tcPr>
          <w:p>
            <w:pPr>
              <w:rPr>
                <w:sz w:val="2"/>
                <w:szCs w:val="2"/>
              </w:rPr>
            </w:pPr>
          </w:p>
        </w:tc>
        <w:tc>
          <w:tcPr>
            <w:tcW w:w="2660" w:type="dxa"/>
            <w:shd w:val="clear" w:color="auto" w:fill="FFFFFF"/>
          </w:tcPr>
          <w:p>
            <w:pPr>
              <w:pStyle w:val="TableParagraph"/>
              <w:spacing w:before="111"/>
              <w:ind w:left="74"/>
              <w:rPr>
                <w:rFonts w:ascii="Stone Sans II ITC Std Bk"/>
                <w:b/>
                <w:sz w:val="20"/>
              </w:rPr>
            </w:pPr>
            <w:r>
              <w:rPr>
                <w:rFonts w:ascii="Stone Sans II ITC Std Bk"/>
                <w:b/>
                <w:w w:val="110"/>
                <w:sz w:val="20"/>
              </w:rPr>
              <w:t>Draft resolution(s)</w:t>
            </w:r>
          </w:p>
        </w:tc>
        <w:tc>
          <w:tcPr>
            <w:tcW w:w="6463" w:type="dxa"/>
            <w:tcBorders>
              <w:right w:val="nil"/>
            </w:tcBorders>
            <w:shd w:val="clear" w:color="auto" w:fill="FFFFFF"/>
          </w:tcPr>
          <w:p>
            <w:pPr>
              <w:pStyle w:val="TableParagraph"/>
              <w:spacing w:line="213" w:lineRule="auto" w:before="133"/>
              <w:ind w:left="74" w:right="314"/>
              <w:rPr>
                <w:rFonts w:ascii="Stone Sans II ITC Std Bk"/>
                <w:b/>
                <w:sz w:val="20"/>
              </w:rPr>
            </w:pPr>
            <w:r>
              <w:rPr>
                <w:rFonts w:ascii="Stone Sans II ITC Std Bk"/>
                <w:b/>
                <w:w w:val="110"/>
                <w:sz w:val="20"/>
              </w:rPr>
              <w:t>General Assembly agrees the changes to the standing orders as listed on pages 60 to 69.</w:t>
            </w:r>
          </w:p>
        </w:tc>
      </w:tr>
      <w:tr>
        <w:trPr>
          <w:trHeight w:val="720" w:hRule="atLeast"/>
        </w:trPr>
        <w:tc>
          <w:tcPr>
            <w:tcW w:w="9440" w:type="dxa"/>
            <w:gridSpan w:val="3"/>
            <w:tcBorders>
              <w:top w:val="nil"/>
              <w:left w:val="nil"/>
              <w:bottom w:val="nil"/>
              <w:right w:val="nil"/>
            </w:tcBorders>
            <w:shd w:val="clear" w:color="auto" w:fill="FFEDC2"/>
          </w:tcPr>
          <w:p>
            <w:pPr>
              <w:pStyle w:val="TableParagraph"/>
              <w:spacing w:before="4"/>
              <w:ind w:left="0"/>
              <w:rPr>
                <w:sz w:val="35"/>
              </w:rPr>
            </w:pPr>
          </w:p>
          <w:p>
            <w:pPr>
              <w:pStyle w:val="TableParagraph"/>
              <w:ind w:left="311"/>
              <w:rPr>
                <w:sz w:val="20"/>
              </w:rPr>
            </w:pPr>
            <w:r>
              <w:rPr>
                <w:w w:val="120"/>
                <w:sz w:val="20"/>
              </w:rPr>
              <w:t>Summary of Content</w:t>
            </w:r>
          </w:p>
        </w:tc>
      </w:tr>
      <w:tr>
        <w:trPr>
          <w:trHeight w:val="920" w:hRule="atLeast"/>
        </w:trPr>
        <w:tc>
          <w:tcPr>
            <w:tcW w:w="317" w:type="dxa"/>
            <w:vMerge w:val="restart"/>
            <w:tcBorders>
              <w:top w:val="nil"/>
              <w:left w:val="nil"/>
              <w:bottom w:val="nil"/>
            </w:tcBorders>
            <w:shd w:val="clear" w:color="auto" w:fill="FFEDC2"/>
          </w:tcPr>
          <w:p>
            <w:pPr>
              <w:pStyle w:val="TableParagraph"/>
              <w:ind w:left="0"/>
              <w:rPr>
                <w:rFonts w:ascii="Times New Roman"/>
                <w:sz w:val="22"/>
              </w:rPr>
            </w:pPr>
          </w:p>
        </w:tc>
        <w:tc>
          <w:tcPr>
            <w:tcW w:w="2660" w:type="dxa"/>
            <w:shd w:val="clear" w:color="auto" w:fill="FFFFFF"/>
          </w:tcPr>
          <w:p>
            <w:pPr>
              <w:pStyle w:val="TableParagraph"/>
              <w:spacing w:before="111"/>
              <w:ind w:left="74"/>
              <w:rPr>
                <w:rFonts w:ascii="Stone Sans II ITC Std Bk"/>
                <w:b/>
                <w:sz w:val="20"/>
              </w:rPr>
            </w:pPr>
            <w:r>
              <w:rPr>
                <w:rFonts w:ascii="Stone Sans II ITC Std Bk"/>
                <w:b/>
                <w:w w:val="110"/>
                <w:sz w:val="20"/>
              </w:rPr>
              <w:t>Subject and aim(s)</w:t>
            </w:r>
          </w:p>
        </w:tc>
        <w:tc>
          <w:tcPr>
            <w:tcW w:w="6463" w:type="dxa"/>
            <w:tcBorders>
              <w:right w:val="nil"/>
            </w:tcBorders>
            <w:shd w:val="clear" w:color="auto" w:fill="FFFFFF"/>
          </w:tcPr>
          <w:p>
            <w:pPr>
              <w:pStyle w:val="TableParagraph"/>
              <w:spacing w:line="235" w:lineRule="auto" w:before="127"/>
              <w:ind w:left="74" w:right="219"/>
              <w:rPr>
                <w:sz w:val="20"/>
              </w:rPr>
            </w:pPr>
            <w:r>
              <w:rPr>
                <w:w w:val="120"/>
                <w:sz w:val="20"/>
              </w:rPr>
              <w:t>Changes are suggested to enable better decision making, better use of Assembly’s time, and a more effective process for agreement of minutes.</w:t>
            </w:r>
          </w:p>
        </w:tc>
      </w:tr>
      <w:tr>
        <w:trPr>
          <w:trHeight w:val="3320" w:hRule="atLeast"/>
        </w:trPr>
        <w:tc>
          <w:tcPr>
            <w:tcW w:w="317" w:type="dxa"/>
            <w:vMerge/>
            <w:tcBorders>
              <w:top w:val="nil"/>
              <w:left w:val="nil"/>
              <w:bottom w:val="nil"/>
            </w:tcBorders>
            <w:shd w:val="clear" w:color="auto" w:fill="FFEDC2"/>
          </w:tcPr>
          <w:p>
            <w:pPr>
              <w:rPr>
                <w:sz w:val="2"/>
                <w:szCs w:val="2"/>
              </w:rPr>
            </w:pPr>
          </w:p>
        </w:tc>
        <w:tc>
          <w:tcPr>
            <w:tcW w:w="2660" w:type="dxa"/>
            <w:shd w:val="clear" w:color="auto" w:fill="FFFFFF"/>
          </w:tcPr>
          <w:p>
            <w:pPr>
              <w:pStyle w:val="TableParagraph"/>
              <w:spacing w:before="111"/>
              <w:ind w:left="74"/>
              <w:rPr>
                <w:rFonts w:ascii="Stone Sans II ITC Std Bk"/>
                <w:b/>
                <w:sz w:val="20"/>
              </w:rPr>
            </w:pPr>
            <w:r>
              <w:rPr>
                <w:rFonts w:ascii="Stone Sans II ITC Std Bk"/>
                <w:b/>
                <w:w w:val="110"/>
                <w:sz w:val="20"/>
              </w:rPr>
              <w:t>Main points</w:t>
            </w:r>
          </w:p>
        </w:tc>
        <w:tc>
          <w:tcPr>
            <w:tcW w:w="6463" w:type="dxa"/>
            <w:tcBorders>
              <w:right w:val="nil"/>
            </w:tcBorders>
            <w:shd w:val="clear" w:color="auto" w:fill="FFFFFF"/>
          </w:tcPr>
          <w:p>
            <w:pPr>
              <w:pStyle w:val="TableParagraph"/>
              <w:numPr>
                <w:ilvl w:val="0"/>
                <w:numId w:val="35"/>
              </w:numPr>
              <w:tabs>
                <w:tab w:pos="754" w:val="left" w:leader="none"/>
                <w:tab w:pos="755" w:val="left" w:leader="none"/>
              </w:tabs>
              <w:spacing w:line="235" w:lineRule="auto" w:before="127" w:after="0"/>
              <w:ind w:left="755" w:right="437" w:hanging="681"/>
              <w:jc w:val="left"/>
              <w:rPr>
                <w:sz w:val="20"/>
              </w:rPr>
            </w:pPr>
            <w:r>
              <w:rPr>
                <w:w w:val="120"/>
                <w:sz w:val="20"/>
              </w:rPr>
              <w:t>All resolutions before the Assembly are put into one of three groups: A – resolutions which will be taken en</w:t>
            </w:r>
            <w:r>
              <w:rPr>
                <w:spacing w:val="8"/>
                <w:w w:val="120"/>
                <w:sz w:val="20"/>
              </w:rPr>
              <w:t> </w:t>
            </w:r>
            <w:r>
              <w:rPr>
                <w:w w:val="120"/>
                <w:sz w:val="20"/>
              </w:rPr>
              <w:t>bloc</w:t>
            </w:r>
            <w:r>
              <w:rPr>
                <w:spacing w:val="8"/>
                <w:w w:val="120"/>
                <w:sz w:val="20"/>
              </w:rPr>
              <w:t> </w:t>
            </w:r>
            <w:r>
              <w:rPr>
                <w:w w:val="120"/>
                <w:sz w:val="20"/>
              </w:rPr>
              <w:t>and</w:t>
            </w:r>
            <w:r>
              <w:rPr>
                <w:spacing w:val="8"/>
                <w:w w:val="120"/>
                <w:sz w:val="20"/>
              </w:rPr>
              <w:t> </w:t>
            </w:r>
            <w:r>
              <w:rPr>
                <w:w w:val="120"/>
                <w:sz w:val="20"/>
              </w:rPr>
              <w:t>decided</w:t>
            </w:r>
            <w:r>
              <w:rPr>
                <w:spacing w:val="8"/>
                <w:w w:val="120"/>
                <w:sz w:val="20"/>
              </w:rPr>
              <w:t> </w:t>
            </w:r>
            <w:r>
              <w:rPr>
                <w:w w:val="120"/>
                <w:sz w:val="20"/>
              </w:rPr>
              <w:t>by</w:t>
            </w:r>
            <w:r>
              <w:rPr>
                <w:spacing w:val="8"/>
                <w:w w:val="120"/>
                <w:sz w:val="20"/>
              </w:rPr>
              <w:t> </w:t>
            </w:r>
            <w:r>
              <w:rPr>
                <w:w w:val="120"/>
                <w:sz w:val="20"/>
              </w:rPr>
              <w:t>majority</w:t>
            </w:r>
            <w:r>
              <w:rPr>
                <w:spacing w:val="8"/>
                <w:w w:val="120"/>
                <w:sz w:val="20"/>
              </w:rPr>
              <w:t> </w:t>
            </w:r>
            <w:r>
              <w:rPr>
                <w:w w:val="120"/>
                <w:sz w:val="20"/>
              </w:rPr>
              <w:t>vote,</w:t>
            </w:r>
            <w:r>
              <w:rPr>
                <w:spacing w:val="8"/>
                <w:w w:val="120"/>
                <w:sz w:val="20"/>
              </w:rPr>
              <w:t> </w:t>
            </w:r>
            <w:r>
              <w:rPr>
                <w:w w:val="120"/>
                <w:sz w:val="20"/>
              </w:rPr>
              <w:t>B</w:t>
            </w:r>
            <w:r>
              <w:rPr>
                <w:spacing w:val="9"/>
                <w:w w:val="120"/>
                <w:sz w:val="20"/>
              </w:rPr>
              <w:t> </w:t>
            </w:r>
            <w:r>
              <w:rPr>
                <w:w w:val="120"/>
                <w:sz w:val="20"/>
              </w:rPr>
              <w:t>–</w:t>
            </w:r>
            <w:r>
              <w:rPr>
                <w:spacing w:val="8"/>
                <w:w w:val="120"/>
                <w:sz w:val="20"/>
              </w:rPr>
              <w:t> </w:t>
            </w:r>
            <w:r>
              <w:rPr>
                <w:w w:val="120"/>
                <w:sz w:val="20"/>
              </w:rPr>
              <w:t>resolutions</w:t>
            </w:r>
          </w:p>
          <w:p>
            <w:pPr>
              <w:pStyle w:val="TableParagraph"/>
              <w:spacing w:line="235" w:lineRule="auto" w:before="2"/>
              <w:ind w:left="755" w:right="119"/>
              <w:rPr>
                <w:sz w:val="20"/>
              </w:rPr>
            </w:pPr>
            <w:r>
              <w:rPr>
                <w:w w:val="125"/>
                <w:sz w:val="20"/>
              </w:rPr>
              <w:t>which</w:t>
            </w:r>
            <w:r>
              <w:rPr>
                <w:spacing w:val="-15"/>
                <w:w w:val="125"/>
                <w:sz w:val="20"/>
              </w:rPr>
              <w:t> </w:t>
            </w:r>
            <w:r>
              <w:rPr>
                <w:w w:val="125"/>
                <w:sz w:val="20"/>
              </w:rPr>
              <w:t>will</w:t>
            </w:r>
            <w:r>
              <w:rPr>
                <w:spacing w:val="-14"/>
                <w:w w:val="125"/>
                <w:sz w:val="20"/>
              </w:rPr>
              <w:t> </w:t>
            </w:r>
            <w:r>
              <w:rPr>
                <w:w w:val="125"/>
                <w:sz w:val="20"/>
              </w:rPr>
              <w:t>be</w:t>
            </w:r>
            <w:r>
              <w:rPr>
                <w:spacing w:val="-15"/>
                <w:w w:val="125"/>
                <w:sz w:val="20"/>
              </w:rPr>
              <w:t> </w:t>
            </w:r>
            <w:r>
              <w:rPr>
                <w:w w:val="125"/>
                <w:sz w:val="20"/>
              </w:rPr>
              <w:t>taken</w:t>
            </w:r>
            <w:r>
              <w:rPr>
                <w:spacing w:val="-14"/>
                <w:w w:val="125"/>
                <w:sz w:val="20"/>
              </w:rPr>
              <w:t> </w:t>
            </w:r>
            <w:r>
              <w:rPr>
                <w:w w:val="125"/>
                <w:sz w:val="20"/>
              </w:rPr>
              <w:t>individually</w:t>
            </w:r>
            <w:r>
              <w:rPr>
                <w:spacing w:val="-14"/>
                <w:w w:val="125"/>
                <w:sz w:val="20"/>
              </w:rPr>
              <w:t> </w:t>
            </w:r>
            <w:r>
              <w:rPr>
                <w:w w:val="125"/>
                <w:sz w:val="20"/>
              </w:rPr>
              <w:t>and</w:t>
            </w:r>
            <w:r>
              <w:rPr>
                <w:spacing w:val="-15"/>
                <w:w w:val="125"/>
                <w:sz w:val="20"/>
              </w:rPr>
              <w:t> </w:t>
            </w:r>
            <w:r>
              <w:rPr>
                <w:w w:val="125"/>
                <w:sz w:val="20"/>
              </w:rPr>
              <w:t>decided</w:t>
            </w:r>
            <w:r>
              <w:rPr>
                <w:spacing w:val="-14"/>
                <w:w w:val="125"/>
                <w:sz w:val="20"/>
              </w:rPr>
              <w:t> </w:t>
            </w:r>
            <w:r>
              <w:rPr>
                <w:w w:val="125"/>
                <w:sz w:val="20"/>
              </w:rPr>
              <w:t>by</w:t>
            </w:r>
            <w:r>
              <w:rPr>
                <w:spacing w:val="-15"/>
                <w:w w:val="125"/>
                <w:sz w:val="20"/>
              </w:rPr>
              <w:t> </w:t>
            </w:r>
            <w:r>
              <w:rPr>
                <w:w w:val="125"/>
                <w:sz w:val="20"/>
              </w:rPr>
              <w:t>majority vote and C – resolutions which will be decided by the consensus</w:t>
            </w:r>
            <w:r>
              <w:rPr>
                <w:spacing w:val="-2"/>
                <w:w w:val="125"/>
                <w:sz w:val="20"/>
              </w:rPr>
              <w:t> </w:t>
            </w:r>
            <w:r>
              <w:rPr>
                <w:w w:val="125"/>
                <w:sz w:val="20"/>
              </w:rPr>
              <w:t>process.</w:t>
            </w:r>
          </w:p>
          <w:p>
            <w:pPr>
              <w:pStyle w:val="TableParagraph"/>
              <w:numPr>
                <w:ilvl w:val="0"/>
                <w:numId w:val="35"/>
              </w:numPr>
              <w:tabs>
                <w:tab w:pos="754" w:val="left" w:leader="none"/>
                <w:tab w:pos="755" w:val="left" w:leader="none"/>
              </w:tabs>
              <w:spacing w:line="235" w:lineRule="auto" w:before="2" w:after="0"/>
              <w:ind w:left="755" w:right="699" w:hanging="681"/>
              <w:jc w:val="left"/>
              <w:rPr>
                <w:sz w:val="20"/>
              </w:rPr>
            </w:pPr>
            <w:r>
              <w:rPr>
                <w:spacing w:val="3"/>
                <w:w w:val="120"/>
                <w:sz w:val="20"/>
              </w:rPr>
              <w:t>Draft </w:t>
            </w:r>
            <w:r>
              <w:rPr>
                <w:w w:val="120"/>
                <w:sz w:val="20"/>
              </w:rPr>
              <w:t>minutes will be posted online and on noticeboards around the Assembly hall rather than duplicated and</w:t>
            </w:r>
            <w:r>
              <w:rPr>
                <w:spacing w:val="6"/>
                <w:w w:val="120"/>
                <w:sz w:val="20"/>
              </w:rPr>
              <w:t> </w:t>
            </w:r>
            <w:r>
              <w:rPr>
                <w:w w:val="120"/>
                <w:sz w:val="20"/>
              </w:rPr>
              <w:t>distributed.</w:t>
            </w:r>
          </w:p>
          <w:p>
            <w:pPr>
              <w:pStyle w:val="TableParagraph"/>
              <w:numPr>
                <w:ilvl w:val="0"/>
                <w:numId w:val="35"/>
              </w:numPr>
              <w:tabs>
                <w:tab w:pos="754" w:val="left" w:leader="none"/>
                <w:tab w:pos="755" w:val="left" w:leader="none"/>
              </w:tabs>
              <w:spacing w:line="235" w:lineRule="auto" w:before="3" w:after="0"/>
              <w:ind w:left="755" w:right="418" w:hanging="681"/>
              <w:jc w:val="left"/>
              <w:rPr>
                <w:sz w:val="20"/>
              </w:rPr>
            </w:pPr>
            <w:r>
              <w:rPr>
                <w:w w:val="120"/>
                <w:sz w:val="20"/>
              </w:rPr>
              <w:t>The moderator must declare at the outset of a debate whether a matter is sufficiently urgent to require a decision at the</w:t>
            </w:r>
            <w:r>
              <w:rPr>
                <w:spacing w:val="7"/>
                <w:w w:val="120"/>
                <w:sz w:val="20"/>
              </w:rPr>
              <w:t> </w:t>
            </w:r>
            <w:r>
              <w:rPr>
                <w:w w:val="120"/>
                <w:sz w:val="20"/>
              </w:rPr>
              <w:t>meeting.</w:t>
            </w:r>
          </w:p>
          <w:p>
            <w:pPr>
              <w:pStyle w:val="TableParagraph"/>
              <w:numPr>
                <w:ilvl w:val="0"/>
                <w:numId w:val="35"/>
              </w:numPr>
              <w:tabs>
                <w:tab w:pos="754" w:val="left" w:leader="none"/>
                <w:tab w:pos="755" w:val="left" w:leader="none"/>
              </w:tabs>
              <w:spacing w:line="243" w:lineRule="exact" w:before="0" w:after="0"/>
              <w:ind w:left="754" w:right="0" w:hanging="681"/>
              <w:jc w:val="left"/>
              <w:rPr>
                <w:sz w:val="20"/>
              </w:rPr>
            </w:pPr>
            <w:r>
              <w:rPr>
                <w:spacing w:val="-6"/>
                <w:w w:val="120"/>
                <w:sz w:val="20"/>
              </w:rPr>
              <w:t>Two </w:t>
            </w:r>
            <w:r>
              <w:rPr>
                <w:w w:val="120"/>
                <w:sz w:val="20"/>
              </w:rPr>
              <w:t>minor</w:t>
            </w:r>
            <w:r>
              <w:rPr>
                <w:spacing w:val="10"/>
                <w:w w:val="120"/>
                <w:sz w:val="20"/>
              </w:rPr>
              <w:t> </w:t>
            </w:r>
            <w:r>
              <w:rPr>
                <w:w w:val="120"/>
                <w:sz w:val="20"/>
              </w:rPr>
              <w:t>corrections.</w:t>
            </w:r>
          </w:p>
        </w:tc>
      </w:tr>
      <w:tr>
        <w:trPr>
          <w:trHeight w:val="680" w:hRule="atLeast"/>
        </w:trPr>
        <w:tc>
          <w:tcPr>
            <w:tcW w:w="317" w:type="dxa"/>
            <w:vMerge/>
            <w:tcBorders>
              <w:top w:val="nil"/>
              <w:left w:val="nil"/>
              <w:bottom w:val="nil"/>
            </w:tcBorders>
            <w:shd w:val="clear" w:color="auto" w:fill="FFEDC2"/>
          </w:tcPr>
          <w:p>
            <w:pPr>
              <w:rPr>
                <w:sz w:val="2"/>
                <w:szCs w:val="2"/>
              </w:rPr>
            </w:pPr>
          </w:p>
        </w:tc>
        <w:tc>
          <w:tcPr>
            <w:tcW w:w="2660" w:type="dxa"/>
            <w:shd w:val="clear" w:color="auto" w:fill="FFFFFF"/>
          </w:tcPr>
          <w:p>
            <w:pPr>
              <w:pStyle w:val="TableParagraph"/>
              <w:spacing w:line="213" w:lineRule="auto" w:before="133"/>
              <w:ind w:left="74" w:right="707"/>
              <w:rPr>
                <w:rFonts w:ascii="Stone Sans II ITC Std Bk"/>
                <w:b/>
                <w:sz w:val="20"/>
              </w:rPr>
            </w:pPr>
            <w:r>
              <w:rPr>
                <w:rFonts w:ascii="Stone Sans II ITC Std Bk"/>
                <w:b/>
                <w:w w:val="110"/>
                <w:sz w:val="20"/>
              </w:rPr>
              <w:t>Previous relevant documents</w:t>
            </w:r>
          </w:p>
        </w:tc>
        <w:tc>
          <w:tcPr>
            <w:tcW w:w="6463" w:type="dxa"/>
            <w:tcBorders>
              <w:right w:val="nil"/>
            </w:tcBorders>
            <w:shd w:val="clear" w:color="auto" w:fill="FFFFFF"/>
          </w:tcPr>
          <w:p>
            <w:pPr>
              <w:pStyle w:val="TableParagraph"/>
              <w:spacing w:before="123"/>
              <w:ind w:left="74"/>
              <w:rPr>
                <w:sz w:val="20"/>
              </w:rPr>
            </w:pPr>
            <w:r>
              <w:rPr>
                <w:w w:val="120"/>
                <w:sz w:val="20"/>
              </w:rPr>
              <w:t>Previous standing orders</w:t>
            </w:r>
          </w:p>
        </w:tc>
      </w:tr>
      <w:tr>
        <w:trPr>
          <w:trHeight w:val="680" w:hRule="atLeast"/>
        </w:trPr>
        <w:tc>
          <w:tcPr>
            <w:tcW w:w="317" w:type="dxa"/>
            <w:vMerge/>
            <w:tcBorders>
              <w:top w:val="nil"/>
              <w:left w:val="nil"/>
              <w:bottom w:val="nil"/>
            </w:tcBorders>
            <w:shd w:val="clear" w:color="auto" w:fill="FFEDC2"/>
          </w:tcPr>
          <w:p>
            <w:pPr>
              <w:rPr>
                <w:sz w:val="2"/>
                <w:szCs w:val="2"/>
              </w:rPr>
            </w:pPr>
          </w:p>
        </w:tc>
        <w:tc>
          <w:tcPr>
            <w:tcW w:w="2660" w:type="dxa"/>
            <w:shd w:val="clear" w:color="auto" w:fill="FFFFFF"/>
          </w:tcPr>
          <w:p>
            <w:pPr>
              <w:pStyle w:val="TableParagraph"/>
              <w:spacing w:line="213" w:lineRule="auto" w:before="133"/>
              <w:ind w:left="74" w:right="110"/>
              <w:rPr>
                <w:rFonts w:ascii="Stone Sans II ITC Std Bk"/>
                <w:b/>
                <w:sz w:val="20"/>
              </w:rPr>
            </w:pPr>
            <w:r>
              <w:rPr>
                <w:rFonts w:ascii="Stone Sans II ITC Std Bk"/>
                <w:b/>
                <w:w w:val="110"/>
                <w:sz w:val="20"/>
              </w:rPr>
              <w:t>Consultation has taken place with...</w:t>
            </w:r>
          </w:p>
        </w:tc>
        <w:tc>
          <w:tcPr>
            <w:tcW w:w="6463" w:type="dxa"/>
            <w:tcBorders>
              <w:right w:val="nil"/>
            </w:tcBorders>
            <w:shd w:val="clear" w:color="auto" w:fill="FFFFFF"/>
          </w:tcPr>
          <w:p>
            <w:pPr>
              <w:pStyle w:val="TableParagraph"/>
              <w:spacing w:before="123"/>
              <w:ind w:left="74"/>
              <w:rPr>
                <w:sz w:val="20"/>
              </w:rPr>
            </w:pPr>
            <w:r>
              <w:rPr>
                <w:w w:val="120"/>
                <w:sz w:val="20"/>
              </w:rPr>
              <w:t>Assembly arrangements committee</w:t>
            </w:r>
          </w:p>
        </w:tc>
      </w:tr>
      <w:tr>
        <w:trPr>
          <w:trHeight w:val="720" w:hRule="atLeast"/>
        </w:trPr>
        <w:tc>
          <w:tcPr>
            <w:tcW w:w="9440" w:type="dxa"/>
            <w:gridSpan w:val="3"/>
            <w:tcBorders>
              <w:top w:val="nil"/>
              <w:left w:val="nil"/>
              <w:bottom w:val="nil"/>
              <w:right w:val="nil"/>
            </w:tcBorders>
            <w:shd w:val="clear" w:color="auto" w:fill="FFEDC2"/>
          </w:tcPr>
          <w:p>
            <w:pPr>
              <w:pStyle w:val="TableParagraph"/>
              <w:spacing w:before="4"/>
              <w:ind w:left="0"/>
              <w:rPr>
                <w:sz w:val="35"/>
              </w:rPr>
            </w:pPr>
          </w:p>
          <w:p>
            <w:pPr>
              <w:pStyle w:val="TableParagraph"/>
              <w:ind w:left="311"/>
              <w:rPr>
                <w:sz w:val="20"/>
              </w:rPr>
            </w:pPr>
            <w:r>
              <w:rPr>
                <w:w w:val="120"/>
                <w:sz w:val="20"/>
              </w:rPr>
              <w:t>Summary of Impact</w:t>
            </w:r>
          </w:p>
        </w:tc>
      </w:tr>
      <w:tr>
        <w:trPr>
          <w:trHeight w:val="680" w:hRule="atLeast"/>
        </w:trPr>
        <w:tc>
          <w:tcPr>
            <w:tcW w:w="317" w:type="dxa"/>
            <w:vMerge w:val="restart"/>
            <w:tcBorders>
              <w:top w:val="nil"/>
              <w:left w:val="nil"/>
              <w:bottom w:val="nil"/>
            </w:tcBorders>
            <w:shd w:val="clear" w:color="auto" w:fill="FFEDC2"/>
          </w:tcPr>
          <w:p>
            <w:pPr>
              <w:pStyle w:val="TableParagraph"/>
              <w:ind w:left="0"/>
              <w:rPr>
                <w:rFonts w:ascii="Times New Roman"/>
                <w:sz w:val="22"/>
              </w:rPr>
            </w:pPr>
          </w:p>
        </w:tc>
        <w:tc>
          <w:tcPr>
            <w:tcW w:w="2660" w:type="dxa"/>
            <w:shd w:val="clear" w:color="auto" w:fill="FFFFFF"/>
          </w:tcPr>
          <w:p>
            <w:pPr>
              <w:pStyle w:val="TableParagraph"/>
              <w:spacing w:before="111"/>
              <w:ind w:left="74"/>
              <w:rPr>
                <w:rFonts w:ascii="Stone Sans II ITC Std Bk"/>
                <w:b/>
                <w:sz w:val="20"/>
              </w:rPr>
            </w:pPr>
            <w:r>
              <w:rPr>
                <w:rFonts w:ascii="Stone Sans II ITC Std Bk"/>
                <w:b/>
                <w:w w:val="110"/>
                <w:sz w:val="20"/>
              </w:rPr>
              <w:t>Financial</w:t>
            </w:r>
          </w:p>
        </w:tc>
        <w:tc>
          <w:tcPr>
            <w:tcW w:w="6463" w:type="dxa"/>
            <w:tcBorders>
              <w:right w:val="nil"/>
            </w:tcBorders>
            <w:shd w:val="clear" w:color="auto" w:fill="FFFFFF"/>
          </w:tcPr>
          <w:p>
            <w:pPr>
              <w:pStyle w:val="TableParagraph"/>
              <w:spacing w:line="235" w:lineRule="auto" w:before="127"/>
              <w:ind w:left="74" w:right="314"/>
              <w:rPr>
                <w:sz w:val="20"/>
              </w:rPr>
            </w:pPr>
            <w:r>
              <w:rPr>
                <w:w w:val="120"/>
                <w:sz w:val="20"/>
              </w:rPr>
              <w:t>Minor savings achieved by posting minutes in public spaces rather than copying them for all Assembly members</w:t>
            </w:r>
          </w:p>
        </w:tc>
      </w:tr>
      <w:tr>
        <w:trPr>
          <w:trHeight w:val="680" w:hRule="atLeast"/>
        </w:trPr>
        <w:tc>
          <w:tcPr>
            <w:tcW w:w="317" w:type="dxa"/>
            <w:vMerge/>
            <w:tcBorders>
              <w:top w:val="nil"/>
              <w:left w:val="nil"/>
              <w:bottom w:val="nil"/>
            </w:tcBorders>
            <w:shd w:val="clear" w:color="auto" w:fill="FFEDC2"/>
          </w:tcPr>
          <w:p>
            <w:pPr>
              <w:rPr>
                <w:sz w:val="2"/>
                <w:szCs w:val="2"/>
              </w:rPr>
            </w:pPr>
          </w:p>
        </w:tc>
        <w:tc>
          <w:tcPr>
            <w:tcW w:w="2660" w:type="dxa"/>
            <w:shd w:val="clear" w:color="auto" w:fill="FFFFFF"/>
          </w:tcPr>
          <w:p>
            <w:pPr>
              <w:pStyle w:val="TableParagraph"/>
              <w:spacing w:line="255" w:lineRule="exact" w:before="111"/>
              <w:ind w:left="74"/>
              <w:rPr>
                <w:rFonts w:ascii="Stone Sans II ITC Std Bk"/>
                <w:b/>
                <w:sz w:val="20"/>
              </w:rPr>
            </w:pPr>
            <w:r>
              <w:rPr>
                <w:rFonts w:ascii="Stone Sans II ITC Std Bk"/>
                <w:b/>
                <w:w w:val="110"/>
                <w:sz w:val="20"/>
              </w:rPr>
              <w:t>External</w:t>
            </w:r>
          </w:p>
          <w:p>
            <w:pPr>
              <w:pStyle w:val="TableParagraph"/>
              <w:spacing w:line="255" w:lineRule="exact"/>
              <w:ind w:left="74"/>
              <w:rPr>
                <w:rFonts w:ascii="Stone Sans II ITC Std Bk"/>
                <w:b/>
                <w:sz w:val="20"/>
              </w:rPr>
            </w:pPr>
            <w:r>
              <w:rPr>
                <w:rFonts w:ascii="Stone Sans II ITC Std Bk"/>
                <w:b/>
                <w:w w:val="110"/>
                <w:sz w:val="20"/>
              </w:rPr>
              <w:t>(e.g. ecumenical)</w:t>
            </w:r>
          </w:p>
        </w:tc>
        <w:tc>
          <w:tcPr>
            <w:tcW w:w="6463" w:type="dxa"/>
            <w:tcBorders>
              <w:right w:val="nil"/>
            </w:tcBorders>
            <w:shd w:val="clear" w:color="auto" w:fill="FFFFFF"/>
          </w:tcPr>
          <w:p>
            <w:pPr>
              <w:pStyle w:val="TableParagraph"/>
              <w:spacing w:before="123"/>
              <w:ind w:left="74"/>
              <w:rPr>
                <w:sz w:val="20"/>
              </w:rPr>
            </w:pPr>
            <w:r>
              <w:rPr>
                <w:w w:val="120"/>
                <w:sz w:val="20"/>
              </w:rPr>
              <w:t>None</w:t>
            </w:r>
          </w:p>
        </w:tc>
      </w:tr>
      <w:tr>
        <w:trPr>
          <w:trHeight w:val="3174" w:hRule="atLeast"/>
        </w:trPr>
        <w:tc>
          <w:tcPr>
            <w:tcW w:w="9440" w:type="dxa"/>
            <w:gridSpan w:val="3"/>
            <w:tcBorders>
              <w:top w:val="nil"/>
              <w:left w:val="nil"/>
              <w:bottom w:val="nil"/>
              <w:right w:val="nil"/>
            </w:tcBorders>
            <w:shd w:val="clear" w:color="auto" w:fill="FFEDC2"/>
          </w:tcPr>
          <w:p>
            <w:pPr>
              <w:pStyle w:val="TableParagraph"/>
              <w:ind w:left="0"/>
              <w:rPr>
                <w:sz w:val="30"/>
              </w:rPr>
            </w:pPr>
          </w:p>
          <w:p>
            <w:pPr>
              <w:pStyle w:val="TableParagraph"/>
              <w:ind w:left="0"/>
              <w:rPr>
                <w:sz w:val="30"/>
              </w:rPr>
            </w:pPr>
          </w:p>
          <w:p>
            <w:pPr>
              <w:pStyle w:val="TableParagraph"/>
              <w:ind w:left="0"/>
              <w:rPr>
                <w:sz w:val="30"/>
              </w:rPr>
            </w:pPr>
          </w:p>
          <w:p>
            <w:pPr>
              <w:pStyle w:val="TableParagraph"/>
              <w:ind w:left="0"/>
              <w:rPr>
                <w:sz w:val="30"/>
              </w:rPr>
            </w:pPr>
          </w:p>
          <w:p>
            <w:pPr>
              <w:pStyle w:val="TableParagraph"/>
              <w:ind w:left="0"/>
              <w:rPr>
                <w:sz w:val="30"/>
              </w:rPr>
            </w:pPr>
          </w:p>
          <w:p>
            <w:pPr>
              <w:pStyle w:val="TableParagraph"/>
              <w:spacing w:before="11"/>
              <w:ind w:left="0"/>
              <w:rPr>
                <w:sz w:val="38"/>
              </w:rPr>
            </w:pPr>
          </w:p>
          <w:p>
            <w:pPr>
              <w:pStyle w:val="TableParagraph"/>
              <w:ind w:left="311"/>
              <w:rPr>
                <w:sz w:val="23"/>
              </w:rPr>
            </w:pPr>
            <w:r>
              <w:rPr>
                <w:rFonts w:ascii="Stone Sans II ITC Std X Bd" w:hAnsi="Stone Sans II ITC Std X Bd"/>
                <w:b/>
                <w:w w:val="110"/>
                <w:sz w:val="24"/>
              </w:rPr>
              <w:t>58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c>
      </w:tr>
    </w:tbl>
    <w:p>
      <w:pPr>
        <w:rPr>
          <w:sz w:val="2"/>
          <w:szCs w:val="2"/>
        </w:rPr>
      </w:pPr>
      <w:r>
        <w:rPr/>
        <w:pict>
          <v:rect style="position:absolute;margin-left:594.374023pt;margin-top:.000015pt;width:.901pt;height:841.89pt;mso-position-horizontal-relative:page;mso-position-vertical-relative:page;z-index:251833344" filled="true" fillcolor="#ffedc2" stroked="false">
            <v:fill type="solid"/>
            <w10:wrap type="none"/>
          </v:rect>
        </w:pict>
      </w:r>
      <w:r>
        <w:rPr/>
        <w:drawing>
          <wp:anchor distT="0" distB="0" distL="0" distR="0" allowOverlap="1" layoutInCell="1" locked="0" behindDoc="0" simplePos="0" relativeHeight="251834368">
            <wp:simplePos x="0" y="0"/>
            <wp:positionH relativeFrom="page">
              <wp:posOffset>0</wp:posOffset>
            </wp:positionH>
            <wp:positionV relativeFrom="page">
              <wp:posOffset>0</wp:posOffset>
            </wp:positionV>
            <wp:extent cx="594067" cy="10692003"/>
            <wp:effectExtent l="0" t="0" r="0" b="0"/>
            <wp:wrapNone/>
            <wp:docPr id="107" name="image24.png"/>
            <wp:cNvGraphicFramePr>
              <a:graphicFrameLocks noChangeAspect="1"/>
            </wp:cNvGraphicFramePr>
            <a:graphic>
              <a:graphicData uri="http://schemas.openxmlformats.org/drawingml/2006/picture">
                <pic:pic>
                  <pic:nvPicPr>
                    <pic:cNvPr id="108" name="image24.png"/>
                    <pic:cNvPicPr/>
                  </pic:nvPicPr>
                  <pic:blipFill>
                    <a:blip r:embed="rId90"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322.8pt;mso-position-horizontal-relative:page;mso-position-vertical-relative:page;z-index:251835392" type="#_x0000_t202" filled="false" stroked="false">
            <v:textbox inset="0,0,0,0" style="layout-flow:vertical">
              <w:txbxContent>
                <w:p>
                  <w:pPr>
                    <w:spacing w:before="27"/>
                    <w:ind w:left="20" w:right="0" w:firstLine="0"/>
                    <w:jc w:val="left"/>
                    <w:rPr>
                      <w:sz w:val="39"/>
                    </w:rPr>
                  </w:pPr>
                  <w:r>
                    <w:rPr>
                      <w:color w:val="FFFFFF"/>
                      <w:spacing w:val="9"/>
                      <w:w w:val="120"/>
                      <w:sz w:val="39"/>
                    </w:rPr>
                    <w:t>Changes </w:t>
                  </w:r>
                  <w:r>
                    <w:rPr>
                      <w:color w:val="FFFFFF"/>
                      <w:spacing w:val="3"/>
                      <w:w w:val="120"/>
                      <w:sz w:val="39"/>
                    </w:rPr>
                    <w:t>to </w:t>
                  </w:r>
                  <w:r>
                    <w:rPr>
                      <w:color w:val="FFFFFF"/>
                      <w:spacing w:val="8"/>
                      <w:w w:val="120"/>
                      <w:sz w:val="39"/>
                    </w:rPr>
                    <w:t>the </w:t>
                  </w:r>
                  <w:r>
                    <w:rPr>
                      <w:color w:val="FFFFFF"/>
                      <w:spacing w:val="10"/>
                      <w:w w:val="120"/>
                      <w:sz w:val="39"/>
                    </w:rPr>
                    <w:t>standing</w:t>
                  </w:r>
                  <w:r>
                    <w:rPr>
                      <w:color w:val="FFFFFF"/>
                      <w:spacing w:val="114"/>
                      <w:w w:val="120"/>
                      <w:sz w:val="39"/>
                    </w:rPr>
                    <w:t> </w:t>
                  </w:r>
                  <w:r>
                    <w:rPr>
                      <w:color w:val="FFFFFF"/>
                      <w:spacing w:val="10"/>
                      <w:w w:val="120"/>
                      <w:sz w:val="39"/>
                    </w:rPr>
                    <w:t>orders</w:t>
                  </w:r>
                </w:p>
              </w:txbxContent>
            </v:textbox>
            <w10:wrap type="none"/>
          </v:shape>
        </w:pict>
      </w:r>
    </w:p>
    <w:p>
      <w:pPr>
        <w:spacing w:after="0"/>
        <w:rPr>
          <w:sz w:val="2"/>
          <w:szCs w:val="2"/>
        </w:rPr>
        <w:sectPr>
          <w:headerReference w:type="even" r:id="rId139"/>
          <w:footerReference w:type="even" r:id="rId140"/>
          <w:pgSz w:w="11910" w:h="16840"/>
          <w:pgMar w:header="0" w:footer="0" w:top="0" w:bottom="0" w:left="0" w:right="0"/>
        </w:sectPr>
      </w:pPr>
    </w:p>
    <w:p>
      <w:pPr>
        <w:pStyle w:val="BodyText"/>
      </w:pPr>
      <w:r>
        <w:rPr/>
        <w:drawing>
          <wp:anchor distT="0" distB="0" distL="0" distR="0" allowOverlap="1" layoutInCell="1" locked="0" behindDoc="0" simplePos="0" relativeHeight="251836416">
            <wp:simplePos x="0" y="0"/>
            <wp:positionH relativeFrom="page">
              <wp:posOffset>6974928</wp:posOffset>
            </wp:positionH>
            <wp:positionV relativeFrom="page">
              <wp:posOffset>0</wp:posOffset>
            </wp:positionV>
            <wp:extent cx="585076" cy="10692003"/>
            <wp:effectExtent l="0" t="0" r="0" b="0"/>
            <wp:wrapNone/>
            <wp:docPr id="109" name="image23.png"/>
            <wp:cNvGraphicFramePr>
              <a:graphicFrameLocks noChangeAspect="1"/>
            </wp:cNvGraphicFramePr>
            <a:graphic>
              <a:graphicData uri="http://schemas.openxmlformats.org/drawingml/2006/picture">
                <pic:pic>
                  <pic:nvPicPr>
                    <pic:cNvPr id="110" name="image23.png"/>
                    <pic:cNvPicPr/>
                  </pic:nvPicPr>
                  <pic:blipFill>
                    <a:blip r:embed="rId35" cstate="print"/>
                    <a:stretch>
                      <a:fillRect/>
                    </a:stretch>
                  </pic:blipFill>
                  <pic:spPr>
                    <a:xfrm>
                      <a:off x="0" y="0"/>
                      <a:ext cx="585076" cy="10692003"/>
                    </a:xfrm>
                    <a:prstGeom prst="rect">
                      <a:avLst/>
                    </a:prstGeom>
                  </pic:spPr>
                </pic:pic>
              </a:graphicData>
            </a:graphic>
          </wp:anchor>
        </w:drawing>
      </w:r>
    </w:p>
    <w:p>
      <w:pPr>
        <w:pStyle w:val="BodyText"/>
        <w:spacing w:before="7"/>
        <w:rPr>
          <w:sz w:val="21"/>
        </w:rPr>
      </w:pPr>
    </w:p>
    <w:p>
      <w:pPr>
        <w:pStyle w:val="Heading5"/>
        <w:ind w:left="0" w:right="1245"/>
        <w:jc w:val="right"/>
      </w:pPr>
      <w:r>
        <w:rPr/>
        <w:pict>
          <v:shape style="position:absolute;margin-left:554.141174pt;margin-top:22.593945pt;width:25.9pt;height:322.8pt;mso-position-horizontal-relative:page;mso-position-vertical-relative:paragraph;z-index:251837440" type="#_x0000_t202" filled="false" stroked="false">
            <v:textbox inset="0,0,0,0" style="layout-flow:vertical">
              <w:txbxContent>
                <w:p>
                  <w:pPr>
                    <w:spacing w:before="27"/>
                    <w:ind w:left="20" w:right="0" w:firstLine="0"/>
                    <w:jc w:val="left"/>
                    <w:rPr>
                      <w:sz w:val="39"/>
                    </w:rPr>
                  </w:pPr>
                  <w:r>
                    <w:rPr>
                      <w:color w:val="FFFFFF"/>
                      <w:spacing w:val="9"/>
                      <w:w w:val="120"/>
                      <w:sz w:val="39"/>
                    </w:rPr>
                    <w:t>Changes </w:t>
                  </w:r>
                  <w:r>
                    <w:rPr>
                      <w:color w:val="FFFFFF"/>
                      <w:spacing w:val="3"/>
                      <w:w w:val="120"/>
                      <w:sz w:val="39"/>
                    </w:rPr>
                    <w:t>to </w:t>
                  </w:r>
                  <w:r>
                    <w:rPr>
                      <w:color w:val="FFFFFF"/>
                      <w:spacing w:val="8"/>
                      <w:w w:val="120"/>
                      <w:sz w:val="39"/>
                    </w:rPr>
                    <w:t>the </w:t>
                  </w:r>
                  <w:r>
                    <w:rPr>
                      <w:color w:val="FFFFFF"/>
                      <w:spacing w:val="10"/>
                      <w:w w:val="120"/>
                      <w:sz w:val="39"/>
                    </w:rPr>
                    <w:t>standing</w:t>
                  </w:r>
                  <w:r>
                    <w:rPr>
                      <w:color w:val="FFFFFF"/>
                      <w:spacing w:val="114"/>
                      <w:w w:val="120"/>
                      <w:sz w:val="39"/>
                    </w:rPr>
                    <w:t> </w:t>
                  </w:r>
                  <w:r>
                    <w:rPr>
                      <w:color w:val="FFFFFF"/>
                      <w:spacing w:val="10"/>
                      <w:w w:val="120"/>
                      <w:sz w:val="39"/>
                    </w:rPr>
                    <w:t>orders</w:t>
                  </w:r>
                </w:p>
              </w:txbxContent>
            </v:textbox>
            <w10:wrap type="none"/>
          </v:shape>
        </w:pict>
      </w:r>
      <w:r>
        <w:rPr>
          <w:color w:val="7EAABF"/>
          <w:w w:val="120"/>
        </w:rPr>
        <w:t>Mission Council</w:t>
      </w:r>
    </w:p>
    <w:p>
      <w:pPr>
        <w:spacing w:before="246"/>
        <w:ind w:left="1842" w:right="0" w:firstLine="0"/>
        <w:jc w:val="left"/>
        <w:rPr>
          <w:rFonts w:ascii="Stone Sans II ITC Std X Bd"/>
          <w:b/>
          <w:sz w:val="50"/>
        </w:rPr>
      </w:pPr>
      <w:r>
        <w:rPr>
          <w:rFonts w:ascii="Stone Sans II ITC Std X Bd"/>
          <w:b/>
          <w:w w:val="110"/>
          <w:sz w:val="50"/>
        </w:rPr>
        <w:t>Changes to the standing orders</w:t>
      </w:r>
    </w:p>
    <w:p>
      <w:pPr>
        <w:pStyle w:val="BodyText"/>
        <w:spacing w:before="8"/>
        <w:rPr>
          <w:rFonts w:ascii="Stone Sans II ITC Std X Bd"/>
          <w:b/>
          <w:sz w:val="44"/>
        </w:rPr>
      </w:pPr>
    </w:p>
    <w:p>
      <w:pPr>
        <w:pStyle w:val="BodyText"/>
        <w:spacing w:line="235" w:lineRule="auto" w:before="1"/>
        <w:ind w:left="1842" w:right="1414"/>
      </w:pPr>
      <w:r>
        <w:rPr>
          <w:w w:val="120"/>
        </w:rPr>
        <w:t>In order to make the business of the Assembly more efficient and effective, Mission Council approved changes to standing orders to take effect for the 2014 meeting of General Assembly. This decision had to be taken in advance of the meeting because of the changes to the way in which minutes were to be presented, and, most significantly, the change to the way in which resolutions were to be handled. General Assembly, having experienced the way in which these new standing orders shape the meeting</w:t>
      </w:r>
    </w:p>
    <w:p>
      <w:pPr>
        <w:pStyle w:val="BodyText"/>
        <w:spacing w:line="235" w:lineRule="auto" w:before="4"/>
        <w:ind w:left="1842" w:right="1521"/>
      </w:pPr>
      <w:r>
        <w:rPr>
          <w:w w:val="120"/>
        </w:rPr>
        <w:t>of the Assembly, is invited to confirm them for the future. In proposing this, Mission Council is aware that further improvements could be made. It is proposed that work be done on this with a view to presenting a revised set of standing orders at the </w:t>
      </w:r>
      <w:r>
        <w:rPr>
          <w:spacing w:val="2"/>
          <w:w w:val="120"/>
        </w:rPr>
        <w:t>start </w:t>
      </w:r>
      <w:r>
        <w:rPr>
          <w:w w:val="120"/>
        </w:rPr>
        <w:t>of the </w:t>
      </w:r>
      <w:r>
        <w:rPr>
          <w:spacing w:val="-7"/>
          <w:w w:val="120"/>
        </w:rPr>
        <w:t>2016</w:t>
      </w:r>
      <w:r>
        <w:rPr>
          <w:spacing w:val="4"/>
          <w:w w:val="120"/>
        </w:rPr>
        <w:t> </w:t>
      </w:r>
      <w:r>
        <w:rPr>
          <w:w w:val="120"/>
        </w:rPr>
        <w:t>Assembly.</w:t>
      </w:r>
    </w:p>
    <w:p>
      <w:pPr>
        <w:pStyle w:val="BodyText"/>
        <w:spacing w:before="7"/>
        <w:rPr>
          <w:sz w:val="19"/>
        </w:rPr>
      </w:pPr>
    </w:p>
    <w:p>
      <w:pPr>
        <w:pStyle w:val="BodyText"/>
        <w:ind w:left="1842"/>
      </w:pPr>
      <w:r>
        <w:rPr>
          <w:w w:val="120"/>
        </w:rPr>
        <w:t>The changes now before the Assembly (indicated in red type) are:</w:t>
      </w:r>
    </w:p>
    <w:p>
      <w:pPr>
        <w:pStyle w:val="BodyText"/>
        <w:spacing w:before="4"/>
        <w:rPr>
          <w:sz w:val="19"/>
        </w:rPr>
      </w:pPr>
    </w:p>
    <w:p>
      <w:pPr>
        <w:pStyle w:val="ListParagraph"/>
        <w:numPr>
          <w:ilvl w:val="0"/>
          <w:numId w:val="36"/>
        </w:numPr>
        <w:tabs>
          <w:tab w:pos="2522" w:val="left" w:leader="none"/>
          <w:tab w:pos="2523" w:val="left" w:leader="none"/>
        </w:tabs>
        <w:spacing w:line="242" w:lineRule="exact" w:before="0" w:after="0"/>
        <w:ind w:left="2522" w:right="0" w:hanging="681"/>
        <w:jc w:val="left"/>
        <w:rPr>
          <w:sz w:val="20"/>
        </w:rPr>
      </w:pPr>
      <w:r>
        <w:rPr>
          <w:w w:val="120"/>
          <w:sz w:val="20"/>
        </w:rPr>
        <w:t>The provision that all resolutions before the Assembly are put into one</w:t>
      </w:r>
      <w:r>
        <w:rPr>
          <w:spacing w:val="21"/>
          <w:w w:val="120"/>
          <w:sz w:val="20"/>
        </w:rPr>
        <w:t> </w:t>
      </w:r>
      <w:r>
        <w:rPr>
          <w:w w:val="120"/>
          <w:sz w:val="20"/>
        </w:rPr>
        <w:t>of</w:t>
      </w:r>
    </w:p>
    <w:p>
      <w:pPr>
        <w:pStyle w:val="BodyText"/>
        <w:spacing w:line="235" w:lineRule="auto" w:before="2"/>
        <w:ind w:left="1842" w:right="1521"/>
      </w:pPr>
      <w:r>
        <w:rPr>
          <w:w w:val="120"/>
        </w:rPr>
        <w:t>three groups: A – resolutions which will be taken en bloc and decided by majority vote, B</w:t>
      </w:r>
      <w:r>
        <w:rPr>
          <w:spacing w:val="5"/>
          <w:w w:val="120"/>
        </w:rPr>
        <w:t> </w:t>
      </w:r>
      <w:r>
        <w:rPr>
          <w:w w:val="120"/>
        </w:rPr>
        <w:t>–</w:t>
      </w:r>
      <w:r>
        <w:rPr>
          <w:spacing w:val="5"/>
          <w:w w:val="120"/>
        </w:rPr>
        <w:t> </w:t>
      </w:r>
      <w:r>
        <w:rPr>
          <w:w w:val="120"/>
        </w:rPr>
        <w:t>resolutions</w:t>
      </w:r>
      <w:r>
        <w:rPr>
          <w:spacing w:val="6"/>
          <w:w w:val="120"/>
        </w:rPr>
        <w:t> </w:t>
      </w:r>
      <w:r>
        <w:rPr>
          <w:w w:val="120"/>
        </w:rPr>
        <w:t>which</w:t>
      </w:r>
      <w:r>
        <w:rPr>
          <w:spacing w:val="5"/>
          <w:w w:val="120"/>
        </w:rPr>
        <w:t> </w:t>
      </w:r>
      <w:r>
        <w:rPr>
          <w:w w:val="120"/>
        </w:rPr>
        <w:t>will</w:t>
      </w:r>
      <w:r>
        <w:rPr>
          <w:spacing w:val="6"/>
          <w:w w:val="120"/>
        </w:rPr>
        <w:t> </w:t>
      </w:r>
      <w:r>
        <w:rPr>
          <w:w w:val="120"/>
        </w:rPr>
        <w:t>be</w:t>
      </w:r>
      <w:r>
        <w:rPr>
          <w:spacing w:val="5"/>
          <w:w w:val="120"/>
        </w:rPr>
        <w:t> </w:t>
      </w:r>
      <w:r>
        <w:rPr>
          <w:w w:val="120"/>
        </w:rPr>
        <w:t>taken</w:t>
      </w:r>
      <w:r>
        <w:rPr>
          <w:spacing w:val="5"/>
          <w:w w:val="120"/>
        </w:rPr>
        <w:t> </w:t>
      </w:r>
      <w:r>
        <w:rPr>
          <w:w w:val="120"/>
        </w:rPr>
        <w:t>individually</w:t>
      </w:r>
      <w:r>
        <w:rPr>
          <w:spacing w:val="6"/>
          <w:w w:val="120"/>
        </w:rPr>
        <w:t> </w:t>
      </w:r>
      <w:r>
        <w:rPr>
          <w:w w:val="120"/>
        </w:rPr>
        <w:t>and</w:t>
      </w:r>
      <w:r>
        <w:rPr>
          <w:spacing w:val="5"/>
          <w:w w:val="120"/>
        </w:rPr>
        <w:t> </w:t>
      </w:r>
      <w:r>
        <w:rPr>
          <w:w w:val="120"/>
        </w:rPr>
        <w:t>decided</w:t>
      </w:r>
      <w:r>
        <w:rPr>
          <w:spacing w:val="6"/>
          <w:w w:val="120"/>
        </w:rPr>
        <w:t> </w:t>
      </w:r>
      <w:r>
        <w:rPr>
          <w:w w:val="120"/>
        </w:rPr>
        <w:t>by</w:t>
      </w:r>
      <w:r>
        <w:rPr>
          <w:spacing w:val="5"/>
          <w:w w:val="120"/>
        </w:rPr>
        <w:t> </w:t>
      </w:r>
      <w:r>
        <w:rPr>
          <w:w w:val="120"/>
        </w:rPr>
        <w:t>majority</w:t>
      </w:r>
      <w:r>
        <w:rPr>
          <w:spacing w:val="5"/>
          <w:w w:val="120"/>
        </w:rPr>
        <w:t> </w:t>
      </w:r>
      <w:r>
        <w:rPr>
          <w:w w:val="120"/>
        </w:rPr>
        <w:t>vote</w:t>
      </w:r>
      <w:r>
        <w:rPr>
          <w:spacing w:val="6"/>
          <w:w w:val="120"/>
        </w:rPr>
        <w:t> </w:t>
      </w:r>
      <w:r>
        <w:rPr>
          <w:w w:val="120"/>
        </w:rPr>
        <w:t>and</w:t>
      </w:r>
    </w:p>
    <w:p>
      <w:pPr>
        <w:pStyle w:val="BodyText"/>
        <w:spacing w:line="242" w:lineRule="exact"/>
        <w:ind w:left="1842"/>
      </w:pPr>
      <w:r>
        <w:rPr>
          <w:w w:val="120"/>
        </w:rPr>
        <w:t>C – resolutions which will be decided by the consensus process.</w:t>
      </w:r>
    </w:p>
    <w:p>
      <w:pPr>
        <w:pStyle w:val="BodyText"/>
        <w:spacing w:before="8"/>
        <w:rPr>
          <w:sz w:val="19"/>
        </w:rPr>
      </w:pPr>
    </w:p>
    <w:p>
      <w:pPr>
        <w:pStyle w:val="ListParagraph"/>
        <w:numPr>
          <w:ilvl w:val="0"/>
          <w:numId w:val="36"/>
        </w:numPr>
        <w:tabs>
          <w:tab w:pos="2522" w:val="left" w:leader="none"/>
          <w:tab w:pos="2523" w:val="left" w:leader="none"/>
        </w:tabs>
        <w:spacing w:line="235" w:lineRule="auto" w:before="0" w:after="0"/>
        <w:ind w:left="1842" w:right="1936" w:firstLine="0"/>
        <w:jc w:val="left"/>
        <w:rPr>
          <w:sz w:val="20"/>
        </w:rPr>
      </w:pPr>
      <w:r>
        <w:rPr>
          <w:w w:val="120"/>
          <w:sz w:val="20"/>
        </w:rPr>
        <w:t>The provision that the </w:t>
      </w:r>
      <w:r>
        <w:rPr>
          <w:spacing w:val="2"/>
          <w:w w:val="120"/>
          <w:sz w:val="20"/>
        </w:rPr>
        <w:t>draft </w:t>
      </w:r>
      <w:r>
        <w:rPr>
          <w:w w:val="120"/>
          <w:sz w:val="20"/>
        </w:rPr>
        <w:t>minutes of each day no longer be distributed   to all members of Assembly, but instead that they be posted on a secure section of the Assembly website which would be available only to those present (because of the possibility that the first </w:t>
      </w:r>
      <w:r>
        <w:rPr>
          <w:spacing w:val="2"/>
          <w:w w:val="120"/>
          <w:sz w:val="20"/>
        </w:rPr>
        <w:t>draft </w:t>
      </w:r>
      <w:r>
        <w:rPr>
          <w:w w:val="120"/>
          <w:sz w:val="20"/>
        </w:rPr>
        <w:t>could subsequently be materially changed) and additionally that a small number of copies would be printed and made available within the Assembly</w:t>
      </w:r>
      <w:r>
        <w:rPr>
          <w:spacing w:val="6"/>
          <w:w w:val="120"/>
          <w:sz w:val="20"/>
        </w:rPr>
        <w:t> </w:t>
      </w:r>
      <w:r>
        <w:rPr>
          <w:w w:val="120"/>
          <w:sz w:val="20"/>
        </w:rPr>
        <w:t>hall.</w:t>
      </w:r>
    </w:p>
    <w:p>
      <w:pPr>
        <w:pStyle w:val="BodyText"/>
      </w:pPr>
    </w:p>
    <w:p>
      <w:pPr>
        <w:pStyle w:val="ListParagraph"/>
        <w:numPr>
          <w:ilvl w:val="0"/>
          <w:numId w:val="36"/>
        </w:numPr>
        <w:tabs>
          <w:tab w:pos="2522" w:val="left" w:leader="none"/>
          <w:tab w:pos="2523" w:val="left" w:leader="none"/>
        </w:tabs>
        <w:spacing w:line="235" w:lineRule="auto" w:before="0" w:after="0"/>
        <w:ind w:left="1842" w:right="1704" w:firstLine="0"/>
        <w:jc w:val="left"/>
        <w:rPr>
          <w:sz w:val="20"/>
        </w:rPr>
      </w:pPr>
      <w:r>
        <w:rPr>
          <w:w w:val="120"/>
          <w:sz w:val="20"/>
        </w:rPr>
        <w:t>A provision which would require that the moderator should make a statement at the </w:t>
      </w:r>
      <w:r>
        <w:rPr>
          <w:spacing w:val="2"/>
          <w:w w:val="120"/>
          <w:sz w:val="20"/>
        </w:rPr>
        <w:t>start </w:t>
      </w:r>
      <w:r>
        <w:rPr>
          <w:w w:val="120"/>
          <w:sz w:val="20"/>
        </w:rPr>
        <w:t>of a consensus process if s/he judges that the matter is urgent and must be resolved at the current meeting of the Assembly. This would replace the</w:t>
      </w:r>
      <w:r>
        <w:rPr>
          <w:spacing w:val="41"/>
          <w:w w:val="120"/>
          <w:sz w:val="20"/>
        </w:rPr>
        <w:t> </w:t>
      </w:r>
      <w:r>
        <w:rPr>
          <w:w w:val="120"/>
          <w:sz w:val="20"/>
        </w:rPr>
        <w:t>current</w:t>
      </w:r>
    </w:p>
    <w:p>
      <w:pPr>
        <w:pStyle w:val="BodyText"/>
        <w:spacing w:line="235" w:lineRule="auto" w:before="2"/>
        <w:ind w:left="1842" w:right="1521"/>
      </w:pPr>
      <w:r>
        <w:rPr>
          <w:w w:val="120"/>
        </w:rPr>
        <w:t>provision which permits the moderator so to declare if, following the working through of the process, there is no agreement.</w:t>
      </w:r>
    </w:p>
    <w:p>
      <w:pPr>
        <w:pStyle w:val="BodyText"/>
        <w:spacing w:before="10"/>
        <w:rPr>
          <w:sz w:val="19"/>
        </w:rPr>
      </w:pPr>
    </w:p>
    <w:p>
      <w:pPr>
        <w:pStyle w:val="ListParagraph"/>
        <w:numPr>
          <w:ilvl w:val="0"/>
          <w:numId w:val="36"/>
        </w:numPr>
        <w:tabs>
          <w:tab w:pos="2522" w:val="left" w:leader="none"/>
          <w:tab w:pos="2523" w:val="left" w:leader="none"/>
        </w:tabs>
        <w:spacing w:line="235" w:lineRule="auto" w:before="0" w:after="0"/>
        <w:ind w:left="1842" w:right="1450" w:firstLine="0"/>
        <w:jc w:val="left"/>
        <w:rPr>
          <w:sz w:val="20"/>
        </w:rPr>
      </w:pPr>
      <w:r>
        <w:rPr>
          <w:spacing w:val="-6"/>
          <w:w w:val="120"/>
          <w:sz w:val="20"/>
        </w:rPr>
        <w:t>Two </w:t>
      </w:r>
      <w:r>
        <w:rPr>
          <w:w w:val="120"/>
          <w:sz w:val="20"/>
        </w:rPr>
        <w:t>corrections. </w:t>
      </w:r>
      <w:r>
        <w:rPr>
          <w:spacing w:val="-11"/>
          <w:w w:val="120"/>
          <w:sz w:val="20"/>
        </w:rPr>
        <w:t>(a) </w:t>
      </w:r>
      <w:r>
        <w:rPr>
          <w:w w:val="120"/>
          <w:sz w:val="20"/>
        </w:rPr>
        <w:t>When the Assembly became biennial the necessary changes to the standing orders failed to remove the word “annually” from standing order</w:t>
      </w:r>
      <w:r>
        <w:rPr>
          <w:spacing w:val="3"/>
          <w:w w:val="120"/>
          <w:sz w:val="20"/>
        </w:rPr>
        <w:t> </w:t>
      </w:r>
      <w:r>
        <w:rPr>
          <w:w w:val="120"/>
          <w:sz w:val="20"/>
        </w:rPr>
        <w:t>3a.</w:t>
      </w:r>
    </w:p>
    <w:p>
      <w:pPr>
        <w:pStyle w:val="BodyText"/>
        <w:spacing w:line="242" w:lineRule="exact"/>
        <w:ind w:left="1842"/>
      </w:pPr>
      <w:r>
        <w:rPr>
          <w:w w:val="120"/>
        </w:rPr>
        <w:t>(b) The removal of a reference to district councils in standing order 3d.</w:t>
      </w:r>
    </w:p>
    <w:p>
      <w:pPr>
        <w:spacing w:after="0" w:line="242" w:lineRule="exact"/>
        <w:sectPr>
          <w:headerReference w:type="default" r:id="rId141"/>
          <w:footerReference w:type="default" r:id="rId142"/>
          <w:footerReference w:type="even" r:id="rId143"/>
          <w:pgSz w:w="11910" w:h="16840"/>
          <w:pgMar w:header="0" w:footer="647" w:top="0" w:bottom="840" w:left="0" w:right="0"/>
          <w:pgNumType w:start="59"/>
        </w:sectPr>
      </w:pPr>
    </w:p>
    <w:p>
      <w:pPr>
        <w:pStyle w:val="BodyText"/>
      </w:pPr>
      <w:r>
        <w:rPr/>
        <w:drawing>
          <wp:anchor distT="0" distB="0" distL="0" distR="0" allowOverlap="1" layoutInCell="1" locked="0" behindDoc="0" simplePos="0" relativeHeight="251838464">
            <wp:simplePos x="0" y="0"/>
            <wp:positionH relativeFrom="page">
              <wp:posOffset>0</wp:posOffset>
            </wp:positionH>
            <wp:positionV relativeFrom="page">
              <wp:posOffset>0</wp:posOffset>
            </wp:positionV>
            <wp:extent cx="594067" cy="10692003"/>
            <wp:effectExtent l="0" t="0" r="0" b="0"/>
            <wp:wrapNone/>
            <wp:docPr id="111" name="image22.png"/>
            <wp:cNvGraphicFramePr>
              <a:graphicFrameLocks noChangeAspect="1"/>
            </wp:cNvGraphicFramePr>
            <a:graphic>
              <a:graphicData uri="http://schemas.openxmlformats.org/drawingml/2006/picture">
                <pic:pic>
                  <pic:nvPicPr>
                    <pic:cNvPr id="112" name="image22.png"/>
                    <pic:cNvPicPr/>
                  </pic:nvPicPr>
                  <pic:blipFill>
                    <a:blip r:embed="rId33"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shape style="position:absolute;margin-left:20.519100pt;margin-top:22.593945pt;width:25.9pt;height:322.8pt;mso-position-horizontal-relative:page;mso-position-vertical-relative:paragraph;z-index:251839488" type="#_x0000_t202" filled="false" stroked="false">
            <v:textbox inset="0,0,0,0" style="layout-flow:vertical">
              <w:txbxContent>
                <w:p>
                  <w:pPr>
                    <w:spacing w:before="27"/>
                    <w:ind w:left="20" w:right="0" w:firstLine="0"/>
                    <w:jc w:val="left"/>
                    <w:rPr>
                      <w:sz w:val="39"/>
                    </w:rPr>
                  </w:pPr>
                  <w:r>
                    <w:rPr>
                      <w:color w:val="FFFFFF"/>
                      <w:spacing w:val="9"/>
                      <w:w w:val="120"/>
                      <w:sz w:val="39"/>
                    </w:rPr>
                    <w:t>Changes </w:t>
                  </w:r>
                  <w:r>
                    <w:rPr>
                      <w:color w:val="FFFFFF"/>
                      <w:spacing w:val="3"/>
                      <w:w w:val="120"/>
                      <w:sz w:val="39"/>
                    </w:rPr>
                    <w:t>to </w:t>
                  </w:r>
                  <w:r>
                    <w:rPr>
                      <w:color w:val="FFFFFF"/>
                      <w:spacing w:val="8"/>
                      <w:w w:val="120"/>
                      <w:sz w:val="39"/>
                    </w:rPr>
                    <w:t>the </w:t>
                  </w:r>
                  <w:r>
                    <w:rPr>
                      <w:color w:val="FFFFFF"/>
                      <w:spacing w:val="10"/>
                      <w:w w:val="120"/>
                      <w:sz w:val="39"/>
                    </w:rPr>
                    <w:t>standing</w:t>
                  </w:r>
                  <w:r>
                    <w:rPr>
                      <w:color w:val="FFFFFF"/>
                      <w:spacing w:val="114"/>
                      <w:w w:val="120"/>
                      <w:sz w:val="39"/>
                    </w:rPr>
                    <w:t> </w:t>
                  </w:r>
                  <w:r>
                    <w:rPr>
                      <w:color w:val="FFFFFF"/>
                      <w:spacing w:val="10"/>
                      <w:w w:val="120"/>
                      <w:sz w:val="39"/>
                    </w:rPr>
                    <w:t>orders</w:t>
                  </w:r>
                </w:p>
              </w:txbxContent>
            </v:textbox>
            <w10:wrap type="none"/>
          </v:shape>
        </w:pict>
      </w:r>
      <w:r>
        <w:rPr>
          <w:color w:val="7EAABF"/>
          <w:w w:val="120"/>
        </w:rPr>
        <w:t>Mission Council</w:t>
      </w:r>
    </w:p>
    <w:p>
      <w:pPr>
        <w:pStyle w:val="BodyText"/>
        <w:spacing w:before="8"/>
        <w:rPr>
          <w:sz w:val="24"/>
        </w:rPr>
      </w:pPr>
    </w:p>
    <w:p>
      <w:pPr>
        <w:spacing w:line="213" w:lineRule="auto" w:before="1"/>
        <w:ind w:left="1247" w:right="2004" w:firstLine="0"/>
        <w:jc w:val="left"/>
        <w:rPr>
          <w:rFonts w:ascii="Stone Sans II ITC Std X Bd"/>
          <w:b/>
          <w:sz w:val="50"/>
        </w:rPr>
      </w:pPr>
      <w:r>
        <w:rPr>
          <w:rFonts w:ascii="Stone Sans II ITC Std X Bd"/>
          <w:b/>
          <w:w w:val="110"/>
          <w:sz w:val="50"/>
        </w:rPr>
        <w:t>Standing orders of General Assembly 2014</w:t>
      </w:r>
    </w:p>
    <w:p>
      <w:pPr>
        <w:pStyle w:val="ListParagraph"/>
        <w:numPr>
          <w:ilvl w:val="0"/>
          <w:numId w:val="37"/>
        </w:numPr>
        <w:tabs>
          <w:tab w:pos="1927" w:val="left" w:leader="none"/>
          <w:tab w:pos="1928" w:val="left" w:leader="none"/>
        </w:tabs>
        <w:spacing w:line="240" w:lineRule="auto" w:before="547" w:after="0"/>
        <w:ind w:left="1927" w:right="0" w:hanging="681"/>
        <w:jc w:val="left"/>
        <w:rPr>
          <w:rFonts w:ascii="Stone Sans II ITC Std Bk"/>
          <w:b/>
          <w:sz w:val="29"/>
        </w:rPr>
      </w:pPr>
      <w:r>
        <w:rPr>
          <w:rFonts w:ascii="Stone Sans II ITC Std Bk"/>
          <w:b/>
          <w:spacing w:val="4"/>
          <w:w w:val="110"/>
          <w:sz w:val="29"/>
        </w:rPr>
        <w:t>The Agenda </w:t>
      </w:r>
      <w:r>
        <w:rPr>
          <w:rFonts w:ascii="Stone Sans II ITC Std Bk"/>
          <w:b/>
          <w:w w:val="110"/>
          <w:sz w:val="29"/>
        </w:rPr>
        <w:t>of </w:t>
      </w:r>
      <w:r>
        <w:rPr>
          <w:rFonts w:ascii="Stone Sans II ITC Std Bk"/>
          <w:b/>
          <w:spacing w:val="2"/>
          <w:w w:val="110"/>
          <w:sz w:val="29"/>
        </w:rPr>
        <w:t>the</w:t>
      </w:r>
      <w:r>
        <w:rPr>
          <w:rFonts w:ascii="Stone Sans II ITC Std Bk"/>
          <w:b/>
          <w:spacing w:val="43"/>
          <w:w w:val="110"/>
          <w:sz w:val="29"/>
        </w:rPr>
        <w:t> </w:t>
      </w:r>
      <w:r>
        <w:rPr>
          <w:rFonts w:ascii="Stone Sans II ITC Std Bk"/>
          <w:b/>
          <w:spacing w:val="4"/>
          <w:w w:val="110"/>
          <w:sz w:val="29"/>
        </w:rPr>
        <w:t>Assembly</w:t>
      </w:r>
    </w:p>
    <w:p>
      <w:pPr>
        <w:pStyle w:val="BodyText"/>
        <w:tabs>
          <w:tab w:pos="1927" w:val="left" w:leader="none"/>
        </w:tabs>
        <w:spacing w:line="235" w:lineRule="auto" w:before="69"/>
        <w:ind w:left="1247" w:right="2167"/>
      </w:pPr>
      <w:r>
        <w:rPr>
          <w:spacing w:val="-5"/>
          <w:w w:val="120"/>
        </w:rPr>
        <w:t>1a.</w:t>
        <w:tab/>
      </w:r>
      <w:r>
        <w:rPr>
          <w:w w:val="120"/>
        </w:rPr>
        <w:t>At its meetings the Assembly shall consider </w:t>
      </w:r>
      <w:r>
        <w:rPr>
          <w:spacing w:val="2"/>
          <w:w w:val="120"/>
        </w:rPr>
        <w:t>reports </w:t>
      </w:r>
      <w:r>
        <w:rPr>
          <w:w w:val="120"/>
        </w:rPr>
        <w:t>and </w:t>
      </w:r>
      <w:r>
        <w:rPr>
          <w:spacing w:val="2"/>
          <w:w w:val="120"/>
        </w:rPr>
        <w:t>draft </w:t>
      </w:r>
      <w:r>
        <w:rPr>
          <w:w w:val="120"/>
        </w:rPr>
        <w:t>motions prepared by its committees, which include the Mission Council, or by synods, and motions and amendments of which due notice has been given submitted by individual members of the</w:t>
      </w:r>
      <w:r>
        <w:rPr>
          <w:spacing w:val="1"/>
          <w:w w:val="120"/>
        </w:rPr>
        <w:t> </w:t>
      </w:r>
      <w:r>
        <w:rPr>
          <w:w w:val="120"/>
        </w:rPr>
        <w:t>Assembly.</w:t>
      </w:r>
    </w:p>
    <w:p>
      <w:pPr>
        <w:pStyle w:val="BodyText"/>
        <w:spacing w:before="11"/>
        <w:rPr>
          <w:sz w:val="19"/>
        </w:rPr>
      </w:pPr>
    </w:p>
    <w:p>
      <w:pPr>
        <w:pStyle w:val="BodyText"/>
        <w:tabs>
          <w:tab w:pos="1927" w:val="left" w:leader="none"/>
        </w:tabs>
        <w:spacing w:line="235" w:lineRule="auto"/>
        <w:ind w:left="1247" w:right="2004"/>
      </w:pPr>
      <w:r>
        <w:rPr>
          <w:color w:val="E42322"/>
          <w:spacing w:val="-6"/>
          <w:w w:val="120"/>
        </w:rPr>
        <w:t>1b.</w:t>
        <w:tab/>
      </w:r>
      <w:r>
        <w:rPr>
          <w:color w:val="E42322"/>
          <w:w w:val="120"/>
        </w:rPr>
        <w:t>For the good ordering of General Assembly’s time, the moderators for that Assembly, in consultation with the general secretary and the clerk, shall group the </w:t>
      </w:r>
      <w:r>
        <w:rPr>
          <w:color w:val="E42322"/>
          <w:spacing w:val="2"/>
          <w:w w:val="120"/>
        </w:rPr>
        <w:t>draft </w:t>
      </w:r>
      <w:r>
        <w:rPr>
          <w:color w:val="E42322"/>
          <w:w w:val="120"/>
        </w:rPr>
        <w:t>motions into three groups which shall determine the manner in which the Assembly shall consider them: A – en bloc, B – majority voting and C – consensus. All matters covered by section </w:t>
      </w:r>
      <w:r>
        <w:rPr>
          <w:color w:val="E42322"/>
          <w:spacing w:val="-9"/>
          <w:w w:val="120"/>
        </w:rPr>
        <w:t>3(1) </w:t>
      </w:r>
      <w:r>
        <w:rPr>
          <w:color w:val="E42322"/>
          <w:w w:val="120"/>
        </w:rPr>
        <w:t>and </w:t>
      </w:r>
      <w:r>
        <w:rPr>
          <w:color w:val="E42322"/>
          <w:spacing w:val="-8"/>
          <w:w w:val="120"/>
        </w:rPr>
        <w:t>(2) </w:t>
      </w:r>
      <w:r>
        <w:rPr>
          <w:color w:val="E42322"/>
          <w:w w:val="120"/>
        </w:rPr>
        <w:t>of the Structure of the United Reformed Church shall be placed in group B. In the case of any other matter the moderator may rule at any time that a motion be taken from group B and placed in group</w:t>
      </w:r>
      <w:r>
        <w:rPr>
          <w:color w:val="E42322"/>
          <w:spacing w:val="39"/>
          <w:w w:val="120"/>
        </w:rPr>
        <w:t> </w:t>
      </w:r>
      <w:r>
        <w:rPr>
          <w:color w:val="E42322"/>
          <w:w w:val="120"/>
        </w:rPr>
        <w:t>C.</w:t>
      </w:r>
    </w:p>
    <w:p>
      <w:pPr>
        <w:pStyle w:val="BodyText"/>
        <w:spacing w:before="1"/>
      </w:pPr>
    </w:p>
    <w:p>
      <w:pPr>
        <w:pStyle w:val="BodyText"/>
        <w:tabs>
          <w:tab w:pos="1927" w:val="left" w:leader="none"/>
        </w:tabs>
        <w:spacing w:line="235" w:lineRule="auto"/>
        <w:ind w:left="1247" w:right="2074"/>
      </w:pPr>
      <w:r>
        <w:rPr>
          <w:color w:val="E42322"/>
          <w:spacing w:val="-5"/>
          <w:w w:val="120"/>
        </w:rPr>
        <w:t>1c.</w:t>
        <w:tab/>
      </w:r>
      <w:r>
        <w:rPr>
          <w:color w:val="E42322"/>
          <w:w w:val="120"/>
        </w:rPr>
        <w:t>The motions in group A shall be taken en bloc. Notice in writing to the effect  that one or more of the motions included in group A should be considered separately may be given to the general secretary by the close of business on the first day of the meeting of the Assembly. If such notice, which must be signed by at least six members of the Assembly, is duly received, then the </w:t>
      </w:r>
      <w:r>
        <w:rPr>
          <w:color w:val="E42322"/>
          <w:spacing w:val="-4"/>
          <w:w w:val="120"/>
        </w:rPr>
        <w:t>motion(s) </w:t>
      </w:r>
      <w:r>
        <w:rPr>
          <w:color w:val="E42322"/>
          <w:w w:val="120"/>
        </w:rPr>
        <w:t>in question shall be removed from group </w:t>
      </w:r>
      <w:r>
        <w:rPr>
          <w:color w:val="E42322"/>
          <w:spacing w:val="3"/>
          <w:w w:val="120"/>
        </w:rPr>
        <w:t>A. </w:t>
      </w:r>
      <w:r>
        <w:rPr>
          <w:color w:val="E42322"/>
          <w:w w:val="120"/>
        </w:rPr>
        <w:t>It shall be for the moderators, in consultation with the general secretary and the clerk, to determine in which of groups B and C any such separated motions should be placed. When the single motion to approve Group A is before the Assembly, the  vote shall be taken immediately, the motion being determined by a majority</w:t>
      </w:r>
      <w:r>
        <w:rPr>
          <w:color w:val="E42322"/>
          <w:spacing w:val="28"/>
          <w:w w:val="120"/>
        </w:rPr>
        <w:t> </w:t>
      </w:r>
      <w:r>
        <w:rPr>
          <w:color w:val="E42322"/>
          <w:w w:val="120"/>
        </w:rPr>
        <w:t>of</w:t>
      </w:r>
    </w:p>
    <w:p>
      <w:pPr>
        <w:pStyle w:val="BodyText"/>
        <w:spacing w:line="235" w:lineRule="auto" w:before="7"/>
        <w:ind w:left="1247" w:right="2586"/>
      </w:pPr>
      <w:r>
        <w:rPr>
          <w:color w:val="E42322"/>
          <w:w w:val="120"/>
        </w:rPr>
        <w:t>the votes of members of the Assembly present and voting as indicated by a show of voting cards.</w:t>
      </w:r>
    </w:p>
    <w:p>
      <w:pPr>
        <w:pStyle w:val="BodyText"/>
        <w:spacing w:before="9"/>
        <w:rPr>
          <w:sz w:val="19"/>
        </w:rPr>
      </w:pPr>
    </w:p>
    <w:p>
      <w:pPr>
        <w:pStyle w:val="BodyText"/>
        <w:tabs>
          <w:tab w:pos="1927" w:val="left" w:leader="none"/>
        </w:tabs>
        <w:spacing w:line="235" w:lineRule="auto"/>
        <w:ind w:left="1247" w:right="2586"/>
      </w:pPr>
      <w:r>
        <w:rPr>
          <w:color w:val="E42322"/>
          <w:spacing w:val="-5"/>
          <w:w w:val="120"/>
        </w:rPr>
        <w:t>1d.</w:t>
        <w:tab/>
      </w:r>
      <w:r>
        <w:rPr>
          <w:color w:val="E42322"/>
          <w:w w:val="120"/>
        </w:rPr>
        <w:t>The motions in group B shall be determined by majority vote, and standing order 2 shall not</w:t>
      </w:r>
      <w:r>
        <w:rPr>
          <w:color w:val="E42322"/>
          <w:spacing w:val="8"/>
          <w:w w:val="120"/>
        </w:rPr>
        <w:t> </w:t>
      </w:r>
      <w:r>
        <w:rPr>
          <w:color w:val="E42322"/>
          <w:w w:val="120"/>
        </w:rPr>
        <w:t>apply.</w:t>
      </w:r>
    </w:p>
    <w:p>
      <w:pPr>
        <w:pStyle w:val="BodyText"/>
        <w:spacing w:before="10"/>
        <w:rPr>
          <w:sz w:val="19"/>
        </w:rPr>
      </w:pPr>
    </w:p>
    <w:p>
      <w:pPr>
        <w:pStyle w:val="BodyText"/>
        <w:tabs>
          <w:tab w:pos="1927" w:val="left" w:leader="none"/>
        </w:tabs>
        <w:spacing w:line="235" w:lineRule="auto"/>
        <w:ind w:left="1247" w:right="2167"/>
      </w:pPr>
      <w:r>
        <w:rPr>
          <w:color w:val="E42322"/>
          <w:spacing w:val="-5"/>
          <w:w w:val="120"/>
        </w:rPr>
        <w:t>1e.</w:t>
        <w:tab/>
      </w:r>
      <w:r>
        <w:rPr>
          <w:color w:val="E42322"/>
          <w:w w:val="120"/>
        </w:rPr>
        <w:t>The motions in group C shall be considered by means of the consensus decision making process set out in standing order</w:t>
      </w:r>
      <w:r>
        <w:rPr>
          <w:color w:val="E42322"/>
          <w:spacing w:val="17"/>
          <w:w w:val="120"/>
        </w:rPr>
        <w:t> </w:t>
      </w:r>
      <w:r>
        <w:rPr>
          <w:color w:val="E42322"/>
          <w:w w:val="120"/>
        </w:rPr>
        <w:t>2.</w:t>
      </w:r>
    </w:p>
    <w:p>
      <w:pPr>
        <w:pStyle w:val="BodyText"/>
        <w:spacing w:before="9"/>
        <w:rPr>
          <w:sz w:val="19"/>
        </w:rPr>
      </w:pPr>
    </w:p>
    <w:p>
      <w:pPr>
        <w:pStyle w:val="BodyText"/>
        <w:spacing w:line="235" w:lineRule="auto" w:before="1"/>
        <w:ind w:left="1247" w:right="1982"/>
        <w:jc w:val="both"/>
      </w:pPr>
      <w:r>
        <w:rPr>
          <w:w w:val="120"/>
        </w:rPr>
        <w:t>1</w:t>
      </w:r>
      <w:r>
        <w:rPr>
          <w:color w:val="E42322"/>
          <w:w w:val="120"/>
        </w:rPr>
        <w:t>f</w:t>
      </w:r>
      <w:r>
        <w:rPr>
          <w:w w:val="120"/>
        </w:rPr>
        <w:t>. The Assembly arrangements committee shall prepare before each meeting of the Assembly a draft order of business, and submit it to the Assembly as early as convenient in the programme.</w:t>
      </w:r>
    </w:p>
    <w:p>
      <w:pPr>
        <w:pStyle w:val="BodyText"/>
        <w:spacing w:before="10"/>
        <w:rPr>
          <w:sz w:val="19"/>
        </w:rPr>
      </w:pPr>
    </w:p>
    <w:p>
      <w:pPr>
        <w:pStyle w:val="BodyText"/>
        <w:tabs>
          <w:tab w:pos="1927" w:val="left" w:leader="none"/>
        </w:tabs>
        <w:spacing w:line="235" w:lineRule="auto"/>
        <w:ind w:left="1247" w:right="2200"/>
      </w:pPr>
      <w:r>
        <w:rPr>
          <w:spacing w:val="-5"/>
          <w:w w:val="120"/>
        </w:rPr>
        <w:t>1</w:t>
      </w:r>
      <w:r>
        <w:rPr>
          <w:color w:val="E42322"/>
          <w:spacing w:val="-5"/>
          <w:w w:val="120"/>
        </w:rPr>
        <w:t>g</w:t>
      </w:r>
      <w:r>
        <w:rPr>
          <w:spacing w:val="-5"/>
          <w:w w:val="120"/>
        </w:rPr>
        <w:t>.</w:t>
        <w:tab/>
      </w:r>
      <w:r>
        <w:rPr>
          <w:w w:val="120"/>
        </w:rPr>
        <w:t>Motions arising from a </w:t>
      </w:r>
      <w:r>
        <w:rPr>
          <w:spacing w:val="2"/>
          <w:w w:val="120"/>
        </w:rPr>
        <w:t>report </w:t>
      </w:r>
      <w:r>
        <w:rPr>
          <w:w w:val="120"/>
        </w:rPr>
        <w:t>which have been duly seconded and submitted by individual members of Assembly under rule 4b shall be taken at a point in the business determined by the moderator on the advice of the convener of the Assembly arrangements</w:t>
      </w:r>
      <w:r>
        <w:rPr>
          <w:spacing w:val="2"/>
          <w:w w:val="120"/>
        </w:rPr>
        <w:t> </w:t>
      </w:r>
      <w:r>
        <w:rPr>
          <w:w w:val="120"/>
        </w:rPr>
        <w:t>committee.</w:t>
      </w:r>
    </w:p>
    <w:p>
      <w:pPr>
        <w:pStyle w:val="BodyText"/>
        <w:spacing w:before="11"/>
        <w:rPr>
          <w:sz w:val="19"/>
        </w:rPr>
      </w:pPr>
    </w:p>
    <w:p>
      <w:pPr>
        <w:pStyle w:val="BodyText"/>
        <w:tabs>
          <w:tab w:pos="1927" w:val="left" w:leader="none"/>
        </w:tabs>
        <w:spacing w:line="235" w:lineRule="auto"/>
        <w:ind w:left="1247" w:right="2167"/>
      </w:pPr>
      <w:r>
        <w:rPr>
          <w:spacing w:val="-5"/>
          <w:w w:val="120"/>
        </w:rPr>
        <w:t>1</w:t>
      </w:r>
      <w:r>
        <w:rPr>
          <w:color w:val="E42322"/>
          <w:spacing w:val="-5"/>
          <w:w w:val="120"/>
        </w:rPr>
        <w:t>h</w:t>
      </w:r>
      <w:r>
        <w:rPr>
          <w:spacing w:val="-5"/>
          <w:w w:val="120"/>
        </w:rPr>
        <w:t>.</w:t>
        <w:tab/>
      </w:r>
      <w:r>
        <w:rPr>
          <w:w w:val="120"/>
        </w:rPr>
        <w:t>If notice has been given of two or more motions on the same subject, or two or more amendments to the same motion, these shall be taken in the order decided by the moderator on the advice of the</w:t>
      </w:r>
      <w:r>
        <w:rPr>
          <w:spacing w:val="14"/>
          <w:w w:val="120"/>
        </w:rPr>
        <w:t> </w:t>
      </w:r>
      <w:r>
        <w:rPr>
          <w:w w:val="120"/>
        </w:rPr>
        <w:t>clerk.</w:t>
      </w:r>
    </w:p>
    <w:p>
      <w:pPr>
        <w:pStyle w:val="BodyText"/>
        <w:spacing w:before="10"/>
        <w:rPr>
          <w:sz w:val="19"/>
        </w:rPr>
      </w:pPr>
    </w:p>
    <w:p>
      <w:pPr>
        <w:pStyle w:val="BodyText"/>
        <w:tabs>
          <w:tab w:pos="1927" w:val="left" w:leader="none"/>
        </w:tabs>
        <w:spacing w:line="235" w:lineRule="auto"/>
        <w:ind w:left="1247" w:right="2823"/>
      </w:pPr>
      <w:r>
        <w:rPr>
          <w:spacing w:val="-6"/>
          <w:w w:val="120"/>
        </w:rPr>
        <w:t>1</w:t>
      </w:r>
      <w:r>
        <w:rPr>
          <w:color w:val="E42322"/>
          <w:spacing w:val="-6"/>
          <w:w w:val="120"/>
        </w:rPr>
        <w:t>i</w:t>
      </w:r>
      <w:r>
        <w:rPr>
          <w:spacing w:val="-6"/>
          <w:w w:val="120"/>
        </w:rPr>
        <w:t>.</w:t>
        <w:tab/>
      </w:r>
      <w:r>
        <w:rPr>
          <w:w w:val="120"/>
        </w:rPr>
        <w:t>The convener of the Assembly arrangements committee </w:t>
      </w:r>
      <w:r>
        <w:rPr>
          <w:spacing w:val="-4"/>
          <w:w w:val="120"/>
        </w:rPr>
        <w:t>may, </w:t>
      </w:r>
      <w:r>
        <w:rPr>
          <w:w w:val="120"/>
        </w:rPr>
        <w:t>during the meeting of the Assembly, propose that the order of business be</w:t>
      </w:r>
      <w:r>
        <w:rPr>
          <w:spacing w:val="41"/>
          <w:w w:val="120"/>
        </w:rPr>
        <w:t> </w:t>
      </w:r>
      <w:r>
        <w:rPr>
          <w:w w:val="120"/>
        </w:rPr>
        <w:t>changed.</w:t>
      </w:r>
    </w:p>
    <w:p>
      <w:pPr>
        <w:spacing w:after="0" w:line="235" w:lineRule="auto"/>
        <w:sectPr>
          <w:headerReference w:type="even" r:id="rId144"/>
          <w:pgSz w:w="11910" w:h="16840"/>
          <w:pgMar w:header="0" w:footer="647" w:top="0" w:bottom="840" w:left="0" w:right="0"/>
        </w:sectPr>
      </w:pPr>
    </w:p>
    <w:p>
      <w:pPr>
        <w:pStyle w:val="BodyText"/>
      </w:pPr>
    </w:p>
    <w:p>
      <w:pPr>
        <w:pStyle w:val="BodyText"/>
        <w:spacing w:before="7"/>
        <w:rPr>
          <w:sz w:val="21"/>
        </w:rPr>
      </w:pPr>
    </w:p>
    <w:p>
      <w:pPr>
        <w:spacing w:after="0"/>
        <w:rPr>
          <w:sz w:val="21"/>
        </w:rPr>
        <w:sectPr>
          <w:headerReference w:type="default" r:id="rId145"/>
          <w:footerReference w:type="default" r:id="rId146"/>
          <w:footerReference w:type="even" r:id="rId147"/>
          <w:pgSz w:w="11910" w:h="16840"/>
          <w:pgMar w:header="0" w:footer="647" w:top="0" w:bottom="840" w:left="0" w:right="0"/>
          <w:pgNumType w:start="61"/>
        </w:sectPr>
      </w:pPr>
    </w:p>
    <w:p>
      <w:pPr>
        <w:pStyle w:val="BodyText"/>
        <w:spacing w:before="4"/>
        <w:rPr>
          <w:sz w:val="52"/>
        </w:rPr>
      </w:pPr>
    </w:p>
    <w:p>
      <w:pPr>
        <w:pStyle w:val="Heading4"/>
        <w:numPr>
          <w:ilvl w:val="0"/>
          <w:numId w:val="37"/>
        </w:numPr>
        <w:tabs>
          <w:tab w:pos="2664" w:val="left" w:leader="none"/>
          <w:tab w:pos="2665" w:val="left" w:leader="none"/>
        </w:tabs>
        <w:spacing w:line="240" w:lineRule="auto" w:before="0" w:after="0"/>
        <w:ind w:left="2664" w:right="0" w:hanging="681"/>
        <w:jc w:val="left"/>
      </w:pPr>
      <w:r>
        <w:rPr>
          <w:spacing w:val="3"/>
          <w:w w:val="110"/>
        </w:rPr>
        <w:t>Consensus decision</w:t>
      </w:r>
      <w:r>
        <w:rPr>
          <w:spacing w:val="41"/>
          <w:w w:val="110"/>
        </w:rPr>
        <w:t> </w:t>
      </w:r>
      <w:r>
        <w:rPr>
          <w:spacing w:val="3"/>
          <w:w w:val="110"/>
        </w:rPr>
        <w:t>making</w:t>
      </w:r>
    </w:p>
    <w:p>
      <w:pPr>
        <w:pStyle w:val="Heading5"/>
        <w:ind w:left="1657"/>
      </w:pPr>
      <w:r>
        <w:rPr/>
        <w:br w:type="column"/>
      </w:r>
      <w:r>
        <w:rPr>
          <w:color w:val="7EAABF"/>
          <w:w w:val="120"/>
        </w:rPr>
        <w:t>Mission Council</w:t>
      </w:r>
    </w:p>
    <w:p>
      <w:pPr>
        <w:spacing w:after="0"/>
        <w:sectPr>
          <w:type w:val="continuous"/>
          <w:pgSz w:w="11910" w:h="16840"/>
          <w:pgMar w:top="680" w:bottom="280" w:left="0" w:right="0"/>
          <w:cols w:num="2" w:equalWidth="0">
            <w:col w:w="7015" w:space="40"/>
            <w:col w:w="4855"/>
          </w:cols>
        </w:sectPr>
      </w:pPr>
    </w:p>
    <w:p>
      <w:pPr>
        <w:pStyle w:val="BodyText"/>
        <w:tabs>
          <w:tab w:pos="2664" w:val="left" w:leader="none"/>
        </w:tabs>
        <w:spacing w:line="235" w:lineRule="auto" w:before="69"/>
        <w:ind w:left="1984" w:right="1521"/>
      </w:pPr>
      <w:r>
        <w:rPr/>
        <w:drawing>
          <wp:anchor distT="0" distB="0" distL="0" distR="0" allowOverlap="1" layoutInCell="1" locked="0" behindDoc="0" simplePos="0" relativeHeight="251840512">
            <wp:simplePos x="0" y="0"/>
            <wp:positionH relativeFrom="page">
              <wp:posOffset>6974928</wp:posOffset>
            </wp:positionH>
            <wp:positionV relativeFrom="page">
              <wp:posOffset>0</wp:posOffset>
            </wp:positionV>
            <wp:extent cx="585076" cy="10692003"/>
            <wp:effectExtent l="0" t="0" r="0" b="0"/>
            <wp:wrapNone/>
            <wp:docPr id="113" name="image23.png"/>
            <wp:cNvGraphicFramePr>
              <a:graphicFrameLocks noChangeAspect="1"/>
            </wp:cNvGraphicFramePr>
            <a:graphic>
              <a:graphicData uri="http://schemas.openxmlformats.org/drawingml/2006/picture">
                <pic:pic>
                  <pic:nvPicPr>
                    <pic:cNvPr id="114" name="image23.png"/>
                    <pic:cNvPicPr/>
                  </pic:nvPicPr>
                  <pic:blipFill>
                    <a:blip r:embed="rId35" cstate="print"/>
                    <a:stretch>
                      <a:fillRect/>
                    </a:stretch>
                  </pic:blipFill>
                  <pic:spPr>
                    <a:xfrm>
                      <a:off x="0" y="0"/>
                      <a:ext cx="585076" cy="10692003"/>
                    </a:xfrm>
                    <a:prstGeom prst="rect">
                      <a:avLst/>
                    </a:prstGeom>
                  </pic:spPr>
                </pic:pic>
              </a:graphicData>
            </a:graphic>
          </wp:anchor>
        </w:drawing>
      </w:r>
      <w:r>
        <w:rPr/>
        <w:pict>
          <v:shape style="position:absolute;margin-left:554.141174pt;margin-top:-28.931347pt;width:25.9pt;height:322.8pt;mso-position-horizontal-relative:page;mso-position-vertical-relative:paragraph;z-index:251841536" type="#_x0000_t202" filled="false" stroked="false">
            <v:textbox inset="0,0,0,0" style="layout-flow:vertical">
              <w:txbxContent>
                <w:p>
                  <w:pPr>
                    <w:spacing w:before="27"/>
                    <w:ind w:left="20" w:right="0" w:firstLine="0"/>
                    <w:jc w:val="left"/>
                    <w:rPr>
                      <w:sz w:val="39"/>
                    </w:rPr>
                  </w:pPr>
                  <w:r>
                    <w:rPr>
                      <w:color w:val="FFFFFF"/>
                      <w:spacing w:val="9"/>
                      <w:w w:val="120"/>
                      <w:sz w:val="39"/>
                    </w:rPr>
                    <w:t>Changes </w:t>
                  </w:r>
                  <w:r>
                    <w:rPr>
                      <w:color w:val="FFFFFF"/>
                      <w:spacing w:val="3"/>
                      <w:w w:val="120"/>
                      <w:sz w:val="39"/>
                    </w:rPr>
                    <w:t>to </w:t>
                  </w:r>
                  <w:r>
                    <w:rPr>
                      <w:color w:val="FFFFFF"/>
                      <w:spacing w:val="8"/>
                      <w:w w:val="120"/>
                      <w:sz w:val="39"/>
                    </w:rPr>
                    <w:t>the </w:t>
                  </w:r>
                  <w:r>
                    <w:rPr>
                      <w:color w:val="FFFFFF"/>
                      <w:spacing w:val="10"/>
                      <w:w w:val="120"/>
                      <w:sz w:val="39"/>
                    </w:rPr>
                    <w:t>standing</w:t>
                  </w:r>
                  <w:r>
                    <w:rPr>
                      <w:color w:val="FFFFFF"/>
                      <w:spacing w:val="114"/>
                      <w:w w:val="120"/>
                      <w:sz w:val="39"/>
                    </w:rPr>
                    <w:t> </w:t>
                  </w:r>
                  <w:r>
                    <w:rPr>
                      <w:color w:val="FFFFFF"/>
                      <w:spacing w:val="10"/>
                      <w:w w:val="120"/>
                      <w:sz w:val="39"/>
                    </w:rPr>
                    <w:t>orders</w:t>
                  </w:r>
                </w:p>
              </w:txbxContent>
            </v:textbox>
            <w10:wrap type="none"/>
          </v:shape>
        </w:pict>
      </w:r>
      <w:r>
        <w:rPr>
          <w:w w:val="120"/>
        </w:rPr>
        <w:t>2a.</w:t>
        <w:tab/>
      </w:r>
      <w:r>
        <w:rPr>
          <w:color w:val="E42322"/>
          <w:w w:val="120"/>
        </w:rPr>
        <w:t>Those motions in group C shall be determined by </w:t>
      </w:r>
      <w:r>
        <w:rPr>
          <w:w w:val="120"/>
        </w:rPr>
        <w:t>a process of decision making by consensus. For these purposes the following standing order 2 will apply and the standing orders </w:t>
      </w:r>
      <w:r>
        <w:rPr>
          <w:spacing w:val="-3"/>
          <w:w w:val="120"/>
        </w:rPr>
        <w:t>4, </w:t>
      </w:r>
      <w:r>
        <w:rPr>
          <w:w w:val="120"/>
        </w:rPr>
        <w:t>5d, 5e, </w:t>
      </w:r>
      <w:r>
        <w:rPr>
          <w:spacing w:val="-4"/>
          <w:w w:val="120"/>
        </w:rPr>
        <w:t>5f, </w:t>
      </w:r>
      <w:r>
        <w:rPr>
          <w:w w:val="120"/>
        </w:rPr>
        <w:t>6b, 6c, 6e will not</w:t>
      </w:r>
      <w:r>
        <w:rPr>
          <w:spacing w:val="44"/>
          <w:w w:val="120"/>
        </w:rPr>
        <w:t> </w:t>
      </w:r>
      <w:r>
        <w:rPr>
          <w:w w:val="120"/>
        </w:rPr>
        <w:t>apply.</w:t>
      </w:r>
    </w:p>
    <w:p>
      <w:pPr>
        <w:pStyle w:val="BodyText"/>
        <w:spacing w:before="6"/>
        <w:rPr>
          <w:sz w:val="19"/>
        </w:rPr>
      </w:pPr>
    </w:p>
    <w:p>
      <w:pPr>
        <w:pStyle w:val="BodyText"/>
        <w:spacing w:line="242" w:lineRule="exact"/>
        <w:ind w:left="1984"/>
        <w:jc w:val="both"/>
      </w:pPr>
      <w:r>
        <w:rPr>
          <w:w w:val="120"/>
        </w:rPr>
        <w:t>2b.  The process of consensus:</w:t>
      </w:r>
    </w:p>
    <w:p>
      <w:pPr>
        <w:pStyle w:val="BodyText"/>
        <w:spacing w:line="235" w:lineRule="auto" w:before="2"/>
        <w:ind w:left="1984" w:right="1857"/>
        <w:jc w:val="both"/>
      </w:pPr>
      <w:r>
        <w:rPr>
          <w:w w:val="120"/>
        </w:rPr>
        <w:t>Consensus means a decision of the council reached unanimously, or where a small minority of members of the council is willing to accept a proposal that is not their first preference.</w:t>
      </w:r>
    </w:p>
    <w:p>
      <w:pPr>
        <w:pStyle w:val="BodyText"/>
        <w:spacing w:before="10"/>
        <w:rPr>
          <w:sz w:val="19"/>
        </w:rPr>
      </w:pPr>
    </w:p>
    <w:p>
      <w:pPr>
        <w:pStyle w:val="BodyText"/>
        <w:spacing w:line="235" w:lineRule="auto" w:before="1"/>
        <w:ind w:left="1984" w:right="1666"/>
        <w:jc w:val="both"/>
      </w:pPr>
      <w:r>
        <w:rPr>
          <w:w w:val="120"/>
        </w:rPr>
        <w:t>Agreement means a decision of the council where, after careful consideration of the options, a small number is unable to accept the majority opinion but agree to stand aside so that the matter may be resolved.</w:t>
      </w:r>
    </w:p>
    <w:p>
      <w:pPr>
        <w:pStyle w:val="BodyText"/>
        <w:spacing w:before="10"/>
        <w:rPr>
          <w:sz w:val="19"/>
        </w:rPr>
      </w:pPr>
    </w:p>
    <w:p>
      <w:pPr>
        <w:pStyle w:val="BodyText"/>
        <w:spacing w:line="235" w:lineRule="auto"/>
        <w:ind w:left="1984" w:right="1352"/>
      </w:pPr>
      <w:r>
        <w:rPr>
          <w:w w:val="120"/>
        </w:rPr>
        <w:t>2b.(1) At each stage of the process the moderator will clarify the nature of the session, that is whether it is for information, discussion or decision making.</w:t>
      </w:r>
    </w:p>
    <w:p>
      <w:pPr>
        <w:pStyle w:val="BodyText"/>
        <w:spacing w:before="5"/>
        <w:rPr>
          <w:sz w:val="19"/>
        </w:rPr>
      </w:pPr>
    </w:p>
    <w:p>
      <w:pPr>
        <w:pStyle w:val="BodyText"/>
        <w:spacing w:line="242" w:lineRule="exact" w:before="1"/>
        <w:ind w:left="1984"/>
      </w:pPr>
      <w:r>
        <w:rPr>
          <w:w w:val="120"/>
        </w:rPr>
        <w:t>2b.(2) The information session:</w:t>
      </w:r>
    </w:p>
    <w:p>
      <w:pPr>
        <w:pStyle w:val="BodyText"/>
        <w:spacing w:line="235" w:lineRule="auto" w:before="1"/>
        <w:ind w:left="1984" w:right="1560"/>
      </w:pPr>
      <w:r>
        <w:rPr>
          <w:w w:val="120"/>
        </w:rPr>
        <w:t>This session aims to inform the Assembly on the issue to be considered. </w:t>
      </w:r>
      <w:r>
        <w:rPr>
          <w:color w:val="E42322"/>
          <w:w w:val="120"/>
        </w:rPr>
        <w:t>At the </w:t>
      </w:r>
      <w:r>
        <w:rPr>
          <w:color w:val="E42322"/>
          <w:spacing w:val="2"/>
          <w:w w:val="120"/>
        </w:rPr>
        <w:t>start </w:t>
      </w:r>
      <w:r>
        <w:rPr>
          <w:color w:val="E42322"/>
          <w:w w:val="120"/>
        </w:rPr>
        <w:t>of this session, if s/he judges that the matter before the Assembly is urgent, requiring decision during the current meeting of the Assembly, the moderator shall inform the Assembly that this is the case and advise that if following the Consensus procedures there is continuing disagreement it may be necessary to move to a majority decision under standing order</w:t>
      </w:r>
      <w:r>
        <w:rPr>
          <w:color w:val="E42322"/>
          <w:spacing w:val="8"/>
          <w:w w:val="120"/>
        </w:rPr>
        <w:t> </w:t>
      </w:r>
      <w:r>
        <w:rPr>
          <w:color w:val="E42322"/>
          <w:spacing w:val="-4"/>
          <w:w w:val="120"/>
        </w:rPr>
        <w:t>2b(9)vi.</w:t>
      </w:r>
    </w:p>
    <w:p>
      <w:pPr>
        <w:pStyle w:val="BodyText"/>
      </w:pPr>
    </w:p>
    <w:p>
      <w:pPr>
        <w:pStyle w:val="BodyText"/>
        <w:spacing w:line="235" w:lineRule="auto" w:before="1"/>
        <w:ind w:left="1984" w:right="1606"/>
      </w:pPr>
      <w:r>
        <w:rPr>
          <w:w w:val="120"/>
        </w:rPr>
        <w:t>A range of options may be presented by different people who shall speak in favour  of their option. Those presenting issues, </w:t>
      </w:r>
      <w:r>
        <w:rPr>
          <w:spacing w:val="2"/>
          <w:w w:val="120"/>
        </w:rPr>
        <w:t>reports </w:t>
      </w:r>
      <w:r>
        <w:rPr>
          <w:w w:val="120"/>
        </w:rPr>
        <w:t>or proposals may speak for no more than five minutes unless the Assembly agrees to an extension of time. members of Assembly are then free to ask questions on the issue or seek for clarification or further</w:t>
      </w:r>
      <w:r>
        <w:rPr>
          <w:spacing w:val="1"/>
          <w:w w:val="120"/>
        </w:rPr>
        <w:t> </w:t>
      </w:r>
      <w:r>
        <w:rPr>
          <w:w w:val="120"/>
        </w:rPr>
        <w:t>information.</w:t>
      </w:r>
    </w:p>
    <w:p>
      <w:pPr>
        <w:pStyle w:val="BodyText"/>
        <w:spacing w:before="7"/>
        <w:rPr>
          <w:sz w:val="19"/>
        </w:rPr>
      </w:pPr>
    </w:p>
    <w:p>
      <w:pPr>
        <w:pStyle w:val="BodyText"/>
        <w:spacing w:line="242" w:lineRule="exact" w:before="1"/>
        <w:ind w:left="1984"/>
      </w:pPr>
      <w:r>
        <w:rPr>
          <w:w w:val="120"/>
        </w:rPr>
        <w:t>2b.(3) The discussion Session:</w:t>
      </w:r>
    </w:p>
    <w:p>
      <w:pPr>
        <w:pStyle w:val="BodyText"/>
        <w:spacing w:line="235" w:lineRule="auto" w:before="1"/>
        <w:ind w:left="1984" w:right="1723"/>
        <w:jc w:val="both"/>
      </w:pPr>
      <w:r>
        <w:rPr>
          <w:w w:val="120"/>
        </w:rPr>
        <w:t>This is the opportunity for discussion of various viewpoints and vigorous debate on different opinions. Speakers may speak for no more than three minutes.</w:t>
      </w:r>
    </w:p>
    <w:p>
      <w:pPr>
        <w:pStyle w:val="BodyText"/>
        <w:spacing w:before="6"/>
        <w:rPr>
          <w:sz w:val="19"/>
        </w:rPr>
      </w:pPr>
    </w:p>
    <w:p>
      <w:pPr>
        <w:pStyle w:val="BodyText"/>
        <w:ind w:left="1984"/>
        <w:jc w:val="both"/>
      </w:pPr>
      <w:r>
        <w:rPr>
          <w:w w:val="120"/>
        </w:rPr>
        <w:t>2b.(3a) All those present may contribute.</w:t>
      </w:r>
    </w:p>
    <w:p>
      <w:pPr>
        <w:pStyle w:val="BodyText"/>
        <w:spacing w:before="8"/>
        <w:rPr>
          <w:sz w:val="19"/>
        </w:rPr>
      </w:pPr>
    </w:p>
    <w:p>
      <w:pPr>
        <w:pStyle w:val="BodyText"/>
        <w:spacing w:line="235" w:lineRule="auto"/>
        <w:ind w:left="1984" w:right="1701"/>
      </w:pPr>
      <w:r>
        <w:rPr>
          <w:w w:val="120"/>
        </w:rPr>
        <w:t>2b.(3b) The methods used may include prayer, buzz groups, group discussions, speeches to the whole council, time for thinking during a break etc. The moderator may invite Assembly to indicate opinions by the use of coloured cards at this stage.</w:t>
      </w:r>
    </w:p>
    <w:p>
      <w:pPr>
        <w:pStyle w:val="BodyText"/>
        <w:spacing w:before="10"/>
        <w:rPr>
          <w:sz w:val="19"/>
        </w:rPr>
      </w:pPr>
    </w:p>
    <w:p>
      <w:pPr>
        <w:pStyle w:val="BodyText"/>
        <w:tabs>
          <w:tab w:pos="2891" w:val="left" w:leader="none"/>
        </w:tabs>
        <w:spacing w:line="235" w:lineRule="auto"/>
        <w:ind w:left="1984" w:right="1665"/>
      </w:pPr>
      <w:r>
        <w:rPr>
          <w:spacing w:val="-5"/>
          <w:w w:val="120"/>
        </w:rPr>
        <w:t>2b.(3c)</w:t>
        <w:tab/>
      </w:r>
      <w:r>
        <w:rPr>
          <w:w w:val="120"/>
        </w:rPr>
        <w:t>The moderator shall ensure that those who have different backgrounds or who disagree or who are unsure are given space to contribute to the debate, as well as those who are</w:t>
      </w:r>
      <w:r>
        <w:rPr>
          <w:spacing w:val="6"/>
          <w:w w:val="120"/>
        </w:rPr>
        <w:t> </w:t>
      </w:r>
      <w:r>
        <w:rPr>
          <w:w w:val="120"/>
        </w:rPr>
        <w:t>enthusiastic.</w:t>
      </w:r>
    </w:p>
    <w:p>
      <w:pPr>
        <w:pStyle w:val="BodyText"/>
        <w:spacing w:before="10"/>
        <w:rPr>
          <w:sz w:val="19"/>
        </w:rPr>
      </w:pPr>
    </w:p>
    <w:p>
      <w:pPr>
        <w:pStyle w:val="BodyText"/>
        <w:spacing w:line="235" w:lineRule="auto"/>
        <w:ind w:left="1984" w:right="1786"/>
        <w:jc w:val="both"/>
      </w:pPr>
      <w:r>
        <w:rPr>
          <w:w w:val="120"/>
        </w:rPr>
        <w:t>2b.(3d) The Assembly may meet around tables so that small group discussion can happen quickly and easily.</w:t>
      </w:r>
    </w:p>
    <w:p>
      <w:pPr>
        <w:pStyle w:val="BodyText"/>
        <w:spacing w:before="10"/>
        <w:rPr>
          <w:sz w:val="19"/>
        </w:rPr>
      </w:pPr>
    </w:p>
    <w:p>
      <w:pPr>
        <w:pStyle w:val="BodyText"/>
        <w:spacing w:line="235" w:lineRule="auto"/>
        <w:ind w:left="1984" w:right="1876"/>
        <w:jc w:val="both"/>
      </w:pPr>
      <w:r>
        <w:rPr>
          <w:w w:val="120"/>
        </w:rPr>
        <w:t>2b.(3e) As the discussion session proceeds possible ways forward for the Church are developed until a specific proposal is reached.</w:t>
      </w:r>
    </w:p>
    <w:p>
      <w:pPr>
        <w:pStyle w:val="BodyText"/>
        <w:spacing w:before="5"/>
        <w:rPr>
          <w:sz w:val="19"/>
        </w:rPr>
      </w:pPr>
    </w:p>
    <w:p>
      <w:pPr>
        <w:pStyle w:val="BodyText"/>
        <w:spacing w:line="242" w:lineRule="exact" w:before="1"/>
        <w:ind w:left="1984"/>
      </w:pPr>
      <w:r>
        <w:rPr>
          <w:w w:val="125"/>
        </w:rPr>
        <w:t>2b.(4) The decision session:</w:t>
      </w:r>
    </w:p>
    <w:p>
      <w:pPr>
        <w:pStyle w:val="BodyText"/>
        <w:spacing w:line="235" w:lineRule="auto" w:before="1"/>
        <w:ind w:left="1984" w:right="1352"/>
      </w:pPr>
      <w:r>
        <w:rPr>
          <w:w w:val="120"/>
        </w:rPr>
        <w:t>Only those Assembly members present may contribute to this session, they may speak for no more than three minutes.</w:t>
      </w:r>
    </w:p>
    <w:p>
      <w:pPr>
        <w:pStyle w:val="BodyText"/>
        <w:spacing w:before="10"/>
        <w:rPr>
          <w:sz w:val="19"/>
        </w:rPr>
      </w:pPr>
    </w:p>
    <w:p>
      <w:pPr>
        <w:pStyle w:val="BodyText"/>
        <w:tabs>
          <w:tab w:pos="2891" w:val="left" w:leader="none"/>
        </w:tabs>
        <w:spacing w:line="235" w:lineRule="auto"/>
        <w:ind w:left="1984" w:right="1848"/>
      </w:pPr>
      <w:r>
        <w:rPr>
          <w:spacing w:val="-7"/>
          <w:w w:val="120"/>
        </w:rPr>
        <w:t>2b.(4a)</w:t>
        <w:tab/>
      </w:r>
      <w:r>
        <w:rPr>
          <w:w w:val="120"/>
        </w:rPr>
        <w:t>Discussion continues with speakers outlining the advantages and disadvantages of the proposal. At all times, speakers are encouraged to suggest a way forward for the Assembly, rather than merely speaking with passion for a pre- determined</w:t>
      </w:r>
      <w:r>
        <w:rPr>
          <w:spacing w:val="2"/>
          <w:w w:val="120"/>
        </w:rPr>
        <w:t> </w:t>
      </w:r>
      <w:r>
        <w:rPr>
          <w:w w:val="120"/>
        </w:rPr>
        <w:t>view.</w:t>
      </w:r>
    </w:p>
    <w:p>
      <w:pPr>
        <w:spacing w:after="0" w:line="235" w:lineRule="auto"/>
        <w:sectPr>
          <w:type w:val="continuous"/>
          <w:pgSz w:w="11910" w:h="16840"/>
          <w:pgMar w:top="680" w:bottom="280" w:left="0" w:right="0"/>
        </w:sectPr>
      </w:pPr>
    </w:p>
    <w:p>
      <w:pPr>
        <w:pStyle w:val="BodyText"/>
      </w:pPr>
      <w:r>
        <w:rPr/>
        <w:drawing>
          <wp:anchor distT="0" distB="0" distL="0" distR="0" allowOverlap="1" layoutInCell="1" locked="0" behindDoc="0" simplePos="0" relativeHeight="251842560">
            <wp:simplePos x="0" y="0"/>
            <wp:positionH relativeFrom="page">
              <wp:posOffset>0</wp:posOffset>
            </wp:positionH>
            <wp:positionV relativeFrom="page">
              <wp:posOffset>0</wp:posOffset>
            </wp:positionV>
            <wp:extent cx="594067" cy="10692003"/>
            <wp:effectExtent l="0" t="0" r="0" b="0"/>
            <wp:wrapNone/>
            <wp:docPr id="115" name="image22.png"/>
            <wp:cNvGraphicFramePr>
              <a:graphicFrameLocks noChangeAspect="1"/>
            </wp:cNvGraphicFramePr>
            <a:graphic>
              <a:graphicData uri="http://schemas.openxmlformats.org/drawingml/2006/picture">
                <pic:pic>
                  <pic:nvPicPr>
                    <pic:cNvPr id="116" name="image22.png"/>
                    <pic:cNvPicPr/>
                  </pic:nvPicPr>
                  <pic:blipFill>
                    <a:blip r:embed="rId33"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shape style="position:absolute;margin-left:20.519100pt;margin-top:22.593945pt;width:25.9pt;height:322.8pt;mso-position-horizontal-relative:page;mso-position-vertical-relative:paragraph;z-index:251843584" type="#_x0000_t202" filled="false" stroked="false">
            <v:textbox inset="0,0,0,0" style="layout-flow:vertical">
              <w:txbxContent>
                <w:p>
                  <w:pPr>
                    <w:spacing w:before="27"/>
                    <w:ind w:left="20" w:right="0" w:firstLine="0"/>
                    <w:jc w:val="left"/>
                    <w:rPr>
                      <w:sz w:val="39"/>
                    </w:rPr>
                  </w:pPr>
                  <w:r>
                    <w:rPr>
                      <w:color w:val="FFFFFF"/>
                      <w:spacing w:val="9"/>
                      <w:w w:val="120"/>
                      <w:sz w:val="39"/>
                    </w:rPr>
                    <w:t>Changes </w:t>
                  </w:r>
                  <w:r>
                    <w:rPr>
                      <w:color w:val="FFFFFF"/>
                      <w:spacing w:val="3"/>
                      <w:w w:val="120"/>
                      <w:sz w:val="39"/>
                    </w:rPr>
                    <w:t>to </w:t>
                  </w:r>
                  <w:r>
                    <w:rPr>
                      <w:color w:val="FFFFFF"/>
                      <w:spacing w:val="8"/>
                      <w:w w:val="120"/>
                      <w:sz w:val="39"/>
                    </w:rPr>
                    <w:t>the </w:t>
                  </w:r>
                  <w:r>
                    <w:rPr>
                      <w:color w:val="FFFFFF"/>
                      <w:spacing w:val="10"/>
                      <w:w w:val="120"/>
                      <w:sz w:val="39"/>
                    </w:rPr>
                    <w:t>standing</w:t>
                  </w:r>
                  <w:r>
                    <w:rPr>
                      <w:color w:val="FFFFFF"/>
                      <w:spacing w:val="114"/>
                      <w:w w:val="120"/>
                      <w:sz w:val="39"/>
                    </w:rPr>
                    <w:t> </w:t>
                  </w:r>
                  <w:r>
                    <w:rPr>
                      <w:color w:val="FFFFFF"/>
                      <w:spacing w:val="10"/>
                      <w:w w:val="120"/>
                      <w:sz w:val="39"/>
                    </w:rPr>
                    <w:t>orders</w:t>
                  </w:r>
                </w:p>
              </w:txbxContent>
            </v:textbox>
            <w10:wrap type="none"/>
          </v:shape>
        </w:pict>
      </w:r>
      <w:r>
        <w:rPr>
          <w:color w:val="7EAABF"/>
          <w:w w:val="120"/>
        </w:rPr>
        <w:t>Mission Council</w:t>
      </w:r>
    </w:p>
    <w:p>
      <w:pPr>
        <w:pStyle w:val="BodyText"/>
        <w:spacing w:line="242" w:lineRule="exact" w:before="218"/>
        <w:ind w:left="1247"/>
      </w:pPr>
      <w:r>
        <w:rPr>
          <w:w w:val="120"/>
        </w:rPr>
        <w:t>2b.(4b) Minor changes of wording may be agreed as the discussion proceeds.</w:t>
      </w:r>
    </w:p>
    <w:p>
      <w:pPr>
        <w:pStyle w:val="BodyText"/>
        <w:spacing w:line="235" w:lineRule="auto" w:before="1"/>
        <w:ind w:left="1247" w:right="2167"/>
      </w:pPr>
      <w:r>
        <w:rPr>
          <w:w w:val="120"/>
        </w:rPr>
        <w:t>It is important to hear from those indicating disquiet or disapproval as well as those who are enthusiastic.</w:t>
      </w:r>
    </w:p>
    <w:p>
      <w:pPr>
        <w:pStyle w:val="BodyText"/>
        <w:spacing w:before="10"/>
        <w:rPr>
          <w:sz w:val="19"/>
        </w:rPr>
      </w:pPr>
    </w:p>
    <w:p>
      <w:pPr>
        <w:pStyle w:val="BodyText"/>
        <w:tabs>
          <w:tab w:pos="2154" w:val="left" w:leader="none"/>
        </w:tabs>
        <w:spacing w:line="235" w:lineRule="auto"/>
        <w:ind w:left="1247" w:right="2200"/>
      </w:pPr>
      <w:r>
        <w:rPr>
          <w:spacing w:val="-7"/>
          <w:w w:val="120"/>
        </w:rPr>
        <w:t>2b.(4c)</w:t>
        <w:tab/>
      </w:r>
      <w:r>
        <w:rPr>
          <w:w w:val="120"/>
        </w:rPr>
        <w:t>The proposal shall be displayed throughout the discussion in such a way that all can see the text and any progressively agreed changes to</w:t>
      </w:r>
      <w:r>
        <w:rPr>
          <w:spacing w:val="28"/>
          <w:w w:val="120"/>
        </w:rPr>
        <w:t> </w:t>
      </w:r>
      <w:r>
        <w:rPr>
          <w:w w:val="120"/>
        </w:rPr>
        <w:t>it.</w:t>
      </w:r>
    </w:p>
    <w:p>
      <w:pPr>
        <w:pStyle w:val="BodyText"/>
        <w:spacing w:before="9"/>
        <w:rPr>
          <w:sz w:val="19"/>
        </w:rPr>
      </w:pPr>
    </w:p>
    <w:p>
      <w:pPr>
        <w:pStyle w:val="BodyText"/>
        <w:spacing w:line="235" w:lineRule="auto" w:before="1"/>
        <w:ind w:left="1247" w:right="2280"/>
      </w:pPr>
      <w:r>
        <w:rPr>
          <w:spacing w:val="-5"/>
          <w:w w:val="120"/>
        </w:rPr>
        <w:t>2b.(4d)  </w:t>
      </w:r>
      <w:r>
        <w:rPr>
          <w:w w:val="120"/>
        </w:rPr>
        <w:t>If there is a major new insight expressed, the moderator may determine that it is appropriate to move back into a discussion</w:t>
      </w:r>
      <w:r>
        <w:rPr>
          <w:spacing w:val="15"/>
          <w:w w:val="120"/>
        </w:rPr>
        <w:t> </w:t>
      </w:r>
      <w:r>
        <w:rPr>
          <w:w w:val="120"/>
        </w:rPr>
        <w:t>session.</w:t>
      </w:r>
    </w:p>
    <w:p>
      <w:pPr>
        <w:pStyle w:val="BodyText"/>
        <w:spacing w:before="9"/>
        <w:rPr>
          <w:sz w:val="19"/>
        </w:rPr>
      </w:pPr>
    </w:p>
    <w:p>
      <w:pPr>
        <w:pStyle w:val="BodyText"/>
        <w:spacing w:line="235" w:lineRule="auto"/>
        <w:ind w:left="1247" w:right="2251"/>
        <w:jc w:val="both"/>
      </w:pPr>
      <w:r>
        <w:rPr>
          <w:w w:val="120"/>
        </w:rPr>
        <w:t>2b.(5a) After summing up where the Assembly seems to be heading, the moderator checks whether the Assembly is nearing consensus using one or more questions such as the following:</w:t>
      </w:r>
    </w:p>
    <w:p>
      <w:pPr>
        <w:pStyle w:val="ListParagraph"/>
        <w:numPr>
          <w:ilvl w:val="0"/>
          <w:numId w:val="38"/>
        </w:numPr>
        <w:tabs>
          <w:tab w:pos="2721" w:val="left" w:leader="none"/>
          <w:tab w:pos="2722" w:val="left" w:leader="none"/>
        </w:tabs>
        <w:spacing w:line="235" w:lineRule="auto" w:before="2" w:after="0"/>
        <w:ind w:left="2721" w:right="3441" w:hanging="794"/>
        <w:jc w:val="left"/>
        <w:rPr>
          <w:sz w:val="20"/>
        </w:rPr>
      </w:pPr>
      <w:r>
        <w:rPr>
          <w:w w:val="120"/>
          <w:sz w:val="20"/>
        </w:rPr>
        <w:t>What is your response to this proposal? (inviting a show of indicator</w:t>
      </w:r>
      <w:r>
        <w:rPr>
          <w:spacing w:val="2"/>
          <w:w w:val="120"/>
          <w:sz w:val="20"/>
        </w:rPr>
        <w:t> </w:t>
      </w:r>
      <w:r>
        <w:rPr>
          <w:spacing w:val="-3"/>
          <w:w w:val="120"/>
          <w:sz w:val="20"/>
        </w:rPr>
        <w:t>cards)</w:t>
      </w:r>
    </w:p>
    <w:p>
      <w:pPr>
        <w:pStyle w:val="ListParagraph"/>
        <w:numPr>
          <w:ilvl w:val="0"/>
          <w:numId w:val="38"/>
        </w:numPr>
        <w:tabs>
          <w:tab w:pos="2721" w:val="left" w:leader="none"/>
          <w:tab w:pos="2722" w:val="left" w:leader="none"/>
        </w:tabs>
        <w:spacing w:line="240" w:lineRule="exact" w:before="0" w:after="0"/>
        <w:ind w:left="2721" w:right="0" w:hanging="795"/>
        <w:jc w:val="left"/>
        <w:rPr>
          <w:sz w:val="20"/>
        </w:rPr>
      </w:pPr>
      <w:r>
        <w:rPr>
          <w:w w:val="120"/>
          <w:sz w:val="20"/>
        </w:rPr>
        <w:t>Do you believe we have consensus in support of this</w:t>
      </w:r>
      <w:r>
        <w:rPr>
          <w:spacing w:val="22"/>
          <w:w w:val="120"/>
          <w:sz w:val="20"/>
        </w:rPr>
        <w:t> </w:t>
      </w:r>
      <w:r>
        <w:rPr>
          <w:w w:val="120"/>
          <w:sz w:val="20"/>
        </w:rPr>
        <w:t>proposal?</w:t>
      </w:r>
    </w:p>
    <w:p>
      <w:pPr>
        <w:pStyle w:val="ListParagraph"/>
        <w:numPr>
          <w:ilvl w:val="0"/>
          <w:numId w:val="38"/>
        </w:numPr>
        <w:tabs>
          <w:tab w:pos="2721" w:val="left" w:leader="none"/>
          <w:tab w:pos="2722" w:val="left" w:leader="none"/>
        </w:tabs>
        <w:spacing w:line="242" w:lineRule="exact" w:before="0" w:after="0"/>
        <w:ind w:left="2721" w:right="0" w:hanging="795"/>
        <w:jc w:val="left"/>
        <w:rPr>
          <w:sz w:val="20"/>
        </w:rPr>
      </w:pPr>
      <w:r>
        <w:rPr>
          <w:w w:val="120"/>
          <w:sz w:val="20"/>
        </w:rPr>
        <w:t>Do you believe we have consensus not to support this</w:t>
      </w:r>
      <w:r>
        <w:rPr>
          <w:spacing w:val="22"/>
          <w:w w:val="120"/>
          <w:sz w:val="20"/>
        </w:rPr>
        <w:t> </w:t>
      </w:r>
      <w:r>
        <w:rPr>
          <w:w w:val="120"/>
          <w:sz w:val="20"/>
        </w:rPr>
        <w:t>proposal?</w:t>
      </w:r>
    </w:p>
    <w:p>
      <w:pPr>
        <w:pStyle w:val="BodyText"/>
        <w:spacing w:before="4"/>
        <w:rPr>
          <w:sz w:val="19"/>
        </w:rPr>
      </w:pPr>
    </w:p>
    <w:p>
      <w:pPr>
        <w:pStyle w:val="BodyText"/>
        <w:spacing w:line="242" w:lineRule="exact"/>
        <w:ind w:left="1247"/>
      </w:pPr>
      <w:r>
        <w:rPr>
          <w:w w:val="120"/>
        </w:rPr>
        <w:t>2b.(5b) If there is strong but not unanimous support:</w:t>
      </w:r>
    </w:p>
    <w:p>
      <w:pPr>
        <w:pStyle w:val="ListParagraph"/>
        <w:numPr>
          <w:ilvl w:val="0"/>
          <w:numId w:val="39"/>
        </w:numPr>
        <w:tabs>
          <w:tab w:pos="2721" w:val="left" w:leader="none"/>
          <w:tab w:pos="2722" w:val="left" w:leader="none"/>
        </w:tabs>
        <w:spacing w:line="240" w:lineRule="exact" w:before="0" w:after="0"/>
        <w:ind w:left="2721" w:right="0" w:hanging="795"/>
        <w:jc w:val="left"/>
        <w:rPr>
          <w:sz w:val="20"/>
        </w:rPr>
      </w:pPr>
      <w:r>
        <w:rPr>
          <w:w w:val="120"/>
          <w:sz w:val="20"/>
        </w:rPr>
        <w:t>Who supports the</w:t>
      </w:r>
      <w:r>
        <w:rPr>
          <w:spacing w:val="6"/>
          <w:w w:val="120"/>
          <w:sz w:val="20"/>
        </w:rPr>
        <w:t> </w:t>
      </w:r>
      <w:r>
        <w:rPr>
          <w:w w:val="120"/>
          <w:sz w:val="20"/>
        </w:rPr>
        <w:t>proposal?</w:t>
      </w:r>
    </w:p>
    <w:p>
      <w:pPr>
        <w:pStyle w:val="ListParagraph"/>
        <w:numPr>
          <w:ilvl w:val="0"/>
          <w:numId w:val="39"/>
        </w:numPr>
        <w:tabs>
          <w:tab w:pos="2721" w:val="left" w:leader="none"/>
          <w:tab w:pos="2722" w:val="left" w:leader="none"/>
        </w:tabs>
        <w:spacing w:line="235" w:lineRule="auto" w:before="2" w:after="0"/>
        <w:ind w:left="2721" w:right="2607" w:hanging="794"/>
        <w:jc w:val="left"/>
        <w:rPr>
          <w:sz w:val="20"/>
        </w:rPr>
      </w:pPr>
      <w:r>
        <w:rPr>
          <w:w w:val="120"/>
          <w:sz w:val="20"/>
        </w:rPr>
        <w:t>Who does not support the proposal as your first option, but is prepared to accept </w:t>
      </w:r>
      <w:r>
        <w:rPr>
          <w:spacing w:val="-3"/>
          <w:w w:val="120"/>
          <w:sz w:val="20"/>
        </w:rPr>
        <w:t>it? </w:t>
      </w:r>
      <w:r>
        <w:rPr>
          <w:w w:val="120"/>
          <w:sz w:val="20"/>
        </w:rPr>
        <w:t>Are you prepared to have the issue declared resolved by</w:t>
      </w:r>
      <w:r>
        <w:rPr>
          <w:spacing w:val="3"/>
          <w:w w:val="120"/>
          <w:sz w:val="20"/>
        </w:rPr>
        <w:t> </w:t>
      </w:r>
      <w:r>
        <w:rPr>
          <w:w w:val="120"/>
          <w:sz w:val="20"/>
        </w:rPr>
        <w:t>consensus?</w:t>
      </w:r>
    </w:p>
    <w:p>
      <w:pPr>
        <w:pStyle w:val="ListParagraph"/>
        <w:numPr>
          <w:ilvl w:val="0"/>
          <w:numId w:val="39"/>
        </w:numPr>
        <w:tabs>
          <w:tab w:pos="2721" w:val="left" w:leader="none"/>
          <w:tab w:pos="2722" w:val="left" w:leader="none"/>
        </w:tabs>
        <w:spacing w:line="243" w:lineRule="exact" w:before="0" w:after="0"/>
        <w:ind w:left="2721" w:right="0" w:hanging="795"/>
        <w:jc w:val="left"/>
        <w:rPr>
          <w:sz w:val="20"/>
        </w:rPr>
      </w:pPr>
      <w:r>
        <w:rPr>
          <w:w w:val="120"/>
          <w:sz w:val="20"/>
        </w:rPr>
        <w:t>Who is not prepared to accept the</w:t>
      </w:r>
      <w:r>
        <w:rPr>
          <w:spacing w:val="13"/>
          <w:w w:val="120"/>
          <w:sz w:val="20"/>
        </w:rPr>
        <w:t> </w:t>
      </w:r>
      <w:r>
        <w:rPr>
          <w:w w:val="120"/>
          <w:sz w:val="20"/>
        </w:rPr>
        <w:t>proposal?</w:t>
      </w:r>
    </w:p>
    <w:p>
      <w:pPr>
        <w:pStyle w:val="BodyText"/>
        <w:spacing w:before="8"/>
        <w:rPr>
          <w:sz w:val="19"/>
        </w:rPr>
      </w:pPr>
    </w:p>
    <w:p>
      <w:pPr>
        <w:pStyle w:val="BodyText"/>
        <w:spacing w:line="235" w:lineRule="auto"/>
        <w:ind w:left="1247" w:right="1981"/>
      </w:pPr>
      <w:r>
        <w:rPr>
          <w:spacing w:val="-6"/>
          <w:w w:val="120"/>
        </w:rPr>
        <w:t>2b.(6)  </w:t>
      </w:r>
      <w:r>
        <w:rPr>
          <w:w w:val="120"/>
        </w:rPr>
        <w:t>Where some members of Assembly indicate an unwillingness to accept a  proposal there shall be further discussion and then the moderator shall seek to ascertain that they accept that they have been heard and agree to live with the</w:t>
      </w:r>
      <w:r>
        <w:rPr>
          <w:spacing w:val="25"/>
          <w:w w:val="120"/>
        </w:rPr>
        <w:t> </w:t>
      </w:r>
      <w:r>
        <w:rPr>
          <w:w w:val="120"/>
        </w:rPr>
        <w:t>outcome.</w:t>
      </w:r>
    </w:p>
    <w:p>
      <w:pPr>
        <w:pStyle w:val="BodyText"/>
        <w:spacing w:before="6"/>
        <w:rPr>
          <w:sz w:val="19"/>
        </w:rPr>
      </w:pPr>
    </w:p>
    <w:p>
      <w:pPr>
        <w:pStyle w:val="BodyText"/>
        <w:spacing w:line="242" w:lineRule="exact"/>
        <w:ind w:left="1247"/>
      </w:pPr>
      <w:r>
        <w:rPr>
          <w:w w:val="120"/>
        </w:rPr>
        <w:t>2b.(7) The moderator shall ask:</w:t>
      </w:r>
    </w:p>
    <w:p>
      <w:pPr>
        <w:pStyle w:val="BodyText"/>
        <w:spacing w:line="235" w:lineRule="auto" w:before="2"/>
        <w:ind w:left="1247" w:right="2205"/>
        <w:jc w:val="both"/>
      </w:pPr>
      <w:r>
        <w:rPr>
          <w:w w:val="120"/>
        </w:rPr>
        <w:t>2b.(7a) are you prepared to have the issue declared resolved by agreement? If so they may choose to record their dissent.</w:t>
      </w:r>
    </w:p>
    <w:p>
      <w:pPr>
        <w:pStyle w:val="BodyText"/>
        <w:spacing w:line="480" w:lineRule="atLeast" w:before="2"/>
        <w:ind w:left="1247" w:right="5293"/>
      </w:pPr>
      <w:r>
        <w:rPr>
          <w:w w:val="120"/>
        </w:rPr>
        <w:t>2b.(8) Who is not prepared to accept the proposal? 2b.(9) Continuing disagreement</w:t>
      </w:r>
    </w:p>
    <w:p>
      <w:pPr>
        <w:pStyle w:val="BodyText"/>
        <w:spacing w:line="235" w:lineRule="auto"/>
        <w:ind w:left="1247" w:right="2986"/>
      </w:pPr>
      <w:r>
        <w:rPr>
          <w:w w:val="120"/>
        </w:rPr>
        <w:t>Assembly may, at the discretion of the moderator, look for further possibilities including:</w:t>
      </w:r>
    </w:p>
    <w:p>
      <w:pPr>
        <w:pStyle w:val="ListParagraph"/>
        <w:numPr>
          <w:ilvl w:val="0"/>
          <w:numId w:val="40"/>
        </w:numPr>
        <w:tabs>
          <w:tab w:pos="2721" w:val="left" w:leader="none"/>
          <w:tab w:pos="2722" w:val="left" w:leader="none"/>
        </w:tabs>
        <w:spacing w:line="235" w:lineRule="auto" w:before="1" w:after="0"/>
        <w:ind w:left="2721" w:right="2279" w:hanging="794"/>
        <w:jc w:val="left"/>
        <w:rPr>
          <w:sz w:val="20"/>
        </w:rPr>
      </w:pPr>
      <w:r>
        <w:rPr>
          <w:w w:val="120"/>
          <w:sz w:val="20"/>
        </w:rPr>
        <w:t>adjourning the discussion to another time or place perhaps with more work before</w:t>
      </w:r>
      <w:r>
        <w:rPr>
          <w:spacing w:val="3"/>
          <w:w w:val="120"/>
          <w:sz w:val="20"/>
        </w:rPr>
        <w:t> </w:t>
      </w:r>
      <w:r>
        <w:rPr>
          <w:w w:val="120"/>
          <w:sz w:val="20"/>
        </w:rPr>
        <w:t>reconsideration;</w:t>
      </w:r>
    </w:p>
    <w:p>
      <w:pPr>
        <w:pStyle w:val="ListParagraph"/>
        <w:numPr>
          <w:ilvl w:val="0"/>
          <w:numId w:val="40"/>
        </w:numPr>
        <w:tabs>
          <w:tab w:pos="2721" w:val="left" w:leader="none"/>
          <w:tab w:pos="2722" w:val="left" w:leader="none"/>
        </w:tabs>
        <w:spacing w:line="235" w:lineRule="auto" w:before="1" w:after="0"/>
        <w:ind w:left="2721" w:right="2481" w:hanging="794"/>
        <w:jc w:val="left"/>
        <w:rPr>
          <w:sz w:val="20"/>
        </w:rPr>
      </w:pPr>
      <w:r>
        <w:rPr>
          <w:w w:val="120"/>
          <w:sz w:val="20"/>
        </w:rPr>
        <w:t>asking the moderator to continue to work on the issue with relevant people until the next</w:t>
      </w:r>
      <w:r>
        <w:rPr>
          <w:spacing w:val="9"/>
          <w:w w:val="120"/>
          <w:sz w:val="20"/>
        </w:rPr>
        <w:t> </w:t>
      </w:r>
      <w:r>
        <w:rPr>
          <w:w w:val="120"/>
          <w:sz w:val="20"/>
        </w:rPr>
        <w:t>Assembly;</w:t>
      </w:r>
    </w:p>
    <w:p>
      <w:pPr>
        <w:pStyle w:val="ListParagraph"/>
        <w:numPr>
          <w:ilvl w:val="0"/>
          <w:numId w:val="40"/>
        </w:numPr>
        <w:tabs>
          <w:tab w:pos="2721" w:val="left" w:leader="none"/>
          <w:tab w:pos="2722" w:val="left" w:leader="none"/>
        </w:tabs>
        <w:spacing w:line="240" w:lineRule="exact" w:before="0" w:after="0"/>
        <w:ind w:left="2721" w:right="0" w:hanging="795"/>
        <w:jc w:val="left"/>
        <w:rPr>
          <w:sz w:val="20"/>
        </w:rPr>
      </w:pPr>
      <w:r>
        <w:rPr>
          <w:w w:val="120"/>
          <w:sz w:val="20"/>
        </w:rPr>
        <w:t>referring the issue to another council or group to deal</w:t>
      </w:r>
      <w:r>
        <w:rPr>
          <w:spacing w:val="22"/>
          <w:w w:val="120"/>
          <w:sz w:val="20"/>
        </w:rPr>
        <w:t> </w:t>
      </w:r>
      <w:r>
        <w:rPr>
          <w:w w:val="120"/>
          <w:sz w:val="20"/>
        </w:rPr>
        <w:t>with;</w:t>
      </w:r>
    </w:p>
    <w:p>
      <w:pPr>
        <w:pStyle w:val="ListParagraph"/>
        <w:numPr>
          <w:ilvl w:val="0"/>
          <w:numId w:val="40"/>
        </w:numPr>
        <w:tabs>
          <w:tab w:pos="2721" w:val="left" w:leader="none"/>
          <w:tab w:pos="2722" w:val="left" w:leader="none"/>
        </w:tabs>
        <w:spacing w:line="235" w:lineRule="auto" w:before="2" w:after="0"/>
        <w:ind w:left="2721" w:right="3305" w:hanging="794"/>
        <w:jc w:val="left"/>
        <w:rPr>
          <w:sz w:val="20"/>
        </w:rPr>
      </w:pPr>
      <w:r>
        <w:rPr>
          <w:w w:val="120"/>
          <w:sz w:val="20"/>
        </w:rPr>
        <w:t>deciding the issue is unnecessary/inappropriate to continue dealing</w:t>
      </w:r>
      <w:r>
        <w:rPr>
          <w:spacing w:val="2"/>
          <w:w w:val="120"/>
          <w:sz w:val="20"/>
        </w:rPr>
        <w:t> </w:t>
      </w:r>
      <w:r>
        <w:rPr>
          <w:w w:val="120"/>
          <w:sz w:val="20"/>
        </w:rPr>
        <w:t>with;</w:t>
      </w:r>
    </w:p>
    <w:p>
      <w:pPr>
        <w:pStyle w:val="ListParagraph"/>
        <w:numPr>
          <w:ilvl w:val="0"/>
          <w:numId w:val="40"/>
        </w:numPr>
        <w:tabs>
          <w:tab w:pos="2721" w:val="left" w:leader="none"/>
          <w:tab w:pos="2722" w:val="left" w:leader="none"/>
        </w:tabs>
        <w:spacing w:line="235" w:lineRule="auto" w:before="2" w:after="0"/>
        <w:ind w:left="2721" w:right="2338" w:hanging="794"/>
        <w:jc w:val="left"/>
        <w:rPr>
          <w:sz w:val="20"/>
        </w:rPr>
      </w:pPr>
      <w:r>
        <w:rPr>
          <w:w w:val="120"/>
          <w:sz w:val="20"/>
        </w:rPr>
        <w:t>declaring that there are diverse views which Christians may hold with equal</w:t>
      </w:r>
      <w:r>
        <w:rPr>
          <w:spacing w:val="2"/>
          <w:w w:val="120"/>
          <w:sz w:val="20"/>
        </w:rPr>
        <w:t> </w:t>
      </w:r>
      <w:r>
        <w:rPr>
          <w:w w:val="120"/>
          <w:sz w:val="20"/>
        </w:rPr>
        <w:t>integrity;</w:t>
      </w:r>
    </w:p>
    <w:p>
      <w:pPr>
        <w:pStyle w:val="ListParagraph"/>
        <w:numPr>
          <w:ilvl w:val="0"/>
          <w:numId w:val="40"/>
        </w:numPr>
        <w:tabs>
          <w:tab w:pos="2721" w:val="left" w:leader="none"/>
          <w:tab w:pos="2722" w:val="left" w:leader="none"/>
        </w:tabs>
        <w:spacing w:line="235" w:lineRule="auto" w:before="1" w:after="0"/>
        <w:ind w:left="2721" w:right="2222" w:hanging="794"/>
        <w:jc w:val="left"/>
        <w:rPr>
          <w:sz w:val="20"/>
        </w:rPr>
      </w:pPr>
      <w:r>
        <w:rPr>
          <w:w w:val="120"/>
          <w:sz w:val="20"/>
        </w:rPr>
        <w:t>if the issue is urgent moving to majority decision</w:t>
      </w:r>
      <w:r>
        <w:rPr>
          <w:color w:val="E42322"/>
          <w:w w:val="120"/>
          <w:sz w:val="20"/>
        </w:rPr>
        <w:t>, but only if notice has been given under standing order</w:t>
      </w:r>
      <w:r>
        <w:rPr>
          <w:color w:val="E42322"/>
          <w:spacing w:val="20"/>
          <w:w w:val="120"/>
          <w:sz w:val="20"/>
        </w:rPr>
        <w:t> </w:t>
      </w:r>
      <w:r>
        <w:rPr>
          <w:color w:val="E42322"/>
          <w:spacing w:val="-6"/>
          <w:w w:val="120"/>
          <w:sz w:val="20"/>
        </w:rPr>
        <w:t>2b.(2).</w:t>
      </w:r>
    </w:p>
    <w:p>
      <w:pPr>
        <w:pStyle w:val="BodyText"/>
        <w:spacing w:before="6"/>
        <w:rPr>
          <w:sz w:val="19"/>
        </w:rPr>
      </w:pPr>
    </w:p>
    <w:p>
      <w:pPr>
        <w:pStyle w:val="BodyText"/>
        <w:ind w:left="1247"/>
        <w:jc w:val="both"/>
      </w:pPr>
      <w:r>
        <w:rPr>
          <w:w w:val="120"/>
        </w:rPr>
        <w:t>2c.        The</w:t>
      </w:r>
      <w:r>
        <w:rPr>
          <w:spacing w:val="-28"/>
          <w:w w:val="120"/>
        </w:rPr>
        <w:t> </w:t>
      </w:r>
      <w:r>
        <w:rPr>
          <w:w w:val="120"/>
        </w:rPr>
        <w:t>moderator</w:t>
      </w:r>
    </w:p>
    <w:p>
      <w:pPr>
        <w:pStyle w:val="BodyText"/>
        <w:spacing w:before="7"/>
        <w:rPr>
          <w:sz w:val="19"/>
        </w:rPr>
      </w:pPr>
    </w:p>
    <w:p>
      <w:pPr>
        <w:pStyle w:val="BodyText"/>
        <w:spacing w:line="235" w:lineRule="auto" w:before="1"/>
        <w:ind w:left="1247" w:right="5691"/>
      </w:pPr>
      <w:r>
        <w:rPr>
          <w:w w:val="120"/>
        </w:rPr>
        <w:t>2c.(a) The role of the moderator is very important. The moderator:</w:t>
      </w:r>
    </w:p>
    <w:p>
      <w:pPr>
        <w:pStyle w:val="ListParagraph"/>
        <w:numPr>
          <w:ilvl w:val="0"/>
          <w:numId w:val="41"/>
        </w:numPr>
        <w:tabs>
          <w:tab w:pos="2721" w:val="left" w:leader="none"/>
          <w:tab w:pos="2722" w:val="left" w:leader="none"/>
        </w:tabs>
        <w:spacing w:line="240" w:lineRule="exact" w:before="0" w:after="0"/>
        <w:ind w:left="2721" w:right="0" w:hanging="795"/>
        <w:jc w:val="left"/>
        <w:rPr>
          <w:sz w:val="20"/>
        </w:rPr>
      </w:pPr>
      <w:r>
        <w:rPr>
          <w:w w:val="120"/>
          <w:sz w:val="20"/>
        </w:rPr>
        <w:t>assists the Assembly to discern the will of God as far as</w:t>
      </w:r>
      <w:r>
        <w:rPr>
          <w:spacing w:val="18"/>
          <w:w w:val="120"/>
          <w:sz w:val="20"/>
        </w:rPr>
        <w:t> </w:t>
      </w:r>
      <w:r>
        <w:rPr>
          <w:w w:val="120"/>
          <w:sz w:val="20"/>
        </w:rPr>
        <w:t>possible</w:t>
      </w:r>
    </w:p>
    <w:p>
      <w:pPr>
        <w:pStyle w:val="ListParagraph"/>
        <w:numPr>
          <w:ilvl w:val="0"/>
          <w:numId w:val="41"/>
        </w:numPr>
        <w:tabs>
          <w:tab w:pos="2721" w:val="left" w:leader="none"/>
          <w:tab w:pos="2722" w:val="left" w:leader="none"/>
        </w:tabs>
        <w:spacing w:line="240" w:lineRule="exact" w:before="0" w:after="0"/>
        <w:ind w:left="2721" w:right="0" w:hanging="795"/>
        <w:jc w:val="left"/>
        <w:rPr>
          <w:sz w:val="20"/>
        </w:rPr>
      </w:pPr>
      <w:r>
        <w:rPr>
          <w:w w:val="120"/>
          <w:sz w:val="20"/>
        </w:rPr>
        <w:t>is alert to the guidance of the Holy Spirit as members</w:t>
      </w:r>
      <w:r>
        <w:rPr>
          <w:spacing w:val="26"/>
          <w:w w:val="120"/>
          <w:sz w:val="20"/>
        </w:rPr>
        <w:t> </w:t>
      </w:r>
      <w:r>
        <w:rPr>
          <w:w w:val="120"/>
          <w:sz w:val="20"/>
        </w:rPr>
        <w:t>contribute</w:t>
      </w:r>
    </w:p>
    <w:p>
      <w:pPr>
        <w:pStyle w:val="ListParagraph"/>
        <w:numPr>
          <w:ilvl w:val="0"/>
          <w:numId w:val="41"/>
        </w:numPr>
        <w:tabs>
          <w:tab w:pos="2721" w:val="left" w:leader="none"/>
          <w:tab w:pos="2722" w:val="left" w:leader="none"/>
        </w:tabs>
        <w:spacing w:line="240" w:lineRule="exact" w:before="0" w:after="0"/>
        <w:ind w:left="2721" w:right="0" w:hanging="795"/>
        <w:jc w:val="left"/>
        <w:rPr>
          <w:sz w:val="20"/>
        </w:rPr>
      </w:pPr>
      <w:r>
        <w:rPr>
          <w:w w:val="120"/>
          <w:sz w:val="20"/>
        </w:rPr>
        <w:t>pauses for prayer or buzz group reflection as</w:t>
      </w:r>
      <w:r>
        <w:rPr>
          <w:spacing w:val="19"/>
          <w:w w:val="120"/>
          <w:sz w:val="20"/>
        </w:rPr>
        <w:t> </w:t>
      </w:r>
      <w:r>
        <w:rPr>
          <w:w w:val="120"/>
          <w:sz w:val="20"/>
        </w:rPr>
        <w:t>appropriate</w:t>
      </w:r>
    </w:p>
    <w:p>
      <w:pPr>
        <w:pStyle w:val="ListParagraph"/>
        <w:numPr>
          <w:ilvl w:val="0"/>
          <w:numId w:val="41"/>
        </w:numPr>
        <w:tabs>
          <w:tab w:pos="2721" w:val="left" w:leader="none"/>
          <w:tab w:pos="2722" w:val="left" w:leader="none"/>
        </w:tabs>
        <w:spacing w:line="240" w:lineRule="exact" w:before="0" w:after="0"/>
        <w:ind w:left="2721" w:right="0" w:hanging="795"/>
        <w:jc w:val="left"/>
        <w:rPr>
          <w:sz w:val="20"/>
        </w:rPr>
      </w:pPr>
      <w:r>
        <w:rPr>
          <w:w w:val="120"/>
          <w:sz w:val="20"/>
        </w:rPr>
        <w:t>encourages trust and integrity in</w:t>
      </w:r>
      <w:r>
        <w:rPr>
          <w:spacing w:val="12"/>
          <w:w w:val="120"/>
          <w:sz w:val="20"/>
        </w:rPr>
        <w:t> </w:t>
      </w:r>
      <w:r>
        <w:rPr>
          <w:w w:val="120"/>
          <w:sz w:val="20"/>
        </w:rPr>
        <w:t>contributions</w:t>
      </w:r>
    </w:p>
    <w:p>
      <w:pPr>
        <w:pStyle w:val="ListParagraph"/>
        <w:numPr>
          <w:ilvl w:val="0"/>
          <w:numId w:val="41"/>
        </w:numPr>
        <w:tabs>
          <w:tab w:pos="2721" w:val="left" w:leader="none"/>
          <w:tab w:pos="2722" w:val="left" w:leader="none"/>
        </w:tabs>
        <w:spacing w:line="235" w:lineRule="auto" w:before="1" w:after="0"/>
        <w:ind w:left="2721" w:right="2478" w:hanging="794"/>
        <w:jc w:val="left"/>
        <w:rPr>
          <w:sz w:val="20"/>
        </w:rPr>
      </w:pPr>
      <w:r>
        <w:rPr>
          <w:w w:val="120"/>
          <w:sz w:val="20"/>
        </w:rPr>
        <w:t>ensures care and support for those whose honesty or minority voice makes them</w:t>
      </w:r>
      <w:r>
        <w:rPr>
          <w:spacing w:val="3"/>
          <w:w w:val="120"/>
          <w:sz w:val="20"/>
        </w:rPr>
        <w:t> </w:t>
      </w:r>
      <w:r>
        <w:rPr>
          <w:w w:val="120"/>
          <w:sz w:val="20"/>
        </w:rPr>
        <w:t>vulnerable</w:t>
      </w:r>
    </w:p>
    <w:p>
      <w:pPr>
        <w:spacing w:after="0" w:line="235" w:lineRule="auto"/>
        <w:jc w:val="left"/>
        <w:rPr>
          <w:sz w:val="20"/>
        </w:rPr>
        <w:sectPr>
          <w:headerReference w:type="even" r:id="rId148"/>
          <w:pgSz w:w="11910" w:h="16840"/>
          <w:pgMar w:header="0" w:footer="647" w:top="0" w:bottom="840" w:left="0" w:right="0"/>
        </w:sectPr>
      </w:pPr>
    </w:p>
    <w:p>
      <w:pPr>
        <w:pStyle w:val="BodyText"/>
      </w:pPr>
      <w:r>
        <w:rPr/>
        <w:drawing>
          <wp:anchor distT="0" distB="0" distL="0" distR="0" allowOverlap="1" layoutInCell="1" locked="0" behindDoc="0" simplePos="0" relativeHeight="251844608">
            <wp:simplePos x="0" y="0"/>
            <wp:positionH relativeFrom="page">
              <wp:posOffset>6974928</wp:posOffset>
            </wp:positionH>
            <wp:positionV relativeFrom="page">
              <wp:posOffset>0</wp:posOffset>
            </wp:positionV>
            <wp:extent cx="585076" cy="10692003"/>
            <wp:effectExtent l="0" t="0" r="0" b="0"/>
            <wp:wrapNone/>
            <wp:docPr id="117" name="image23.png"/>
            <wp:cNvGraphicFramePr>
              <a:graphicFrameLocks noChangeAspect="1"/>
            </wp:cNvGraphicFramePr>
            <a:graphic>
              <a:graphicData uri="http://schemas.openxmlformats.org/drawingml/2006/picture">
                <pic:pic>
                  <pic:nvPicPr>
                    <pic:cNvPr id="118" name="image23.png"/>
                    <pic:cNvPicPr/>
                  </pic:nvPicPr>
                  <pic:blipFill>
                    <a:blip r:embed="rId35" cstate="print"/>
                    <a:stretch>
                      <a:fillRect/>
                    </a:stretch>
                  </pic:blipFill>
                  <pic:spPr>
                    <a:xfrm>
                      <a:off x="0" y="0"/>
                      <a:ext cx="585076" cy="10692003"/>
                    </a:xfrm>
                    <a:prstGeom prst="rect">
                      <a:avLst/>
                    </a:prstGeom>
                  </pic:spPr>
                </pic:pic>
              </a:graphicData>
            </a:graphic>
          </wp:anchor>
        </w:drawing>
      </w:r>
    </w:p>
    <w:p>
      <w:pPr>
        <w:pStyle w:val="BodyText"/>
        <w:spacing w:before="7"/>
        <w:rPr>
          <w:sz w:val="21"/>
        </w:rPr>
      </w:pPr>
    </w:p>
    <w:p>
      <w:pPr>
        <w:pStyle w:val="Heading5"/>
        <w:ind w:left="0" w:right="1245"/>
        <w:jc w:val="right"/>
      </w:pPr>
      <w:r>
        <w:rPr/>
        <w:pict>
          <v:shape style="position:absolute;margin-left:554.141174pt;margin-top:22.593945pt;width:25.9pt;height:322.8pt;mso-position-horizontal-relative:page;mso-position-vertical-relative:paragraph;z-index:251845632" type="#_x0000_t202" filled="false" stroked="false">
            <v:textbox inset="0,0,0,0" style="layout-flow:vertical">
              <w:txbxContent>
                <w:p>
                  <w:pPr>
                    <w:spacing w:before="27"/>
                    <w:ind w:left="20" w:right="0" w:firstLine="0"/>
                    <w:jc w:val="left"/>
                    <w:rPr>
                      <w:sz w:val="39"/>
                    </w:rPr>
                  </w:pPr>
                  <w:r>
                    <w:rPr>
                      <w:color w:val="FFFFFF"/>
                      <w:spacing w:val="9"/>
                      <w:w w:val="120"/>
                      <w:sz w:val="39"/>
                    </w:rPr>
                    <w:t>Changes </w:t>
                  </w:r>
                  <w:r>
                    <w:rPr>
                      <w:color w:val="FFFFFF"/>
                      <w:spacing w:val="3"/>
                      <w:w w:val="120"/>
                      <w:sz w:val="39"/>
                    </w:rPr>
                    <w:t>to </w:t>
                  </w:r>
                  <w:r>
                    <w:rPr>
                      <w:color w:val="FFFFFF"/>
                      <w:spacing w:val="8"/>
                      <w:w w:val="120"/>
                      <w:sz w:val="39"/>
                    </w:rPr>
                    <w:t>the </w:t>
                  </w:r>
                  <w:r>
                    <w:rPr>
                      <w:color w:val="FFFFFF"/>
                      <w:spacing w:val="10"/>
                      <w:w w:val="120"/>
                      <w:sz w:val="39"/>
                    </w:rPr>
                    <w:t>standing</w:t>
                  </w:r>
                  <w:r>
                    <w:rPr>
                      <w:color w:val="FFFFFF"/>
                      <w:spacing w:val="114"/>
                      <w:w w:val="120"/>
                      <w:sz w:val="39"/>
                    </w:rPr>
                    <w:t> </w:t>
                  </w:r>
                  <w:r>
                    <w:rPr>
                      <w:color w:val="FFFFFF"/>
                      <w:spacing w:val="10"/>
                      <w:w w:val="120"/>
                      <w:sz w:val="39"/>
                    </w:rPr>
                    <w:t>orders</w:t>
                  </w:r>
                </w:p>
              </w:txbxContent>
            </v:textbox>
            <w10:wrap type="none"/>
          </v:shape>
        </w:pict>
      </w:r>
      <w:r>
        <w:rPr>
          <w:color w:val="7EAABF"/>
          <w:w w:val="120"/>
        </w:rPr>
        <w:t>Mission Council</w:t>
      </w:r>
    </w:p>
    <w:p>
      <w:pPr>
        <w:pStyle w:val="ListParagraph"/>
        <w:numPr>
          <w:ilvl w:val="1"/>
          <w:numId w:val="41"/>
        </w:numPr>
        <w:tabs>
          <w:tab w:pos="3458" w:val="left" w:leader="none"/>
          <w:tab w:pos="3459" w:val="left" w:leader="none"/>
        </w:tabs>
        <w:spacing w:line="235" w:lineRule="auto" w:before="222" w:after="0"/>
        <w:ind w:left="3458" w:right="1988" w:hanging="794"/>
        <w:jc w:val="left"/>
        <w:rPr>
          <w:sz w:val="20"/>
        </w:rPr>
      </w:pPr>
      <w:r>
        <w:rPr>
          <w:w w:val="120"/>
          <w:sz w:val="20"/>
        </w:rPr>
        <w:t>invites members to respond to speeches showing indicator cards, and reflects the mood of the meeting as it becomes</w:t>
      </w:r>
      <w:r>
        <w:rPr>
          <w:spacing w:val="33"/>
          <w:w w:val="120"/>
          <w:sz w:val="20"/>
        </w:rPr>
        <w:t> </w:t>
      </w:r>
      <w:r>
        <w:rPr>
          <w:w w:val="120"/>
          <w:sz w:val="20"/>
        </w:rPr>
        <w:t>apparent</w:t>
      </w:r>
    </w:p>
    <w:p>
      <w:pPr>
        <w:pStyle w:val="ListParagraph"/>
        <w:numPr>
          <w:ilvl w:val="1"/>
          <w:numId w:val="41"/>
        </w:numPr>
        <w:tabs>
          <w:tab w:pos="3458" w:val="left" w:leader="none"/>
          <w:tab w:pos="3459" w:val="left" w:leader="none"/>
        </w:tabs>
        <w:spacing w:line="235" w:lineRule="auto" w:before="1" w:after="0"/>
        <w:ind w:left="3458" w:right="2483" w:hanging="794"/>
        <w:jc w:val="left"/>
        <w:rPr>
          <w:sz w:val="20"/>
        </w:rPr>
      </w:pPr>
      <w:r>
        <w:rPr>
          <w:w w:val="120"/>
          <w:sz w:val="20"/>
        </w:rPr>
        <w:t>suggests or encourages creative modifications of a proposal, picking up insights</w:t>
      </w:r>
      <w:r>
        <w:rPr>
          <w:spacing w:val="9"/>
          <w:w w:val="120"/>
          <w:sz w:val="20"/>
        </w:rPr>
        <w:t> </w:t>
      </w:r>
      <w:r>
        <w:rPr>
          <w:w w:val="120"/>
          <w:sz w:val="20"/>
        </w:rPr>
        <w:t>expressed</w:t>
      </w:r>
    </w:p>
    <w:p>
      <w:pPr>
        <w:pStyle w:val="ListParagraph"/>
        <w:numPr>
          <w:ilvl w:val="1"/>
          <w:numId w:val="41"/>
        </w:numPr>
        <w:tabs>
          <w:tab w:pos="3458" w:val="left" w:leader="none"/>
          <w:tab w:pos="3459" w:val="left" w:leader="none"/>
        </w:tabs>
        <w:spacing w:line="235" w:lineRule="auto" w:before="2" w:after="0"/>
        <w:ind w:left="3458" w:right="2486" w:hanging="794"/>
        <w:jc w:val="left"/>
        <w:rPr>
          <w:sz w:val="20"/>
        </w:rPr>
      </w:pPr>
      <w:r>
        <w:rPr>
          <w:w w:val="120"/>
          <w:sz w:val="20"/>
        </w:rPr>
        <w:t>summarises discussion from time to time to assist in focusing the</w:t>
      </w:r>
      <w:r>
        <w:rPr>
          <w:spacing w:val="1"/>
          <w:w w:val="120"/>
          <w:sz w:val="20"/>
        </w:rPr>
        <w:t> </w:t>
      </w:r>
      <w:r>
        <w:rPr>
          <w:w w:val="120"/>
          <w:sz w:val="20"/>
        </w:rPr>
        <w:t>discussion.</w:t>
      </w:r>
    </w:p>
    <w:p>
      <w:pPr>
        <w:pStyle w:val="BodyText"/>
        <w:spacing w:before="9"/>
        <w:rPr>
          <w:sz w:val="19"/>
        </w:rPr>
      </w:pPr>
    </w:p>
    <w:p>
      <w:pPr>
        <w:pStyle w:val="BodyText"/>
        <w:spacing w:line="235" w:lineRule="auto"/>
        <w:ind w:left="1984" w:right="1701"/>
      </w:pPr>
      <w:r>
        <w:rPr>
          <w:w w:val="120"/>
        </w:rPr>
        <w:t>2c.(b) The Assembly and moderator may be assisted by a facilitation group. This will be appointed at the beginning of each Assembly by the Assembly. It will:</w:t>
      </w:r>
    </w:p>
    <w:p>
      <w:pPr>
        <w:pStyle w:val="ListParagraph"/>
        <w:numPr>
          <w:ilvl w:val="1"/>
          <w:numId w:val="41"/>
        </w:numPr>
        <w:tabs>
          <w:tab w:pos="3458" w:val="left" w:leader="none"/>
          <w:tab w:pos="3459" w:val="left" w:leader="none"/>
        </w:tabs>
        <w:spacing w:line="235" w:lineRule="auto" w:before="2" w:after="0"/>
        <w:ind w:left="3458" w:right="1588" w:hanging="794"/>
        <w:jc w:val="left"/>
        <w:rPr>
          <w:sz w:val="20"/>
        </w:rPr>
      </w:pPr>
      <w:r>
        <w:rPr>
          <w:w w:val="120"/>
          <w:sz w:val="20"/>
        </w:rPr>
        <w:t>enable group work, collate responses from groups and </w:t>
      </w:r>
      <w:r>
        <w:rPr>
          <w:spacing w:val="2"/>
          <w:w w:val="120"/>
          <w:sz w:val="20"/>
        </w:rPr>
        <w:t>report </w:t>
      </w:r>
      <w:r>
        <w:rPr>
          <w:w w:val="120"/>
          <w:sz w:val="20"/>
        </w:rPr>
        <w:t>back to the</w:t>
      </w:r>
      <w:r>
        <w:rPr>
          <w:spacing w:val="2"/>
          <w:w w:val="120"/>
          <w:sz w:val="20"/>
        </w:rPr>
        <w:t> </w:t>
      </w:r>
      <w:r>
        <w:rPr>
          <w:w w:val="120"/>
          <w:sz w:val="20"/>
        </w:rPr>
        <w:t>council</w:t>
      </w:r>
    </w:p>
    <w:p>
      <w:pPr>
        <w:pStyle w:val="ListParagraph"/>
        <w:numPr>
          <w:ilvl w:val="1"/>
          <w:numId w:val="41"/>
        </w:numPr>
        <w:tabs>
          <w:tab w:pos="3458" w:val="left" w:leader="none"/>
          <w:tab w:pos="3459" w:val="left" w:leader="none"/>
        </w:tabs>
        <w:spacing w:line="240" w:lineRule="exact" w:before="0" w:after="0"/>
        <w:ind w:left="3458" w:right="0" w:hanging="795"/>
        <w:jc w:val="left"/>
        <w:rPr>
          <w:sz w:val="20"/>
        </w:rPr>
      </w:pPr>
      <w:r>
        <w:rPr>
          <w:w w:val="120"/>
          <w:sz w:val="20"/>
        </w:rPr>
        <w:t>help and support the</w:t>
      </w:r>
      <w:r>
        <w:rPr>
          <w:spacing w:val="9"/>
          <w:w w:val="120"/>
          <w:sz w:val="20"/>
        </w:rPr>
        <w:t> </w:t>
      </w:r>
      <w:r>
        <w:rPr>
          <w:w w:val="120"/>
          <w:sz w:val="20"/>
        </w:rPr>
        <w:t>moderator</w:t>
      </w:r>
    </w:p>
    <w:p>
      <w:pPr>
        <w:pStyle w:val="ListParagraph"/>
        <w:numPr>
          <w:ilvl w:val="1"/>
          <w:numId w:val="41"/>
        </w:numPr>
        <w:tabs>
          <w:tab w:pos="3458" w:val="left" w:leader="none"/>
          <w:tab w:pos="3459" w:val="left" w:leader="none"/>
        </w:tabs>
        <w:spacing w:line="242" w:lineRule="exact" w:before="0" w:after="0"/>
        <w:ind w:left="3458" w:right="0" w:hanging="795"/>
        <w:jc w:val="left"/>
        <w:rPr>
          <w:sz w:val="20"/>
        </w:rPr>
      </w:pPr>
      <w:r>
        <w:rPr>
          <w:w w:val="120"/>
          <w:sz w:val="20"/>
        </w:rPr>
        <w:t>be responsible for the display of the text under</w:t>
      </w:r>
      <w:r>
        <w:rPr>
          <w:spacing w:val="19"/>
          <w:w w:val="120"/>
          <w:sz w:val="20"/>
        </w:rPr>
        <w:t> </w:t>
      </w:r>
      <w:r>
        <w:rPr>
          <w:w w:val="120"/>
          <w:sz w:val="20"/>
        </w:rPr>
        <w:t>discussion.</w:t>
      </w:r>
    </w:p>
    <w:p>
      <w:pPr>
        <w:pStyle w:val="BodyText"/>
        <w:spacing w:before="3"/>
        <w:rPr>
          <w:sz w:val="19"/>
        </w:rPr>
      </w:pPr>
    </w:p>
    <w:p>
      <w:pPr>
        <w:pStyle w:val="BodyText"/>
        <w:tabs>
          <w:tab w:pos="2664" w:val="left" w:leader="none"/>
        </w:tabs>
        <w:ind w:left="1984"/>
      </w:pPr>
      <w:r>
        <w:rPr>
          <w:w w:val="125"/>
        </w:rPr>
        <w:t>2d.</w:t>
        <w:tab/>
        <w:t>Coloured</w:t>
      </w:r>
      <w:r>
        <w:rPr>
          <w:spacing w:val="-1"/>
          <w:w w:val="125"/>
        </w:rPr>
        <w:t> </w:t>
      </w:r>
      <w:r>
        <w:rPr>
          <w:w w:val="125"/>
        </w:rPr>
        <w:t>cards</w:t>
      </w:r>
    </w:p>
    <w:p>
      <w:pPr>
        <w:pStyle w:val="BodyText"/>
        <w:spacing w:before="8"/>
        <w:rPr>
          <w:sz w:val="19"/>
        </w:rPr>
      </w:pPr>
    </w:p>
    <w:p>
      <w:pPr>
        <w:pStyle w:val="BodyText"/>
        <w:spacing w:line="235" w:lineRule="auto"/>
        <w:ind w:left="1984" w:right="2167"/>
      </w:pPr>
      <w:r>
        <w:rPr>
          <w:w w:val="120"/>
        </w:rPr>
        <w:t>2d.(1) Coloured cards are not essential in consensus decision making but they are helpful.</w:t>
      </w:r>
    </w:p>
    <w:p>
      <w:pPr>
        <w:pStyle w:val="BodyText"/>
        <w:spacing w:before="6"/>
        <w:rPr>
          <w:sz w:val="19"/>
        </w:rPr>
      </w:pPr>
    </w:p>
    <w:p>
      <w:pPr>
        <w:pStyle w:val="BodyText"/>
        <w:spacing w:line="242" w:lineRule="exact"/>
        <w:ind w:left="1984"/>
      </w:pPr>
      <w:r>
        <w:rPr>
          <w:w w:val="120"/>
        </w:rPr>
        <w:t>Each member receives two cards:</w:t>
      </w:r>
    </w:p>
    <w:p>
      <w:pPr>
        <w:pStyle w:val="ListParagraph"/>
        <w:numPr>
          <w:ilvl w:val="1"/>
          <w:numId w:val="40"/>
        </w:numPr>
        <w:tabs>
          <w:tab w:pos="3458" w:val="left" w:leader="none"/>
          <w:tab w:pos="3459" w:val="left" w:leader="none"/>
        </w:tabs>
        <w:spacing w:line="235" w:lineRule="auto" w:before="2" w:after="0"/>
        <w:ind w:left="3458" w:right="1648" w:hanging="794"/>
        <w:jc w:val="left"/>
        <w:rPr>
          <w:sz w:val="20"/>
        </w:rPr>
      </w:pPr>
      <w:r>
        <w:rPr>
          <w:w w:val="120"/>
          <w:sz w:val="20"/>
        </w:rPr>
        <w:t>Orange – held at the end of a speech, so that the moderator can see, indicates warmth towards a point of view or approval of a</w:t>
      </w:r>
      <w:r>
        <w:rPr>
          <w:spacing w:val="20"/>
          <w:w w:val="120"/>
          <w:sz w:val="20"/>
        </w:rPr>
        <w:t> </w:t>
      </w:r>
      <w:r>
        <w:rPr>
          <w:w w:val="120"/>
          <w:sz w:val="20"/>
        </w:rPr>
        <w:t>proposal.</w:t>
      </w:r>
    </w:p>
    <w:p>
      <w:pPr>
        <w:pStyle w:val="ListParagraph"/>
        <w:numPr>
          <w:ilvl w:val="1"/>
          <w:numId w:val="40"/>
        </w:numPr>
        <w:tabs>
          <w:tab w:pos="3458" w:val="left" w:leader="none"/>
          <w:tab w:pos="3459" w:val="left" w:leader="none"/>
        </w:tabs>
        <w:spacing w:line="235" w:lineRule="auto" w:before="1" w:after="0"/>
        <w:ind w:left="3458" w:right="1969" w:hanging="794"/>
        <w:jc w:val="left"/>
        <w:rPr>
          <w:sz w:val="20"/>
        </w:rPr>
      </w:pPr>
      <w:r>
        <w:rPr>
          <w:w w:val="120"/>
          <w:sz w:val="20"/>
        </w:rPr>
        <w:t>Blue – held at the end of a speech, so that the moderator can see, indicates coolness about what has been heard or disapproval</w:t>
      </w:r>
      <w:r>
        <w:rPr>
          <w:spacing w:val="21"/>
          <w:w w:val="120"/>
          <w:sz w:val="20"/>
        </w:rPr>
        <w:t> </w:t>
      </w:r>
      <w:r>
        <w:rPr>
          <w:w w:val="120"/>
          <w:sz w:val="20"/>
        </w:rPr>
        <w:t>of</w:t>
      </w:r>
    </w:p>
    <w:p>
      <w:pPr>
        <w:pStyle w:val="BodyText"/>
        <w:spacing w:line="242" w:lineRule="exact"/>
        <w:ind w:left="3458"/>
      </w:pPr>
      <w:r>
        <w:rPr>
          <w:w w:val="120"/>
        </w:rPr>
        <w:t>a proposal.</w:t>
      </w:r>
    </w:p>
    <w:p>
      <w:pPr>
        <w:pStyle w:val="BodyText"/>
        <w:spacing w:before="8"/>
        <w:rPr>
          <w:sz w:val="19"/>
        </w:rPr>
      </w:pPr>
    </w:p>
    <w:p>
      <w:pPr>
        <w:pStyle w:val="BodyText"/>
        <w:spacing w:line="235" w:lineRule="auto"/>
        <w:ind w:left="1984" w:right="2004"/>
      </w:pPr>
      <w:r>
        <w:rPr>
          <w:w w:val="120"/>
        </w:rPr>
        <w:t>2d.(2a) Cards held crossed indicate to the moderator it’s time to move on to the next subject.</w:t>
      </w:r>
    </w:p>
    <w:p>
      <w:pPr>
        <w:pStyle w:val="BodyText"/>
        <w:spacing w:before="9"/>
        <w:rPr>
          <w:sz w:val="19"/>
        </w:rPr>
      </w:pPr>
    </w:p>
    <w:p>
      <w:pPr>
        <w:pStyle w:val="BodyText"/>
        <w:spacing w:line="235" w:lineRule="auto"/>
        <w:ind w:left="1984" w:right="1352"/>
      </w:pPr>
      <w:r>
        <w:rPr>
          <w:w w:val="120"/>
        </w:rPr>
        <w:t>2d.(2b) Cards should be shown only at the invitation of the moderator and held so that the moderator can see them. They indicate response to what has just been said. They help the moderator to gauge the strength of feeling for various ideas, and to invite speeches from those who are unsure or cool towards the proposal.</w:t>
      </w:r>
    </w:p>
    <w:p>
      <w:pPr>
        <w:pStyle w:val="BodyText"/>
        <w:spacing w:before="8"/>
        <w:rPr>
          <w:sz w:val="19"/>
        </w:rPr>
      </w:pPr>
    </w:p>
    <w:p>
      <w:pPr>
        <w:pStyle w:val="BodyText"/>
        <w:tabs>
          <w:tab w:pos="2664" w:val="left" w:leader="none"/>
        </w:tabs>
        <w:spacing w:line="242" w:lineRule="exact"/>
        <w:ind w:left="1984"/>
      </w:pPr>
      <w:r>
        <w:rPr>
          <w:spacing w:val="-2"/>
          <w:w w:val="120"/>
        </w:rPr>
        <w:t>2.e</w:t>
        <w:tab/>
      </w:r>
      <w:r>
        <w:rPr>
          <w:w w:val="120"/>
        </w:rPr>
        <w:t>Changes of</w:t>
      </w:r>
      <w:r>
        <w:rPr>
          <w:spacing w:val="4"/>
          <w:w w:val="120"/>
        </w:rPr>
        <w:t> </w:t>
      </w:r>
      <w:r>
        <w:rPr>
          <w:w w:val="120"/>
        </w:rPr>
        <w:t>order</w:t>
      </w:r>
    </w:p>
    <w:p>
      <w:pPr>
        <w:pStyle w:val="BodyText"/>
        <w:spacing w:line="235" w:lineRule="auto" w:before="1"/>
        <w:ind w:left="1984" w:right="1352"/>
      </w:pPr>
      <w:r>
        <w:rPr>
          <w:w w:val="120"/>
        </w:rPr>
        <w:t>Changes of order may be raised by any member of Assembly at any time during the meeting and must refer to the proceedings of the council. The moderator asks the member to state their change of order. The moderator rules on it immediately, or asks for a decision by the Assembly via a simple majority vote.</w:t>
      </w:r>
    </w:p>
    <w:p>
      <w:pPr>
        <w:pStyle w:val="BodyText"/>
        <w:spacing w:before="7"/>
        <w:rPr>
          <w:sz w:val="19"/>
        </w:rPr>
      </w:pPr>
    </w:p>
    <w:p>
      <w:pPr>
        <w:pStyle w:val="BodyText"/>
        <w:spacing w:line="242" w:lineRule="exact" w:before="1"/>
        <w:ind w:left="1984"/>
      </w:pPr>
      <w:r>
        <w:rPr>
          <w:w w:val="120"/>
        </w:rPr>
        <w:t>Changes of order include:</w:t>
      </w:r>
    </w:p>
    <w:p>
      <w:pPr>
        <w:pStyle w:val="BodyText"/>
        <w:spacing w:line="242" w:lineRule="exact"/>
        <w:ind w:left="1984"/>
      </w:pPr>
      <w:r>
        <w:rPr>
          <w:w w:val="120"/>
        </w:rPr>
        <w:t>2e.(1) Out of order – the speaker is digressing from the matter being discussed.</w:t>
      </w:r>
    </w:p>
    <w:p>
      <w:pPr>
        <w:pStyle w:val="BodyText"/>
        <w:spacing w:before="7"/>
        <w:rPr>
          <w:sz w:val="19"/>
        </w:rPr>
      </w:pPr>
    </w:p>
    <w:p>
      <w:pPr>
        <w:pStyle w:val="BodyText"/>
        <w:spacing w:line="235" w:lineRule="auto"/>
        <w:ind w:left="1984" w:right="1466"/>
      </w:pPr>
      <w:r>
        <w:rPr>
          <w:spacing w:val="-6"/>
          <w:w w:val="120"/>
        </w:rPr>
        <w:t>2e.(2)  </w:t>
      </w:r>
      <w:r>
        <w:rPr>
          <w:w w:val="120"/>
        </w:rPr>
        <w:t>Closed session – that the matter in hand is sensitive and should be conducted  in private. This is voted on immediately without discussion. It can be raised more than once during a discussion. If it is agreed, all those who are not members of the council must leave. Members must treat the subsequent discussion in the strictest confidence and must not divulge its content or process to</w:t>
      </w:r>
      <w:r>
        <w:rPr>
          <w:spacing w:val="25"/>
          <w:w w:val="120"/>
        </w:rPr>
        <w:t> </w:t>
      </w:r>
      <w:r>
        <w:rPr>
          <w:w w:val="120"/>
        </w:rPr>
        <w:t>non-members.</w:t>
      </w:r>
    </w:p>
    <w:p>
      <w:pPr>
        <w:pStyle w:val="BodyText"/>
      </w:pPr>
    </w:p>
    <w:p>
      <w:pPr>
        <w:pStyle w:val="BodyText"/>
        <w:spacing w:line="235" w:lineRule="auto"/>
        <w:ind w:left="1984" w:right="1414"/>
      </w:pPr>
      <w:r>
        <w:rPr>
          <w:spacing w:val="-6"/>
          <w:w w:val="120"/>
        </w:rPr>
        <w:t>2e.(3) </w:t>
      </w:r>
      <w:r>
        <w:rPr>
          <w:w w:val="120"/>
        </w:rPr>
        <w:t>Adjournment of the discussion – this is voted on immediately without further discussion. It can be proposed more than once in a discussion. It cannot be brought by a person who has already spoken. When the discussion is resumed the person whose speech was interrupted has the right to speak</w:t>
      </w:r>
      <w:r>
        <w:rPr>
          <w:spacing w:val="14"/>
          <w:w w:val="120"/>
        </w:rPr>
        <w:t> </w:t>
      </w:r>
      <w:r>
        <w:rPr>
          <w:w w:val="120"/>
        </w:rPr>
        <w:t>first.</w:t>
      </w:r>
    </w:p>
    <w:p>
      <w:pPr>
        <w:pStyle w:val="BodyText"/>
        <w:spacing w:before="11"/>
        <w:rPr>
          <w:sz w:val="19"/>
        </w:rPr>
      </w:pPr>
    </w:p>
    <w:p>
      <w:pPr>
        <w:pStyle w:val="BodyText"/>
        <w:spacing w:line="235" w:lineRule="auto"/>
        <w:ind w:left="1984" w:right="1352"/>
      </w:pPr>
      <w:r>
        <w:rPr>
          <w:w w:val="120"/>
        </w:rPr>
        <w:t>2e.(4) Personal explanation – a member feeling that some material part of their former speech has been misunderstood or is being grossly misinterpreted by a later speaker may ask to make a personal explanation.</w:t>
      </w:r>
    </w:p>
    <w:p>
      <w:pPr>
        <w:pStyle w:val="BodyText"/>
        <w:spacing w:before="10"/>
        <w:rPr>
          <w:sz w:val="19"/>
        </w:rPr>
      </w:pPr>
    </w:p>
    <w:p>
      <w:pPr>
        <w:pStyle w:val="BodyText"/>
        <w:spacing w:line="235" w:lineRule="auto"/>
        <w:ind w:left="1984" w:right="1352"/>
      </w:pPr>
      <w:r>
        <w:rPr>
          <w:w w:val="120"/>
        </w:rPr>
        <w:t>2e.(5) Objection – a member may raise an objection if the remarks of a speaker are deemed offensive or derogatory. On such an objection being raised the moderator</w:t>
      </w:r>
    </w:p>
    <w:p>
      <w:pPr>
        <w:spacing w:after="0" w:line="235" w:lineRule="auto"/>
        <w:sectPr>
          <w:headerReference w:type="default" r:id="rId149"/>
          <w:footerReference w:type="default" r:id="rId150"/>
          <w:footerReference w:type="even" r:id="rId151"/>
          <w:pgSz w:w="11910" w:h="16840"/>
          <w:pgMar w:header="0" w:footer="647" w:top="0" w:bottom="840" w:left="0" w:right="0"/>
          <w:pgNumType w:start="63"/>
        </w:sectPr>
      </w:pPr>
    </w:p>
    <w:p>
      <w:pPr>
        <w:pStyle w:val="BodyText"/>
      </w:pPr>
      <w:r>
        <w:rPr/>
        <w:drawing>
          <wp:anchor distT="0" distB="0" distL="0" distR="0" allowOverlap="1" layoutInCell="1" locked="0" behindDoc="0" simplePos="0" relativeHeight="251846656">
            <wp:simplePos x="0" y="0"/>
            <wp:positionH relativeFrom="page">
              <wp:posOffset>0</wp:posOffset>
            </wp:positionH>
            <wp:positionV relativeFrom="page">
              <wp:posOffset>0</wp:posOffset>
            </wp:positionV>
            <wp:extent cx="594067" cy="10692003"/>
            <wp:effectExtent l="0" t="0" r="0" b="0"/>
            <wp:wrapNone/>
            <wp:docPr id="119" name="image22.png"/>
            <wp:cNvGraphicFramePr>
              <a:graphicFrameLocks noChangeAspect="1"/>
            </wp:cNvGraphicFramePr>
            <a:graphic>
              <a:graphicData uri="http://schemas.openxmlformats.org/drawingml/2006/picture">
                <pic:pic>
                  <pic:nvPicPr>
                    <pic:cNvPr id="120" name="image22.png"/>
                    <pic:cNvPicPr/>
                  </pic:nvPicPr>
                  <pic:blipFill>
                    <a:blip r:embed="rId33"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shape style="position:absolute;margin-left:20.519100pt;margin-top:22.593945pt;width:25.9pt;height:322.8pt;mso-position-horizontal-relative:page;mso-position-vertical-relative:paragraph;z-index:251847680" type="#_x0000_t202" filled="false" stroked="false">
            <v:textbox inset="0,0,0,0" style="layout-flow:vertical">
              <w:txbxContent>
                <w:p>
                  <w:pPr>
                    <w:spacing w:before="27"/>
                    <w:ind w:left="20" w:right="0" w:firstLine="0"/>
                    <w:jc w:val="left"/>
                    <w:rPr>
                      <w:sz w:val="39"/>
                    </w:rPr>
                  </w:pPr>
                  <w:r>
                    <w:rPr>
                      <w:color w:val="FFFFFF"/>
                      <w:spacing w:val="9"/>
                      <w:w w:val="120"/>
                      <w:sz w:val="39"/>
                    </w:rPr>
                    <w:t>Changes </w:t>
                  </w:r>
                  <w:r>
                    <w:rPr>
                      <w:color w:val="FFFFFF"/>
                      <w:spacing w:val="3"/>
                      <w:w w:val="120"/>
                      <w:sz w:val="39"/>
                    </w:rPr>
                    <w:t>to </w:t>
                  </w:r>
                  <w:r>
                    <w:rPr>
                      <w:color w:val="FFFFFF"/>
                      <w:spacing w:val="8"/>
                      <w:w w:val="120"/>
                      <w:sz w:val="39"/>
                    </w:rPr>
                    <w:t>the </w:t>
                  </w:r>
                  <w:r>
                    <w:rPr>
                      <w:color w:val="FFFFFF"/>
                      <w:spacing w:val="10"/>
                      <w:w w:val="120"/>
                      <w:sz w:val="39"/>
                    </w:rPr>
                    <w:t>standing</w:t>
                  </w:r>
                  <w:r>
                    <w:rPr>
                      <w:color w:val="FFFFFF"/>
                      <w:spacing w:val="114"/>
                      <w:w w:val="120"/>
                      <w:sz w:val="39"/>
                    </w:rPr>
                    <w:t> </w:t>
                  </w:r>
                  <w:r>
                    <w:rPr>
                      <w:color w:val="FFFFFF"/>
                      <w:spacing w:val="10"/>
                      <w:w w:val="120"/>
                      <w:sz w:val="39"/>
                    </w:rPr>
                    <w:t>orders</w:t>
                  </w:r>
                </w:p>
              </w:txbxContent>
            </v:textbox>
            <w10:wrap type="none"/>
          </v:shape>
        </w:pict>
      </w:r>
      <w:r>
        <w:rPr>
          <w:color w:val="7EAABF"/>
          <w:w w:val="120"/>
        </w:rPr>
        <w:t>Mission Council</w:t>
      </w:r>
    </w:p>
    <w:p>
      <w:pPr>
        <w:pStyle w:val="BodyText"/>
        <w:spacing w:line="235" w:lineRule="auto" w:before="222"/>
        <w:ind w:left="1247" w:right="2143"/>
      </w:pPr>
      <w:r>
        <w:rPr>
          <w:w w:val="120"/>
        </w:rPr>
        <w:t>shall immediately rule as to whether the remarks are offensive or derogatory and if the ruling is in favour of the objection may require the speaker to withdraw the remark.</w:t>
      </w:r>
    </w:p>
    <w:p>
      <w:pPr>
        <w:pStyle w:val="BodyText"/>
        <w:spacing w:line="235" w:lineRule="auto" w:before="1"/>
        <w:ind w:left="1247" w:right="2004"/>
      </w:pPr>
      <w:r>
        <w:rPr>
          <w:w w:val="120"/>
        </w:rPr>
        <w:t>Should the speaker refuse to do so the moderator may require the speaker immediately to terminate their speech.</w:t>
      </w:r>
    </w:p>
    <w:p>
      <w:pPr>
        <w:pStyle w:val="BodyText"/>
        <w:spacing w:before="7"/>
        <w:rPr>
          <w:sz w:val="30"/>
        </w:rPr>
      </w:pPr>
    </w:p>
    <w:p>
      <w:pPr>
        <w:pStyle w:val="Heading4"/>
        <w:numPr>
          <w:ilvl w:val="0"/>
          <w:numId w:val="37"/>
        </w:numPr>
        <w:tabs>
          <w:tab w:pos="1927" w:val="left" w:leader="none"/>
          <w:tab w:pos="1928" w:val="left" w:leader="none"/>
        </w:tabs>
        <w:spacing w:line="240" w:lineRule="auto" w:before="1" w:after="0"/>
        <w:ind w:left="1927" w:right="0" w:hanging="681"/>
        <w:jc w:val="left"/>
      </w:pPr>
      <w:r>
        <w:rPr>
          <w:spacing w:val="3"/>
          <w:w w:val="110"/>
        </w:rPr>
        <w:t>Presentation </w:t>
      </w:r>
      <w:r>
        <w:rPr>
          <w:w w:val="110"/>
        </w:rPr>
        <w:t>of</w:t>
      </w:r>
      <w:r>
        <w:rPr>
          <w:spacing w:val="22"/>
          <w:w w:val="110"/>
        </w:rPr>
        <w:t> </w:t>
      </w:r>
      <w:r>
        <w:rPr>
          <w:spacing w:val="3"/>
          <w:w w:val="110"/>
        </w:rPr>
        <w:t>business</w:t>
      </w:r>
    </w:p>
    <w:p>
      <w:pPr>
        <w:pStyle w:val="BodyText"/>
        <w:tabs>
          <w:tab w:pos="1927" w:val="left" w:leader="none"/>
        </w:tabs>
        <w:spacing w:line="235" w:lineRule="auto" w:before="69"/>
        <w:ind w:left="1247" w:right="2183"/>
      </w:pPr>
      <w:r>
        <w:rPr>
          <w:w w:val="120"/>
        </w:rPr>
        <w:t>3a.</w:t>
        <w:tab/>
        <w:t>All </w:t>
      </w:r>
      <w:r>
        <w:rPr>
          <w:spacing w:val="2"/>
          <w:w w:val="120"/>
        </w:rPr>
        <w:t>reports </w:t>
      </w:r>
      <w:r>
        <w:rPr>
          <w:w w:val="120"/>
        </w:rPr>
        <w:t>of committees, together with the </w:t>
      </w:r>
      <w:r>
        <w:rPr>
          <w:spacing w:val="2"/>
          <w:w w:val="120"/>
        </w:rPr>
        <w:t>draft </w:t>
      </w:r>
      <w:r>
        <w:rPr>
          <w:w w:val="120"/>
        </w:rPr>
        <w:t>motions arising there from, shall</w:t>
      </w:r>
      <w:r>
        <w:rPr>
          <w:spacing w:val="-10"/>
          <w:w w:val="120"/>
        </w:rPr>
        <w:t> </w:t>
      </w:r>
      <w:r>
        <w:rPr>
          <w:w w:val="120"/>
        </w:rPr>
        <w:t>be</w:t>
      </w:r>
      <w:r>
        <w:rPr>
          <w:spacing w:val="-10"/>
          <w:w w:val="120"/>
        </w:rPr>
        <w:t> </w:t>
      </w:r>
      <w:r>
        <w:rPr>
          <w:w w:val="120"/>
        </w:rPr>
        <w:t>delivered</w:t>
      </w:r>
      <w:r>
        <w:rPr>
          <w:spacing w:val="-10"/>
          <w:w w:val="120"/>
        </w:rPr>
        <w:t> </w:t>
      </w:r>
      <w:r>
        <w:rPr>
          <w:w w:val="120"/>
        </w:rPr>
        <w:t>to</w:t>
      </w:r>
      <w:r>
        <w:rPr>
          <w:spacing w:val="-10"/>
          <w:w w:val="120"/>
        </w:rPr>
        <w:t> </w:t>
      </w:r>
      <w:r>
        <w:rPr>
          <w:w w:val="120"/>
        </w:rPr>
        <w:t>the</w:t>
      </w:r>
      <w:r>
        <w:rPr>
          <w:spacing w:val="-10"/>
          <w:w w:val="120"/>
        </w:rPr>
        <w:t> </w:t>
      </w:r>
      <w:r>
        <w:rPr>
          <w:w w:val="120"/>
        </w:rPr>
        <w:t>general</w:t>
      </w:r>
      <w:r>
        <w:rPr>
          <w:spacing w:val="-10"/>
          <w:w w:val="120"/>
        </w:rPr>
        <w:t> </w:t>
      </w:r>
      <w:r>
        <w:rPr>
          <w:w w:val="120"/>
        </w:rPr>
        <w:t>secretary</w:t>
      </w:r>
      <w:r>
        <w:rPr>
          <w:spacing w:val="-10"/>
          <w:w w:val="120"/>
        </w:rPr>
        <w:t> </w:t>
      </w:r>
      <w:r>
        <w:rPr>
          <w:w w:val="120"/>
        </w:rPr>
        <w:t>by</w:t>
      </w:r>
      <w:r>
        <w:rPr>
          <w:spacing w:val="-10"/>
          <w:w w:val="120"/>
        </w:rPr>
        <w:t> </w:t>
      </w:r>
      <w:r>
        <w:rPr>
          <w:w w:val="120"/>
        </w:rPr>
        <w:t>a</w:t>
      </w:r>
      <w:r>
        <w:rPr>
          <w:spacing w:val="-10"/>
          <w:w w:val="120"/>
        </w:rPr>
        <w:t> </w:t>
      </w:r>
      <w:r>
        <w:rPr>
          <w:w w:val="120"/>
        </w:rPr>
        <w:t>date</w:t>
      </w:r>
      <w:r>
        <w:rPr>
          <w:spacing w:val="-9"/>
          <w:w w:val="120"/>
        </w:rPr>
        <w:t> </w:t>
      </w:r>
      <w:r>
        <w:rPr>
          <w:w w:val="120"/>
        </w:rPr>
        <w:t>to</w:t>
      </w:r>
      <w:r>
        <w:rPr>
          <w:spacing w:val="-10"/>
          <w:w w:val="120"/>
        </w:rPr>
        <w:t> </w:t>
      </w:r>
      <w:r>
        <w:rPr>
          <w:w w:val="120"/>
        </w:rPr>
        <w:t>be</w:t>
      </w:r>
      <w:r>
        <w:rPr>
          <w:spacing w:val="-10"/>
          <w:w w:val="120"/>
        </w:rPr>
        <w:t> </w:t>
      </w:r>
      <w:r>
        <w:rPr>
          <w:i/>
          <w:color w:val="E42322"/>
          <w:w w:val="120"/>
        </w:rPr>
        <w:t>{the</w:t>
      </w:r>
      <w:r>
        <w:rPr>
          <w:i/>
          <w:color w:val="E42322"/>
          <w:spacing w:val="-12"/>
          <w:w w:val="120"/>
        </w:rPr>
        <w:t> </w:t>
      </w:r>
      <w:r>
        <w:rPr>
          <w:i/>
          <w:color w:val="E42322"/>
          <w:w w:val="120"/>
        </w:rPr>
        <w:t>word</w:t>
      </w:r>
      <w:r>
        <w:rPr>
          <w:i/>
          <w:color w:val="E42322"/>
          <w:spacing w:val="-13"/>
          <w:w w:val="120"/>
        </w:rPr>
        <w:t> </w:t>
      </w:r>
      <w:r>
        <w:rPr>
          <w:i/>
          <w:color w:val="E42322"/>
          <w:w w:val="120"/>
        </w:rPr>
        <w:t>“annually”</w:t>
      </w:r>
      <w:r>
        <w:rPr>
          <w:i/>
          <w:color w:val="E42322"/>
          <w:spacing w:val="-12"/>
          <w:w w:val="120"/>
        </w:rPr>
        <w:t> </w:t>
      </w:r>
      <w:r>
        <w:rPr>
          <w:i/>
          <w:color w:val="E42322"/>
          <w:w w:val="120"/>
        </w:rPr>
        <w:t>omitted} </w:t>
      </w:r>
      <w:r>
        <w:rPr>
          <w:w w:val="120"/>
        </w:rPr>
        <w:t>determined, so that they may be printed and circulated to members in time for consideration before the date of the Assembly</w:t>
      </w:r>
      <w:r>
        <w:rPr>
          <w:spacing w:val="15"/>
          <w:w w:val="120"/>
        </w:rPr>
        <w:t> </w:t>
      </w:r>
      <w:r>
        <w:rPr>
          <w:w w:val="120"/>
        </w:rPr>
        <w:t>meeting.</w:t>
      </w:r>
    </w:p>
    <w:p>
      <w:pPr>
        <w:pStyle w:val="BodyText"/>
        <w:spacing w:before="10"/>
        <w:rPr>
          <w:sz w:val="19"/>
        </w:rPr>
      </w:pPr>
    </w:p>
    <w:p>
      <w:pPr>
        <w:pStyle w:val="BodyText"/>
        <w:tabs>
          <w:tab w:pos="1927" w:val="left" w:leader="none"/>
        </w:tabs>
        <w:spacing w:line="235" w:lineRule="auto" w:before="1"/>
        <w:ind w:left="1247" w:right="2200"/>
      </w:pPr>
      <w:r>
        <w:rPr>
          <w:spacing w:val="-2"/>
          <w:w w:val="120"/>
        </w:rPr>
        <w:t>3b.</w:t>
        <w:tab/>
      </w:r>
      <w:r>
        <w:rPr>
          <w:w w:val="120"/>
        </w:rPr>
        <w:t>A synod may deliver to the general secretary not less than twelve weeks before the commencement of the meeting of the Assembly notice in writing of a motion for consideration at the Assembly. This notice shall include the names of those appointed to propose and second the motion at the</w:t>
      </w:r>
      <w:r>
        <w:rPr>
          <w:spacing w:val="17"/>
          <w:w w:val="120"/>
        </w:rPr>
        <w:t> </w:t>
      </w:r>
      <w:r>
        <w:rPr>
          <w:w w:val="120"/>
        </w:rPr>
        <w:t>Assembly.</w:t>
      </w:r>
    </w:p>
    <w:p>
      <w:pPr>
        <w:pStyle w:val="BodyText"/>
        <w:spacing w:before="11"/>
        <w:rPr>
          <w:sz w:val="19"/>
        </w:rPr>
      </w:pPr>
    </w:p>
    <w:p>
      <w:pPr>
        <w:pStyle w:val="BodyText"/>
        <w:tabs>
          <w:tab w:pos="1927" w:val="left" w:leader="none"/>
        </w:tabs>
        <w:spacing w:line="235" w:lineRule="auto"/>
        <w:ind w:left="1247" w:right="2135"/>
      </w:pPr>
      <w:r>
        <w:rPr>
          <w:w w:val="120"/>
        </w:rPr>
        <w:t>3c.</w:t>
        <w:tab/>
        <w:t>A local church wishing to put forward a motion for consideration by the General Assembly shall submit the motion to its synod for consideration and, if the synod so decides, transmission to the Assembly, at such time as will enable the synod to comply with standing order 3b</w:t>
      </w:r>
      <w:r>
        <w:rPr>
          <w:spacing w:val="9"/>
          <w:w w:val="120"/>
        </w:rPr>
        <w:t> </w:t>
      </w:r>
      <w:r>
        <w:rPr>
          <w:w w:val="120"/>
        </w:rPr>
        <w:t>above.</w:t>
      </w:r>
    </w:p>
    <w:p>
      <w:pPr>
        <w:pStyle w:val="BodyText"/>
        <w:spacing w:before="11"/>
        <w:rPr>
          <w:sz w:val="19"/>
        </w:rPr>
      </w:pPr>
    </w:p>
    <w:p>
      <w:pPr>
        <w:pStyle w:val="BodyText"/>
        <w:tabs>
          <w:tab w:pos="1927" w:val="left" w:leader="none"/>
        </w:tabs>
        <w:spacing w:line="235" w:lineRule="auto"/>
        <w:ind w:left="1247" w:right="2167"/>
      </w:pPr>
      <w:r>
        <w:rPr>
          <w:w w:val="120"/>
        </w:rPr>
        <w:t>3d.</w:t>
        <w:tab/>
        <w:t>A member of the Assembly may deliver to the general secretary not less than  </w:t>
      </w:r>
      <w:r>
        <w:rPr>
          <w:spacing w:val="-4"/>
          <w:w w:val="120"/>
        </w:rPr>
        <w:t>21 </w:t>
      </w:r>
      <w:r>
        <w:rPr>
          <w:w w:val="120"/>
        </w:rPr>
        <w:t>days before the date of the meeting of the Assembly a notice in writing of a motion </w:t>
      </w:r>
      <w:r>
        <w:rPr>
          <w:spacing w:val="-3"/>
          <w:w w:val="120"/>
        </w:rPr>
        <w:t>(which </w:t>
      </w:r>
      <w:r>
        <w:rPr>
          <w:w w:val="120"/>
        </w:rPr>
        <w:t>notice must include the name of a seconder) to be included in the Assembly agenda. If the subject matter of such a notice of motion appears to the general secretary</w:t>
      </w:r>
      <w:r>
        <w:rPr>
          <w:spacing w:val="-10"/>
          <w:w w:val="120"/>
        </w:rPr>
        <w:t> </w:t>
      </w:r>
      <w:r>
        <w:rPr>
          <w:w w:val="120"/>
        </w:rPr>
        <w:t>to</w:t>
      </w:r>
      <w:r>
        <w:rPr>
          <w:spacing w:val="-10"/>
          <w:w w:val="120"/>
        </w:rPr>
        <w:t> </w:t>
      </w:r>
      <w:r>
        <w:rPr>
          <w:w w:val="120"/>
        </w:rPr>
        <w:t>be</w:t>
      </w:r>
      <w:r>
        <w:rPr>
          <w:spacing w:val="-10"/>
          <w:w w:val="120"/>
        </w:rPr>
        <w:t> </w:t>
      </w:r>
      <w:r>
        <w:rPr>
          <w:w w:val="120"/>
        </w:rPr>
        <w:t>an</w:t>
      </w:r>
      <w:r>
        <w:rPr>
          <w:spacing w:val="-10"/>
          <w:w w:val="120"/>
        </w:rPr>
        <w:t> </w:t>
      </w:r>
      <w:r>
        <w:rPr>
          <w:w w:val="120"/>
        </w:rPr>
        <w:t>infringement</w:t>
      </w:r>
      <w:r>
        <w:rPr>
          <w:spacing w:val="-10"/>
          <w:w w:val="120"/>
        </w:rPr>
        <w:t> </w:t>
      </w:r>
      <w:r>
        <w:rPr>
          <w:w w:val="120"/>
        </w:rPr>
        <w:t>of</w:t>
      </w:r>
      <w:r>
        <w:rPr>
          <w:spacing w:val="-10"/>
          <w:w w:val="120"/>
        </w:rPr>
        <w:t> </w:t>
      </w:r>
      <w:r>
        <w:rPr>
          <w:w w:val="120"/>
        </w:rPr>
        <w:t>the</w:t>
      </w:r>
      <w:r>
        <w:rPr>
          <w:spacing w:val="-10"/>
          <w:w w:val="120"/>
        </w:rPr>
        <w:t> </w:t>
      </w:r>
      <w:r>
        <w:rPr>
          <w:w w:val="120"/>
        </w:rPr>
        <w:t>rights</w:t>
      </w:r>
      <w:r>
        <w:rPr>
          <w:spacing w:val="-10"/>
          <w:w w:val="120"/>
        </w:rPr>
        <w:t> </w:t>
      </w:r>
      <w:r>
        <w:rPr>
          <w:w w:val="120"/>
        </w:rPr>
        <w:t>of</w:t>
      </w:r>
      <w:r>
        <w:rPr>
          <w:spacing w:val="-10"/>
          <w:w w:val="120"/>
        </w:rPr>
        <w:t> </w:t>
      </w:r>
      <w:r>
        <w:rPr>
          <w:w w:val="120"/>
        </w:rPr>
        <w:t>a</w:t>
      </w:r>
      <w:r>
        <w:rPr>
          <w:spacing w:val="-10"/>
          <w:w w:val="120"/>
        </w:rPr>
        <w:t> </w:t>
      </w:r>
      <w:r>
        <w:rPr>
          <w:w w:val="120"/>
        </w:rPr>
        <w:t>synod</w:t>
      </w:r>
      <w:r>
        <w:rPr>
          <w:spacing w:val="-10"/>
          <w:w w:val="120"/>
        </w:rPr>
        <w:t> </w:t>
      </w:r>
      <w:r>
        <w:rPr>
          <w:i/>
          <w:color w:val="E42322"/>
          <w:w w:val="120"/>
        </w:rPr>
        <w:t>{the</w:t>
      </w:r>
      <w:r>
        <w:rPr>
          <w:i/>
          <w:color w:val="E42322"/>
          <w:spacing w:val="-12"/>
          <w:w w:val="120"/>
        </w:rPr>
        <w:t> </w:t>
      </w:r>
      <w:r>
        <w:rPr>
          <w:i/>
          <w:color w:val="E42322"/>
          <w:w w:val="120"/>
        </w:rPr>
        <w:t>words</w:t>
      </w:r>
      <w:r>
        <w:rPr>
          <w:i/>
          <w:color w:val="E42322"/>
          <w:spacing w:val="-12"/>
          <w:w w:val="120"/>
        </w:rPr>
        <w:t> </w:t>
      </w:r>
      <w:r>
        <w:rPr>
          <w:i/>
          <w:color w:val="E42322"/>
          <w:w w:val="120"/>
        </w:rPr>
        <w:t>“or</w:t>
      </w:r>
      <w:r>
        <w:rPr>
          <w:i/>
          <w:color w:val="E42322"/>
          <w:spacing w:val="-13"/>
          <w:w w:val="120"/>
        </w:rPr>
        <w:t> </w:t>
      </w:r>
      <w:r>
        <w:rPr>
          <w:i/>
          <w:color w:val="E42322"/>
          <w:w w:val="120"/>
        </w:rPr>
        <w:t>a</w:t>
      </w:r>
      <w:r>
        <w:rPr>
          <w:i/>
          <w:color w:val="E42322"/>
          <w:spacing w:val="-12"/>
          <w:w w:val="120"/>
        </w:rPr>
        <w:t> </w:t>
      </w:r>
      <w:r>
        <w:rPr>
          <w:i/>
          <w:color w:val="E42322"/>
          <w:w w:val="120"/>
        </w:rPr>
        <w:t>district</w:t>
      </w:r>
      <w:r>
        <w:rPr>
          <w:i/>
          <w:color w:val="E42322"/>
          <w:spacing w:val="-12"/>
          <w:w w:val="120"/>
        </w:rPr>
        <w:t> </w:t>
      </w:r>
      <w:r>
        <w:rPr>
          <w:i/>
          <w:color w:val="E42322"/>
          <w:w w:val="120"/>
        </w:rPr>
        <w:t>council” </w:t>
      </w:r>
      <w:r>
        <w:rPr>
          <w:i/>
          <w:color w:val="E42322"/>
          <w:w w:val="120"/>
        </w:rPr>
        <w:t>deleted} </w:t>
      </w:r>
      <w:r>
        <w:rPr>
          <w:w w:val="120"/>
        </w:rPr>
        <w:t>through which the matter could properly have been raised, the general secretary shall inform the member accordingly and bring the matter before</w:t>
      </w:r>
      <w:r>
        <w:rPr>
          <w:spacing w:val="37"/>
          <w:w w:val="120"/>
        </w:rPr>
        <w:t> </w:t>
      </w:r>
      <w:r>
        <w:rPr>
          <w:w w:val="120"/>
        </w:rPr>
        <w:t>the</w:t>
      </w:r>
    </w:p>
    <w:p>
      <w:pPr>
        <w:pStyle w:val="BodyText"/>
        <w:spacing w:line="235" w:lineRule="auto" w:before="5"/>
        <w:ind w:left="1247" w:right="2004"/>
      </w:pPr>
      <w:r>
        <w:rPr>
          <w:w w:val="120"/>
        </w:rPr>
        <w:t>assembly arrangements committee which shall advise the Assembly as to the procedure to be followed.</w:t>
      </w:r>
    </w:p>
    <w:p>
      <w:pPr>
        <w:pStyle w:val="BodyText"/>
        <w:spacing w:before="9"/>
        <w:rPr>
          <w:sz w:val="19"/>
        </w:rPr>
      </w:pPr>
    </w:p>
    <w:p>
      <w:pPr>
        <w:pStyle w:val="BodyText"/>
        <w:tabs>
          <w:tab w:pos="1927" w:val="left" w:leader="none"/>
        </w:tabs>
        <w:spacing w:line="235" w:lineRule="auto"/>
        <w:ind w:left="1247" w:right="2351"/>
      </w:pPr>
      <w:r>
        <w:rPr>
          <w:w w:val="120"/>
        </w:rPr>
        <w:t>3e.</w:t>
        <w:tab/>
        <w:t>Proposals for amendments to the Basis and Structure of the URC, which may be made by the Mission Council or a committee of the General Assembly or a synod, shall be in the hands of the general secretary not later than </w:t>
      </w:r>
      <w:r>
        <w:rPr>
          <w:spacing w:val="-9"/>
          <w:w w:val="120"/>
        </w:rPr>
        <w:t>12 </w:t>
      </w:r>
      <w:r>
        <w:rPr>
          <w:w w:val="120"/>
        </w:rPr>
        <w:t>weeks before the opening of the Assembly. The general secretary, in addition to the normal advice to members of the Assembly, shall, as quickly as possible, inform all synod clerks of the proposed</w:t>
      </w:r>
      <w:r>
        <w:rPr>
          <w:spacing w:val="2"/>
          <w:w w:val="120"/>
        </w:rPr>
        <w:t> </w:t>
      </w:r>
      <w:r>
        <w:rPr>
          <w:w w:val="120"/>
        </w:rPr>
        <w:t>amendment.</w:t>
      </w:r>
    </w:p>
    <w:p>
      <w:pPr>
        <w:pStyle w:val="BodyText"/>
        <w:spacing w:before="11"/>
        <w:rPr>
          <w:sz w:val="30"/>
        </w:rPr>
      </w:pPr>
    </w:p>
    <w:p>
      <w:pPr>
        <w:pStyle w:val="Heading4"/>
        <w:numPr>
          <w:ilvl w:val="0"/>
          <w:numId w:val="37"/>
        </w:numPr>
        <w:tabs>
          <w:tab w:pos="1927" w:val="left" w:leader="none"/>
          <w:tab w:pos="1928" w:val="left" w:leader="none"/>
        </w:tabs>
        <w:spacing w:line="240" w:lineRule="auto" w:before="0" w:after="0"/>
        <w:ind w:left="1927" w:right="0" w:hanging="681"/>
        <w:jc w:val="left"/>
      </w:pPr>
      <w:r>
        <w:rPr>
          <w:spacing w:val="3"/>
          <w:w w:val="110"/>
        </w:rPr>
        <w:t>Motions and</w:t>
      </w:r>
      <w:r>
        <w:rPr>
          <w:spacing w:val="22"/>
          <w:w w:val="110"/>
        </w:rPr>
        <w:t> </w:t>
      </w:r>
      <w:r>
        <w:rPr>
          <w:spacing w:val="4"/>
          <w:w w:val="110"/>
        </w:rPr>
        <w:t>amendments</w:t>
      </w:r>
    </w:p>
    <w:p>
      <w:pPr>
        <w:pStyle w:val="BodyText"/>
        <w:tabs>
          <w:tab w:pos="1927" w:val="left" w:leader="none"/>
        </w:tabs>
        <w:spacing w:line="235" w:lineRule="auto" w:before="69"/>
        <w:ind w:left="1247" w:right="1992"/>
      </w:pPr>
      <w:r>
        <w:rPr>
          <w:w w:val="120"/>
        </w:rPr>
        <w:t>4a.</w:t>
        <w:tab/>
        <w:t>A </w:t>
      </w:r>
      <w:r>
        <w:rPr>
          <w:spacing w:val="2"/>
          <w:w w:val="120"/>
        </w:rPr>
        <w:t>report </w:t>
      </w:r>
      <w:r>
        <w:rPr>
          <w:w w:val="120"/>
        </w:rPr>
        <w:t>presented to the Assembly by a committee or synod, under rule </w:t>
      </w:r>
      <w:r>
        <w:rPr>
          <w:spacing w:val="-7"/>
          <w:w w:val="120"/>
        </w:rPr>
        <w:t>1, </w:t>
      </w:r>
      <w:r>
        <w:rPr>
          <w:w w:val="120"/>
        </w:rPr>
        <w:t>shall be received for debate, unless notice has been duly given under rule 3d of a motion to refer back to that committee or synod the whole or </w:t>
      </w:r>
      <w:r>
        <w:rPr>
          <w:spacing w:val="2"/>
          <w:w w:val="120"/>
        </w:rPr>
        <w:t>part </w:t>
      </w:r>
      <w:r>
        <w:rPr>
          <w:w w:val="120"/>
        </w:rPr>
        <w:t>of the </w:t>
      </w:r>
      <w:r>
        <w:rPr>
          <w:spacing w:val="2"/>
          <w:w w:val="120"/>
        </w:rPr>
        <w:t>report </w:t>
      </w:r>
      <w:r>
        <w:rPr>
          <w:w w:val="120"/>
        </w:rPr>
        <w:t>and its attached </w:t>
      </w:r>
      <w:r>
        <w:rPr>
          <w:spacing w:val="-4"/>
          <w:w w:val="120"/>
        </w:rPr>
        <w:t>motion(s). </w:t>
      </w:r>
      <w:r>
        <w:rPr>
          <w:w w:val="120"/>
        </w:rPr>
        <w:t>Such a motion for reference back shall be debated and voted upon before   the relevant </w:t>
      </w:r>
      <w:r>
        <w:rPr>
          <w:spacing w:val="2"/>
          <w:w w:val="120"/>
        </w:rPr>
        <w:t>report </w:t>
      </w:r>
      <w:r>
        <w:rPr>
          <w:w w:val="120"/>
        </w:rPr>
        <w:t>is itself debated. </w:t>
      </w:r>
      <w:r>
        <w:rPr>
          <w:spacing w:val="-7"/>
          <w:w w:val="120"/>
        </w:rPr>
        <w:t>To </w:t>
      </w:r>
      <w:r>
        <w:rPr>
          <w:spacing w:val="2"/>
          <w:w w:val="120"/>
        </w:rPr>
        <w:t>carry </w:t>
      </w:r>
      <w:r>
        <w:rPr>
          <w:w w:val="120"/>
        </w:rPr>
        <w:t>such a motion two-thirds of the votes cast must be given in its favour. When a </w:t>
      </w:r>
      <w:r>
        <w:rPr>
          <w:spacing w:val="2"/>
          <w:w w:val="120"/>
        </w:rPr>
        <w:t>report </w:t>
      </w:r>
      <w:r>
        <w:rPr>
          <w:w w:val="120"/>
        </w:rPr>
        <w:t>has been received for debate, and before any motions consequent upon it are proposed, any member may speak to a matter arising from the </w:t>
      </w:r>
      <w:r>
        <w:rPr>
          <w:spacing w:val="2"/>
          <w:w w:val="120"/>
        </w:rPr>
        <w:t>report </w:t>
      </w:r>
      <w:r>
        <w:rPr>
          <w:w w:val="120"/>
        </w:rPr>
        <w:t>which is not the subject of a</w:t>
      </w:r>
      <w:r>
        <w:rPr>
          <w:spacing w:val="17"/>
          <w:w w:val="120"/>
        </w:rPr>
        <w:t> </w:t>
      </w:r>
      <w:r>
        <w:rPr>
          <w:w w:val="120"/>
        </w:rPr>
        <w:t>motion.</w:t>
      </w:r>
    </w:p>
    <w:p>
      <w:pPr>
        <w:pStyle w:val="BodyText"/>
        <w:spacing w:before="2"/>
      </w:pPr>
    </w:p>
    <w:p>
      <w:pPr>
        <w:pStyle w:val="BodyText"/>
        <w:tabs>
          <w:tab w:pos="1927" w:val="left" w:leader="none"/>
        </w:tabs>
        <w:spacing w:line="235" w:lineRule="auto"/>
        <w:ind w:left="1247" w:right="2280"/>
      </w:pPr>
      <w:r>
        <w:rPr>
          <w:w w:val="120"/>
        </w:rPr>
        <w:t>4b.</w:t>
        <w:tab/>
        <w:t>During the meeting of the Assembly and on the </w:t>
      </w:r>
      <w:r>
        <w:rPr>
          <w:spacing w:val="2"/>
          <w:w w:val="120"/>
        </w:rPr>
        <w:t>report </w:t>
      </w:r>
      <w:r>
        <w:rPr>
          <w:w w:val="120"/>
        </w:rPr>
        <w:t>of a committee, notice (including the names of proposer and seconder) shall be given to the clerk of any   new motions which arise from the material of the report, and of any amendments which affect the substance of motions already presented. The moderator shall decide whether such motion or amendment requires to be circulated in writing to members before it is discussed by the Assembly. During the course of the debate a new motion or amendment may be stated orally without supporting speech in order to ascertain whether a member is willing to second</w:t>
      </w:r>
      <w:r>
        <w:rPr>
          <w:spacing w:val="16"/>
          <w:w w:val="120"/>
        </w:rPr>
        <w:t> </w:t>
      </w:r>
      <w:r>
        <w:rPr>
          <w:w w:val="120"/>
        </w:rPr>
        <w:t>it.</w:t>
      </w:r>
    </w:p>
    <w:p>
      <w:pPr>
        <w:spacing w:after="0" w:line="235" w:lineRule="auto"/>
        <w:sectPr>
          <w:headerReference w:type="even" r:id="rId152"/>
          <w:pgSz w:w="11910" w:h="16840"/>
          <w:pgMar w:header="0" w:footer="647" w:top="0" w:bottom="840" w:left="0" w:right="0"/>
        </w:sectPr>
      </w:pPr>
    </w:p>
    <w:p>
      <w:pPr>
        <w:pStyle w:val="BodyText"/>
      </w:pPr>
      <w:r>
        <w:rPr/>
        <w:drawing>
          <wp:anchor distT="0" distB="0" distL="0" distR="0" allowOverlap="1" layoutInCell="1" locked="0" behindDoc="0" simplePos="0" relativeHeight="251848704">
            <wp:simplePos x="0" y="0"/>
            <wp:positionH relativeFrom="page">
              <wp:posOffset>6974928</wp:posOffset>
            </wp:positionH>
            <wp:positionV relativeFrom="page">
              <wp:posOffset>0</wp:posOffset>
            </wp:positionV>
            <wp:extent cx="585076" cy="10692003"/>
            <wp:effectExtent l="0" t="0" r="0" b="0"/>
            <wp:wrapNone/>
            <wp:docPr id="121" name="image23.png"/>
            <wp:cNvGraphicFramePr>
              <a:graphicFrameLocks noChangeAspect="1"/>
            </wp:cNvGraphicFramePr>
            <a:graphic>
              <a:graphicData uri="http://schemas.openxmlformats.org/drawingml/2006/picture">
                <pic:pic>
                  <pic:nvPicPr>
                    <pic:cNvPr id="122" name="image23.png"/>
                    <pic:cNvPicPr/>
                  </pic:nvPicPr>
                  <pic:blipFill>
                    <a:blip r:embed="rId35" cstate="print"/>
                    <a:stretch>
                      <a:fillRect/>
                    </a:stretch>
                  </pic:blipFill>
                  <pic:spPr>
                    <a:xfrm>
                      <a:off x="0" y="0"/>
                      <a:ext cx="585076" cy="10692003"/>
                    </a:xfrm>
                    <a:prstGeom prst="rect">
                      <a:avLst/>
                    </a:prstGeom>
                  </pic:spPr>
                </pic:pic>
              </a:graphicData>
            </a:graphic>
          </wp:anchor>
        </w:drawing>
      </w:r>
    </w:p>
    <w:p>
      <w:pPr>
        <w:pStyle w:val="BodyText"/>
        <w:spacing w:before="7"/>
        <w:rPr>
          <w:sz w:val="21"/>
        </w:rPr>
      </w:pPr>
    </w:p>
    <w:p>
      <w:pPr>
        <w:pStyle w:val="Heading5"/>
        <w:ind w:left="0" w:right="1245"/>
        <w:jc w:val="right"/>
      </w:pPr>
      <w:r>
        <w:rPr/>
        <w:pict>
          <v:shape style="position:absolute;margin-left:554.141174pt;margin-top:22.593945pt;width:25.9pt;height:322.8pt;mso-position-horizontal-relative:page;mso-position-vertical-relative:paragraph;z-index:251849728" type="#_x0000_t202" filled="false" stroked="false">
            <v:textbox inset="0,0,0,0" style="layout-flow:vertical">
              <w:txbxContent>
                <w:p>
                  <w:pPr>
                    <w:spacing w:before="27"/>
                    <w:ind w:left="20" w:right="0" w:firstLine="0"/>
                    <w:jc w:val="left"/>
                    <w:rPr>
                      <w:sz w:val="39"/>
                    </w:rPr>
                  </w:pPr>
                  <w:r>
                    <w:rPr>
                      <w:color w:val="FFFFFF"/>
                      <w:spacing w:val="9"/>
                      <w:w w:val="120"/>
                      <w:sz w:val="39"/>
                    </w:rPr>
                    <w:t>Changes </w:t>
                  </w:r>
                  <w:r>
                    <w:rPr>
                      <w:color w:val="FFFFFF"/>
                      <w:spacing w:val="3"/>
                      <w:w w:val="120"/>
                      <w:sz w:val="39"/>
                    </w:rPr>
                    <w:t>to </w:t>
                  </w:r>
                  <w:r>
                    <w:rPr>
                      <w:color w:val="FFFFFF"/>
                      <w:spacing w:val="8"/>
                      <w:w w:val="120"/>
                      <w:sz w:val="39"/>
                    </w:rPr>
                    <w:t>the </w:t>
                  </w:r>
                  <w:r>
                    <w:rPr>
                      <w:color w:val="FFFFFF"/>
                      <w:spacing w:val="10"/>
                      <w:w w:val="120"/>
                      <w:sz w:val="39"/>
                    </w:rPr>
                    <w:t>standing</w:t>
                  </w:r>
                  <w:r>
                    <w:rPr>
                      <w:color w:val="FFFFFF"/>
                      <w:spacing w:val="114"/>
                      <w:w w:val="120"/>
                      <w:sz w:val="39"/>
                    </w:rPr>
                    <w:t> </w:t>
                  </w:r>
                  <w:r>
                    <w:rPr>
                      <w:color w:val="FFFFFF"/>
                      <w:spacing w:val="10"/>
                      <w:w w:val="120"/>
                      <w:sz w:val="39"/>
                    </w:rPr>
                    <w:t>orders</w:t>
                  </w:r>
                </w:p>
              </w:txbxContent>
            </v:textbox>
            <w10:wrap type="none"/>
          </v:shape>
        </w:pict>
      </w:r>
      <w:r>
        <w:rPr>
          <w:color w:val="7EAABF"/>
          <w:w w:val="120"/>
        </w:rPr>
        <w:t>Mission Council</w:t>
      </w:r>
    </w:p>
    <w:p>
      <w:pPr>
        <w:pStyle w:val="BodyText"/>
        <w:tabs>
          <w:tab w:pos="2664" w:val="left" w:leader="none"/>
        </w:tabs>
        <w:spacing w:line="235" w:lineRule="auto" w:before="222"/>
        <w:ind w:left="1984" w:right="1454"/>
      </w:pPr>
      <w:r>
        <w:rPr>
          <w:w w:val="120"/>
        </w:rPr>
        <w:t>4c.</w:t>
        <w:tab/>
        <w:t>No motion or amendment shall be spoken to by its proposer, debated, or put  to the Assembly unless it is known that there is a seconder, the exception to this being motions presented on behalf of a committee, of which printed notice has been</w:t>
      </w:r>
      <w:r>
        <w:rPr>
          <w:spacing w:val="3"/>
          <w:w w:val="120"/>
        </w:rPr>
        <w:t> </w:t>
      </w:r>
      <w:r>
        <w:rPr>
          <w:w w:val="120"/>
        </w:rPr>
        <w:t>given.</w:t>
      </w:r>
    </w:p>
    <w:p>
      <w:pPr>
        <w:pStyle w:val="BodyText"/>
        <w:spacing w:before="10"/>
        <w:rPr>
          <w:sz w:val="19"/>
        </w:rPr>
      </w:pPr>
    </w:p>
    <w:p>
      <w:pPr>
        <w:pStyle w:val="BodyText"/>
        <w:tabs>
          <w:tab w:pos="2664" w:val="left" w:leader="none"/>
        </w:tabs>
        <w:spacing w:line="235" w:lineRule="auto"/>
        <w:ind w:left="1984" w:right="1820"/>
      </w:pPr>
      <w:r>
        <w:rPr>
          <w:w w:val="120"/>
        </w:rPr>
        <w:t>4d.</w:t>
        <w:tab/>
        <w:t>A seconder may second without speaking and, by declaring the intention of doing so, reserves the right of speaking until a later period in the</w:t>
      </w:r>
      <w:r>
        <w:rPr>
          <w:spacing w:val="46"/>
          <w:w w:val="120"/>
        </w:rPr>
        <w:t> </w:t>
      </w:r>
      <w:r>
        <w:rPr>
          <w:w w:val="120"/>
        </w:rPr>
        <w:t>debate.</w:t>
      </w:r>
    </w:p>
    <w:p>
      <w:pPr>
        <w:pStyle w:val="BodyText"/>
        <w:spacing w:before="5"/>
        <w:rPr>
          <w:sz w:val="19"/>
        </w:rPr>
      </w:pPr>
    </w:p>
    <w:p>
      <w:pPr>
        <w:pStyle w:val="BodyText"/>
        <w:tabs>
          <w:tab w:pos="2664" w:val="left" w:leader="none"/>
        </w:tabs>
        <w:spacing w:line="242" w:lineRule="exact" w:before="1"/>
        <w:ind w:left="1984"/>
      </w:pPr>
      <w:r>
        <w:rPr>
          <w:w w:val="120"/>
        </w:rPr>
        <w:t>4e.</w:t>
        <w:tab/>
        <w:t>It shall not be in order to move a motion or amendment</w:t>
      </w:r>
      <w:r>
        <w:rPr>
          <w:spacing w:val="25"/>
          <w:w w:val="120"/>
        </w:rPr>
        <w:t> </w:t>
      </w:r>
      <w:r>
        <w:rPr>
          <w:w w:val="120"/>
        </w:rPr>
        <w:t>which:</w:t>
      </w:r>
    </w:p>
    <w:p>
      <w:pPr>
        <w:pStyle w:val="ListParagraph"/>
        <w:numPr>
          <w:ilvl w:val="1"/>
          <w:numId w:val="37"/>
        </w:numPr>
        <w:tabs>
          <w:tab w:pos="3458" w:val="left" w:leader="none"/>
          <w:tab w:pos="3459" w:val="left" w:leader="none"/>
        </w:tabs>
        <w:spacing w:line="240" w:lineRule="exact" w:before="0" w:after="0"/>
        <w:ind w:left="3458" w:right="0" w:hanging="795"/>
        <w:jc w:val="left"/>
        <w:rPr>
          <w:sz w:val="20"/>
        </w:rPr>
      </w:pPr>
      <w:r>
        <w:rPr>
          <w:w w:val="120"/>
          <w:sz w:val="20"/>
        </w:rPr>
        <w:t>contravenes any </w:t>
      </w:r>
      <w:r>
        <w:rPr>
          <w:spacing w:val="2"/>
          <w:w w:val="120"/>
          <w:sz w:val="20"/>
        </w:rPr>
        <w:t>part </w:t>
      </w:r>
      <w:r>
        <w:rPr>
          <w:w w:val="120"/>
          <w:sz w:val="20"/>
        </w:rPr>
        <w:t>of the Basis of Union,</w:t>
      </w:r>
      <w:r>
        <w:rPr>
          <w:spacing w:val="8"/>
          <w:w w:val="120"/>
          <w:sz w:val="20"/>
        </w:rPr>
        <w:t> </w:t>
      </w:r>
      <w:r>
        <w:rPr>
          <w:w w:val="120"/>
          <w:sz w:val="20"/>
        </w:rPr>
        <w:t>or</w:t>
      </w:r>
    </w:p>
    <w:p>
      <w:pPr>
        <w:pStyle w:val="ListParagraph"/>
        <w:numPr>
          <w:ilvl w:val="1"/>
          <w:numId w:val="37"/>
        </w:numPr>
        <w:tabs>
          <w:tab w:pos="3458" w:val="left" w:leader="none"/>
          <w:tab w:pos="3459" w:val="left" w:leader="none"/>
        </w:tabs>
        <w:spacing w:line="235" w:lineRule="auto" w:before="1" w:after="0"/>
        <w:ind w:left="3458" w:right="1571" w:hanging="794"/>
        <w:jc w:val="left"/>
        <w:rPr>
          <w:sz w:val="20"/>
        </w:rPr>
      </w:pPr>
      <w:r>
        <w:rPr>
          <w:w w:val="120"/>
          <w:sz w:val="20"/>
        </w:rPr>
        <w:t>involves the church in expenditure without prior consideration by the appropriate committee,</w:t>
      </w:r>
      <w:r>
        <w:rPr>
          <w:spacing w:val="4"/>
          <w:w w:val="120"/>
          <w:sz w:val="20"/>
        </w:rPr>
        <w:t> </w:t>
      </w:r>
      <w:r>
        <w:rPr>
          <w:w w:val="120"/>
          <w:sz w:val="20"/>
        </w:rPr>
        <w:t>or</w:t>
      </w:r>
    </w:p>
    <w:p>
      <w:pPr>
        <w:pStyle w:val="ListParagraph"/>
        <w:numPr>
          <w:ilvl w:val="1"/>
          <w:numId w:val="37"/>
        </w:numPr>
        <w:tabs>
          <w:tab w:pos="3458" w:val="left" w:leader="none"/>
          <w:tab w:pos="3459" w:val="left" w:leader="none"/>
        </w:tabs>
        <w:spacing w:line="240" w:lineRule="exact" w:before="0" w:after="0"/>
        <w:ind w:left="3458" w:right="0" w:hanging="795"/>
        <w:jc w:val="left"/>
        <w:rPr>
          <w:sz w:val="20"/>
        </w:rPr>
      </w:pPr>
      <w:r>
        <w:rPr>
          <w:spacing w:val="2"/>
          <w:w w:val="120"/>
          <w:sz w:val="20"/>
        </w:rPr>
        <w:t>pre-empts </w:t>
      </w:r>
      <w:r>
        <w:rPr>
          <w:w w:val="120"/>
          <w:sz w:val="20"/>
        </w:rPr>
        <w:t>discussion of a matter to be considered later in the agenda,</w:t>
      </w:r>
      <w:r>
        <w:rPr>
          <w:spacing w:val="20"/>
          <w:w w:val="120"/>
          <w:sz w:val="20"/>
        </w:rPr>
        <w:t> </w:t>
      </w:r>
      <w:r>
        <w:rPr>
          <w:w w:val="120"/>
          <w:sz w:val="20"/>
        </w:rPr>
        <w:t>or</w:t>
      </w:r>
    </w:p>
    <w:p>
      <w:pPr>
        <w:pStyle w:val="ListParagraph"/>
        <w:numPr>
          <w:ilvl w:val="1"/>
          <w:numId w:val="37"/>
        </w:numPr>
        <w:tabs>
          <w:tab w:pos="3458" w:val="left" w:leader="none"/>
          <w:tab w:pos="3459" w:val="left" w:leader="none"/>
        </w:tabs>
        <w:spacing w:line="235" w:lineRule="auto" w:before="2" w:after="0"/>
        <w:ind w:left="3458" w:right="1375" w:hanging="794"/>
        <w:jc w:val="left"/>
        <w:rPr>
          <w:sz w:val="20"/>
        </w:rPr>
      </w:pPr>
      <w:r>
        <w:rPr>
          <w:w w:val="120"/>
          <w:sz w:val="20"/>
        </w:rPr>
        <w:t>amends or reverses a decision reached by the Assembly at its preceding two meetings unless the moderator, clerk and general secretary together decide that changed circumstances or new evidence justify earlier reconsideration of the matter,</w:t>
      </w:r>
      <w:r>
        <w:rPr>
          <w:spacing w:val="5"/>
          <w:w w:val="120"/>
          <w:sz w:val="20"/>
        </w:rPr>
        <w:t> </w:t>
      </w:r>
      <w:r>
        <w:rPr>
          <w:w w:val="120"/>
          <w:sz w:val="20"/>
        </w:rPr>
        <w:t>or</w:t>
      </w:r>
    </w:p>
    <w:p>
      <w:pPr>
        <w:pStyle w:val="ListParagraph"/>
        <w:numPr>
          <w:ilvl w:val="1"/>
          <w:numId w:val="37"/>
        </w:numPr>
        <w:tabs>
          <w:tab w:pos="3458" w:val="left" w:leader="none"/>
          <w:tab w:pos="3459" w:val="left" w:leader="none"/>
        </w:tabs>
        <w:spacing w:line="235" w:lineRule="auto" w:before="3" w:after="0"/>
        <w:ind w:left="3458" w:right="1367" w:hanging="794"/>
        <w:jc w:val="left"/>
        <w:rPr>
          <w:sz w:val="20"/>
        </w:rPr>
      </w:pPr>
      <w:r>
        <w:rPr>
          <w:w w:val="120"/>
          <w:sz w:val="20"/>
        </w:rPr>
        <w:t>is not related to the </w:t>
      </w:r>
      <w:r>
        <w:rPr>
          <w:spacing w:val="2"/>
          <w:w w:val="120"/>
          <w:sz w:val="20"/>
        </w:rPr>
        <w:t>report </w:t>
      </w:r>
      <w:r>
        <w:rPr>
          <w:w w:val="120"/>
          <w:sz w:val="20"/>
        </w:rPr>
        <w:t>of a committee and has not been the subject of </w:t>
      </w:r>
      <w:r>
        <w:rPr>
          <w:spacing w:val="-4"/>
          <w:w w:val="120"/>
          <w:sz w:val="20"/>
        </w:rPr>
        <w:t>21 </w:t>
      </w:r>
      <w:r>
        <w:rPr>
          <w:w w:val="120"/>
          <w:sz w:val="20"/>
        </w:rPr>
        <w:t>days’ notice under</w:t>
      </w:r>
      <w:r>
        <w:rPr>
          <w:spacing w:val="15"/>
          <w:w w:val="120"/>
          <w:sz w:val="20"/>
        </w:rPr>
        <w:t> </w:t>
      </w:r>
      <w:r>
        <w:rPr>
          <w:w w:val="120"/>
          <w:sz w:val="20"/>
        </w:rPr>
        <w:t>3d.</w:t>
      </w:r>
    </w:p>
    <w:p>
      <w:pPr>
        <w:pStyle w:val="BodyText"/>
        <w:spacing w:line="235" w:lineRule="auto" w:before="2"/>
        <w:ind w:left="1984" w:right="1352"/>
      </w:pPr>
      <w:r>
        <w:rPr>
          <w:w w:val="120"/>
        </w:rPr>
        <w:t>The decision of the moderator (in the case of i, ii, iii, and v) and of the moderator with the clerk and the general secretary (in the case of iv) on the application of this standing order shall be final.</w:t>
      </w:r>
    </w:p>
    <w:p>
      <w:pPr>
        <w:pStyle w:val="BodyText"/>
        <w:spacing w:before="10"/>
        <w:rPr>
          <w:sz w:val="19"/>
        </w:rPr>
      </w:pPr>
    </w:p>
    <w:p>
      <w:pPr>
        <w:pStyle w:val="BodyText"/>
        <w:tabs>
          <w:tab w:pos="2664" w:val="left" w:leader="none"/>
        </w:tabs>
        <w:spacing w:line="235" w:lineRule="auto"/>
        <w:ind w:left="1984" w:right="1606"/>
      </w:pPr>
      <w:r>
        <w:rPr>
          <w:w w:val="120"/>
        </w:rPr>
        <w:t>4f.</w:t>
        <w:tab/>
        <w:t>An amendment shall be either to omit words or to insert words or to do both, but no amendment shall be in order which has the effect of introducing an irrelevant proposal or of negating the motion. The moderator may rule that a proposed amendment should be treated as an alternative motion under standing order</w:t>
      </w:r>
      <w:r>
        <w:rPr>
          <w:spacing w:val="34"/>
          <w:w w:val="120"/>
        </w:rPr>
        <w:t> </w:t>
      </w:r>
      <w:r>
        <w:rPr>
          <w:w w:val="120"/>
        </w:rPr>
        <w:t>4k.</w:t>
      </w:r>
    </w:p>
    <w:p>
      <w:pPr>
        <w:pStyle w:val="BodyText"/>
        <w:spacing w:before="11"/>
        <w:rPr>
          <w:sz w:val="19"/>
        </w:rPr>
      </w:pPr>
    </w:p>
    <w:p>
      <w:pPr>
        <w:pStyle w:val="BodyText"/>
        <w:tabs>
          <w:tab w:pos="2664" w:val="left" w:leader="none"/>
        </w:tabs>
        <w:spacing w:line="235" w:lineRule="auto"/>
        <w:ind w:left="1984" w:right="1509"/>
      </w:pPr>
      <w:r>
        <w:rPr>
          <w:w w:val="120"/>
        </w:rPr>
        <w:t>4g.</w:t>
        <w:tab/>
        <w:t>If an amendment is carried, the motion as amended shall take the place of the original motion and shall become the substantive motion upon which any further amendment may be moved. If an amendment is rejected a further amendment with a different outcome may be</w:t>
      </w:r>
      <w:r>
        <w:rPr>
          <w:spacing w:val="7"/>
          <w:w w:val="120"/>
        </w:rPr>
        <w:t> </w:t>
      </w:r>
      <w:r>
        <w:rPr>
          <w:w w:val="120"/>
        </w:rPr>
        <w:t>moved.</w:t>
      </w:r>
    </w:p>
    <w:p>
      <w:pPr>
        <w:pStyle w:val="BodyText"/>
        <w:spacing w:before="11"/>
        <w:rPr>
          <w:sz w:val="19"/>
        </w:rPr>
      </w:pPr>
    </w:p>
    <w:p>
      <w:pPr>
        <w:pStyle w:val="BodyText"/>
        <w:tabs>
          <w:tab w:pos="2664" w:val="left" w:leader="none"/>
        </w:tabs>
        <w:spacing w:line="235" w:lineRule="auto"/>
        <w:ind w:left="1984" w:right="1414"/>
      </w:pPr>
      <w:r>
        <w:rPr>
          <w:w w:val="120"/>
        </w:rPr>
        <w:t>4h.</w:t>
        <w:tab/>
        <w:t>An amendment which has been moved and seconded shall be disposed of before any further amendment may be moved, but notice may be given of intention to move a further amendment should the one before the Assembly be</w:t>
      </w:r>
      <w:r>
        <w:rPr>
          <w:spacing w:val="31"/>
          <w:w w:val="120"/>
        </w:rPr>
        <w:t> </w:t>
      </w:r>
      <w:r>
        <w:rPr>
          <w:w w:val="120"/>
        </w:rPr>
        <w:t>rejected.</w:t>
      </w:r>
    </w:p>
    <w:p>
      <w:pPr>
        <w:pStyle w:val="BodyText"/>
        <w:spacing w:before="10"/>
        <w:rPr>
          <w:sz w:val="19"/>
        </w:rPr>
      </w:pPr>
    </w:p>
    <w:p>
      <w:pPr>
        <w:pStyle w:val="BodyText"/>
        <w:tabs>
          <w:tab w:pos="2664" w:val="left" w:leader="none"/>
        </w:tabs>
        <w:spacing w:line="235" w:lineRule="auto"/>
        <w:ind w:left="1984" w:right="1634"/>
      </w:pPr>
      <w:r>
        <w:rPr>
          <w:w w:val="120"/>
        </w:rPr>
        <w:t>4i.</w:t>
        <w:tab/>
        <w:t>The mover </w:t>
      </w:r>
      <w:r>
        <w:rPr>
          <w:spacing w:val="-4"/>
          <w:w w:val="120"/>
        </w:rPr>
        <w:t>may, </w:t>
      </w:r>
      <w:r>
        <w:rPr>
          <w:w w:val="120"/>
        </w:rPr>
        <w:t>with the concurrence of the seconder and the consent of the Assembly, alter the motion or amendment</w:t>
      </w:r>
      <w:r>
        <w:rPr>
          <w:spacing w:val="12"/>
          <w:w w:val="120"/>
        </w:rPr>
        <w:t> </w:t>
      </w:r>
      <w:r>
        <w:rPr>
          <w:w w:val="120"/>
        </w:rPr>
        <w:t>proposed.</w:t>
      </w:r>
    </w:p>
    <w:p>
      <w:pPr>
        <w:pStyle w:val="BodyText"/>
        <w:spacing w:before="10"/>
        <w:rPr>
          <w:sz w:val="19"/>
        </w:rPr>
      </w:pPr>
    </w:p>
    <w:p>
      <w:pPr>
        <w:pStyle w:val="BodyText"/>
        <w:tabs>
          <w:tab w:pos="2664" w:val="left" w:leader="none"/>
        </w:tabs>
        <w:spacing w:line="235" w:lineRule="auto"/>
        <w:ind w:left="1984" w:right="1352"/>
      </w:pPr>
      <w:r>
        <w:rPr>
          <w:w w:val="120"/>
        </w:rPr>
        <w:t>4j.</w:t>
        <w:tab/>
        <w:t>A motion or amendment may be withdrawn by the proposer with the concurrence of the seconder and the consent of the Assembly. Any such consent shall be signified without discussion. It shall not be in order for any member to speak upon it after the proposer has asked permission to withdraw unless such permission shall have been</w:t>
      </w:r>
      <w:r>
        <w:rPr>
          <w:spacing w:val="1"/>
          <w:w w:val="120"/>
        </w:rPr>
        <w:t> </w:t>
      </w:r>
      <w:r>
        <w:rPr>
          <w:w w:val="120"/>
        </w:rPr>
        <w:t>refused.</w:t>
      </w:r>
    </w:p>
    <w:p>
      <w:pPr>
        <w:pStyle w:val="BodyText"/>
        <w:spacing w:before="11"/>
        <w:rPr>
          <w:sz w:val="19"/>
        </w:rPr>
      </w:pPr>
    </w:p>
    <w:p>
      <w:pPr>
        <w:pStyle w:val="BodyText"/>
        <w:tabs>
          <w:tab w:pos="2664" w:val="left" w:leader="none"/>
        </w:tabs>
        <w:spacing w:line="235" w:lineRule="auto" w:before="1"/>
        <w:ind w:left="1984" w:right="1301"/>
      </w:pPr>
      <w:r>
        <w:rPr>
          <w:w w:val="120"/>
        </w:rPr>
        <w:t>4k.</w:t>
        <w:tab/>
        <w:t>Alternative (but not directly negative) motions may be moved and seconded in competition with a motion before the Assembly. After any amendments duly moved under standing orders </w:t>
      </w:r>
      <w:r>
        <w:rPr>
          <w:spacing w:val="-3"/>
          <w:w w:val="120"/>
        </w:rPr>
        <w:t>4f, </w:t>
      </w:r>
      <w:r>
        <w:rPr>
          <w:w w:val="120"/>
        </w:rPr>
        <w:t>4g and 4h have been dealt with and debate on the alternative motions has ended, the movers shall reply to the debate in reverse order to that in which they spoke initially. The first vote shall be a vote in favour of each of the motions, put in the order in which they were proposed, the result not being announced for one until it is announced for</w:t>
      </w:r>
      <w:r>
        <w:rPr>
          <w:spacing w:val="9"/>
          <w:w w:val="120"/>
        </w:rPr>
        <w:t> </w:t>
      </w:r>
      <w:r>
        <w:rPr>
          <w:w w:val="120"/>
        </w:rPr>
        <w:t>all.</w:t>
      </w:r>
    </w:p>
    <w:p>
      <w:pPr>
        <w:pStyle w:val="BodyText"/>
      </w:pPr>
    </w:p>
    <w:p>
      <w:pPr>
        <w:pStyle w:val="BodyText"/>
        <w:spacing w:line="235" w:lineRule="auto" w:before="1"/>
        <w:ind w:left="1984" w:right="1301"/>
      </w:pPr>
      <w:r>
        <w:rPr>
          <w:w w:val="120"/>
        </w:rPr>
        <w:t>If any of them obtains a majority of those voting, it becomes the sole motion before the Assembly. If none of them does so, the motion having the fewest votes is discarded.</w:t>
      </w:r>
    </w:p>
    <w:p>
      <w:pPr>
        <w:pStyle w:val="BodyText"/>
        <w:spacing w:line="235" w:lineRule="auto" w:before="1"/>
        <w:ind w:left="1984" w:right="1352"/>
      </w:pPr>
      <w:r>
        <w:rPr>
          <w:w w:val="120"/>
        </w:rPr>
        <w:t>Should the lowest two be equal, the moderator gives a casting vote. The voting process is repeated until one motion achieves a majority of those voting. Once a sole motion remains, votes for and against that motion shall be taken in the normal way and in accordance with standing order</w:t>
      </w:r>
      <w:r>
        <w:rPr>
          <w:spacing w:val="9"/>
          <w:w w:val="120"/>
        </w:rPr>
        <w:t> </w:t>
      </w:r>
      <w:r>
        <w:rPr>
          <w:spacing w:val="-13"/>
          <w:w w:val="120"/>
        </w:rPr>
        <w:t>7.</w:t>
      </w:r>
    </w:p>
    <w:p>
      <w:pPr>
        <w:spacing w:after="0" w:line="235" w:lineRule="auto"/>
        <w:sectPr>
          <w:headerReference w:type="default" r:id="rId153"/>
          <w:footerReference w:type="default" r:id="rId154"/>
          <w:footerReference w:type="even" r:id="rId155"/>
          <w:pgSz w:w="11910" w:h="16840"/>
          <w:pgMar w:header="0" w:footer="647" w:top="0" w:bottom="840" w:left="0" w:right="0"/>
          <w:pgNumType w:start="65"/>
        </w:sectPr>
      </w:pPr>
    </w:p>
    <w:p>
      <w:pPr>
        <w:pStyle w:val="BodyText"/>
      </w:pPr>
      <w:r>
        <w:rPr/>
        <w:drawing>
          <wp:anchor distT="0" distB="0" distL="0" distR="0" allowOverlap="1" layoutInCell="1" locked="0" behindDoc="0" simplePos="0" relativeHeight="251850752">
            <wp:simplePos x="0" y="0"/>
            <wp:positionH relativeFrom="page">
              <wp:posOffset>0</wp:posOffset>
            </wp:positionH>
            <wp:positionV relativeFrom="page">
              <wp:posOffset>0</wp:posOffset>
            </wp:positionV>
            <wp:extent cx="594067" cy="10692003"/>
            <wp:effectExtent l="0" t="0" r="0" b="0"/>
            <wp:wrapNone/>
            <wp:docPr id="123" name="image22.png"/>
            <wp:cNvGraphicFramePr>
              <a:graphicFrameLocks noChangeAspect="1"/>
            </wp:cNvGraphicFramePr>
            <a:graphic>
              <a:graphicData uri="http://schemas.openxmlformats.org/drawingml/2006/picture">
                <pic:pic>
                  <pic:nvPicPr>
                    <pic:cNvPr id="124" name="image22.png"/>
                    <pic:cNvPicPr/>
                  </pic:nvPicPr>
                  <pic:blipFill>
                    <a:blip r:embed="rId33"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shape style="position:absolute;margin-left:20.519100pt;margin-top:22.593945pt;width:25.9pt;height:322.8pt;mso-position-horizontal-relative:page;mso-position-vertical-relative:paragraph;z-index:251851776" type="#_x0000_t202" filled="false" stroked="false">
            <v:textbox inset="0,0,0,0" style="layout-flow:vertical">
              <w:txbxContent>
                <w:p>
                  <w:pPr>
                    <w:spacing w:before="27"/>
                    <w:ind w:left="20" w:right="0" w:firstLine="0"/>
                    <w:jc w:val="left"/>
                    <w:rPr>
                      <w:sz w:val="39"/>
                    </w:rPr>
                  </w:pPr>
                  <w:r>
                    <w:rPr>
                      <w:color w:val="FFFFFF"/>
                      <w:spacing w:val="9"/>
                      <w:w w:val="120"/>
                      <w:sz w:val="39"/>
                    </w:rPr>
                    <w:t>Changes </w:t>
                  </w:r>
                  <w:r>
                    <w:rPr>
                      <w:color w:val="FFFFFF"/>
                      <w:spacing w:val="3"/>
                      <w:w w:val="120"/>
                      <w:sz w:val="39"/>
                    </w:rPr>
                    <w:t>to </w:t>
                  </w:r>
                  <w:r>
                    <w:rPr>
                      <w:color w:val="FFFFFF"/>
                      <w:spacing w:val="8"/>
                      <w:w w:val="120"/>
                      <w:sz w:val="39"/>
                    </w:rPr>
                    <w:t>the </w:t>
                  </w:r>
                  <w:r>
                    <w:rPr>
                      <w:color w:val="FFFFFF"/>
                      <w:spacing w:val="10"/>
                      <w:w w:val="120"/>
                      <w:sz w:val="39"/>
                    </w:rPr>
                    <w:t>standing</w:t>
                  </w:r>
                  <w:r>
                    <w:rPr>
                      <w:color w:val="FFFFFF"/>
                      <w:spacing w:val="114"/>
                      <w:w w:val="120"/>
                      <w:sz w:val="39"/>
                    </w:rPr>
                    <w:t> </w:t>
                  </w:r>
                  <w:r>
                    <w:rPr>
                      <w:color w:val="FFFFFF"/>
                      <w:spacing w:val="10"/>
                      <w:w w:val="120"/>
                      <w:sz w:val="39"/>
                    </w:rPr>
                    <w:t>orders</w:t>
                  </w:r>
                </w:p>
              </w:txbxContent>
            </v:textbox>
            <w10:wrap type="none"/>
          </v:shape>
        </w:pict>
      </w:r>
      <w:r>
        <w:rPr>
          <w:color w:val="7EAABF"/>
          <w:w w:val="120"/>
        </w:rPr>
        <w:t>Mission Council</w:t>
      </w:r>
    </w:p>
    <w:p>
      <w:pPr>
        <w:pStyle w:val="ListParagraph"/>
        <w:numPr>
          <w:ilvl w:val="0"/>
          <w:numId w:val="37"/>
        </w:numPr>
        <w:tabs>
          <w:tab w:pos="1927" w:val="left" w:leader="none"/>
          <w:tab w:pos="1928" w:val="left" w:leader="none"/>
        </w:tabs>
        <w:spacing w:line="240" w:lineRule="auto" w:before="215" w:after="0"/>
        <w:ind w:left="1927" w:right="0" w:hanging="681"/>
        <w:jc w:val="left"/>
        <w:rPr>
          <w:rFonts w:ascii="Stone Sans II ITC Std Bk"/>
          <w:b/>
          <w:sz w:val="29"/>
        </w:rPr>
      </w:pPr>
      <w:r>
        <w:rPr>
          <w:rFonts w:ascii="Stone Sans II ITC Std Bk"/>
          <w:b/>
          <w:spacing w:val="4"/>
          <w:w w:val="110"/>
          <w:sz w:val="29"/>
        </w:rPr>
        <w:t>Timing </w:t>
      </w:r>
      <w:r>
        <w:rPr>
          <w:rFonts w:ascii="Stone Sans II ITC Std Bk"/>
          <w:b/>
          <w:w w:val="110"/>
          <w:sz w:val="29"/>
        </w:rPr>
        <w:t>of </w:t>
      </w:r>
      <w:r>
        <w:rPr>
          <w:rFonts w:ascii="Stone Sans II ITC Std Bk"/>
          <w:b/>
          <w:spacing w:val="4"/>
          <w:w w:val="110"/>
          <w:sz w:val="29"/>
        </w:rPr>
        <w:t>speeches </w:t>
      </w:r>
      <w:r>
        <w:rPr>
          <w:rFonts w:ascii="Stone Sans II ITC Std Bk"/>
          <w:b/>
          <w:spacing w:val="3"/>
          <w:w w:val="110"/>
          <w:sz w:val="29"/>
        </w:rPr>
        <w:t>and </w:t>
      </w:r>
      <w:r>
        <w:rPr>
          <w:rFonts w:ascii="Stone Sans II ITC Std Bk"/>
          <w:b/>
          <w:w w:val="110"/>
          <w:sz w:val="29"/>
        </w:rPr>
        <w:t>of </w:t>
      </w:r>
      <w:r>
        <w:rPr>
          <w:rFonts w:ascii="Stone Sans II ITC Std Bk"/>
          <w:b/>
          <w:spacing w:val="3"/>
          <w:w w:val="110"/>
          <w:sz w:val="29"/>
        </w:rPr>
        <w:t>other</w:t>
      </w:r>
      <w:r>
        <w:rPr>
          <w:rFonts w:ascii="Stone Sans II ITC Std Bk"/>
          <w:b/>
          <w:spacing w:val="67"/>
          <w:w w:val="110"/>
          <w:sz w:val="29"/>
        </w:rPr>
        <w:t> </w:t>
      </w:r>
      <w:r>
        <w:rPr>
          <w:rFonts w:ascii="Stone Sans II ITC Std Bk"/>
          <w:b/>
          <w:spacing w:val="3"/>
          <w:w w:val="110"/>
          <w:sz w:val="29"/>
        </w:rPr>
        <w:t>business</w:t>
      </w:r>
    </w:p>
    <w:p>
      <w:pPr>
        <w:pStyle w:val="BodyText"/>
        <w:tabs>
          <w:tab w:pos="1927" w:val="left" w:leader="none"/>
        </w:tabs>
        <w:spacing w:line="235" w:lineRule="auto" w:before="69"/>
        <w:ind w:left="1247" w:right="2151"/>
      </w:pPr>
      <w:r>
        <w:rPr>
          <w:w w:val="120"/>
        </w:rPr>
        <w:t>5a.</w:t>
        <w:tab/>
        <w:t>Save by prior agreement of the officers of the Assembly, speeches made in the presentation of </w:t>
      </w:r>
      <w:r>
        <w:rPr>
          <w:spacing w:val="2"/>
          <w:w w:val="120"/>
        </w:rPr>
        <w:t>reports </w:t>
      </w:r>
      <w:r>
        <w:rPr>
          <w:w w:val="120"/>
        </w:rPr>
        <w:t>concerning past work of Assembly committees which are to be open to question, comment or discussion shall not exceed five</w:t>
      </w:r>
      <w:r>
        <w:rPr>
          <w:spacing w:val="22"/>
          <w:w w:val="120"/>
        </w:rPr>
        <w:t> </w:t>
      </w:r>
      <w:r>
        <w:rPr>
          <w:w w:val="120"/>
        </w:rPr>
        <w:t>minutes.</w:t>
      </w:r>
    </w:p>
    <w:p>
      <w:pPr>
        <w:pStyle w:val="BodyText"/>
        <w:spacing w:before="10"/>
        <w:rPr>
          <w:sz w:val="19"/>
        </w:rPr>
      </w:pPr>
    </w:p>
    <w:p>
      <w:pPr>
        <w:pStyle w:val="BodyText"/>
        <w:spacing w:line="235" w:lineRule="auto" w:before="1"/>
        <w:ind w:left="1247" w:right="2229"/>
        <w:jc w:val="both"/>
      </w:pPr>
      <w:r>
        <w:rPr>
          <w:spacing w:val="-3"/>
          <w:w w:val="120"/>
        </w:rPr>
        <w:t>5b.  </w:t>
      </w:r>
      <w:r>
        <w:rPr>
          <w:w w:val="120"/>
        </w:rPr>
        <w:t>Save by the prior agreement of the officers of the Assembly, speeches made in support of the motions from any Assembly committee, including the Mission Council, or from any synod shall not in aggregate exceed </w:t>
      </w:r>
      <w:r>
        <w:rPr>
          <w:spacing w:val="-4"/>
          <w:w w:val="120"/>
        </w:rPr>
        <w:t>45 </w:t>
      </w:r>
      <w:r>
        <w:rPr>
          <w:w w:val="120"/>
        </w:rPr>
        <w:t>minutes, nor shall</w:t>
      </w:r>
      <w:r>
        <w:rPr>
          <w:spacing w:val="52"/>
          <w:w w:val="120"/>
        </w:rPr>
        <w:t> </w:t>
      </w:r>
      <w:r>
        <w:rPr>
          <w:w w:val="120"/>
        </w:rPr>
        <w:t>speeches</w:t>
      </w:r>
    </w:p>
    <w:p>
      <w:pPr>
        <w:pStyle w:val="BodyText"/>
        <w:spacing w:line="235" w:lineRule="auto" w:before="2"/>
        <w:ind w:left="1247" w:right="2432"/>
      </w:pPr>
      <w:r>
        <w:rPr>
          <w:w w:val="120"/>
        </w:rPr>
        <w:t>in support of any particular committee or synod motion exceed </w:t>
      </w:r>
      <w:r>
        <w:rPr>
          <w:spacing w:val="-9"/>
          <w:w w:val="120"/>
        </w:rPr>
        <w:t>12 </w:t>
      </w:r>
      <w:r>
        <w:rPr>
          <w:w w:val="120"/>
        </w:rPr>
        <w:t>minutes, </w:t>
      </w:r>
      <w:r>
        <w:rPr>
          <w:spacing w:val="-6"/>
          <w:w w:val="120"/>
        </w:rPr>
        <w:t>(eg </w:t>
      </w:r>
      <w:r>
        <w:rPr>
          <w:w w:val="120"/>
        </w:rPr>
        <w:t>a committee with three motions may not exceed 36 </w:t>
      </w:r>
      <w:r>
        <w:rPr>
          <w:spacing w:val="-3"/>
          <w:w w:val="120"/>
        </w:rPr>
        <w:t>minutes). </w:t>
      </w:r>
      <w:r>
        <w:rPr>
          <w:w w:val="120"/>
        </w:rPr>
        <w:t>The proposers of any other motion of which due notice has been given shall be allowed an aggregate of  </w:t>
      </w:r>
      <w:r>
        <w:rPr>
          <w:spacing w:val="-6"/>
          <w:w w:val="120"/>
        </w:rPr>
        <w:t>10 </w:t>
      </w:r>
      <w:r>
        <w:rPr>
          <w:w w:val="120"/>
        </w:rPr>
        <w:t>minutes, unless a longer period be recommended by the officers of the Assembly or determined by the moderator. Each subsequent speaker in any debate shall be allowed five minutes unless the moderator shall determine otherwise; it shall, in particular, be open to the moderator to determine that all speeches in a debate or from a particular point in a debate shall be of not more than three</w:t>
      </w:r>
      <w:r>
        <w:rPr>
          <w:spacing w:val="17"/>
          <w:w w:val="120"/>
        </w:rPr>
        <w:t> </w:t>
      </w:r>
      <w:r>
        <w:rPr>
          <w:w w:val="120"/>
        </w:rPr>
        <w:t>minutes.</w:t>
      </w:r>
    </w:p>
    <w:p>
      <w:pPr>
        <w:pStyle w:val="BodyText"/>
        <w:spacing w:before="2"/>
      </w:pPr>
    </w:p>
    <w:p>
      <w:pPr>
        <w:pStyle w:val="BodyText"/>
        <w:tabs>
          <w:tab w:pos="1927" w:val="left" w:leader="none"/>
        </w:tabs>
        <w:spacing w:line="235" w:lineRule="auto"/>
        <w:ind w:left="1247" w:right="2474"/>
      </w:pPr>
      <w:r>
        <w:rPr>
          <w:w w:val="120"/>
        </w:rPr>
        <w:t>5c.</w:t>
        <w:tab/>
        <w:t>When a speech is made on behalf of a committee, it shall be so stated. Otherwise</w:t>
      </w:r>
      <w:r>
        <w:rPr>
          <w:spacing w:val="7"/>
          <w:w w:val="120"/>
        </w:rPr>
        <w:t> </w:t>
      </w:r>
      <w:r>
        <w:rPr>
          <w:w w:val="120"/>
        </w:rPr>
        <w:t>a</w:t>
      </w:r>
      <w:r>
        <w:rPr>
          <w:spacing w:val="7"/>
          <w:w w:val="120"/>
        </w:rPr>
        <w:t> </w:t>
      </w:r>
      <w:r>
        <w:rPr>
          <w:w w:val="120"/>
        </w:rPr>
        <w:t>speaker</w:t>
      </w:r>
      <w:r>
        <w:rPr>
          <w:spacing w:val="8"/>
          <w:w w:val="120"/>
        </w:rPr>
        <w:t> </w:t>
      </w:r>
      <w:r>
        <w:rPr>
          <w:w w:val="120"/>
        </w:rPr>
        <w:t>shall</w:t>
      </w:r>
      <w:r>
        <w:rPr>
          <w:spacing w:val="7"/>
          <w:w w:val="120"/>
        </w:rPr>
        <w:t> </w:t>
      </w:r>
      <w:r>
        <w:rPr>
          <w:w w:val="120"/>
        </w:rPr>
        <w:t>begin</w:t>
      </w:r>
      <w:r>
        <w:rPr>
          <w:spacing w:val="8"/>
          <w:w w:val="120"/>
        </w:rPr>
        <w:t> </w:t>
      </w:r>
      <w:r>
        <w:rPr>
          <w:w w:val="120"/>
        </w:rPr>
        <w:t>by</w:t>
      </w:r>
      <w:r>
        <w:rPr>
          <w:spacing w:val="7"/>
          <w:w w:val="120"/>
        </w:rPr>
        <w:t> </w:t>
      </w:r>
      <w:r>
        <w:rPr>
          <w:w w:val="120"/>
        </w:rPr>
        <w:t>giving</w:t>
      </w:r>
      <w:r>
        <w:rPr>
          <w:spacing w:val="8"/>
          <w:w w:val="120"/>
        </w:rPr>
        <w:t> </w:t>
      </w:r>
      <w:r>
        <w:rPr>
          <w:w w:val="120"/>
        </w:rPr>
        <w:t>name</w:t>
      </w:r>
      <w:r>
        <w:rPr>
          <w:spacing w:val="7"/>
          <w:w w:val="120"/>
        </w:rPr>
        <w:t> </w:t>
      </w:r>
      <w:r>
        <w:rPr>
          <w:w w:val="120"/>
        </w:rPr>
        <w:t>and</w:t>
      </w:r>
      <w:r>
        <w:rPr>
          <w:spacing w:val="8"/>
          <w:w w:val="120"/>
        </w:rPr>
        <w:t> </w:t>
      </w:r>
      <w:r>
        <w:rPr>
          <w:w w:val="120"/>
        </w:rPr>
        <w:t>accreditation</w:t>
      </w:r>
      <w:r>
        <w:rPr>
          <w:spacing w:val="7"/>
          <w:w w:val="120"/>
        </w:rPr>
        <w:t> </w:t>
      </w:r>
      <w:r>
        <w:rPr>
          <w:w w:val="120"/>
        </w:rPr>
        <w:t>to</w:t>
      </w:r>
      <w:r>
        <w:rPr>
          <w:spacing w:val="8"/>
          <w:w w:val="120"/>
        </w:rPr>
        <w:t> </w:t>
      </w:r>
      <w:r>
        <w:rPr>
          <w:w w:val="120"/>
        </w:rPr>
        <w:t>the</w:t>
      </w:r>
      <w:r>
        <w:rPr>
          <w:spacing w:val="7"/>
          <w:w w:val="120"/>
        </w:rPr>
        <w:t> </w:t>
      </w:r>
      <w:r>
        <w:rPr>
          <w:w w:val="120"/>
        </w:rPr>
        <w:t>Assembly.</w:t>
      </w:r>
    </w:p>
    <w:p>
      <w:pPr>
        <w:pStyle w:val="BodyText"/>
        <w:spacing w:before="9"/>
        <w:rPr>
          <w:sz w:val="19"/>
        </w:rPr>
      </w:pPr>
    </w:p>
    <w:p>
      <w:pPr>
        <w:pStyle w:val="BodyText"/>
        <w:tabs>
          <w:tab w:pos="1927" w:val="left" w:leader="none"/>
        </w:tabs>
        <w:spacing w:line="235" w:lineRule="auto"/>
        <w:ind w:left="1247" w:right="2474"/>
      </w:pPr>
      <w:r>
        <w:rPr>
          <w:w w:val="120"/>
        </w:rPr>
        <w:t>5d.</w:t>
        <w:tab/>
        <w:t>Secretaries of committees and full-time executive secretaries who are not members of Assembly may speak on the </w:t>
      </w:r>
      <w:r>
        <w:rPr>
          <w:spacing w:val="2"/>
          <w:w w:val="120"/>
        </w:rPr>
        <w:t>report </w:t>
      </w:r>
      <w:r>
        <w:rPr>
          <w:w w:val="120"/>
        </w:rPr>
        <w:t>of a committee for which they have responsibility at the request of the convener concerned. They may speak on other </w:t>
      </w:r>
      <w:r>
        <w:rPr>
          <w:spacing w:val="2"/>
          <w:w w:val="120"/>
        </w:rPr>
        <w:t>reports </w:t>
      </w:r>
      <w:r>
        <w:rPr>
          <w:w w:val="120"/>
        </w:rPr>
        <w:t>with the consent of the</w:t>
      </w:r>
      <w:r>
        <w:rPr>
          <w:spacing w:val="7"/>
          <w:w w:val="120"/>
        </w:rPr>
        <w:t> </w:t>
      </w:r>
      <w:r>
        <w:rPr>
          <w:w w:val="120"/>
        </w:rPr>
        <w:t>moderator.</w:t>
      </w:r>
    </w:p>
    <w:p>
      <w:pPr>
        <w:pStyle w:val="BodyText"/>
        <w:spacing w:before="11"/>
        <w:rPr>
          <w:sz w:val="19"/>
        </w:rPr>
      </w:pPr>
    </w:p>
    <w:p>
      <w:pPr>
        <w:pStyle w:val="BodyText"/>
        <w:tabs>
          <w:tab w:pos="1927" w:val="left" w:leader="none"/>
        </w:tabs>
        <w:spacing w:line="235" w:lineRule="auto"/>
        <w:ind w:left="1247" w:right="2074"/>
      </w:pPr>
      <w:r>
        <w:rPr>
          <w:w w:val="120"/>
        </w:rPr>
        <w:t>5e.</w:t>
        <w:tab/>
        <w:t>In each debate, whether on a motion or on an amendment, no one shall address the Assembly more than once, except that at the close of each debate the proposer of the motion or the amendment, as the case may be, shall have the right to reply, but must strictly confine the reply to answering previous speakers and must not introduce new matters. Such reply shall close the debate on the motion or the</w:t>
      </w:r>
      <w:r>
        <w:rPr>
          <w:spacing w:val="31"/>
          <w:w w:val="120"/>
        </w:rPr>
        <w:t> </w:t>
      </w:r>
      <w:r>
        <w:rPr>
          <w:w w:val="120"/>
        </w:rPr>
        <w:t>amendment.</w:t>
      </w:r>
    </w:p>
    <w:p>
      <w:pPr>
        <w:pStyle w:val="BodyText"/>
      </w:pPr>
    </w:p>
    <w:p>
      <w:pPr>
        <w:pStyle w:val="BodyText"/>
        <w:tabs>
          <w:tab w:pos="1927" w:val="left" w:leader="none"/>
        </w:tabs>
        <w:spacing w:line="235" w:lineRule="auto"/>
        <w:ind w:left="1247" w:right="2101"/>
      </w:pPr>
      <w:r>
        <w:rPr>
          <w:spacing w:val="-4"/>
          <w:w w:val="120"/>
        </w:rPr>
        <w:t>5f.</w:t>
        <w:tab/>
      </w:r>
      <w:r>
        <w:rPr>
          <w:w w:val="120"/>
        </w:rPr>
        <w:t>The foregoing standing order </w:t>
      </w:r>
      <w:r>
        <w:rPr>
          <w:spacing w:val="-9"/>
          <w:w w:val="120"/>
        </w:rPr>
        <w:t>(5e)  </w:t>
      </w:r>
      <w:r>
        <w:rPr>
          <w:w w:val="120"/>
        </w:rPr>
        <w:t>shall not prevent the asking or answering of    a question which arises from the matter before the Assembly or from a speech made in the debate upon</w:t>
      </w:r>
      <w:r>
        <w:rPr>
          <w:spacing w:val="6"/>
          <w:w w:val="120"/>
        </w:rPr>
        <w:t> </w:t>
      </w:r>
      <w:r>
        <w:rPr>
          <w:w w:val="120"/>
        </w:rPr>
        <w:t>it.</w:t>
      </w:r>
    </w:p>
    <w:p>
      <w:pPr>
        <w:pStyle w:val="BodyText"/>
        <w:spacing w:before="4"/>
        <w:rPr>
          <w:sz w:val="32"/>
        </w:rPr>
      </w:pPr>
    </w:p>
    <w:p>
      <w:pPr>
        <w:pStyle w:val="Heading4"/>
        <w:numPr>
          <w:ilvl w:val="0"/>
          <w:numId w:val="37"/>
        </w:numPr>
        <w:tabs>
          <w:tab w:pos="1927" w:val="left" w:leader="none"/>
          <w:tab w:pos="1928" w:val="left" w:leader="none"/>
        </w:tabs>
        <w:spacing w:line="240" w:lineRule="auto" w:before="0" w:after="0"/>
        <w:ind w:left="1927" w:right="0" w:hanging="681"/>
        <w:jc w:val="left"/>
      </w:pPr>
      <w:r>
        <w:rPr>
          <w:spacing w:val="3"/>
          <w:w w:val="110"/>
        </w:rPr>
        <w:t>Closure </w:t>
      </w:r>
      <w:r>
        <w:rPr>
          <w:w w:val="110"/>
        </w:rPr>
        <w:t>of</w:t>
      </w:r>
      <w:r>
        <w:rPr>
          <w:spacing w:val="22"/>
          <w:w w:val="110"/>
        </w:rPr>
        <w:t> </w:t>
      </w:r>
      <w:r>
        <w:rPr>
          <w:spacing w:val="2"/>
          <w:w w:val="110"/>
        </w:rPr>
        <w:t>debate</w:t>
      </w:r>
    </w:p>
    <w:p>
      <w:pPr>
        <w:pStyle w:val="BodyText"/>
        <w:tabs>
          <w:tab w:pos="1927" w:val="left" w:leader="none"/>
        </w:tabs>
        <w:spacing w:line="235" w:lineRule="auto" w:before="69"/>
        <w:ind w:left="1247" w:right="2016"/>
      </w:pPr>
      <w:r>
        <w:rPr>
          <w:w w:val="120"/>
        </w:rPr>
        <w:t>6a.</w:t>
        <w:tab/>
        <w:t>A member of Assembly may deliver to the general secretary not less than </w:t>
      </w:r>
      <w:r>
        <w:rPr>
          <w:spacing w:val="-4"/>
          <w:w w:val="120"/>
        </w:rPr>
        <w:t>21  </w:t>
      </w:r>
      <w:r>
        <w:rPr>
          <w:w w:val="120"/>
        </w:rPr>
        <w:t>days before the date of the meeting of the Assembly a notice in writing of a motion   that the General Assembly, for the better consideration of a specified resolution and its related documents, goes into a committee of the whole Assembly. Provided that the moderator, clerk and general secretary together decide that this rule may</w:t>
      </w:r>
      <w:r>
        <w:rPr>
          <w:spacing w:val="45"/>
          <w:w w:val="120"/>
        </w:rPr>
        <w:t> </w:t>
      </w:r>
      <w:r>
        <w:rPr>
          <w:w w:val="120"/>
        </w:rPr>
        <w:t>appropriately</w:t>
      </w:r>
    </w:p>
    <w:p>
      <w:pPr>
        <w:pStyle w:val="BodyText"/>
        <w:spacing w:line="235" w:lineRule="auto" w:before="3"/>
        <w:ind w:left="1247" w:right="2004"/>
      </w:pPr>
      <w:r>
        <w:rPr>
          <w:w w:val="120"/>
        </w:rPr>
        <w:t>be applied in the case of the said resolution, the motion shall be presented immediately following the opening speeches in support of the primary motion. For such a motion</w:t>
      </w:r>
    </w:p>
    <w:p>
      <w:pPr>
        <w:pStyle w:val="BodyText"/>
        <w:spacing w:line="235" w:lineRule="auto" w:before="2"/>
        <w:ind w:left="1247" w:right="2167"/>
      </w:pPr>
      <w:r>
        <w:rPr>
          <w:w w:val="120"/>
        </w:rPr>
        <w:t>to be carried, two thirds of the votes cast must be given in its favour. Committee procedure enables members to speak more than once and exploratory votes to be taken on particular points or suggested changes. The number and length of speeches shall be at the discretion of the moderator. After discussion in committee and decision on any proposed changes the clerk shall draw the attention of the Assembly to any changes to the original text which have been agreed.</w:t>
      </w:r>
    </w:p>
    <w:p>
      <w:pPr>
        <w:pStyle w:val="BodyText"/>
      </w:pPr>
    </w:p>
    <w:p>
      <w:pPr>
        <w:pStyle w:val="BodyText"/>
        <w:spacing w:line="235" w:lineRule="auto"/>
        <w:ind w:left="1247" w:right="2167"/>
      </w:pPr>
      <w:r>
        <w:rPr>
          <w:w w:val="120"/>
        </w:rPr>
        <w:t>The moderator shall then declare the committee stage to be ended, and the Assembly shall proceed to hear a closing speech from the mover of the motion under discussion and proceed to a vote on the motion, subject to any further motion under standing order 6. The decision of the moderator with the clerk and the general secretary on the application of this standing order shall be final.</w:t>
      </w:r>
    </w:p>
    <w:p>
      <w:pPr>
        <w:spacing w:after="0" w:line="235" w:lineRule="auto"/>
        <w:sectPr>
          <w:headerReference w:type="even" r:id="rId156"/>
          <w:pgSz w:w="11910" w:h="16840"/>
          <w:pgMar w:header="0" w:footer="647" w:top="0" w:bottom="840" w:left="0" w:right="0"/>
        </w:sectPr>
      </w:pPr>
    </w:p>
    <w:p>
      <w:pPr>
        <w:pStyle w:val="BodyText"/>
      </w:pPr>
      <w:r>
        <w:rPr/>
        <w:drawing>
          <wp:anchor distT="0" distB="0" distL="0" distR="0" allowOverlap="1" layoutInCell="1" locked="0" behindDoc="0" simplePos="0" relativeHeight="251852800">
            <wp:simplePos x="0" y="0"/>
            <wp:positionH relativeFrom="page">
              <wp:posOffset>6974928</wp:posOffset>
            </wp:positionH>
            <wp:positionV relativeFrom="page">
              <wp:posOffset>0</wp:posOffset>
            </wp:positionV>
            <wp:extent cx="585076" cy="10692003"/>
            <wp:effectExtent l="0" t="0" r="0" b="0"/>
            <wp:wrapNone/>
            <wp:docPr id="125" name="image23.png"/>
            <wp:cNvGraphicFramePr>
              <a:graphicFrameLocks noChangeAspect="1"/>
            </wp:cNvGraphicFramePr>
            <a:graphic>
              <a:graphicData uri="http://schemas.openxmlformats.org/drawingml/2006/picture">
                <pic:pic>
                  <pic:nvPicPr>
                    <pic:cNvPr id="126" name="image23.png"/>
                    <pic:cNvPicPr/>
                  </pic:nvPicPr>
                  <pic:blipFill>
                    <a:blip r:embed="rId35" cstate="print"/>
                    <a:stretch>
                      <a:fillRect/>
                    </a:stretch>
                  </pic:blipFill>
                  <pic:spPr>
                    <a:xfrm>
                      <a:off x="0" y="0"/>
                      <a:ext cx="585076" cy="10692003"/>
                    </a:xfrm>
                    <a:prstGeom prst="rect">
                      <a:avLst/>
                    </a:prstGeom>
                  </pic:spPr>
                </pic:pic>
              </a:graphicData>
            </a:graphic>
          </wp:anchor>
        </w:drawing>
      </w:r>
    </w:p>
    <w:p>
      <w:pPr>
        <w:pStyle w:val="BodyText"/>
        <w:spacing w:before="7"/>
        <w:rPr>
          <w:sz w:val="21"/>
        </w:rPr>
      </w:pPr>
    </w:p>
    <w:p>
      <w:pPr>
        <w:pStyle w:val="Heading5"/>
        <w:ind w:left="0" w:right="1245"/>
        <w:jc w:val="right"/>
      </w:pPr>
      <w:r>
        <w:rPr/>
        <w:pict>
          <v:shape style="position:absolute;margin-left:554.141174pt;margin-top:22.593945pt;width:25.9pt;height:322.8pt;mso-position-horizontal-relative:page;mso-position-vertical-relative:paragraph;z-index:251853824" type="#_x0000_t202" filled="false" stroked="false">
            <v:textbox inset="0,0,0,0" style="layout-flow:vertical">
              <w:txbxContent>
                <w:p>
                  <w:pPr>
                    <w:spacing w:before="27"/>
                    <w:ind w:left="20" w:right="0" w:firstLine="0"/>
                    <w:jc w:val="left"/>
                    <w:rPr>
                      <w:sz w:val="39"/>
                    </w:rPr>
                  </w:pPr>
                  <w:r>
                    <w:rPr>
                      <w:color w:val="FFFFFF"/>
                      <w:spacing w:val="9"/>
                      <w:w w:val="120"/>
                      <w:sz w:val="39"/>
                    </w:rPr>
                    <w:t>Changes </w:t>
                  </w:r>
                  <w:r>
                    <w:rPr>
                      <w:color w:val="FFFFFF"/>
                      <w:spacing w:val="3"/>
                      <w:w w:val="120"/>
                      <w:sz w:val="39"/>
                    </w:rPr>
                    <w:t>to </w:t>
                  </w:r>
                  <w:r>
                    <w:rPr>
                      <w:color w:val="FFFFFF"/>
                      <w:spacing w:val="8"/>
                      <w:w w:val="120"/>
                      <w:sz w:val="39"/>
                    </w:rPr>
                    <w:t>the </w:t>
                  </w:r>
                  <w:r>
                    <w:rPr>
                      <w:color w:val="FFFFFF"/>
                      <w:spacing w:val="10"/>
                      <w:w w:val="120"/>
                      <w:sz w:val="39"/>
                    </w:rPr>
                    <w:t>standing</w:t>
                  </w:r>
                  <w:r>
                    <w:rPr>
                      <w:color w:val="FFFFFF"/>
                      <w:spacing w:val="114"/>
                      <w:w w:val="120"/>
                      <w:sz w:val="39"/>
                    </w:rPr>
                    <w:t> </w:t>
                  </w:r>
                  <w:r>
                    <w:rPr>
                      <w:color w:val="FFFFFF"/>
                      <w:spacing w:val="10"/>
                      <w:w w:val="120"/>
                      <w:sz w:val="39"/>
                    </w:rPr>
                    <w:t>orders</w:t>
                  </w:r>
                </w:p>
              </w:txbxContent>
            </v:textbox>
            <w10:wrap type="none"/>
          </v:shape>
        </w:pict>
      </w:r>
      <w:r>
        <w:rPr>
          <w:color w:val="7EAABF"/>
          <w:w w:val="120"/>
        </w:rPr>
        <w:t>Mission Council</w:t>
      </w:r>
    </w:p>
    <w:p>
      <w:pPr>
        <w:pStyle w:val="BodyText"/>
        <w:tabs>
          <w:tab w:pos="2664" w:val="left" w:leader="none"/>
        </w:tabs>
        <w:spacing w:line="235" w:lineRule="auto" w:before="222"/>
        <w:ind w:left="1984" w:right="1301"/>
      </w:pPr>
      <w:r>
        <w:rPr>
          <w:w w:val="120"/>
        </w:rPr>
        <w:t>6b.</w:t>
        <w:tab/>
        <w:t>In the course of the business any member may move that the question under consideration be not put. This motion takes precedence over every motion before the Assembly. </w:t>
      </w:r>
      <w:r>
        <w:rPr>
          <w:spacing w:val="3"/>
          <w:w w:val="120"/>
        </w:rPr>
        <w:t>As </w:t>
      </w:r>
      <w:r>
        <w:rPr>
          <w:w w:val="120"/>
        </w:rPr>
        <w:t>soon as the member has given reasons for proposing it and it has been seconded and the proposer of the motion or amendment under consideration has been allowed opportunity to comment on the reasons put forward, the vote upon it shall be taken, unless it appears to the moderator that an unfair use is being made of this</w:t>
      </w:r>
      <w:r>
        <w:rPr>
          <w:spacing w:val="-3"/>
          <w:w w:val="120"/>
        </w:rPr>
        <w:t> </w:t>
      </w:r>
      <w:r>
        <w:rPr>
          <w:w w:val="120"/>
        </w:rPr>
        <w:t>rule.</w:t>
      </w:r>
    </w:p>
    <w:p>
      <w:pPr>
        <w:pStyle w:val="BodyText"/>
        <w:spacing w:line="235" w:lineRule="auto" w:before="4"/>
        <w:ind w:left="1984" w:right="1701"/>
      </w:pPr>
      <w:r>
        <w:rPr>
          <w:w w:val="120"/>
        </w:rPr>
        <w:t>Should the motion be carried the business shall immediately end and the Assembly shall proceed to the next business.</w:t>
      </w:r>
    </w:p>
    <w:p>
      <w:pPr>
        <w:pStyle w:val="BodyText"/>
        <w:spacing w:before="9"/>
        <w:rPr>
          <w:sz w:val="19"/>
        </w:rPr>
      </w:pPr>
    </w:p>
    <w:p>
      <w:pPr>
        <w:pStyle w:val="BodyText"/>
        <w:tabs>
          <w:tab w:pos="2664" w:val="left" w:leader="none"/>
        </w:tabs>
        <w:spacing w:line="235" w:lineRule="auto" w:before="1"/>
        <w:ind w:left="1984" w:right="1261"/>
      </w:pPr>
      <w:r>
        <w:rPr>
          <w:w w:val="120"/>
        </w:rPr>
        <w:t>6c.</w:t>
        <w:tab/>
        <w:t>In the course of any discussion, any member may move that the question be now put. This is sometimes described as ‘the closure </w:t>
      </w:r>
      <w:r>
        <w:rPr>
          <w:spacing w:val="-4"/>
          <w:w w:val="120"/>
        </w:rPr>
        <w:t>motion’. </w:t>
      </w:r>
      <w:r>
        <w:rPr>
          <w:w w:val="120"/>
        </w:rPr>
        <w:t>If the moderator senses that there is a wish or need to close a debate, the moderator may ask whether any member wishes so to move; the moderator may not simply declare a debate closed. Provided that it appears to the moderator that the motion is a fair use of this rule, the vote shall be taken upon it immediately it has been seconded. When an amendment is under discussion, this motion shall apply only to that amendment. </w:t>
      </w:r>
      <w:r>
        <w:rPr>
          <w:spacing w:val="-7"/>
          <w:w w:val="120"/>
        </w:rPr>
        <w:t>To </w:t>
      </w:r>
      <w:r>
        <w:rPr>
          <w:spacing w:val="2"/>
          <w:w w:val="120"/>
        </w:rPr>
        <w:t>carry </w:t>
      </w:r>
      <w:r>
        <w:rPr>
          <w:w w:val="120"/>
        </w:rPr>
        <w:t>this motion, </w:t>
      </w:r>
      <w:r>
        <w:rPr>
          <w:spacing w:val="2"/>
          <w:w w:val="120"/>
        </w:rPr>
        <w:t>two- </w:t>
      </w:r>
      <w:r>
        <w:rPr>
          <w:w w:val="120"/>
        </w:rPr>
        <w:t>thirds of the votes cast must be given in its favour. The mover of the original motion or amendment, as the case may be, retains the right of reply before the vote is taken on the motion or</w:t>
      </w:r>
      <w:r>
        <w:rPr>
          <w:spacing w:val="6"/>
          <w:w w:val="120"/>
        </w:rPr>
        <w:t> </w:t>
      </w:r>
      <w:r>
        <w:rPr>
          <w:w w:val="120"/>
        </w:rPr>
        <w:t>amendment.</w:t>
      </w:r>
    </w:p>
    <w:p>
      <w:pPr>
        <w:pStyle w:val="BodyText"/>
        <w:spacing w:before="3"/>
      </w:pPr>
    </w:p>
    <w:p>
      <w:pPr>
        <w:pStyle w:val="BodyText"/>
        <w:tabs>
          <w:tab w:pos="2664" w:val="left" w:leader="none"/>
        </w:tabs>
        <w:spacing w:line="235" w:lineRule="auto"/>
        <w:ind w:left="1984" w:right="1352"/>
      </w:pPr>
      <w:r>
        <w:rPr>
          <w:w w:val="120"/>
        </w:rPr>
        <w:t>6d.</w:t>
        <w:tab/>
        <w:t>During the course of a debate on a motion any member may move that decision on this motion be deferred to the next Assembly. This rule does not apply to debates  on amendments since the Assembly needs to decide the final form of a motion before  it can responsibly vote on deferral. The motion then takes precedence over other business. </w:t>
      </w:r>
      <w:r>
        <w:rPr>
          <w:spacing w:val="3"/>
          <w:w w:val="120"/>
        </w:rPr>
        <w:t>As </w:t>
      </w:r>
      <w:r>
        <w:rPr>
          <w:w w:val="120"/>
        </w:rPr>
        <w:t>soon as the member has given reasons for proposing it and it has been seconded and the proposer of the motion under consideration has been allowed opportunity to comment on the reasons put forward, the vote upon it shall be taken, unless it appears to the moderator that an unfair use is being made of this rule or that deferral would have the effect of annulling the motion. </w:t>
      </w:r>
      <w:r>
        <w:rPr>
          <w:spacing w:val="-7"/>
          <w:w w:val="120"/>
        </w:rPr>
        <w:t>To </w:t>
      </w:r>
      <w:r>
        <w:rPr>
          <w:spacing w:val="2"/>
          <w:w w:val="120"/>
        </w:rPr>
        <w:t>carry </w:t>
      </w:r>
      <w:r>
        <w:rPr>
          <w:w w:val="120"/>
        </w:rPr>
        <w:t>this motion, </w:t>
      </w:r>
      <w:r>
        <w:rPr>
          <w:spacing w:val="2"/>
          <w:w w:val="120"/>
        </w:rPr>
        <w:t>two-  </w:t>
      </w:r>
      <w:r>
        <w:rPr>
          <w:w w:val="120"/>
        </w:rPr>
        <w:t>thirds of the votes cast must be given in its favour. At the discretion of the moderator, the general secretary may be instructed by a further motion, duly seconded, to refer the matter for consideration by other councils and/or by one or more</w:t>
      </w:r>
      <w:r>
        <w:rPr>
          <w:spacing w:val="11"/>
          <w:w w:val="120"/>
        </w:rPr>
        <w:t> </w:t>
      </w:r>
      <w:r>
        <w:rPr>
          <w:w w:val="120"/>
        </w:rPr>
        <w:t>committees</w:t>
      </w:r>
    </w:p>
    <w:p>
      <w:pPr>
        <w:pStyle w:val="BodyText"/>
        <w:spacing w:line="235" w:lineRule="auto" w:before="9"/>
        <w:ind w:left="1984" w:right="1820"/>
      </w:pPr>
      <w:r>
        <w:rPr>
          <w:w w:val="120"/>
        </w:rPr>
        <w:t>of the Assembly. The general secretary shall provide for the deferred motion to be represented at the next Meeting of the General Assembly.</w:t>
      </w:r>
    </w:p>
    <w:p>
      <w:pPr>
        <w:pStyle w:val="BodyText"/>
        <w:spacing w:before="9"/>
        <w:rPr>
          <w:sz w:val="19"/>
        </w:rPr>
      </w:pPr>
    </w:p>
    <w:p>
      <w:pPr>
        <w:pStyle w:val="BodyText"/>
        <w:spacing w:line="235" w:lineRule="auto"/>
        <w:ind w:left="1984" w:right="1512"/>
        <w:jc w:val="both"/>
      </w:pPr>
      <w:r>
        <w:rPr>
          <w:w w:val="120"/>
        </w:rPr>
        <w:t>6e.      The motions described in standing orders 6b, 6c and 6d above are exceptions  to standing order 4c, in that they may be moved and spoken to without the proposer having first obtained and announced the consent of a seconder. They must, </w:t>
      </w:r>
      <w:r>
        <w:rPr>
          <w:spacing w:val="-3"/>
          <w:w w:val="120"/>
        </w:rPr>
        <w:t>however, </w:t>
      </w:r>
      <w:r>
        <w:rPr>
          <w:w w:val="120"/>
        </w:rPr>
        <w:t>be seconded before being put to the</w:t>
      </w:r>
      <w:r>
        <w:rPr>
          <w:spacing w:val="18"/>
          <w:w w:val="120"/>
        </w:rPr>
        <w:t> </w:t>
      </w:r>
      <w:r>
        <w:rPr>
          <w:w w:val="120"/>
        </w:rPr>
        <w:t>vote.</w:t>
      </w:r>
    </w:p>
    <w:p>
      <w:pPr>
        <w:pStyle w:val="BodyText"/>
        <w:spacing w:before="11"/>
        <w:rPr>
          <w:sz w:val="19"/>
        </w:rPr>
      </w:pPr>
    </w:p>
    <w:p>
      <w:pPr>
        <w:pStyle w:val="BodyText"/>
        <w:spacing w:line="235" w:lineRule="auto"/>
        <w:ind w:left="1984" w:right="1381"/>
        <w:jc w:val="both"/>
      </w:pPr>
      <w:r>
        <w:rPr>
          <w:w w:val="120"/>
        </w:rPr>
        <w:t>Precedence as between motions under 6a, 6b,6c and 6d is determined by the fact that after one of them is before the Assembly no other motion can be moved until that one has been dealt with.</w:t>
      </w:r>
    </w:p>
    <w:p>
      <w:pPr>
        <w:pStyle w:val="BodyText"/>
        <w:spacing w:before="4"/>
        <w:rPr>
          <w:sz w:val="32"/>
        </w:rPr>
      </w:pPr>
    </w:p>
    <w:p>
      <w:pPr>
        <w:pStyle w:val="Heading4"/>
        <w:numPr>
          <w:ilvl w:val="0"/>
          <w:numId w:val="37"/>
        </w:numPr>
        <w:tabs>
          <w:tab w:pos="2664" w:val="left" w:leader="none"/>
          <w:tab w:pos="2665" w:val="left" w:leader="none"/>
        </w:tabs>
        <w:spacing w:line="240" w:lineRule="auto" w:before="0" w:after="0"/>
        <w:ind w:left="2664" w:right="0" w:hanging="681"/>
        <w:jc w:val="left"/>
      </w:pPr>
      <w:r>
        <w:rPr>
          <w:w w:val="110"/>
        </w:rPr>
        <w:t>Voting</w:t>
      </w:r>
    </w:p>
    <w:p>
      <w:pPr>
        <w:pStyle w:val="BodyText"/>
        <w:tabs>
          <w:tab w:pos="2664" w:val="left" w:leader="none"/>
        </w:tabs>
        <w:spacing w:line="235" w:lineRule="auto" w:before="69"/>
        <w:ind w:left="1984" w:right="1684"/>
      </w:pPr>
      <w:r>
        <w:rPr>
          <w:spacing w:val="-4"/>
          <w:w w:val="120"/>
        </w:rPr>
        <w:t>7a.</w:t>
        <w:tab/>
      </w:r>
      <w:r>
        <w:rPr>
          <w:w w:val="120"/>
        </w:rPr>
        <w:t>Voting on any motion whose effect is to </w:t>
      </w:r>
      <w:r>
        <w:rPr>
          <w:spacing w:val="-3"/>
          <w:w w:val="120"/>
        </w:rPr>
        <w:t>alter, </w:t>
      </w:r>
      <w:r>
        <w:rPr>
          <w:w w:val="120"/>
        </w:rPr>
        <w:t>add </w:t>
      </w:r>
      <w:r>
        <w:rPr>
          <w:spacing w:val="-3"/>
          <w:w w:val="120"/>
        </w:rPr>
        <w:t>to, </w:t>
      </w:r>
      <w:r>
        <w:rPr>
          <w:spacing w:val="2"/>
          <w:w w:val="120"/>
        </w:rPr>
        <w:t>modify </w:t>
      </w:r>
      <w:r>
        <w:rPr>
          <w:w w:val="120"/>
        </w:rPr>
        <w:t>or supersede the Basis, the Structure and any other form or expression of the polity and</w:t>
      </w:r>
      <w:r>
        <w:rPr>
          <w:spacing w:val="29"/>
          <w:w w:val="120"/>
        </w:rPr>
        <w:t> </w:t>
      </w:r>
      <w:r>
        <w:rPr>
          <w:w w:val="120"/>
        </w:rPr>
        <w:t>doctrinal</w:t>
      </w:r>
    </w:p>
    <w:p>
      <w:pPr>
        <w:pStyle w:val="BodyText"/>
        <w:spacing w:line="235" w:lineRule="auto" w:before="2"/>
        <w:ind w:left="1984" w:right="1352"/>
      </w:pPr>
      <w:r>
        <w:rPr>
          <w:w w:val="120"/>
        </w:rPr>
        <w:t>formulations of the United Reformed Church, is governed by paragraph 3(l) and (2) of the Structure.</w:t>
      </w:r>
    </w:p>
    <w:p>
      <w:pPr>
        <w:pStyle w:val="BodyText"/>
        <w:spacing w:before="9"/>
        <w:rPr>
          <w:sz w:val="19"/>
        </w:rPr>
      </w:pPr>
    </w:p>
    <w:p>
      <w:pPr>
        <w:pStyle w:val="BodyText"/>
        <w:tabs>
          <w:tab w:pos="2664" w:val="left" w:leader="none"/>
        </w:tabs>
        <w:spacing w:line="235" w:lineRule="auto"/>
        <w:ind w:left="1984" w:right="1414"/>
      </w:pPr>
      <w:r>
        <w:rPr>
          <w:spacing w:val="-2"/>
          <w:w w:val="120"/>
        </w:rPr>
        <w:t>7b.</w:t>
        <w:tab/>
      </w:r>
      <w:r>
        <w:rPr>
          <w:w w:val="120"/>
        </w:rPr>
        <w:t>Other motions before the Assembly shall be determined by a majority of the votes of members of the Assembly present and voting as indicated by a show of voting cards,</w:t>
      </w:r>
      <w:r>
        <w:rPr>
          <w:spacing w:val="2"/>
          <w:w w:val="120"/>
        </w:rPr>
        <w:t> </w:t>
      </w:r>
      <w:r>
        <w:rPr>
          <w:w w:val="120"/>
        </w:rPr>
        <w:t>except</w:t>
      </w:r>
    </w:p>
    <w:p>
      <w:pPr>
        <w:pStyle w:val="ListParagraph"/>
        <w:numPr>
          <w:ilvl w:val="1"/>
          <w:numId w:val="37"/>
        </w:numPr>
        <w:tabs>
          <w:tab w:pos="3458" w:val="left" w:leader="none"/>
          <w:tab w:pos="3459" w:val="left" w:leader="none"/>
        </w:tabs>
        <w:spacing w:line="235" w:lineRule="auto" w:before="3" w:after="0"/>
        <w:ind w:left="3458" w:right="1990" w:hanging="794"/>
        <w:jc w:val="left"/>
        <w:rPr>
          <w:sz w:val="20"/>
        </w:rPr>
      </w:pPr>
      <w:r>
        <w:rPr>
          <w:w w:val="120"/>
          <w:sz w:val="20"/>
        </w:rPr>
        <w:t>if the Assembly decides before the vote that a paper ballot be the method of voting</w:t>
      </w:r>
      <w:r>
        <w:rPr>
          <w:spacing w:val="6"/>
          <w:w w:val="120"/>
          <w:sz w:val="20"/>
        </w:rPr>
        <w:t> </w:t>
      </w:r>
      <w:r>
        <w:rPr>
          <w:w w:val="120"/>
          <w:sz w:val="20"/>
        </w:rPr>
        <w:t>or</w:t>
      </w:r>
    </w:p>
    <w:p>
      <w:pPr>
        <w:pStyle w:val="ListParagraph"/>
        <w:numPr>
          <w:ilvl w:val="1"/>
          <w:numId w:val="37"/>
        </w:numPr>
        <w:tabs>
          <w:tab w:pos="3458" w:val="left" w:leader="none"/>
          <w:tab w:pos="3459" w:val="left" w:leader="none"/>
        </w:tabs>
        <w:spacing w:line="235" w:lineRule="auto" w:before="1" w:after="0"/>
        <w:ind w:left="3458" w:right="1504" w:hanging="794"/>
        <w:jc w:val="left"/>
        <w:rPr>
          <w:sz w:val="20"/>
        </w:rPr>
      </w:pPr>
      <w:r>
        <w:rPr>
          <w:w w:val="120"/>
          <w:sz w:val="20"/>
        </w:rPr>
        <w:t>if the show of cards indicates a very close vote, and the moderator decides, or a member of Assembly proposes and the Assembly agrees, then a paper ballot shall be the method of</w:t>
      </w:r>
      <w:r>
        <w:rPr>
          <w:spacing w:val="24"/>
          <w:w w:val="120"/>
          <w:sz w:val="20"/>
        </w:rPr>
        <w:t> </w:t>
      </w:r>
      <w:r>
        <w:rPr>
          <w:w w:val="120"/>
          <w:sz w:val="20"/>
        </w:rPr>
        <w:t>voting.</w:t>
      </w:r>
    </w:p>
    <w:p>
      <w:pPr>
        <w:spacing w:after="0" w:line="235" w:lineRule="auto"/>
        <w:jc w:val="left"/>
        <w:rPr>
          <w:sz w:val="20"/>
        </w:rPr>
        <w:sectPr>
          <w:headerReference w:type="default" r:id="rId157"/>
          <w:footerReference w:type="default" r:id="rId158"/>
          <w:footerReference w:type="even" r:id="rId159"/>
          <w:pgSz w:w="11910" w:h="16840"/>
          <w:pgMar w:header="0" w:footer="647" w:top="0" w:bottom="840" w:left="0" w:right="0"/>
          <w:pgNumType w:start="67"/>
        </w:sectPr>
      </w:pPr>
    </w:p>
    <w:p>
      <w:pPr>
        <w:pStyle w:val="BodyText"/>
      </w:pPr>
      <w:r>
        <w:rPr/>
        <w:drawing>
          <wp:anchor distT="0" distB="0" distL="0" distR="0" allowOverlap="1" layoutInCell="1" locked="0" behindDoc="0" simplePos="0" relativeHeight="251854848">
            <wp:simplePos x="0" y="0"/>
            <wp:positionH relativeFrom="page">
              <wp:posOffset>0</wp:posOffset>
            </wp:positionH>
            <wp:positionV relativeFrom="page">
              <wp:posOffset>0</wp:posOffset>
            </wp:positionV>
            <wp:extent cx="594067" cy="10692003"/>
            <wp:effectExtent l="0" t="0" r="0" b="0"/>
            <wp:wrapNone/>
            <wp:docPr id="127" name="image22.png"/>
            <wp:cNvGraphicFramePr>
              <a:graphicFrameLocks noChangeAspect="1"/>
            </wp:cNvGraphicFramePr>
            <a:graphic>
              <a:graphicData uri="http://schemas.openxmlformats.org/drawingml/2006/picture">
                <pic:pic>
                  <pic:nvPicPr>
                    <pic:cNvPr id="128" name="image22.png"/>
                    <pic:cNvPicPr/>
                  </pic:nvPicPr>
                  <pic:blipFill>
                    <a:blip r:embed="rId33"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shape style="position:absolute;margin-left:20.519100pt;margin-top:22.593945pt;width:25.9pt;height:322.8pt;mso-position-horizontal-relative:page;mso-position-vertical-relative:paragraph;z-index:251855872" type="#_x0000_t202" filled="false" stroked="false">
            <v:textbox inset="0,0,0,0" style="layout-flow:vertical">
              <w:txbxContent>
                <w:p>
                  <w:pPr>
                    <w:spacing w:before="27"/>
                    <w:ind w:left="20" w:right="0" w:firstLine="0"/>
                    <w:jc w:val="left"/>
                    <w:rPr>
                      <w:sz w:val="39"/>
                    </w:rPr>
                  </w:pPr>
                  <w:r>
                    <w:rPr>
                      <w:color w:val="FFFFFF"/>
                      <w:spacing w:val="9"/>
                      <w:w w:val="120"/>
                      <w:sz w:val="39"/>
                    </w:rPr>
                    <w:t>Changes </w:t>
                  </w:r>
                  <w:r>
                    <w:rPr>
                      <w:color w:val="FFFFFF"/>
                      <w:spacing w:val="3"/>
                      <w:w w:val="120"/>
                      <w:sz w:val="39"/>
                    </w:rPr>
                    <w:t>to </w:t>
                  </w:r>
                  <w:r>
                    <w:rPr>
                      <w:color w:val="FFFFFF"/>
                      <w:spacing w:val="8"/>
                      <w:w w:val="120"/>
                      <w:sz w:val="39"/>
                    </w:rPr>
                    <w:t>the </w:t>
                  </w:r>
                  <w:r>
                    <w:rPr>
                      <w:color w:val="FFFFFF"/>
                      <w:spacing w:val="10"/>
                      <w:w w:val="120"/>
                      <w:sz w:val="39"/>
                    </w:rPr>
                    <w:t>standing</w:t>
                  </w:r>
                  <w:r>
                    <w:rPr>
                      <w:color w:val="FFFFFF"/>
                      <w:spacing w:val="114"/>
                      <w:w w:val="120"/>
                      <w:sz w:val="39"/>
                    </w:rPr>
                    <w:t> </w:t>
                  </w:r>
                  <w:r>
                    <w:rPr>
                      <w:color w:val="FFFFFF"/>
                      <w:spacing w:val="10"/>
                      <w:w w:val="120"/>
                      <w:sz w:val="39"/>
                    </w:rPr>
                    <w:t>orders</w:t>
                  </w:r>
                </w:p>
              </w:txbxContent>
            </v:textbox>
            <w10:wrap type="none"/>
          </v:shape>
        </w:pict>
      </w:r>
      <w:r>
        <w:rPr>
          <w:color w:val="7EAABF"/>
          <w:w w:val="120"/>
        </w:rPr>
        <w:t>Mission Council</w:t>
      </w:r>
    </w:p>
    <w:p>
      <w:pPr>
        <w:pStyle w:val="BodyText"/>
        <w:tabs>
          <w:tab w:pos="1927" w:val="left" w:leader="none"/>
        </w:tabs>
        <w:spacing w:line="235" w:lineRule="auto" w:before="222"/>
        <w:ind w:left="1247" w:right="2007"/>
      </w:pPr>
      <w:r>
        <w:rPr>
          <w:spacing w:val="-5"/>
          <w:w w:val="120"/>
        </w:rPr>
        <w:t>7c.</w:t>
        <w:tab/>
      </w:r>
      <w:r>
        <w:rPr>
          <w:spacing w:val="-7"/>
          <w:w w:val="120"/>
        </w:rPr>
        <w:t>To </w:t>
      </w:r>
      <w:r>
        <w:rPr>
          <w:w w:val="120"/>
        </w:rPr>
        <w:t>provide for voting in the case of a paper ballot, and to assist in taking a count of votes when the moderator decides this is necessary, the nominations committee shall appoint tellers for each</w:t>
      </w:r>
      <w:r>
        <w:rPr>
          <w:spacing w:val="7"/>
          <w:w w:val="120"/>
        </w:rPr>
        <w:t> </w:t>
      </w:r>
      <w:r>
        <w:rPr>
          <w:w w:val="120"/>
        </w:rPr>
        <w:t>Assembly.</w:t>
      </w:r>
    </w:p>
    <w:p>
      <w:pPr>
        <w:pStyle w:val="BodyText"/>
        <w:spacing w:before="3"/>
        <w:rPr>
          <w:sz w:val="32"/>
        </w:rPr>
      </w:pPr>
    </w:p>
    <w:p>
      <w:pPr>
        <w:pStyle w:val="Heading4"/>
        <w:numPr>
          <w:ilvl w:val="0"/>
          <w:numId w:val="37"/>
        </w:numPr>
        <w:tabs>
          <w:tab w:pos="1927" w:val="left" w:leader="none"/>
          <w:tab w:pos="1928" w:val="left" w:leader="none"/>
        </w:tabs>
        <w:spacing w:line="240" w:lineRule="auto" w:before="0" w:after="0"/>
        <w:ind w:left="1927" w:right="0" w:hanging="681"/>
        <w:jc w:val="left"/>
      </w:pPr>
      <w:r>
        <w:rPr>
          <w:spacing w:val="3"/>
          <w:w w:val="110"/>
        </w:rPr>
        <w:t>Questions</w:t>
      </w:r>
    </w:p>
    <w:p>
      <w:pPr>
        <w:pStyle w:val="BodyText"/>
        <w:tabs>
          <w:tab w:pos="1927" w:val="left" w:leader="none"/>
        </w:tabs>
        <w:spacing w:line="235" w:lineRule="auto" w:before="69"/>
        <w:ind w:left="1247" w:right="2351"/>
      </w:pPr>
      <w:r>
        <w:rPr>
          <w:w w:val="120"/>
        </w:rPr>
        <w:t>8a.</w:t>
        <w:tab/>
        <w:t>A member </w:t>
      </w:r>
      <w:r>
        <w:rPr>
          <w:spacing w:val="-4"/>
          <w:w w:val="120"/>
        </w:rPr>
        <w:t>may, </w:t>
      </w:r>
      <w:r>
        <w:rPr>
          <w:w w:val="120"/>
        </w:rPr>
        <w:t>if two days’ notice in writing has been given to the general secretary, ask the moderator or the convener of any committee any question on any matter relating to the business of the Assembly to which no reference is made in any </w:t>
      </w:r>
      <w:r>
        <w:rPr>
          <w:spacing w:val="2"/>
          <w:w w:val="120"/>
        </w:rPr>
        <w:t>report </w:t>
      </w:r>
      <w:r>
        <w:rPr>
          <w:w w:val="120"/>
        </w:rPr>
        <w:t>before the</w:t>
      </w:r>
      <w:r>
        <w:rPr>
          <w:spacing w:val="3"/>
          <w:w w:val="120"/>
        </w:rPr>
        <w:t> </w:t>
      </w:r>
      <w:r>
        <w:rPr>
          <w:w w:val="120"/>
        </w:rPr>
        <w:t>Assembly.</w:t>
      </w:r>
    </w:p>
    <w:p>
      <w:pPr>
        <w:pStyle w:val="BodyText"/>
        <w:spacing w:before="11"/>
        <w:rPr>
          <w:sz w:val="19"/>
        </w:rPr>
      </w:pPr>
    </w:p>
    <w:p>
      <w:pPr>
        <w:pStyle w:val="BodyText"/>
        <w:tabs>
          <w:tab w:pos="1927" w:val="left" w:leader="none"/>
        </w:tabs>
        <w:spacing w:line="235" w:lineRule="auto" w:before="1"/>
        <w:ind w:left="1247" w:right="2412"/>
      </w:pPr>
      <w:r>
        <w:rPr>
          <w:w w:val="120"/>
        </w:rPr>
        <w:t>8b.</w:t>
        <w:tab/>
        <w:t>A member </w:t>
      </w:r>
      <w:r>
        <w:rPr>
          <w:spacing w:val="-4"/>
          <w:w w:val="120"/>
        </w:rPr>
        <w:t>may, </w:t>
      </w:r>
      <w:r>
        <w:rPr>
          <w:w w:val="120"/>
        </w:rPr>
        <w:t>when given opportunity by the moderator, ask the presenter of any </w:t>
      </w:r>
      <w:r>
        <w:rPr>
          <w:spacing w:val="2"/>
          <w:w w:val="120"/>
        </w:rPr>
        <w:t>report </w:t>
      </w:r>
      <w:r>
        <w:rPr>
          <w:w w:val="120"/>
        </w:rPr>
        <w:t>before the Assembly a question seeking additional information or explanation relating to matters contained within the</w:t>
      </w:r>
      <w:r>
        <w:rPr>
          <w:spacing w:val="16"/>
          <w:w w:val="120"/>
        </w:rPr>
        <w:t> </w:t>
      </w:r>
      <w:r>
        <w:rPr>
          <w:w w:val="120"/>
        </w:rPr>
        <w:t>report.</w:t>
      </w:r>
    </w:p>
    <w:p>
      <w:pPr>
        <w:pStyle w:val="BodyText"/>
        <w:spacing w:before="10"/>
        <w:rPr>
          <w:sz w:val="19"/>
        </w:rPr>
      </w:pPr>
    </w:p>
    <w:p>
      <w:pPr>
        <w:pStyle w:val="BodyText"/>
        <w:tabs>
          <w:tab w:pos="1927" w:val="left" w:leader="none"/>
        </w:tabs>
        <w:spacing w:line="235" w:lineRule="auto"/>
        <w:ind w:left="1247" w:right="2412"/>
      </w:pPr>
      <w:r>
        <w:rPr>
          <w:w w:val="120"/>
        </w:rPr>
        <w:t>8c.</w:t>
        <w:tab/>
        <w:t>Questions asked under standing orders 8a and 8b shall be put and answered without</w:t>
      </w:r>
      <w:r>
        <w:rPr>
          <w:spacing w:val="2"/>
          <w:w w:val="120"/>
        </w:rPr>
        <w:t> </w:t>
      </w:r>
      <w:r>
        <w:rPr>
          <w:w w:val="120"/>
        </w:rPr>
        <w:t>discussion.</w:t>
      </w:r>
    </w:p>
    <w:p>
      <w:pPr>
        <w:pStyle w:val="BodyText"/>
        <w:spacing w:before="3"/>
        <w:rPr>
          <w:sz w:val="32"/>
        </w:rPr>
      </w:pPr>
    </w:p>
    <w:p>
      <w:pPr>
        <w:pStyle w:val="Heading4"/>
        <w:numPr>
          <w:ilvl w:val="0"/>
          <w:numId w:val="37"/>
        </w:numPr>
        <w:tabs>
          <w:tab w:pos="1927" w:val="left" w:leader="none"/>
          <w:tab w:pos="1928" w:val="left" w:leader="none"/>
        </w:tabs>
        <w:spacing w:line="240" w:lineRule="auto" w:before="0" w:after="0"/>
        <w:ind w:left="1927" w:right="0" w:hanging="681"/>
        <w:jc w:val="left"/>
      </w:pPr>
      <w:r>
        <w:rPr>
          <w:spacing w:val="3"/>
          <w:w w:val="110"/>
        </w:rPr>
        <w:t>Points </w:t>
      </w:r>
      <w:r>
        <w:rPr>
          <w:w w:val="110"/>
        </w:rPr>
        <w:t>of order, </w:t>
      </w:r>
      <w:r>
        <w:rPr>
          <w:spacing w:val="4"/>
          <w:w w:val="110"/>
        </w:rPr>
        <w:t>personal </w:t>
      </w:r>
      <w:r>
        <w:rPr>
          <w:spacing w:val="3"/>
          <w:w w:val="110"/>
        </w:rPr>
        <w:t>explanations,</w:t>
      </w:r>
      <w:r>
        <w:rPr>
          <w:spacing w:val="61"/>
          <w:w w:val="110"/>
        </w:rPr>
        <w:t> </w:t>
      </w:r>
      <w:r>
        <w:rPr>
          <w:spacing w:val="2"/>
          <w:w w:val="110"/>
        </w:rPr>
        <w:t>dissent</w:t>
      </w:r>
    </w:p>
    <w:p>
      <w:pPr>
        <w:pStyle w:val="BodyText"/>
        <w:tabs>
          <w:tab w:pos="1927" w:val="left" w:leader="none"/>
        </w:tabs>
        <w:spacing w:line="235" w:lineRule="auto" w:before="69"/>
        <w:ind w:left="1247" w:right="2074"/>
      </w:pPr>
      <w:r>
        <w:rPr>
          <w:w w:val="120"/>
        </w:rPr>
        <w:t>9a.</w:t>
        <w:tab/>
        <w:t>A member shall have the right to rise and call attention to a point of order, and immediately on this being done any other member addressing the Assembly shall   cease speaking until the moderator has determined the question of order. The decision on any point of order rests entirely with the moderator. Any member calling to order unnecessarily is liable to censure of the</w:t>
      </w:r>
      <w:r>
        <w:rPr>
          <w:spacing w:val="10"/>
          <w:w w:val="120"/>
        </w:rPr>
        <w:t> </w:t>
      </w:r>
      <w:r>
        <w:rPr>
          <w:w w:val="120"/>
        </w:rPr>
        <w:t>Assembly.</w:t>
      </w:r>
    </w:p>
    <w:p>
      <w:pPr>
        <w:pStyle w:val="BodyText"/>
        <w:spacing w:before="12"/>
        <w:rPr>
          <w:sz w:val="19"/>
        </w:rPr>
      </w:pPr>
    </w:p>
    <w:p>
      <w:pPr>
        <w:pStyle w:val="BodyText"/>
        <w:spacing w:line="235" w:lineRule="auto"/>
        <w:ind w:left="1247" w:right="2240"/>
        <w:jc w:val="both"/>
      </w:pPr>
      <w:r>
        <w:rPr>
          <w:spacing w:val="-2"/>
          <w:w w:val="120"/>
        </w:rPr>
        <w:t>9b.    </w:t>
      </w:r>
      <w:r>
        <w:rPr>
          <w:w w:val="120"/>
        </w:rPr>
        <w:t>A member feeling that some material </w:t>
      </w:r>
      <w:r>
        <w:rPr>
          <w:spacing w:val="2"/>
          <w:w w:val="120"/>
        </w:rPr>
        <w:t>part </w:t>
      </w:r>
      <w:r>
        <w:rPr>
          <w:w w:val="120"/>
        </w:rPr>
        <w:t>of a former speech by such member at the same meeting has been misunderstood or is being grossly misinterpreted by</w:t>
      </w:r>
    </w:p>
    <w:p>
      <w:pPr>
        <w:pStyle w:val="BodyText"/>
        <w:spacing w:line="235" w:lineRule="auto" w:before="1"/>
        <w:ind w:left="1247" w:right="2445"/>
        <w:jc w:val="both"/>
      </w:pPr>
      <w:r>
        <w:rPr>
          <w:w w:val="120"/>
        </w:rPr>
        <w:t>a</w:t>
      </w:r>
      <w:r>
        <w:rPr>
          <w:spacing w:val="-4"/>
          <w:w w:val="120"/>
        </w:rPr>
        <w:t> </w:t>
      </w:r>
      <w:r>
        <w:rPr>
          <w:w w:val="120"/>
        </w:rPr>
        <w:t>later</w:t>
      </w:r>
      <w:r>
        <w:rPr>
          <w:spacing w:val="-4"/>
          <w:w w:val="120"/>
        </w:rPr>
        <w:t> </w:t>
      </w:r>
      <w:r>
        <w:rPr>
          <w:w w:val="120"/>
        </w:rPr>
        <w:t>speaker</w:t>
      </w:r>
      <w:r>
        <w:rPr>
          <w:spacing w:val="-3"/>
          <w:w w:val="120"/>
        </w:rPr>
        <w:t> </w:t>
      </w:r>
      <w:r>
        <w:rPr>
          <w:w w:val="120"/>
        </w:rPr>
        <w:t>may</w:t>
      </w:r>
      <w:r>
        <w:rPr>
          <w:spacing w:val="-4"/>
          <w:w w:val="120"/>
        </w:rPr>
        <w:t> </w:t>
      </w:r>
      <w:r>
        <w:rPr>
          <w:w w:val="120"/>
        </w:rPr>
        <w:t>rise</w:t>
      </w:r>
      <w:r>
        <w:rPr>
          <w:spacing w:val="-4"/>
          <w:w w:val="120"/>
        </w:rPr>
        <w:t> </w:t>
      </w:r>
      <w:r>
        <w:rPr>
          <w:w w:val="120"/>
        </w:rPr>
        <w:t>and</w:t>
      </w:r>
      <w:r>
        <w:rPr>
          <w:spacing w:val="-3"/>
          <w:w w:val="120"/>
        </w:rPr>
        <w:t> </w:t>
      </w:r>
      <w:r>
        <w:rPr>
          <w:w w:val="120"/>
        </w:rPr>
        <w:t>request</w:t>
      </w:r>
      <w:r>
        <w:rPr>
          <w:spacing w:val="-4"/>
          <w:w w:val="120"/>
        </w:rPr>
        <w:t> </w:t>
      </w:r>
      <w:r>
        <w:rPr>
          <w:w w:val="120"/>
        </w:rPr>
        <w:t>the</w:t>
      </w:r>
      <w:r>
        <w:rPr>
          <w:spacing w:val="-4"/>
          <w:w w:val="120"/>
        </w:rPr>
        <w:t> </w:t>
      </w:r>
      <w:r>
        <w:rPr>
          <w:w w:val="120"/>
        </w:rPr>
        <w:t>moderator’s</w:t>
      </w:r>
      <w:r>
        <w:rPr>
          <w:spacing w:val="-3"/>
          <w:w w:val="120"/>
        </w:rPr>
        <w:t> </w:t>
      </w:r>
      <w:r>
        <w:rPr>
          <w:w w:val="120"/>
        </w:rPr>
        <w:t>permission</w:t>
      </w:r>
      <w:r>
        <w:rPr>
          <w:spacing w:val="-4"/>
          <w:w w:val="120"/>
        </w:rPr>
        <w:t> </w:t>
      </w:r>
      <w:r>
        <w:rPr>
          <w:w w:val="120"/>
        </w:rPr>
        <w:t>to</w:t>
      </w:r>
      <w:r>
        <w:rPr>
          <w:spacing w:val="-4"/>
          <w:w w:val="120"/>
        </w:rPr>
        <w:t> </w:t>
      </w:r>
      <w:r>
        <w:rPr>
          <w:w w:val="120"/>
        </w:rPr>
        <w:t>make</w:t>
      </w:r>
      <w:r>
        <w:rPr>
          <w:spacing w:val="-3"/>
          <w:w w:val="120"/>
        </w:rPr>
        <w:t> </w:t>
      </w:r>
      <w:r>
        <w:rPr>
          <w:w w:val="120"/>
        </w:rPr>
        <w:t>a</w:t>
      </w:r>
      <w:r>
        <w:rPr>
          <w:spacing w:val="-4"/>
          <w:w w:val="120"/>
        </w:rPr>
        <w:t> </w:t>
      </w:r>
      <w:r>
        <w:rPr>
          <w:w w:val="120"/>
        </w:rPr>
        <w:t>personal explanation. If the moderator so permits, a member so rising shall be entitled to be heard</w:t>
      </w:r>
      <w:r>
        <w:rPr>
          <w:spacing w:val="1"/>
          <w:w w:val="120"/>
        </w:rPr>
        <w:t> </w:t>
      </w:r>
      <w:r>
        <w:rPr>
          <w:w w:val="120"/>
        </w:rPr>
        <w:t>forthwith.</w:t>
      </w:r>
    </w:p>
    <w:p>
      <w:pPr>
        <w:pStyle w:val="BodyText"/>
        <w:spacing w:before="10"/>
        <w:rPr>
          <w:sz w:val="19"/>
        </w:rPr>
      </w:pPr>
    </w:p>
    <w:p>
      <w:pPr>
        <w:pStyle w:val="BodyText"/>
        <w:tabs>
          <w:tab w:pos="1927" w:val="left" w:leader="none"/>
        </w:tabs>
        <w:spacing w:line="235" w:lineRule="auto" w:before="1"/>
        <w:ind w:left="1247" w:right="2004"/>
      </w:pPr>
      <w:r>
        <w:rPr>
          <w:w w:val="120"/>
        </w:rPr>
        <w:t>9c.</w:t>
        <w:tab/>
        <w:t>The right to record in the minutes a dissent from any decision of the Assembly shall only be granted to a member by the moderator if the reason stated, either verbally at the time or later in writing, appears to the moderator to fall within the provisions of paragraph </w:t>
      </w:r>
      <w:r>
        <w:rPr>
          <w:spacing w:val="-6"/>
          <w:w w:val="120"/>
        </w:rPr>
        <w:t>10 </w:t>
      </w:r>
      <w:r>
        <w:rPr>
          <w:w w:val="120"/>
        </w:rPr>
        <w:t>of the Basis of</w:t>
      </w:r>
      <w:r>
        <w:rPr>
          <w:spacing w:val="18"/>
          <w:w w:val="120"/>
        </w:rPr>
        <w:t> </w:t>
      </w:r>
      <w:r>
        <w:rPr>
          <w:w w:val="120"/>
        </w:rPr>
        <w:t>Union.</w:t>
      </w:r>
    </w:p>
    <w:p>
      <w:pPr>
        <w:pStyle w:val="BodyText"/>
        <w:spacing w:before="10"/>
        <w:rPr>
          <w:sz w:val="19"/>
        </w:rPr>
      </w:pPr>
    </w:p>
    <w:p>
      <w:pPr>
        <w:pStyle w:val="BodyText"/>
        <w:tabs>
          <w:tab w:pos="1927" w:val="left" w:leader="none"/>
        </w:tabs>
        <w:spacing w:line="235" w:lineRule="auto" w:before="1"/>
        <w:ind w:left="1247" w:right="2412"/>
      </w:pPr>
      <w:r>
        <w:rPr>
          <w:w w:val="120"/>
        </w:rPr>
        <w:t>9d.</w:t>
        <w:tab/>
        <w:t>The decision of the moderator on a point of order, or on the admissibility of   a personal explanation, or on the right to have a dissent recorded, shall not be open to</w:t>
      </w:r>
      <w:r>
        <w:rPr>
          <w:spacing w:val="1"/>
          <w:w w:val="120"/>
        </w:rPr>
        <w:t> </w:t>
      </w:r>
      <w:r>
        <w:rPr>
          <w:w w:val="120"/>
        </w:rPr>
        <w:t>discussion.</w:t>
      </w:r>
    </w:p>
    <w:p>
      <w:pPr>
        <w:pStyle w:val="BodyText"/>
        <w:spacing w:before="3"/>
        <w:rPr>
          <w:sz w:val="32"/>
        </w:rPr>
      </w:pPr>
    </w:p>
    <w:p>
      <w:pPr>
        <w:pStyle w:val="Heading4"/>
        <w:numPr>
          <w:ilvl w:val="0"/>
          <w:numId w:val="37"/>
        </w:numPr>
        <w:tabs>
          <w:tab w:pos="1928" w:val="left" w:leader="none"/>
        </w:tabs>
        <w:spacing w:line="240" w:lineRule="auto" w:before="0" w:after="0"/>
        <w:ind w:left="1927" w:right="0" w:hanging="681"/>
        <w:jc w:val="left"/>
      </w:pPr>
      <w:r>
        <w:rPr>
          <w:spacing w:val="3"/>
          <w:w w:val="110"/>
        </w:rPr>
        <w:t>Admission </w:t>
      </w:r>
      <w:r>
        <w:rPr>
          <w:w w:val="110"/>
        </w:rPr>
        <w:t>of </w:t>
      </w:r>
      <w:r>
        <w:rPr>
          <w:spacing w:val="3"/>
          <w:w w:val="110"/>
        </w:rPr>
        <w:t>public and</w:t>
      </w:r>
      <w:r>
        <w:rPr>
          <w:spacing w:val="45"/>
          <w:w w:val="110"/>
        </w:rPr>
        <w:t> </w:t>
      </w:r>
      <w:r>
        <w:rPr>
          <w:spacing w:val="3"/>
          <w:w w:val="110"/>
        </w:rPr>
        <w:t>press</w:t>
      </w:r>
    </w:p>
    <w:p>
      <w:pPr>
        <w:pStyle w:val="BodyText"/>
        <w:spacing w:line="235" w:lineRule="auto" w:before="69"/>
        <w:ind w:left="1247" w:right="2412"/>
      </w:pPr>
      <w:r>
        <w:rPr>
          <w:w w:val="120"/>
        </w:rPr>
        <w:t>Members of the public and representatives of the press shall be admitted to the Assembly unless the Assembly otherwise decides, and they shall occupy such places as are assigned to them.</w:t>
      </w:r>
    </w:p>
    <w:p>
      <w:pPr>
        <w:pStyle w:val="BodyText"/>
        <w:spacing w:before="4"/>
        <w:rPr>
          <w:sz w:val="32"/>
        </w:rPr>
      </w:pPr>
    </w:p>
    <w:p>
      <w:pPr>
        <w:pStyle w:val="Heading4"/>
        <w:numPr>
          <w:ilvl w:val="0"/>
          <w:numId w:val="37"/>
        </w:numPr>
        <w:tabs>
          <w:tab w:pos="1927" w:val="left" w:leader="none"/>
          <w:tab w:pos="1928" w:val="left" w:leader="none"/>
        </w:tabs>
        <w:spacing w:line="240" w:lineRule="auto" w:before="0" w:after="0"/>
        <w:ind w:left="1927" w:right="0" w:hanging="681"/>
        <w:jc w:val="left"/>
      </w:pPr>
      <w:r>
        <w:rPr>
          <w:spacing w:val="3"/>
          <w:w w:val="110"/>
        </w:rPr>
        <w:t>Circulation </w:t>
      </w:r>
      <w:r>
        <w:rPr>
          <w:w w:val="110"/>
        </w:rPr>
        <w:t>of</w:t>
      </w:r>
      <w:r>
        <w:rPr>
          <w:spacing w:val="22"/>
          <w:w w:val="110"/>
        </w:rPr>
        <w:t> </w:t>
      </w:r>
      <w:r>
        <w:rPr>
          <w:spacing w:val="4"/>
          <w:w w:val="110"/>
        </w:rPr>
        <w:t>documents</w:t>
      </w:r>
    </w:p>
    <w:p>
      <w:pPr>
        <w:pStyle w:val="BodyText"/>
        <w:spacing w:line="235" w:lineRule="auto" w:before="69"/>
        <w:ind w:left="1247" w:right="2167"/>
      </w:pPr>
      <w:r>
        <w:rPr>
          <w:w w:val="120"/>
        </w:rPr>
        <w:t>Only documents authorised by the general secretary in consultation with the convener of the Assembly arrangements committee may be distributed within the building in which the Assembly is meeting.</w:t>
      </w:r>
    </w:p>
    <w:p>
      <w:pPr>
        <w:spacing w:after="0" w:line="235" w:lineRule="auto"/>
        <w:sectPr>
          <w:headerReference w:type="even" r:id="rId160"/>
          <w:pgSz w:w="11910" w:h="16840"/>
          <w:pgMar w:header="0" w:footer="647" w:top="0" w:bottom="840" w:left="0" w:right="0"/>
        </w:sectPr>
      </w:pPr>
    </w:p>
    <w:p>
      <w:pPr>
        <w:pStyle w:val="BodyText"/>
      </w:pPr>
    </w:p>
    <w:p>
      <w:pPr>
        <w:pStyle w:val="BodyText"/>
        <w:spacing w:before="7"/>
        <w:rPr>
          <w:sz w:val="21"/>
        </w:rPr>
      </w:pPr>
    </w:p>
    <w:p>
      <w:pPr>
        <w:spacing w:after="0"/>
        <w:rPr>
          <w:sz w:val="21"/>
        </w:rPr>
        <w:sectPr>
          <w:headerReference w:type="default" r:id="rId161"/>
          <w:footerReference w:type="default" r:id="rId162"/>
          <w:pgSz w:w="11910" w:h="16840"/>
          <w:pgMar w:header="0" w:footer="647" w:top="0" w:bottom="840" w:left="0" w:right="0"/>
          <w:pgNumType w:start="69"/>
        </w:sectPr>
      </w:pPr>
    </w:p>
    <w:p>
      <w:pPr>
        <w:pStyle w:val="BodyText"/>
        <w:spacing w:before="4"/>
        <w:rPr>
          <w:sz w:val="52"/>
        </w:rPr>
      </w:pPr>
    </w:p>
    <w:p>
      <w:pPr>
        <w:pStyle w:val="Heading4"/>
        <w:numPr>
          <w:ilvl w:val="0"/>
          <w:numId w:val="37"/>
        </w:numPr>
        <w:tabs>
          <w:tab w:pos="2665" w:val="left" w:leader="none"/>
        </w:tabs>
        <w:spacing w:line="240" w:lineRule="auto" w:before="0" w:after="0"/>
        <w:ind w:left="2664" w:right="0" w:hanging="681"/>
        <w:jc w:val="left"/>
      </w:pPr>
      <w:r>
        <w:rPr>
          <w:spacing w:val="3"/>
          <w:w w:val="110"/>
        </w:rPr>
        <w:t>Record </w:t>
      </w:r>
      <w:r>
        <w:rPr>
          <w:w w:val="110"/>
        </w:rPr>
        <w:t>of </w:t>
      </w:r>
      <w:r>
        <w:rPr>
          <w:spacing w:val="2"/>
          <w:w w:val="110"/>
        </w:rPr>
        <w:t>the</w:t>
      </w:r>
      <w:r>
        <w:rPr>
          <w:spacing w:val="51"/>
          <w:w w:val="110"/>
        </w:rPr>
        <w:t> </w:t>
      </w:r>
      <w:r>
        <w:rPr>
          <w:spacing w:val="4"/>
          <w:w w:val="110"/>
        </w:rPr>
        <w:t>Assembly</w:t>
      </w:r>
    </w:p>
    <w:p>
      <w:pPr>
        <w:pStyle w:val="Heading5"/>
        <w:ind w:left="1984"/>
      </w:pPr>
      <w:r>
        <w:rPr/>
        <w:br w:type="column"/>
      </w:r>
      <w:r>
        <w:rPr>
          <w:color w:val="7EAABF"/>
          <w:w w:val="120"/>
        </w:rPr>
        <w:t>Mission Council</w:t>
      </w:r>
    </w:p>
    <w:p>
      <w:pPr>
        <w:spacing w:after="0"/>
        <w:sectPr>
          <w:type w:val="continuous"/>
          <w:pgSz w:w="11910" w:h="16840"/>
          <w:pgMar w:top="680" w:bottom="280" w:left="0" w:right="0"/>
          <w:cols w:num="2" w:equalWidth="0">
            <w:col w:w="6436" w:space="291"/>
            <w:col w:w="5183"/>
          </w:cols>
        </w:sectPr>
      </w:pPr>
    </w:p>
    <w:p>
      <w:pPr>
        <w:pStyle w:val="BodyText"/>
        <w:tabs>
          <w:tab w:pos="2664" w:val="left" w:leader="none"/>
        </w:tabs>
        <w:spacing w:line="235" w:lineRule="auto" w:before="69"/>
        <w:ind w:left="1984" w:right="1726"/>
      </w:pPr>
      <w:r>
        <w:rPr/>
        <w:drawing>
          <wp:anchor distT="0" distB="0" distL="0" distR="0" allowOverlap="1" layoutInCell="1" locked="0" behindDoc="0" simplePos="0" relativeHeight="251856896">
            <wp:simplePos x="0" y="0"/>
            <wp:positionH relativeFrom="page">
              <wp:posOffset>6974928</wp:posOffset>
            </wp:positionH>
            <wp:positionV relativeFrom="page">
              <wp:posOffset>0</wp:posOffset>
            </wp:positionV>
            <wp:extent cx="585076" cy="10692003"/>
            <wp:effectExtent l="0" t="0" r="0" b="0"/>
            <wp:wrapNone/>
            <wp:docPr id="129" name="image23.png"/>
            <wp:cNvGraphicFramePr>
              <a:graphicFrameLocks noChangeAspect="1"/>
            </wp:cNvGraphicFramePr>
            <a:graphic>
              <a:graphicData uri="http://schemas.openxmlformats.org/drawingml/2006/picture">
                <pic:pic>
                  <pic:nvPicPr>
                    <pic:cNvPr id="130" name="image23.png"/>
                    <pic:cNvPicPr/>
                  </pic:nvPicPr>
                  <pic:blipFill>
                    <a:blip r:embed="rId35" cstate="print"/>
                    <a:stretch>
                      <a:fillRect/>
                    </a:stretch>
                  </pic:blipFill>
                  <pic:spPr>
                    <a:xfrm>
                      <a:off x="0" y="0"/>
                      <a:ext cx="585076" cy="10692003"/>
                    </a:xfrm>
                    <a:prstGeom prst="rect">
                      <a:avLst/>
                    </a:prstGeom>
                  </pic:spPr>
                </pic:pic>
              </a:graphicData>
            </a:graphic>
          </wp:anchor>
        </w:drawing>
      </w:r>
      <w:r>
        <w:rPr/>
        <w:pict>
          <v:shape style="position:absolute;margin-left:554.141174pt;margin-top:-28.931347pt;width:25.9pt;height:322.8pt;mso-position-horizontal-relative:page;mso-position-vertical-relative:paragraph;z-index:251857920" type="#_x0000_t202" filled="false" stroked="false">
            <v:textbox inset="0,0,0,0" style="layout-flow:vertical">
              <w:txbxContent>
                <w:p>
                  <w:pPr>
                    <w:spacing w:before="27"/>
                    <w:ind w:left="20" w:right="0" w:firstLine="0"/>
                    <w:jc w:val="left"/>
                    <w:rPr>
                      <w:sz w:val="39"/>
                    </w:rPr>
                  </w:pPr>
                  <w:r>
                    <w:rPr>
                      <w:color w:val="FFFFFF"/>
                      <w:spacing w:val="9"/>
                      <w:w w:val="120"/>
                      <w:sz w:val="39"/>
                    </w:rPr>
                    <w:t>Changes </w:t>
                  </w:r>
                  <w:r>
                    <w:rPr>
                      <w:color w:val="FFFFFF"/>
                      <w:spacing w:val="3"/>
                      <w:w w:val="120"/>
                      <w:sz w:val="39"/>
                    </w:rPr>
                    <w:t>to </w:t>
                  </w:r>
                  <w:r>
                    <w:rPr>
                      <w:color w:val="FFFFFF"/>
                      <w:spacing w:val="8"/>
                      <w:w w:val="120"/>
                      <w:sz w:val="39"/>
                    </w:rPr>
                    <w:t>the </w:t>
                  </w:r>
                  <w:r>
                    <w:rPr>
                      <w:color w:val="FFFFFF"/>
                      <w:spacing w:val="10"/>
                      <w:w w:val="120"/>
                      <w:sz w:val="39"/>
                    </w:rPr>
                    <w:t>standing</w:t>
                  </w:r>
                  <w:r>
                    <w:rPr>
                      <w:color w:val="FFFFFF"/>
                      <w:spacing w:val="114"/>
                      <w:w w:val="120"/>
                      <w:sz w:val="39"/>
                    </w:rPr>
                    <w:t> </w:t>
                  </w:r>
                  <w:r>
                    <w:rPr>
                      <w:color w:val="FFFFFF"/>
                      <w:spacing w:val="10"/>
                      <w:w w:val="120"/>
                      <w:sz w:val="39"/>
                    </w:rPr>
                    <w:t>orders</w:t>
                  </w:r>
                </w:p>
              </w:txbxContent>
            </v:textbox>
            <w10:wrap type="none"/>
          </v:shape>
        </w:pict>
      </w:r>
      <w:r>
        <w:rPr>
          <w:spacing w:val="-5"/>
          <w:w w:val="120"/>
        </w:rPr>
        <w:t>12a.</w:t>
        <w:tab/>
      </w:r>
      <w:r>
        <w:rPr>
          <w:w w:val="120"/>
        </w:rPr>
        <w:t>A record of attendance at the meetings of the Assembly shall be kept in such a manner as the Assembly arrangements committee may</w:t>
      </w:r>
      <w:r>
        <w:rPr>
          <w:spacing w:val="11"/>
          <w:w w:val="120"/>
        </w:rPr>
        <w:t> </w:t>
      </w:r>
      <w:r>
        <w:rPr>
          <w:w w:val="120"/>
        </w:rPr>
        <w:t>determine.</w:t>
      </w:r>
    </w:p>
    <w:p>
      <w:pPr>
        <w:pStyle w:val="BodyText"/>
        <w:spacing w:before="9"/>
        <w:rPr>
          <w:sz w:val="19"/>
        </w:rPr>
      </w:pPr>
    </w:p>
    <w:p>
      <w:pPr>
        <w:pStyle w:val="BodyText"/>
        <w:tabs>
          <w:tab w:pos="2664" w:val="left" w:leader="none"/>
        </w:tabs>
        <w:spacing w:line="235" w:lineRule="auto" w:before="1"/>
        <w:ind w:left="1984" w:right="1606"/>
      </w:pPr>
      <w:r>
        <w:rPr>
          <w:spacing w:val="-7"/>
          <w:w w:val="120"/>
        </w:rPr>
        <w:t>12b.</w:t>
        <w:tab/>
      </w:r>
      <w:r>
        <w:rPr>
          <w:w w:val="120"/>
        </w:rPr>
        <w:t>The </w:t>
      </w:r>
      <w:r>
        <w:rPr>
          <w:color w:val="E42322"/>
          <w:spacing w:val="2"/>
          <w:w w:val="120"/>
        </w:rPr>
        <w:t>draft </w:t>
      </w:r>
      <w:r>
        <w:rPr>
          <w:w w:val="120"/>
        </w:rPr>
        <w:t>minutes of each </w:t>
      </w:r>
      <w:r>
        <w:rPr>
          <w:spacing w:val="-3"/>
          <w:w w:val="120"/>
        </w:rPr>
        <w:t>day’s </w:t>
      </w:r>
      <w:r>
        <w:rPr>
          <w:w w:val="120"/>
        </w:rPr>
        <w:t>proceedings </w:t>
      </w:r>
      <w:r>
        <w:rPr>
          <w:color w:val="E42322"/>
          <w:w w:val="120"/>
        </w:rPr>
        <w:t>shall be made available in an appropriate form normally on the following </w:t>
      </w:r>
      <w:r>
        <w:rPr>
          <w:color w:val="E42322"/>
          <w:spacing w:val="-4"/>
          <w:w w:val="120"/>
        </w:rPr>
        <w:t>day. </w:t>
      </w:r>
      <w:r>
        <w:rPr>
          <w:color w:val="E42322"/>
          <w:w w:val="120"/>
        </w:rPr>
        <w:t>They shall, after any necessary correction, be approved at the opening of a subsequent session. </w:t>
      </w:r>
      <w:r>
        <w:rPr>
          <w:w w:val="120"/>
        </w:rPr>
        <w:t>Concerning the minutes of the closing day of the Assembly the clerk shall submit a motion approving their insertion in the full minutes of the Assembly after review and any necessary correction by the officers of the Assembly. Before such a motion is voted upon, any member may ask to have read out the written minute on any particular</w:t>
      </w:r>
      <w:r>
        <w:rPr>
          <w:spacing w:val="10"/>
          <w:w w:val="120"/>
        </w:rPr>
        <w:t> </w:t>
      </w:r>
      <w:r>
        <w:rPr>
          <w:w w:val="120"/>
        </w:rPr>
        <w:t>item.</w:t>
      </w:r>
    </w:p>
    <w:p>
      <w:pPr>
        <w:pStyle w:val="BodyText"/>
      </w:pPr>
    </w:p>
    <w:p>
      <w:pPr>
        <w:pStyle w:val="BodyText"/>
        <w:tabs>
          <w:tab w:pos="2664" w:val="left" w:leader="none"/>
        </w:tabs>
        <w:spacing w:line="235" w:lineRule="auto" w:before="1"/>
        <w:ind w:left="1984" w:right="1684"/>
      </w:pPr>
      <w:r>
        <w:rPr>
          <w:spacing w:val="-6"/>
          <w:w w:val="120"/>
        </w:rPr>
        <w:t>12c.</w:t>
        <w:tab/>
      </w:r>
      <w:r>
        <w:rPr>
          <w:w w:val="120"/>
        </w:rPr>
        <w:t>A signed copy of the minutes shall be preserved in the custody of the general secretary as the official record of the Assembly’s</w:t>
      </w:r>
      <w:r>
        <w:rPr>
          <w:spacing w:val="14"/>
          <w:w w:val="120"/>
        </w:rPr>
        <w:t> </w:t>
      </w:r>
      <w:r>
        <w:rPr>
          <w:w w:val="120"/>
        </w:rPr>
        <w:t>proceedings.</w:t>
      </w:r>
    </w:p>
    <w:p>
      <w:pPr>
        <w:pStyle w:val="BodyText"/>
        <w:spacing w:before="9"/>
        <w:rPr>
          <w:sz w:val="19"/>
        </w:rPr>
      </w:pPr>
    </w:p>
    <w:p>
      <w:pPr>
        <w:pStyle w:val="BodyText"/>
        <w:tabs>
          <w:tab w:pos="2664" w:val="left" w:leader="none"/>
        </w:tabs>
        <w:spacing w:line="235" w:lineRule="auto"/>
        <w:ind w:left="1984" w:right="1820"/>
      </w:pPr>
      <w:r>
        <w:rPr>
          <w:spacing w:val="-6"/>
          <w:w w:val="120"/>
        </w:rPr>
        <w:t>12d.</w:t>
        <w:tab/>
      </w:r>
      <w:r>
        <w:rPr>
          <w:spacing w:val="3"/>
          <w:w w:val="120"/>
        </w:rPr>
        <w:t>As </w:t>
      </w:r>
      <w:r>
        <w:rPr>
          <w:w w:val="120"/>
        </w:rPr>
        <w:t>soon as possible after the Assembly meeting ends, the substance of the minutes together with any other relevant papers shall be published as a ‘Record of Assembly’ and a copy sent to every member of the Assembly, each synod and  local</w:t>
      </w:r>
      <w:r>
        <w:rPr>
          <w:spacing w:val="2"/>
          <w:w w:val="120"/>
        </w:rPr>
        <w:t> </w:t>
      </w:r>
      <w:r>
        <w:rPr>
          <w:w w:val="120"/>
        </w:rPr>
        <w:t>church.</w:t>
      </w:r>
    </w:p>
    <w:p>
      <w:pPr>
        <w:pStyle w:val="BodyText"/>
        <w:spacing w:before="5"/>
        <w:rPr>
          <w:sz w:val="32"/>
        </w:rPr>
      </w:pPr>
    </w:p>
    <w:p>
      <w:pPr>
        <w:pStyle w:val="Heading4"/>
        <w:numPr>
          <w:ilvl w:val="0"/>
          <w:numId w:val="37"/>
        </w:numPr>
        <w:tabs>
          <w:tab w:pos="2665" w:val="left" w:leader="none"/>
        </w:tabs>
        <w:spacing w:line="240" w:lineRule="auto" w:before="0" w:after="0"/>
        <w:ind w:left="2664" w:right="0" w:hanging="681"/>
        <w:jc w:val="left"/>
      </w:pPr>
      <w:r>
        <w:rPr>
          <w:spacing w:val="3"/>
          <w:w w:val="110"/>
        </w:rPr>
        <w:t>Suspension and amendment </w:t>
      </w:r>
      <w:r>
        <w:rPr>
          <w:w w:val="110"/>
        </w:rPr>
        <w:t>of </w:t>
      </w:r>
      <w:r>
        <w:rPr>
          <w:spacing w:val="4"/>
          <w:w w:val="110"/>
        </w:rPr>
        <w:t>standing</w:t>
      </w:r>
      <w:r>
        <w:rPr>
          <w:spacing w:val="62"/>
          <w:w w:val="110"/>
        </w:rPr>
        <w:t> </w:t>
      </w:r>
      <w:r>
        <w:rPr>
          <w:spacing w:val="4"/>
          <w:w w:val="110"/>
        </w:rPr>
        <w:t>orders</w:t>
      </w:r>
    </w:p>
    <w:p>
      <w:pPr>
        <w:pStyle w:val="BodyText"/>
        <w:tabs>
          <w:tab w:pos="2664" w:val="left" w:leader="none"/>
        </w:tabs>
        <w:spacing w:line="235" w:lineRule="auto" w:before="69"/>
        <w:ind w:left="1984" w:right="1352"/>
      </w:pPr>
      <w:r>
        <w:rPr>
          <w:spacing w:val="-6"/>
          <w:w w:val="120"/>
        </w:rPr>
        <w:t>13a.</w:t>
        <w:tab/>
      </w:r>
      <w:r>
        <w:rPr>
          <w:w w:val="120"/>
        </w:rPr>
        <w:t>In any case of urgency or upon proposal of a motion of which due notice has been given, any one or more of the standing orders may be suspended at any meeting, provided that three-fourths of the members of the Assembly present and voting shall  so</w:t>
      </w:r>
      <w:r>
        <w:rPr>
          <w:spacing w:val="2"/>
          <w:w w:val="120"/>
        </w:rPr>
        <w:t> </w:t>
      </w:r>
      <w:r>
        <w:rPr>
          <w:w w:val="120"/>
        </w:rPr>
        <w:t>decide.</w:t>
      </w:r>
    </w:p>
    <w:p>
      <w:pPr>
        <w:pStyle w:val="BodyText"/>
        <w:spacing w:before="11"/>
        <w:rPr>
          <w:sz w:val="19"/>
        </w:rPr>
      </w:pPr>
    </w:p>
    <w:p>
      <w:pPr>
        <w:pStyle w:val="BodyText"/>
        <w:tabs>
          <w:tab w:pos="2664" w:val="left" w:leader="none"/>
        </w:tabs>
        <w:spacing w:line="235" w:lineRule="auto"/>
        <w:ind w:left="1984" w:right="2269"/>
      </w:pPr>
      <w:r>
        <w:rPr>
          <w:spacing w:val="-7"/>
          <w:w w:val="120"/>
        </w:rPr>
        <w:t>13b.</w:t>
        <w:tab/>
      </w:r>
      <w:r>
        <w:rPr>
          <w:w w:val="120"/>
        </w:rPr>
        <w:t>Motions to amend the standing orders shall be referred to the clerk of the</w:t>
      </w:r>
      <w:r>
        <w:rPr>
          <w:spacing w:val="5"/>
          <w:w w:val="120"/>
        </w:rPr>
        <w:t> </w:t>
      </w:r>
      <w:r>
        <w:rPr>
          <w:w w:val="120"/>
        </w:rPr>
        <w:t>Assembly</w:t>
      </w:r>
      <w:r>
        <w:rPr>
          <w:spacing w:val="6"/>
          <w:w w:val="120"/>
        </w:rPr>
        <w:t> </w:t>
      </w:r>
      <w:r>
        <w:rPr>
          <w:w w:val="120"/>
        </w:rPr>
        <w:t>for</w:t>
      </w:r>
      <w:r>
        <w:rPr>
          <w:spacing w:val="6"/>
          <w:w w:val="120"/>
        </w:rPr>
        <w:t> </w:t>
      </w:r>
      <w:r>
        <w:rPr>
          <w:spacing w:val="2"/>
          <w:w w:val="120"/>
        </w:rPr>
        <w:t>report</w:t>
      </w:r>
      <w:r>
        <w:rPr>
          <w:spacing w:val="6"/>
          <w:w w:val="120"/>
        </w:rPr>
        <w:t> </w:t>
      </w:r>
      <w:r>
        <w:rPr>
          <w:w w:val="120"/>
        </w:rPr>
        <w:t>before</w:t>
      </w:r>
      <w:r>
        <w:rPr>
          <w:spacing w:val="5"/>
          <w:w w:val="120"/>
        </w:rPr>
        <w:t> </w:t>
      </w:r>
      <w:r>
        <w:rPr>
          <w:w w:val="120"/>
        </w:rPr>
        <w:t>being</w:t>
      </w:r>
      <w:r>
        <w:rPr>
          <w:spacing w:val="6"/>
          <w:w w:val="120"/>
        </w:rPr>
        <w:t> </w:t>
      </w:r>
      <w:r>
        <w:rPr>
          <w:w w:val="120"/>
        </w:rPr>
        <w:t>voted</w:t>
      </w:r>
      <w:r>
        <w:rPr>
          <w:spacing w:val="6"/>
          <w:w w:val="120"/>
        </w:rPr>
        <w:t> </w:t>
      </w:r>
      <w:r>
        <w:rPr>
          <w:w w:val="120"/>
        </w:rPr>
        <w:t>on</w:t>
      </w:r>
      <w:r>
        <w:rPr>
          <w:spacing w:val="6"/>
          <w:w w:val="120"/>
        </w:rPr>
        <w:t> </w:t>
      </w:r>
      <w:r>
        <w:rPr>
          <w:w w:val="120"/>
        </w:rPr>
        <w:t>by</w:t>
      </w:r>
      <w:r>
        <w:rPr>
          <w:spacing w:val="6"/>
          <w:w w:val="120"/>
        </w:rPr>
        <w:t> </w:t>
      </w:r>
      <w:r>
        <w:rPr>
          <w:w w:val="120"/>
        </w:rPr>
        <w:t>the</w:t>
      </w:r>
      <w:r>
        <w:rPr>
          <w:spacing w:val="5"/>
          <w:w w:val="120"/>
        </w:rPr>
        <w:t> </w:t>
      </w:r>
      <w:r>
        <w:rPr>
          <w:w w:val="120"/>
        </w:rPr>
        <w:t>Assembly</w:t>
      </w:r>
      <w:r>
        <w:rPr>
          <w:spacing w:val="6"/>
          <w:w w:val="120"/>
        </w:rPr>
        <w:t> </w:t>
      </w:r>
      <w:r>
        <w:rPr>
          <w:spacing w:val="-8"/>
          <w:w w:val="120"/>
        </w:rPr>
        <w:t>(or,</w:t>
      </w:r>
      <w:r>
        <w:rPr>
          <w:spacing w:val="6"/>
          <w:w w:val="120"/>
        </w:rPr>
        <w:t> </w:t>
      </w:r>
      <w:r>
        <w:rPr>
          <w:w w:val="120"/>
        </w:rPr>
        <w:t>in</w:t>
      </w:r>
      <w:r>
        <w:rPr>
          <w:spacing w:val="6"/>
          <w:w w:val="120"/>
        </w:rPr>
        <w:t> </w:t>
      </w:r>
      <w:r>
        <w:rPr>
          <w:w w:val="120"/>
        </w:rPr>
        <w:t>case</w:t>
      </w:r>
      <w:r>
        <w:rPr>
          <w:spacing w:val="6"/>
          <w:w w:val="120"/>
        </w:rPr>
        <w:t> </w:t>
      </w:r>
      <w:r>
        <w:rPr>
          <w:w w:val="120"/>
        </w:rPr>
        <w:t>of</w:t>
      </w:r>
    </w:p>
    <w:p>
      <w:pPr>
        <w:pStyle w:val="BodyText"/>
        <w:spacing w:line="235" w:lineRule="auto" w:before="1"/>
        <w:ind w:left="1984" w:right="1820"/>
      </w:pPr>
      <w:r>
        <w:rPr>
          <w:w w:val="120"/>
        </w:rPr>
        <w:t>urgency, by the Mission Council). The clerk of the Assembly may from time to time suggest amendments.</w:t>
      </w:r>
    </w:p>
    <w:p>
      <w:pPr>
        <w:spacing w:after="0" w:line="235" w:lineRule="auto"/>
        <w:sectPr>
          <w:type w:val="continuous"/>
          <w:pgSz w:w="11910" w:h="16840"/>
          <w:pgMar w:top="680" w:bottom="280" w:left="0" w:right="0"/>
        </w:sectPr>
      </w:pPr>
    </w:p>
    <w:p>
      <w:pPr>
        <w:pStyle w:val="BodyText"/>
      </w:pPr>
      <w:r>
        <w:rPr/>
        <w:pict>
          <v:rect style="position:absolute;margin-left:594.374023pt;margin-top:.000015pt;width:.901pt;height:841.89pt;mso-position-horizontal-relative:page;mso-position-vertical-relative:page;z-index:251858944" filled="true" fillcolor="#ffedc2" stroked="false">
            <v:fill type="solid"/>
            <w10:wrap type="none"/>
          </v:rect>
        </w:pict>
      </w:r>
      <w:r>
        <w:rPr/>
        <w:pict>
          <v:group style="position:absolute;margin-left:0pt;margin-top:.000015pt;width:519.4500pt;height:841.9pt;mso-position-horizontal-relative:page;mso-position-vertical-relative:page;z-index:-267416576" coordorigin="0,0" coordsize="10389,16838">
            <v:rect style="position:absolute;left:935;top:0;width:9440;height:16838" filled="true" fillcolor="#ffedc2" stroked="false">
              <v:fill type="solid"/>
            </v:rect>
            <v:rect style="position:absolute;left:935;top:0;width:9440;height:15789" filled="true" fillcolor="#ffffff" stroked="false">
              <v:fill type="solid"/>
            </v:rect>
            <v:shape style="position:absolute;left:8849;top:14290;width:1540;height:1513" coordorigin="8849,14290" coordsize="1540,1513" path="m8850,15803l8849,15803,8849,15803,8851,15803,8850,15803xm10389,14290l10386,14366,10379,14441,10369,14514,10355,14587,10339,14658,10318,14728,10295,14797,10268,14864,10239,14929,10207,14993,10171,15055,10133,15115,10093,15173,10050,15230,10004,15284,9956,15336,9905,15385,9853,15433,9798,15478,9741,15520,9682,15560,9621,15597,9559,15631,9495,15663,9429,15691,9361,15717,9292,15739,9222,15758,9150,15774,9077,15787,9003,15796,8928,15801,8852,15803,10389,15803,10389,14290xe" filled="true" fillcolor="#ffedc2" stroked="false">
              <v:path arrowok="t"/>
              <v:fill type="solid"/>
            </v:shape>
            <v:shape style="position:absolute;left:0;top:0;width:936;height:16838" type="#_x0000_t75" stroked="false">
              <v:imagedata r:id="rId90" o:title=""/>
            </v:shape>
            <w10:wrap type="none"/>
          </v:group>
        </w:pict>
      </w:r>
    </w:p>
    <w:p>
      <w:pPr>
        <w:pStyle w:val="BodyText"/>
      </w:pPr>
    </w:p>
    <w:p>
      <w:pPr>
        <w:pStyle w:val="BodyText"/>
      </w:pPr>
    </w:p>
    <w:p>
      <w:pPr>
        <w:pStyle w:val="BodyText"/>
        <w:spacing w:before="5"/>
        <w:rPr>
          <w:sz w:val="28"/>
        </w:rPr>
      </w:pPr>
    </w:p>
    <w:p>
      <w:pPr>
        <w:pStyle w:val="Heading2"/>
        <w:spacing w:before="97"/>
        <w:rPr>
          <w:b/>
        </w:rPr>
      </w:pPr>
      <w:r>
        <w:rPr/>
        <w:pict>
          <v:shape style="position:absolute;margin-left:20.519100pt;margin-top:-5.998084pt;width:25.9pt;height:264.55pt;mso-position-horizontal-relative:page;mso-position-vertical-relative:paragraph;z-index:251860992" type="#_x0000_t202" filled="false" stroked="false">
            <v:textbox inset="0,0,0,0" style="layout-flow:vertical">
              <w:txbxContent>
                <w:p>
                  <w:pPr>
                    <w:spacing w:before="27"/>
                    <w:ind w:left="20" w:right="0" w:firstLine="0"/>
                    <w:jc w:val="left"/>
                    <w:rPr>
                      <w:sz w:val="39"/>
                    </w:rPr>
                  </w:pPr>
                  <w:r>
                    <w:rPr>
                      <w:color w:val="FFFFFF"/>
                      <w:w w:val="120"/>
                      <w:sz w:val="39"/>
                    </w:rPr>
                    <w:t>Synod moderators’ report</w:t>
                  </w:r>
                </w:p>
              </w:txbxContent>
            </v:textbox>
            <w10:wrap type="none"/>
          </v:shape>
        </w:pict>
      </w:r>
      <w:bookmarkStart w:name="_bookmark9" w:id="10"/>
      <w:bookmarkEnd w:id="10"/>
      <w:r>
        <w:rPr>
          <w:b w:val="0"/>
        </w:rPr>
      </w:r>
      <w:r>
        <w:rPr>
          <w:b/>
          <w:w w:val="110"/>
        </w:rPr>
        <w:t>Synod moderators’ report</w:t>
      </w:r>
    </w:p>
    <w:p>
      <w:pPr>
        <w:pStyle w:val="Heading7"/>
        <w:spacing w:line="230" w:lineRule="auto" w:before="448"/>
        <w:ind w:left="2319" w:right="3054"/>
      </w:pPr>
      <w:r>
        <w:rPr>
          <w:w w:val="115"/>
        </w:rPr>
        <w:t>For</w:t>
      </w:r>
      <w:r>
        <w:rPr>
          <w:spacing w:val="-17"/>
          <w:w w:val="115"/>
        </w:rPr>
        <w:t> </w:t>
      </w:r>
      <w:r>
        <w:rPr>
          <w:w w:val="115"/>
        </w:rPr>
        <w:t>last</w:t>
      </w:r>
      <w:r>
        <w:rPr>
          <w:spacing w:val="-17"/>
          <w:w w:val="115"/>
        </w:rPr>
        <w:t> </w:t>
      </w:r>
      <w:r>
        <w:rPr>
          <w:spacing w:val="-4"/>
          <w:w w:val="115"/>
        </w:rPr>
        <w:t>year’s</w:t>
      </w:r>
      <w:r>
        <w:rPr>
          <w:spacing w:val="-17"/>
          <w:w w:val="115"/>
        </w:rPr>
        <w:t> </w:t>
      </w:r>
      <w:r>
        <w:rPr>
          <w:w w:val="115"/>
        </w:rPr>
        <w:t>words</w:t>
      </w:r>
      <w:r>
        <w:rPr>
          <w:spacing w:val="-17"/>
          <w:w w:val="115"/>
        </w:rPr>
        <w:t> </w:t>
      </w:r>
      <w:r>
        <w:rPr>
          <w:w w:val="115"/>
        </w:rPr>
        <w:t>belong</w:t>
      </w:r>
      <w:r>
        <w:rPr>
          <w:spacing w:val="-17"/>
          <w:w w:val="115"/>
        </w:rPr>
        <w:t> </w:t>
      </w:r>
      <w:r>
        <w:rPr>
          <w:spacing w:val="-3"/>
          <w:w w:val="115"/>
        </w:rPr>
        <w:t>to</w:t>
      </w:r>
      <w:r>
        <w:rPr>
          <w:spacing w:val="-17"/>
          <w:w w:val="115"/>
        </w:rPr>
        <w:t> </w:t>
      </w:r>
      <w:r>
        <w:rPr>
          <w:w w:val="115"/>
        </w:rPr>
        <w:t>last</w:t>
      </w:r>
      <w:r>
        <w:rPr>
          <w:spacing w:val="-17"/>
          <w:w w:val="115"/>
        </w:rPr>
        <w:t> </w:t>
      </w:r>
      <w:r>
        <w:rPr>
          <w:spacing w:val="-4"/>
          <w:w w:val="115"/>
        </w:rPr>
        <w:t>year’s</w:t>
      </w:r>
      <w:r>
        <w:rPr>
          <w:spacing w:val="-17"/>
          <w:w w:val="115"/>
        </w:rPr>
        <w:t> </w:t>
      </w:r>
      <w:r>
        <w:rPr>
          <w:w w:val="115"/>
        </w:rPr>
        <w:t>language And next </w:t>
      </w:r>
      <w:r>
        <w:rPr>
          <w:spacing w:val="-4"/>
          <w:w w:val="115"/>
        </w:rPr>
        <w:t>year’s </w:t>
      </w:r>
      <w:r>
        <w:rPr>
          <w:w w:val="115"/>
        </w:rPr>
        <w:t>words </w:t>
      </w:r>
      <w:r>
        <w:rPr>
          <w:spacing w:val="-3"/>
          <w:w w:val="115"/>
        </w:rPr>
        <w:t>await </w:t>
      </w:r>
      <w:r>
        <w:rPr>
          <w:w w:val="115"/>
        </w:rPr>
        <w:t>another</w:t>
      </w:r>
      <w:r>
        <w:rPr>
          <w:spacing w:val="-47"/>
          <w:w w:val="115"/>
        </w:rPr>
        <w:t> </w:t>
      </w:r>
      <w:r>
        <w:rPr>
          <w:spacing w:val="-3"/>
          <w:w w:val="115"/>
        </w:rPr>
        <w:t>voice.</w:t>
      </w:r>
    </w:p>
    <w:p>
      <w:pPr>
        <w:spacing w:before="90"/>
        <w:ind w:left="708" w:right="1444" w:firstLine="0"/>
        <w:jc w:val="center"/>
        <w:rPr>
          <w:i/>
          <w:sz w:val="20"/>
        </w:rPr>
      </w:pPr>
      <w:r>
        <w:rPr>
          <w:w w:val="115"/>
          <w:sz w:val="20"/>
        </w:rPr>
        <w:t>TS Eliot – </w:t>
      </w:r>
      <w:r>
        <w:rPr>
          <w:i/>
          <w:w w:val="115"/>
          <w:sz w:val="20"/>
        </w:rPr>
        <w:t>Little Gidding</w:t>
      </w:r>
    </w:p>
    <w:p>
      <w:pPr>
        <w:pStyle w:val="BodyText"/>
        <w:rPr>
          <w:i/>
          <w:sz w:val="24"/>
        </w:rPr>
      </w:pPr>
    </w:p>
    <w:p>
      <w:pPr>
        <w:spacing w:before="159"/>
        <w:ind w:left="1247" w:right="0" w:firstLine="0"/>
        <w:jc w:val="left"/>
        <w:rPr>
          <w:rFonts w:ascii="Stone Sans II ITC Std Bk"/>
          <w:b/>
          <w:sz w:val="29"/>
        </w:rPr>
      </w:pPr>
      <w:r>
        <w:rPr>
          <w:rFonts w:ascii="Stone Sans II ITC Std Bk"/>
          <w:b/>
          <w:w w:val="110"/>
          <w:sz w:val="29"/>
        </w:rPr>
        <w:t>Changing landscape</w:t>
      </w:r>
    </w:p>
    <w:p>
      <w:pPr>
        <w:pStyle w:val="ListParagraph"/>
        <w:numPr>
          <w:ilvl w:val="0"/>
          <w:numId w:val="42"/>
        </w:numPr>
        <w:tabs>
          <w:tab w:pos="1927" w:val="left" w:leader="none"/>
          <w:tab w:pos="1928" w:val="left" w:leader="none"/>
        </w:tabs>
        <w:spacing w:line="235" w:lineRule="auto" w:before="239" w:after="0"/>
        <w:ind w:left="1247" w:right="2181" w:firstLine="0"/>
        <w:jc w:val="left"/>
        <w:rPr>
          <w:sz w:val="20"/>
        </w:rPr>
      </w:pPr>
      <w:r>
        <w:rPr>
          <w:w w:val="120"/>
          <w:sz w:val="20"/>
        </w:rPr>
        <w:t>This </w:t>
      </w:r>
      <w:r>
        <w:rPr>
          <w:spacing w:val="2"/>
          <w:w w:val="120"/>
          <w:sz w:val="20"/>
        </w:rPr>
        <w:t>report </w:t>
      </w:r>
      <w:r>
        <w:rPr>
          <w:w w:val="120"/>
          <w:sz w:val="20"/>
        </w:rPr>
        <w:t>is written against a background of sporadic violent </w:t>
      </w:r>
      <w:r>
        <w:rPr>
          <w:spacing w:val="2"/>
          <w:w w:val="120"/>
          <w:sz w:val="20"/>
        </w:rPr>
        <w:t>acts </w:t>
      </w:r>
      <w:r>
        <w:rPr>
          <w:w w:val="120"/>
          <w:sz w:val="20"/>
        </w:rPr>
        <w:t>of terrorism around the world, robbing some people of life itself and many millions of others of a sense of security within their own borders. We are confronted by fundamentalisms of various kinds which feed off the discontent of the poor and those who feel themselves to be victims of injustice. It is in this context that the Christian Church seeks to be a channel of reconciliation and peace in the name of Jesus</w:t>
      </w:r>
      <w:r>
        <w:rPr>
          <w:spacing w:val="18"/>
          <w:w w:val="120"/>
          <w:sz w:val="20"/>
        </w:rPr>
        <w:t> </w:t>
      </w:r>
      <w:r>
        <w:rPr>
          <w:w w:val="120"/>
          <w:sz w:val="20"/>
        </w:rPr>
        <w:t>Christ.</w:t>
      </w:r>
    </w:p>
    <w:p>
      <w:pPr>
        <w:pStyle w:val="BodyText"/>
      </w:pPr>
    </w:p>
    <w:p>
      <w:pPr>
        <w:pStyle w:val="ListParagraph"/>
        <w:numPr>
          <w:ilvl w:val="0"/>
          <w:numId w:val="42"/>
        </w:numPr>
        <w:tabs>
          <w:tab w:pos="1927" w:val="left" w:leader="none"/>
          <w:tab w:pos="1928" w:val="left" w:leader="none"/>
        </w:tabs>
        <w:spacing w:line="235" w:lineRule="auto" w:before="0" w:after="0"/>
        <w:ind w:left="1247" w:right="2350" w:firstLine="0"/>
        <w:jc w:val="left"/>
        <w:rPr>
          <w:sz w:val="20"/>
        </w:rPr>
      </w:pPr>
      <w:r>
        <w:rPr>
          <w:w w:val="120"/>
          <w:sz w:val="20"/>
        </w:rPr>
        <w:t>Successive </w:t>
      </w:r>
      <w:r>
        <w:rPr>
          <w:spacing w:val="2"/>
          <w:w w:val="120"/>
          <w:sz w:val="20"/>
        </w:rPr>
        <w:t>reports </w:t>
      </w:r>
      <w:r>
        <w:rPr>
          <w:w w:val="120"/>
          <w:sz w:val="20"/>
        </w:rPr>
        <w:t>by the synod moderators have noted the evidence of a changing cultural landscape into which the Church tries to interpret the Good News embodied in the person, character and actions of Jesus of Nazareth. The</w:t>
      </w:r>
      <w:r>
        <w:rPr>
          <w:spacing w:val="48"/>
          <w:w w:val="120"/>
          <w:sz w:val="20"/>
        </w:rPr>
        <w:t> </w:t>
      </w:r>
      <w:r>
        <w:rPr>
          <w:w w:val="120"/>
          <w:sz w:val="20"/>
        </w:rPr>
        <w:t>growth</w:t>
      </w:r>
    </w:p>
    <w:p>
      <w:pPr>
        <w:pStyle w:val="BodyText"/>
        <w:spacing w:line="235" w:lineRule="auto" w:before="2"/>
        <w:ind w:left="1247" w:right="2004"/>
      </w:pPr>
      <w:r>
        <w:rPr>
          <w:w w:val="120"/>
        </w:rPr>
        <w:t>of online communities and virtual space has led us to realise our need for creative imaginations as we communicate Christian hope today.</w:t>
      </w:r>
    </w:p>
    <w:p>
      <w:pPr>
        <w:pStyle w:val="BodyText"/>
        <w:spacing w:before="10"/>
        <w:rPr>
          <w:sz w:val="19"/>
        </w:rPr>
      </w:pPr>
    </w:p>
    <w:p>
      <w:pPr>
        <w:pStyle w:val="ListParagraph"/>
        <w:numPr>
          <w:ilvl w:val="0"/>
          <w:numId w:val="42"/>
        </w:numPr>
        <w:tabs>
          <w:tab w:pos="1927" w:val="left" w:leader="none"/>
          <w:tab w:pos="1928" w:val="left" w:leader="none"/>
        </w:tabs>
        <w:spacing w:line="235" w:lineRule="auto" w:before="0" w:after="0"/>
        <w:ind w:left="1247" w:right="1996" w:firstLine="0"/>
        <w:jc w:val="left"/>
        <w:rPr>
          <w:sz w:val="20"/>
        </w:rPr>
      </w:pPr>
      <w:r>
        <w:rPr>
          <w:w w:val="120"/>
          <w:sz w:val="20"/>
        </w:rPr>
        <w:t>The reality of declining congregational numbers has impacted budgets and puts at risk our ability to finance innovative experiments in our continuing desire to minister in experimental ways and sustain our governance structures. It can also unhelpfully focus attention inwardly rather than being interpreted as </w:t>
      </w:r>
      <w:r>
        <w:rPr>
          <w:spacing w:val="2"/>
          <w:w w:val="120"/>
          <w:sz w:val="20"/>
        </w:rPr>
        <w:t>part </w:t>
      </w:r>
      <w:r>
        <w:rPr>
          <w:w w:val="120"/>
          <w:sz w:val="20"/>
        </w:rPr>
        <w:t>of the Spirit’s guidance to us in the many different contexts in which the Church is</w:t>
      </w:r>
      <w:r>
        <w:rPr>
          <w:spacing w:val="22"/>
          <w:w w:val="120"/>
          <w:sz w:val="20"/>
        </w:rPr>
        <w:t> </w:t>
      </w:r>
      <w:r>
        <w:rPr>
          <w:w w:val="120"/>
          <w:sz w:val="20"/>
        </w:rPr>
        <w:t>set.</w:t>
      </w:r>
    </w:p>
    <w:p>
      <w:pPr>
        <w:pStyle w:val="BodyText"/>
        <w:spacing w:before="12"/>
        <w:rPr>
          <w:sz w:val="19"/>
        </w:rPr>
      </w:pPr>
    </w:p>
    <w:p>
      <w:pPr>
        <w:pStyle w:val="ListParagraph"/>
        <w:numPr>
          <w:ilvl w:val="0"/>
          <w:numId w:val="42"/>
        </w:numPr>
        <w:tabs>
          <w:tab w:pos="1927" w:val="left" w:leader="none"/>
          <w:tab w:pos="1928" w:val="left" w:leader="none"/>
        </w:tabs>
        <w:spacing w:line="235" w:lineRule="auto" w:before="0" w:after="0"/>
        <w:ind w:left="1247" w:right="2062" w:firstLine="0"/>
        <w:jc w:val="left"/>
        <w:rPr>
          <w:sz w:val="20"/>
        </w:rPr>
      </w:pPr>
      <w:r>
        <w:rPr>
          <w:spacing w:val="3"/>
          <w:w w:val="120"/>
          <w:sz w:val="20"/>
        </w:rPr>
        <w:t>As </w:t>
      </w:r>
      <w:r>
        <w:rPr>
          <w:w w:val="120"/>
          <w:sz w:val="20"/>
        </w:rPr>
        <w:t>we visit local congregations to accompany them through times of ministerial transition or pastoral need, such change is variously encountered as threat or opportunity. Many faithful church members feel tired and bewildered by the inability  of their congregation to thrive. They feel akin in spirit to those early followers who explained to Jesus that they had been fishing all night and caught nothing. </w:t>
      </w:r>
      <w:r>
        <w:rPr>
          <w:spacing w:val="2"/>
          <w:w w:val="120"/>
          <w:sz w:val="20"/>
        </w:rPr>
        <w:t>Of </w:t>
      </w:r>
      <w:r>
        <w:rPr>
          <w:w w:val="120"/>
          <w:sz w:val="20"/>
        </w:rPr>
        <w:t>course at other times they also feel ready to fish on the other</w:t>
      </w:r>
      <w:r>
        <w:rPr>
          <w:spacing w:val="12"/>
          <w:w w:val="120"/>
          <w:sz w:val="20"/>
        </w:rPr>
        <w:t> </w:t>
      </w:r>
      <w:r>
        <w:rPr>
          <w:w w:val="120"/>
          <w:sz w:val="20"/>
        </w:rPr>
        <w:t>side.</w:t>
      </w:r>
    </w:p>
    <w:p>
      <w:pPr>
        <w:pStyle w:val="BodyText"/>
      </w:pPr>
    </w:p>
    <w:p>
      <w:pPr>
        <w:pStyle w:val="ListParagraph"/>
        <w:numPr>
          <w:ilvl w:val="0"/>
          <w:numId w:val="42"/>
        </w:numPr>
        <w:tabs>
          <w:tab w:pos="1927" w:val="left" w:leader="none"/>
          <w:tab w:pos="1928" w:val="left" w:leader="none"/>
        </w:tabs>
        <w:spacing w:line="235" w:lineRule="auto" w:before="0" w:after="0"/>
        <w:ind w:left="1247" w:right="2089" w:firstLine="0"/>
        <w:jc w:val="left"/>
        <w:rPr>
          <w:sz w:val="20"/>
        </w:rPr>
      </w:pPr>
      <w:r>
        <w:rPr>
          <w:w w:val="120"/>
          <w:sz w:val="20"/>
        </w:rPr>
        <w:t>Being a community of disciples in the digital age has offered fresh opportunities for mission. Some churches have begun to stream sermons through their websites, or offer openings to people to share in church activities; others avoid websites altogether as belonging to the younger generation. There is an opportunity to be grasped in welcoming the stranger through culturally appropriate events to which invitations can be</w:t>
      </w:r>
      <w:r>
        <w:rPr>
          <w:spacing w:val="1"/>
          <w:w w:val="120"/>
          <w:sz w:val="20"/>
        </w:rPr>
        <w:t> </w:t>
      </w:r>
      <w:r>
        <w:rPr>
          <w:w w:val="120"/>
          <w:sz w:val="20"/>
        </w:rPr>
        <w:t>offered.</w:t>
      </w:r>
    </w:p>
    <w:p>
      <w:pPr>
        <w:pStyle w:val="BodyText"/>
      </w:pPr>
    </w:p>
    <w:p>
      <w:pPr>
        <w:pStyle w:val="ListParagraph"/>
        <w:numPr>
          <w:ilvl w:val="0"/>
          <w:numId w:val="42"/>
        </w:numPr>
        <w:tabs>
          <w:tab w:pos="1927" w:val="left" w:leader="none"/>
          <w:tab w:pos="1928" w:val="left" w:leader="none"/>
        </w:tabs>
        <w:spacing w:line="235" w:lineRule="auto" w:before="0" w:after="0"/>
        <w:ind w:left="1247" w:right="2228" w:firstLine="0"/>
        <w:jc w:val="left"/>
        <w:rPr>
          <w:sz w:val="20"/>
        </w:rPr>
      </w:pPr>
      <w:r>
        <w:rPr>
          <w:w w:val="120"/>
          <w:sz w:val="20"/>
        </w:rPr>
        <w:t>The trend </w:t>
      </w:r>
      <w:r>
        <w:rPr>
          <w:spacing w:val="-3"/>
          <w:w w:val="120"/>
          <w:sz w:val="20"/>
        </w:rPr>
        <w:t>towards </w:t>
      </w:r>
      <w:r>
        <w:rPr>
          <w:w w:val="120"/>
          <w:sz w:val="20"/>
        </w:rPr>
        <w:t>remodelling </w:t>
      </w:r>
      <w:r>
        <w:rPr>
          <w:spacing w:val="-3"/>
          <w:w w:val="120"/>
          <w:sz w:val="20"/>
        </w:rPr>
        <w:t>buildings </w:t>
      </w:r>
      <w:r>
        <w:rPr>
          <w:w w:val="120"/>
          <w:sz w:val="20"/>
        </w:rPr>
        <w:t>so that they </w:t>
      </w:r>
      <w:r>
        <w:rPr>
          <w:spacing w:val="-3"/>
          <w:w w:val="120"/>
          <w:sz w:val="20"/>
        </w:rPr>
        <w:t>may </w:t>
      </w:r>
      <w:r>
        <w:rPr>
          <w:w w:val="120"/>
          <w:sz w:val="20"/>
        </w:rPr>
        <w:t>be more </w:t>
      </w:r>
      <w:r>
        <w:rPr>
          <w:spacing w:val="-3"/>
          <w:w w:val="120"/>
          <w:sz w:val="20"/>
        </w:rPr>
        <w:t>hospitable to visitors continues. </w:t>
      </w:r>
      <w:r>
        <w:rPr>
          <w:w w:val="120"/>
          <w:sz w:val="20"/>
        </w:rPr>
        <w:t>Notable examples are Lumen </w:t>
      </w:r>
      <w:r>
        <w:rPr>
          <w:spacing w:val="-3"/>
          <w:w w:val="120"/>
          <w:sz w:val="20"/>
        </w:rPr>
        <w:t>United </w:t>
      </w:r>
      <w:r>
        <w:rPr>
          <w:w w:val="120"/>
          <w:sz w:val="20"/>
        </w:rPr>
        <w:t>Reformed </w:t>
      </w:r>
      <w:r>
        <w:rPr>
          <w:spacing w:val="-3"/>
          <w:w w:val="120"/>
          <w:sz w:val="20"/>
        </w:rPr>
        <w:t>Church </w:t>
      </w:r>
      <w:r>
        <w:rPr>
          <w:w w:val="120"/>
          <w:sz w:val="20"/>
        </w:rPr>
        <w:t>in</w:t>
      </w:r>
      <w:r>
        <w:rPr>
          <w:spacing w:val="6"/>
          <w:w w:val="120"/>
          <w:sz w:val="20"/>
        </w:rPr>
        <w:t> </w:t>
      </w:r>
      <w:r>
        <w:rPr>
          <w:w w:val="120"/>
          <w:sz w:val="20"/>
        </w:rPr>
        <w:t>London,</w:t>
      </w:r>
    </w:p>
    <w:p>
      <w:pPr>
        <w:pStyle w:val="BodyText"/>
        <w:spacing w:line="235" w:lineRule="auto" w:before="2"/>
        <w:ind w:left="1247" w:right="2021"/>
        <w:rPr>
          <w:sz w:val="16"/>
        </w:rPr>
      </w:pPr>
      <w:r>
        <w:rPr>
          <w:w w:val="120"/>
        </w:rPr>
        <w:t>the </w:t>
      </w:r>
      <w:r>
        <w:rPr>
          <w:spacing w:val="-3"/>
          <w:w w:val="120"/>
        </w:rPr>
        <w:t>Crossing </w:t>
      </w:r>
      <w:r>
        <w:rPr>
          <w:w w:val="120"/>
        </w:rPr>
        <w:t>in Worksop, </w:t>
      </w:r>
      <w:r>
        <w:rPr>
          <w:spacing w:val="-3"/>
          <w:w w:val="120"/>
        </w:rPr>
        <w:t>Woking, </w:t>
      </w:r>
      <w:r>
        <w:rPr>
          <w:w w:val="120"/>
        </w:rPr>
        <w:t>Parkminster in </w:t>
      </w:r>
      <w:r>
        <w:rPr>
          <w:spacing w:val="-3"/>
          <w:w w:val="120"/>
        </w:rPr>
        <w:t>Wales </w:t>
      </w:r>
      <w:r>
        <w:rPr>
          <w:w w:val="120"/>
        </w:rPr>
        <w:t>and Granton in </w:t>
      </w:r>
      <w:r>
        <w:rPr>
          <w:spacing w:val="-3"/>
          <w:w w:val="120"/>
        </w:rPr>
        <w:t>Scotland. </w:t>
      </w:r>
      <w:r>
        <w:rPr>
          <w:w w:val="120"/>
        </w:rPr>
        <w:t>Each of these </w:t>
      </w:r>
      <w:r>
        <w:rPr>
          <w:spacing w:val="-3"/>
          <w:w w:val="120"/>
        </w:rPr>
        <w:t>buildings </w:t>
      </w:r>
      <w:r>
        <w:rPr>
          <w:w w:val="120"/>
        </w:rPr>
        <w:t>expresses in wood and stone the faith of the </w:t>
      </w:r>
      <w:r>
        <w:rPr>
          <w:spacing w:val="-3"/>
          <w:w w:val="120"/>
        </w:rPr>
        <w:t>community </w:t>
      </w:r>
      <w:r>
        <w:rPr>
          <w:w w:val="120"/>
        </w:rPr>
        <w:t>which </w:t>
      </w:r>
      <w:r>
        <w:rPr>
          <w:spacing w:val="-3"/>
          <w:w w:val="120"/>
        </w:rPr>
        <w:t>created </w:t>
      </w:r>
      <w:r>
        <w:rPr>
          <w:w w:val="120"/>
        </w:rPr>
        <w:t>it. </w:t>
      </w:r>
      <w:r>
        <w:rPr>
          <w:spacing w:val="-3"/>
          <w:w w:val="120"/>
        </w:rPr>
        <w:t>However </w:t>
      </w:r>
      <w:r>
        <w:rPr>
          <w:w w:val="120"/>
        </w:rPr>
        <w:t>because “the reordering of a </w:t>
      </w:r>
      <w:r>
        <w:rPr>
          <w:spacing w:val="-3"/>
          <w:w w:val="120"/>
        </w:rPr>
        <w:t>church </w:t>
      </w:r>
      <w:r>
        <w:rPr>
          <w:w w:val="120"/>
        </w:rPr>
        <w:t>building </w:t>
      </w:r>
      <w:r>
        <w:rPr>
          <w:spacing w:val="-3"/>
          <w:w w:val="120"/>
        </w:rPr>
        <w:t>treasured </w:t>
      </w:r>
      <w:r>
        <w:rPr>
          <w:w w:val="120"/>
        </w:rPr>
        <w:t>for its familiarity and its memories requires of us a great deal of letting </w:t>
      </w:r>
      <w:r>
        <w:rPr>
          <w:spacing w:val="-3"/>
          <w:w w:val="120"/>
        </w:rPr>
        <w:t>go, </w:t>
      </w:r>
      <w:r>
        <w:rPr>
          <w:w w:val="120"/>
        </w:rPr>
        <w:t>a </w:t>
      </w:r>
      <w:r>
        <w:rPr>
          <w:spacing w:val="-3"/>
          <w:w w:val="120"/>
        </w:rPr>
        <w:t>costly </w:t>
      </w:r>
      <w:r>
        <w:rPr>
          <w:w w:val="120"/>
        </w:rPr>
        <w:t>act of </w:t>
      </w:r>
      <w:r>
        <w:rPr>
          <w:spacing w:val="-3"/>
          <w:w w:val="120"/>
        </w:rPr>
        <w:t>surrender, </w:t>
      </w:r>
      <w:r>
        <w:rPr>
          <w:w w:val="120"/>
        </w:rPr>
        <w:t>it can be for us a powerful sacrament of </w:t>
      </w:r>
      <w:r>
        <w:rPr>
          <w:spacing w:val="-4"/>
          <w:w w:val="120"/>
        </w:rPr>
        <w:t>God’s </w:t>
      </w:r>
      <w:r>
        <w:rPr>
          <w:w w:val="120"/>
        </w:rPr>
        <w:t>reordering of our whole </w:t>
      </w:r>
      <w:r>
        <w:rPr>
          <w:spacing w:val="-5"/>
          <w:w w:val="120"/>
        </w:rPr>
        <w:t>lives.”</w:t>
      </w:r>
      <w:r>
        <w:rPr>
          <w:spacing w:val="-5"/>
          <w:w w:val="120"/>
          <w:position w:val="4"/>
          <w:sz w:val="16"/>
        </w:rPr>
        <w:t>1</w:t>
      </w:r>
    </w:p>
    <w:p>
      <w:pPr>
        <w:pStyle w:val="BodyText"/>
        <w:spacing w:before="10"/>
        <w:rPr>
          <w:sz w:val="19"/>
        </w:rPr>
      </w:pPr>
    </w:p>
    <w:p>
      <w:pPr>
        <w:pStyle w:val="ListParagraph"/>
        <w:numPr>
          <w:ilvl w:val="0"/>
          <w:numId w:val="42"/>
        </w:numPr>
        <w:tabs>
          <w:tab w:pos="1927" w:val="left" w:leader="none"/>
          <w:tab w:pos="1928" w:val="left" w:leader="none"/>
        </w:tabs>
        <w:spacing w:line="235" w:lineRule="auto" w:before="0" w:after="0"/>
        <w:ind w:left="1247" w:right="2026" w:firstLine="0"/>
        <w:jc w:val="left"/>
        <w:rPr>
          <w:sz w:val="20"/>
        </w:rPr>
      </w:pPr>
      <w:r>
        <w:rPr>
          <w:w w:val="120"/>
          <w:sz w:val="20"/>
        </w:rPr>
        <w:t>Partnership schemes involving either other churches or agencies are also continuing to </w:t>
      </w:r>
      <w:r>
        <w:rPr>
          <w:spacing w:val="-3"/>
          <w:w w:val="120"/>
          <w:sz w:val="20"/>
        </w:rPr>
        <w:t>grow. </w:t>
      </w:r>
      <w:r>
        <w:rPr>
          <w:w w:val="120"/>
          <w:sz w:val="20"/>
        </w:rPr>
        <w:t>Housing association projects are constructed on church land. Churches flourish in </w:t>
      </w:r>
      <w:r>
        <w:rPr>
          <w:spacing w:val="-3"/>
          <w:w w:val="120"/>
          <w:sz w:val="20"/>
        </w:rPr>
        <w:t>children’s </w:t>
      </w:r>
      <w:r>
        <w:rPr>
          <w:w w:val="120"/>
          <w:sz w:val="20"/>
        </w:rPr>
        <w:t>centres and retirement complexes and schools. Some churches offer space to post offices and libraries in rural areas, affirming the importance of worshipping communities as community</w:t>
      </w:r>
      <w:r>
        <w:rPr>
          <w:spacing w:val="13"/>
          <w:w w:val="120"/>
          <w:sz w:val="20"/>
        </w:rPr>
        <w:t> </w:t>
      </w:r>
      <w:r>
        <w:rPr>
          <w:w w:val="120"/>
          <w:sz w:val="20"/>
        </w:rPr>
        <w:t>hubs.</w:t>
      </w:r>
    </w:p>
    <w:p>
      <w:pPr>
        <w:pStyle w:val="BodyText"/>
      </w:pPr>
    </w:p>
    <w:p>
      <w:pPr>
        <w:pStyle w:val="BodyText"/>
        <w:spacing w:before="9"/>
        <w:rPr>
          <w:sz w:val="22"/>
        </w:rPr>
      </w:pPr>
    </w:p>
    <w:p>
      <w:pPr>
        <w:pStyle w:val="Heading8"/>
        <w:spacing w:before="97"/>
        <w:ind w:left="1247"/>
      </w:pPr>
      <w:r>
        <w:rPr>
          <w:rFonts w:ascii="Stone Sans II ITC Std X Bd" w:hAnsi="Stone Sans II ITC Std X Bd"/>
          <w:b/>
          <w:w w:val="110"/>
          <w:sz w:val="24"/>
        </w:rPr>
        <w:t>70 </w:t>
      </w:r>
      <w:r>
        <w:rPr>
          <w:rFonts w:ascii="Symbol" w:hAnsi="Symbol"/>
          <w:color w:val="7EAABF"/>
          <w:w w:val="110"/>
        </w:rPr>
        <w:t></w:t>
      </w:r>
      <w:r>
        <w:rPr>
          <w:rFonts w:ascii="Times New Roman" w:hAnsi="Times New Roman"/>
          <w:color w:val="7EAABF"/>
          <w:w w:val="110"/>
        </w:rPr>
        <w:t> </w:t>
      </w: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2014</w:t>
      </w:r>
    </w:p>
    <w:p>
      <w:pPr>
        <w:spacing w:after="0"/>
        <w:sectPr>
          <w:headerReference w:type="even" r:id="rId163"/>
          <w:footerReference w:type="even" r:id="rId164"/>
          <w:pgSz w:w="11910" w:h="16840"/>
          <w:pgMar w:header="0" w:footer="0" w:top="0" w:bottom="0" w:left="0" w:right="0"/>
        </w:sectPr>
      </w:pPr>
    </w:p>
    <w:p>
      <w:pPr>
        <w:pStyle w:val="BodyText"/>
      </w:pPr>
      <w:r>
        <w:rPr/>
        <w:drawing>
          <wp:anchor distT="0" distB="0" distL="0" distR="0" allowOverlap="1" layoutInCell="1" locked="0" behindDoc="0" simplePos="0" relativeHeight="251862016">
            <wp:simplePos x="0" y="0"/>
            <wp:positionH relativeFrom="page">
              <wp:posOffset>6974928</wp:posOffset>
            </wp:positionH>
            <wp:positionV relativeFrom="page">
              <wp:posOffset>0</wp:posOffset>
            </wp:positionV>
            <wp:extent cx="585063" cy="10692003"/>
            <wp:effectExtent l="0" t="0" r="0" b="0"/>
            <wp:wrapNone/>
            <wp:docPr id="131" name="image5.png"/>
            <wp:cNvGraphicFramePr>
              <a:graphicFrameLocks noChangeAspect="1"/>
            </wp:cNvGraphicFramePr>
            <a:graphic>
              <a:graphicData uri="http://schemas.openxmlformats.org/drawingml/2006/picture">
                <pic:pic>
                  <pic:nvPicPr>
                    <pic:cNvPr id="132" name="image5.png"/>
                    <pic:cNvPicPr/>
                  </pic:nvPicPr>
                  <pic:blipFill>
                    <a:blip r:embed="rId10"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7549" w:right="0" w:firstLine="0"/>
        <w:jc w:val="left"/>
        <w:rPr>
          <w:sz w:val="26"/>
        </w:rPr>
      </w:pPr>
      <w:r>
        <w:rPr/>
        <w:pict>
          <v:shape style="position:absolute;margin-left:554.141174pt;margin-top:22.593945pt;width:25.9pt;height:264.55pt;mso-position-horizontal-relative:page;mso-position-vertical-relative:paragraph;z-index:251863040" type="#_x0000_t202" filled="false" stroked="false">
            <v:textbox inset="0,0,0,0" style="layout-flow:vertical">
              <w:txbxContent>
                <w:p>
                  <w:pPr>
                    <w:spacing w:before="27"/>
                    <w:ind w:left="20" w:right="0" w:firstLine="0"/>
                    <w:jc w:val="left"/>
                    <w:rPr>
                      <w:sz w:val="39"/>
                    </w:rPr>
                  </w:pPr>
                  <w:r>
                    <w:rPr>
                      <w:color w:val="FFFFFF"/>
                      <w:w w:val="120"/>
                      <w:sz w:val="39"/>
                    </w:rPr>
                    <w:t>Synod moderators’ report</w:t>
                  </w:r>
                </w:p>
              </w:txbxContent>
            </v:textbox>
            <w10:wrap type="none"/>
          </v:shape>
        </w:pict>
      </w:r>
      <w:r>
        <w:rPr>
          <w:color w:val="7EAABF"/>
          <w:w w:val="115"/>
          <w:sz w:val="26"/>
        </w:rPr>
        <w:t>Synod Moderators report</w:t>
      </w:r>
    </w:p>
    <w:p>
      <w:pPr>
        <w:pStyle w:val="ListParagraph"/>
        <w:numPr>
          <w:ilvl w:val="0"/>
          <w:numId w:val="42"/>
        </w:numPr>
        <w:tabs>
          <w:tab w:pos="2664" w:val="left" w:leader="none"/>
          <w:tab w:pos="2665" w:val="left" w:leader="none"/>
        </w:tabs>
        <w:spacing w:line="235" w:lineRule="auto" w:before="222" w:after="0"/>
        <w:ind w:left="1984" w:right="1269" w:firstLine="0"/>
        <w:jc w:val="left"/>
        <w:rPr>
          <w:sz w:val="20"/>
        </w:rPr>
      </w:pPr>
      <w:r>
        <w:rPr>
          <w:w w:val="120"/>
          <w:sz w:val="20"/>
        </w:rPr>
        <w:t>Imagery, so long regarded with suspicion in our tradition, has been rediscovered as an important vehicle for celebrating those values and truths which are at the heart of our faith. There is a flowering of liturgical innovation which has been resourced by local writers and </w:t>
      </w:r>
      <w:r>
        <w:rPr>
          <w:spacing w:val="2"/>
          <w:w w:val="120"/>
          <w:sz w:val="20"/>
        </w:rPr>
        <w:t>artists </w:t>
      </w:r>
      <w:r>
        <w:rPr>
          <w:w w:val="120"/>
          <w:sz w:val="20"/>
        </w:rPr>
        <w:t>as well as the more established hymn writers and liturgists to whom we turn and who grace our Church with their</w:t>
      </w:r>
      <w:r>
        <w:rPr>
          <w:spacing w:val="23"/>
          <w:w w:val="120"/>
          <w:sz w:val="20"/>
        </w:rPr>
        <w:t> </w:t>
      </w:r>
      <w:r>
        <w:rPr>
          <w:w w:val="120"/>
          <w:sz w:val="20"/>
        </w:rPr>
        <w:t>creativity.</w:t>
      </w:r>
    </w:p>
    <w:p>
      <w:pPr>
        <w:pStyle w:val="BodyText"/>
        <w:spacing w:before="11"/>
        <w:rPr>
          <w:sz w:val="19"/>
        </w:rPr>
      </w:pPr>
    </w:p>
    <w:p>
      <w:pPr>
        <w:pStyle w:val="ListParagraph"/>
        <w:numPr>
          <w:ilvl w:val="0"/>
          <w:numId w:val="42"/>
        </w:numPr>
        <w:tabs>
          <w:tab w:pos="2664" w:val="left" w:leader="none"/>
          <w:tab w:pos="2665" w:val="left" w:leader="none"/>
        </w:tabs>
        <w:spacing w:line="235" w:lineRule="auto" w:before="0" w:after="0"/>
        <w:ind w:left="1984" w:right="1843" w:firstLine="0"/>
        <w:jc w:val="left"/>
        <w:rPr>
          <w:sz w:val="20"/>
        </w:rPr>
      </w:pPr>
      <w:r>
        <w:rPr>
          <w:w w:val="120"/>
          <w:sz w:val="20"/>
        </w:rPr>
        <w:t>Hospitality has become a rediscovered virtue for our congregations. Some of our synods are continuing with strategies to assist the churches to welcome</w:t>
      </w:r>
      <w:r>
        <w:rPr>
          <w:spacing w:val="24"/>
          <w:w w:val="120"/>
          <w:sz w:val="20"/>
        </w:rPr>
        <w:t> </w:t>
      </w:r>
      <w:r>
        <w:rPr>
          <w:w w:val="120"/>
          <w:sz w:val="20"/>
        </w:rPr>
        <w:t>the</w:t>
      </w:r>
    </w:p>
    <w:p>
      <w:pPr>
        <w:pStyle w:val="BodyText"/>
        <w:spacing w:line="235" w:lineRule="auto" w:before="2"/>
        <w:ind w:left="1984" w:right="1301"/>
      </w:pPr>
      <w:r>
        <w:rPr>
          <w:w w:val="120"/>
        </w:rPr>
        <w:t>stranger. Back to Church </w:t>
      </w:r>
      <w:r>
        <w:rPr>
          <w:spacing w:val="-3"/>
          <w:w w:val="120"/>
        </w:rPr>
        <w:t>Sunday, </w:t>
      </w:r>
      <w:r>
        <w:rPr>
          <w:w w:val="120"/>
        </w:rPr>
        <w:t>the child friendly church initiative, the use of process evangelism tools such as Alpha, Christianity Explored, Emmaus and Essence are all ways in which local churches attempt to meet people’s questions about faith and put fewer cultural barriers to</w:t>
      </w:r>
      <w:r>
        <w:rPr>
          <w:spacing w:val="7"/>
          <w:w w:val="120"/>
        </w:rPr>
        <w:t> </w:t>
      </w:r>
      <w:r>
        <w:rPr>
          <w:w w:val="120"/>
        </w:rPr>
        <w:t>belonging.</w:t>
      </w:r>
    </w:p>
    <w:p>
      <w:pPr>
        <w:pStyle w:val="BodyText"/>
        <w:spacing w:before="11"/>
        <w:rPr>
          <w:sz w:val="19"/>
        </w:rPr>
      </w:pPr>
    </w:p>
    <w:p>
      <w:pPr>
        <w:pStyle w:val="ListParagraph"/>
        <w:numPr>
          <w:ilvl w:val="0"/>
          <w:numId w:val="42"/>
        </w:numPr>
        <w:tabs>
          <w:tab w:pos="2664" w:val="left" w:leader="none"/>
          <w:tab w:pos="2665" w:val="left" w:leader="none"/>
        </w:tabs>
        <w:spacing w:line="235" w:lineRule="auto" w:before="0" w:after="0"/>
        <w:ind w:left="1984" w:right="1898" w:firstLine="0"/>
        <w:jc w:val="left"/>
        <w:rPr>
          <w:sz w:val="20"/>
        </w:rPr>
      </w:pPr>
      <w:r>
        <w:rPr>
          <w:w w:val="120"/>
          <w:sz w:val="20"/>
        </w:rPr>
        <w:t>Fresh Expressions of church are beginning to emerge with messy church experiments taking place. Churches often meet at different times for worship and sometimes in different</w:t>
      </w:r>
      <w:r>
        <w:rPr>
          <w:spacing w:val="5"/>
          <w:w w:val="120"/>
          <w:sz w:val="20"/>
        </w:rPr>
        <w:t> </w:t>
      </w:r>
      <w:r>
        <w:rPr>
          <w:w w:val="120"/>
          <w:sz w:val="20"/>
        </w:rPr>
        <w:t>places.</w:t>
      </w:r>
    </w:p>
    <w:p>
      <w:pPr>
        <w:pStyle w:val="BodyText"/>
        <w:spacing w:before="10"/>
        <w:rPr>
          <w:sz w:val="19"/>
        </w:rPr>
      </w:pPr>
    </w:p>
    <w:p>
      <w:pPr>
        <w:pStyle w:val="ListParagraph"/>
        <w:numPr>
          <w:ilvl w:val="0"/>
          <w:numId w:val="42"/>
        </w:numPr>
        <w:tabs>
          <w:tab w:pos="2664" w:val="left" w:leader="none"/>
          <w:tab w:pos="2665" w:val="left" w:leader="none"/>
        </w:tabs>
        <w:spacing w:line="235" w:lineRule="auto" w:before="0" w:after="0"/>
        <w:ind w:left="1984" w:right="1453" w:firstLine="0"/>
        <w:jc w:val="left"/>
        <w:rPr>
          <w:sz w:val="20"/>
        </w:rPr>
      </w:pPr>
      <w:r>
        <w:rPr>
          <w:w w:val="120"/>
          <w:sz w:val="20"/>
        </w:rPr>
        <w:t>However, welcoming people into church is only one Gospel emphasis. Another is the need to go out of our way to meet the </w:t>
      </w:r>
      <w:r>
        <w:rPr>
          <w:spacing w:val="-3"/>
          <w:w w:val="120"/>
          <w:sz w:val="20"/>
        </w:rPr>
        <w:t>other. </w:t>
      </w:r>
      <w:r>
        <w:rPr>
          <w:w w:val="120"/>
          <w:sz w:val="20"/>
        </w:rPr>
        <w:t>Woking has provided free coffee  to commuters. Heaton Uniting Church has handed out hot cross buns to passersby. Many churches are expressing faith by involvement in foodbanks, recycling projects, credit unions and street pastors</w:t>
      </w:r>
      <w:r>
        <w:rPr>
          <w:spacing w:val="9"/>
          <w:w w:val="120"/>
          <w:sz w:val="20"/>
        </w:rPr>
        <w:t> </w:t>
      </w:r>
      <w:r>
        <w:rPr>
          <w:w w:val="120"/>
          <w:sz w:val="20"/>
        </w:rPr>
        <w:t>schemes.</w:t>
      </w:r>
    </w:p>
    <w:p>
      <w:pPr>
        <w:pStyle w:val="BodyText"/>
        <w:rPr>
          <w:sz w:val="24"/>
        </w:rPr>
      </w:pPr>
    </w:p>
    <w:p>
      <w:pPr>
        <w:pStyle w:val="Heading4"/>
        <w:spacing w:before="163"/>
        <w:ind w:left="1984" w:firstLine="0"/>
      </w:pPr>
      <w:r>
        <w:rPr>
          <w:w w:val="110"/>
        </w:rPr>
        <w:t>Growing Together?</w:t>
      </w:r>
    </w:p>
    <w:p>
      <w:pPr>
        <w:pStyle w:val="Heading7"/>
        <w:spacing w:line="230" w:lineRule="auto" w:before="262"/>
        <w:ind w:left="2065" w:firstLine="3"/>
        <w:jc w:val="both"/>
      </w:pPr>
      <w:r>
        <w:rPr>
          <w:w w:val="115"/>
        </w:rPr>
        <w:t>It</w:t>
      </w:r>
      <w:r>
        <w:rPr>
          <w:spacing w:val="-18"/>
          <w:w w:val="115"/>
        </w:rPr>
        <w:t> </w:t>
      </w:r>
      <w:r>
        <w:rPr>
          <w:w w:val="115"/>
        </w:rPr>
        <w:t>is</w:t>
      </w:r>
      <w:r>
        <w:rPr>
          <w:spacing w:val="-18"/>
          <w:w w:val="115"/>
        </w:rPr>
        <w:t> </w:t>
      </w:r>
      <w:r>
        <w:rPr>
          <w:w w:val="115"/>
        </w:rPr>
        <w:t>a</w:t>
      </w:r>
      <w:r>
        <w:rPr>
          <w:spacing w:val="-17"/>
          <w:w w:val="115"/>
        </w:rPr>
        <w:t> </w:t>
      </w:r>
      <w:r>
        <w:rPr>
          <w:w w:val="115"/>
        </w:rPr>
        <w:t>great</w:t>
      </w:r>
      <w:r>
        <w:rPr>
          <w:spacing w:val="-18"/>
          <w:w w:val="115"/>
        </w:rPr>
        <w:t> </w:t>
      </w:r>
      <w:r>
        <w:rPr>
          <w:w w:val="115"/>
        </w:rPr>
        <w:t>and</w:t>
      </w:r>
      <w:r>
        <w:rPr>
          <w:spacing w:val="-18"/>
          <w:w w:val="115"/>
        </w:rPr>
        <w:t> </w:t>
      </w:r>
      <w:r>
        <w:rPr>
          <w:w w:val="115"/>
        </w:rPr>
        <w:t>common</w:t>
      </w:r>
      <w:r>
        <w:rPr>
          <w:spacing w:val="-17"/>
          <w:w w:val="115"/>
        </w:rPr>
        <w:t> </w:t>
      </w:r>
      <w:r>
        <w:rPr>
          <w:w w:val="115"/>
        </w:rPr>
        <w:t>sin</w:t>
      </w:r>
      <w:r>
        <w:rPr>
          <w:spacing w:val="-18"/>
          <w:w w:val="115"/>
        </w:rPr>
        <w:t> </w:t>
      </w:r>
      <w:r>
        <w:rPr>
          <w:w w:val="115"/>
        </w:rPr>
        <w:t>throughout</w:t>
      </w:r>
      <w:r>
        <w:rPr>
          <w:spacing w:val="-17"/>
          <w:w w:val="115"/>
        </w:rPr>
        <w:t> </w:t>
      </w:r>
      <w:r>
        <w:rPr>
          <w:w w:val="115"/>
        </w:rPr>
        <w:t>the</w:t>
      </w:r>
      <w:r>
        <w:rPr>
          <w:spacing w:val="-18"/>
          <w:w w:val="115"/>
        </w:rPr>
        <w:t> </w:t>
      </w:r>
      <w:r>
        <w:rPr>
          <w:w w:val="115"/>
        </w:rPr>
        <w:t>Christian</w:t>
      </w:r>
      <w:r>
        <w:rPr>
          <w:spacing w:val="-18"/>
          <w:w w:val="115"/>
        </w:rPr>
        <w:t> </w:t>
      </w:r>
      <w:r>
        <w:rPr>
          <w:w w:val="115"/>
        </w:rPr>
        <w:t>world</w:t>
      </w:r>
      <w:r>
        <w:rPr>
          <w:spacing w:val="-17"/>
          <w:w w:val="115"/>
        </w:rPr>
        <w:t> </w:t>
      </w:r>
      <w:r>
        <w:rPr>
          <w:spacing w:val="-3"/>
          <w:w w:val="115"/>
        </w:rPr>
        <w:t>to</w:t>
      </w:r>
      <w:r>
        <w:rPr>
          <w:spacing w:val="-18"/>
          <w:w w:val="115"/>
        </w:rPr>
        <w:t> </w:t>
      </w:r>
      <w:r>
        <w:rPr>
          <w:w w:val="115"/>
        </w:rPr>
        <w:t>take up</w:t>
      </w:r>
      <w:r>
        <w:rPr>
          <w:spacing w:val="-15"/>
          <w:w w:val="115"/>
        </w:rPr>
        <w:t> </w:t>
      </w:r>
      <w:r>
        <w:rPr>
          <w:w w:val="115"/>
        </w:rPr>
        <w:t>religion</w:t>
      </w:r>
      <w:r>
        <w:rPr>
          <w:spacing w:val="-15"/>
          <w:w w:val="115"/>
        </w:rPr>
        <w:t> </w:t>
      </w:r>
      <w:r>
        <w:rPr>
          <w:w w:val="115"/>
        </w:rPr>
        <w:t>in</w:t>
      </w:r>
      <w:r>
        <w:rPr>
          <w:spacing w:val="-15"/>
          <w:w w:val="115"/>
        </w:rPr>
        <w:t> </w:t>
      </w:r>
      <w:r>
        <w:rPr>
          <w:w w:val="115"/>
        </w:rPr>
        <w:t>a</w:t>
      </w:r>
      <w:r>
        <w:rPr>
          <w:spacing w:val="-15"/>
          <w:w w:val="115"/>
        </w:rPr>
        <w:t> </w:t>
      </w:r>
      <w:r>
        <w:rPr>
          <w:spacing w:val="-3"/>
          <w:w w:val="115"/>
        </w:rPr>
        <w:t>way</w:t>
      </w:r>
      <w:r>
        <w:rPr>
          <w:spacing w:val="-14"/>
          <w:w w:val="115"/>
        </w:rPr>
        <w:t> </w:t>
      </w:r>
      <w:r>
        <w:rPr>
          <w:w w:val="115"/>
        </w:rPr>
        <w:t>of</w:t>
      </w:r>
      <w:r>
        <w:rPr>
          <w:spacing w:val="-15"/>
          <w:w w:val="115"/>
        </w:rPr>
        <w:t> </w:t>
      </w:r>
      <w:r>
        <w:rPr>
          <w:w w:val="115"/>
        </w:rPr>
        <w:t>faction;</w:t>
      </w:r>
      <w:r>
        <w:rPr>
          <w:spacing w:val="-15"/>
          <w:w w:val="115"/>
        </w:rPr>
        <w:t> </w:t>
      </w:r>
      <w:r>
        <w:rPr>
          <w:w w:val="115"/>
        </w:rPr>
        <w:t>and</w:t>
      </w:r>
      <w:r>
        <w:rPr>
          <w:spacing w:val="-15"/>
          <w:w w:val="115"/>
        </w:rPr>
        <w:t> </w:t>
      </w:r>
      <w:r>
        <w:rPr>
          <w:w w:val="115"/>
        </w:rPr>
        <w:t>instead</w:t>
      </w:r>
      <w:r>
        <w:rPr>
          <w:spacing w:val="-14"/>
          <w:w w:val="115"/>
        </w:rPr>
        <w:t> </w:t>
      </w:r>
      <w:r>
        <w:rPr>
          <w:w w:val="115"/>
        </w:rPr>
        <w:t>of</w:t>
      </w:r>
      <w:r>
        <w:rPr>
          <w:spacing w:val="-15"/>
          <w:w w:val="115"/>
        </w:rPr>
        <w:t> </w:t>
      </w:r>
      <w:r>
        <w:rPr>
          <w:w w:val="115"/>
        </w:rPr>
        <w:t>a</w:t>
      </w:r>
      <w:r>
        <w:rPr>
          <w:spacing w:val="-15"/>
          <w:w w:val="115"/>
        </w:rPr>
        <w:t> </w:t>
      </w:r>
      <w:r>
        <w:rPr>
          <w:spacing w:val="-3"/>
          <w:w w:val="115"/>
        </w:rPr>
        <w:t>love</w:t>
      </w:r>
      <w:r>
        <w:rPr>
          <w:spacing w:val="-15"/>
          <w:w w:val="115"/>
        </w:rPr>
        <w:t> </w:t>
      </w:r>
      <w:r>
        <w:rPr>
          <w:w w:val="115"/>
        </w:rPr>
        <w:t>and</w:t>
      </w:r>
      <w:r>
        <w:rPr>
          <w:spacing w:val="-14"/>
          <w:w w:val="115"/>
        </w:rPr>
        <w:t> </w:t>
      </w:r>
      <w:r>
        <w:rPr>
          <w:w w:val="115"/>
        </w:rPr>
        <w:t>tender</w:t>
      </w:r>
      <w:r>
        <w:rPr>
          <w:spacing w:val="-15"/>
          <w:w w:val="115"/>
        </w:rPr>
        <w:t> </w:t>
      </w:r>
      <w:r>
        <w:rPr>
          <w:w w:val="115"/>
        </w:rPr>
        <w:t>care of</w:t>
      </w:r>
      <w:r>
        <w:rPr>
          <w:spacing w:val="-14"/>
          <w:w w:val="115"/>
        </w:rPr>
        <w:t> </w:t>
      </w:r>
      <w:r>
        <w:rPr>
          <w:w w:val="115"/>
        </w:rPr>
        <w:t>the</w:t>
      </w:r>
      <w:r>
        <w:rPr>
          <w:spacing w:val="-14"/>
          <w:w w:val="115"/>
        </w:rPr>
        <w:t> </w:t>
      </w:r>
      <w:r>
        <w:rPr>
          <w:w w:val="115"/>
        </w:rPr>
        <w:t>universal</w:t>
      </w:r>
      <w:r>
        <w:rPr>
          <w:spacing w:val="-13"/>
          <w:w w:val="115"/>
        </w:rPr>
        <w:t> </w:t>
      </w:r>
      <w:r>
        <w:rPr>
          <w:w w:val="115"/>
        </w:rPr>
        <w:t>Church</w:t>
      </w:r>
      <w:r>
        <w:rPr>
          <w:spacing w:val="-14"/>
          <w:w w:val="115"/>
        </w:rPr>
        <w:t> </w:t>
      </w:r>
      <w:r>
        <w:rPr>
          <w:spacing w:val="-3"/>
          <w:w w:val="115"/>
        </w:rPr>
        <w:t>to</w:t>
      </w:r>
      <w:r>
        <w:rPr>
          <w:spacing w:val="-14"/>
          <w:w w:val="115"/>
        </w:rPr>
        <w:t> </w:t>
      </w:r>
      <w:r>
        <w:rPr>
          <w:w w:val="115"/>
        </w:rPr>
        <w:t>confine</w:t>
      </w:r>
      <w:r>
        <w:rPr>
          <w:spacing w:val="-13"/>
          <w:w w:val="115"/>
        </w:rPr>
        <w:t> </w:t>
      </w:r>
      <w:r>
        <w:rPr>
          <w:w w:val="115"/>
        </w:rPr>
        <w:t>that</w:t>
      </w:r>
      <w:r>
        <w:rPr>
          <w:spacing w:val="-14"/>
          <w:w w:val="115"/>
        </w:rPr>
        <w:t> </w:t>
      </w:r>
      <w:r>
        <w:rPr>
          <w:spacing w:val="-3"/>
          <w:w w:val="115"/>
        </w:rPr>
        <w:t>love</w:t>
      </w:r>
      <w:r>
        <w:rPr>
          <w:spacing w:val="-14"/>
          <w:w w:val="115"/>
        </w:rPr>
        <w:t> </w:t>
      </w:r>
      <w:r>
        <w:rPr>
          <w:w w:val="115"/>
        </w:rPr>
        <w:t>and</w:t>
      </w:r>
      <w:r>
        <w:rPr>
          <w:spacing w:val="-13"/>
          <w:w w:val="115"/>
        </w:rPr>
        <w:t> </w:t>
      </w:r>
      <w:r>
        <w:rPr>
          <w:w w:val="115"/>
        </w:rPr>
        <w:t>respect</w:t>
      </w:r>
      <w:r>
        <w:rPr>
          <w:spacing w:val="-14"/>
          <w:w w:val="115"/>
        </w:rPr>
        <w:t> </w:t>
      </w:r>
      <w:r>
        <w:rPr>
          <w:spacing w:val="-3"/>
          <w:w w:val="115"/>
        </w:rPr>
        <w:t>to</w:t>
      </w:r>
      <w:r>
        <w:rPr>
          <w:spacing w:val="-14"/>
          <w:w w:val="115"/>
        </w:rPr>
        <w:t> </w:t>
      </w:r>
      <w:r>
        <w:rPr>
          <w:w w:val="115"/>
        </w:rPr>
        <w:t>a</w:t>
      </w:r>
      <w:r>
        <w:rPr>
          <w:spacing w:val="-13"/>
          <w:w w:val="115"/>
        </w:rPr>
        <w:t> </w:t>
      </w:r>
      <w:r>
        <w:rPr>
          <w:w w:val="115"/>
        </w:rPr>
        <w:t>party.</w:t>
      </w:r>
    </w:p>
    <w:p>
      <w:pPr>
        <w:spacing w:before="91"/>
        <w:ind w:left="4547" w:right="0" w:firstLine="0"/>
        <w:jc w:val="left"/>
        <w:rPr>
          <w:i/>
          <w:sz w:val="20"/>
        </w:rPr>
      </w:pPr>
      <w:r>
        <w:rPr>
          <w:w w:val="115"/>
          <w:sz w:val="20"/>
        </w:rPr>
        <w:t>Richard Baxter – </w:t>
      </w:r>
      <w:r>
        <w:rPr>
          <w:i/>
          <w:w w:val="115"/>
          <w:sz w:val="20"/>
        </w:rPr>
        <w:t>The Reformed Pastor</w:t>
      </w:r>
    </w:p>
    <w:p>
      <w:pPr>
        <w:pStyle w:val="BodyText"/>
        <w:spacing w:before="8"/>
        <w:rPr>
          <w:i/>
          <w:sz w:val="19"/>
        </w:rPr>
      </w:pPr>
    </w:p>
    <w:p>
      <w:pPr>
        <w:pStyle w:val="ListParagraph"/>
        <w:numPr>
          <w:ilvl w:val="0"/>
          <w:numId w:val="42"/>
        </w:numPr>
        <w:tabs>
          <w:tab w:pos="2664" w:val="left" w:leader="none"/>
          <w:tab w:pos="2665" w:val="left" w:leader="none"/>
        </w:tabs>
        <w:spacing w:line="235" w:lineRule="auto" w:before="0" w:after="0"/>
        <w:ind w:left="1984" w:right="1410" w:firstLine="0"/>
        <w:jc w:val="left"/>
        <w:rPr>
          <w:sz w:val="20"/>
        </w:rPr>
      </w:pPr>
      <w:r>
        <w:rPr>
          <w:w w:val="120"/>
          <w:sz w:val="20"/>
        </w:rPr>
        <w:t>Perhaps it is in our relationships with other Christian denominations that we are most aware of needing fresh inspiration. Marked as we are by a passion to realise the unity for which Christ prayed, other </w:t>
      </w:r>
      <w:r>
        <w:rPr>
          <w:spacing w:val="2"/>
          <w:w w:val="120"/>
          <w:sz w:val="20"/>
        </w:rPr>
        <w:t>parts </w:t>
      </w:r>
      <w:r>
        <w:rPr>
          <w:w w:val="120"/>
          <w:sz w:val="20"/>
        </w:rPr>
        <w:t>of the Christian Church sometimes appear ambivalent at best to the kind of ecumenism which brought our constituent traditions into</w:t>
      </w:r>
      <w:r>
        <w:rPr>
          <w:spacing w:val="1"/>
          <w:w w:val="120"/>
          <w:sz w:val="20"/>
        </w:rPr>
        <w:t> </w:t>
      </w:r>
      <w:r>
        <w:rPr>
          <w:w w:val="120"/>
          <w:sz w:val="20"/>
        </w:rPr>
        <w:t>unity.</w:t>
      </w:r>
    </w:p>
    <w:p>
      <w:pPr>
        <w:pStyle w:val="BodyText"/>
        <w:spacing w:before="12"/>
        <w:rPr>
          <w:sz w:val="19"/>
        </w:rPr>
      </w:pPr>
    </w:p>
    <w:p>
      <w:pPr>
        <w:pStyle w:val="ListParagraph"/>
        <w:numPr>
          <w:ilvl w:val="0"/>
          <w:numId w:val="42"/>
        </w:numPr>
        <w:tabs>
          <w:tab w:pos="2664" w:val="left" w:leader="none"/>
          <w:tab w:pos="2665" w:val="left" w:leader="none"/>
        </w:tabs>
        <w:spacing w:line="235" w:lineRule="auto" w:before="0" w:after="0"/>
        <w:ind w:left="1984" w:right="1352" w:firstLine="0"/>
        <w:jc w:val="left"/>
        <w:rPr>
          <w:sz w:val="20"/>
        </w:rPr>
      </w:pPr>
      <w:r>
        <w:rPr>
          <w:w w:val="120"/>
          <w:sz w:val="20"/>
        </w:rPr>
        <w:t>Much is made </w:t>
      </w:r>
      <w:r>
        <w:rPr>
          <w:spacing w:val="-3"/>
          <w:w w:val="120"/>
          <w:sz w:val="20"/>
        </w:rPr>
        <w:t>today </w:t>
      </w:r>
      <w:r>
        <w:rPr>
          <w:w w:val="120"/>
          <w:sz w:val="20"/>
        </w:rPr>
        <w:t>of </w:t>
      </w:r>
      <w:r>
        <w:rPr>
          <w:spacing w:val="-3"/>
          <w:w w:val="120"/>
          <w:sz w:val="20"/>
        </w:rPr>
        <w:t>‘lightweight </w:t>
      </w:r>
      <w:r>
        <w:rPr>
          <w:w w:val="120"/>
          <w:sz w:val="20"/>
        </w:rPr>
        <w:t>structures’ for </w:t>
      </w:r>
      <w:r>
        <w:rPr>
          <w:spacing w:val="-3"/>
          <w:w w:val="120"/>
          <w:sz w:val="20"/>
        </w:rPr>
        <w:t>missional ecumenism. </w:t>
      </w:r>
      <w:r>
        <w:rPr>
          <w:w w:val="120"/>
          <w:sz w:val="20"/>
        </w:rPr>
        <w:t>As moderators we are often </w:t>
      </w:r>
      <w:r>
        <w:rPr>
          <w:spacing w:val="-3"/>
          <w:w w:val="120"/>
          <w:sz w:val="20"/>
        </w:rPr>
        <w:t>involved </w:t>
      </w:r>
      <w:r>
        <w:rPr>
          <w:w w:val="120"/>
          <w:sz w:val="20"/>
        </w:rPr>
        <w:t>in speaking </w:t>
      </w:r>
      <w:r>
        <w:rPr>
          <w:spacing w:val="-3"/>
          <w:w w:val="120"/>
          <w:sz w:val="20"/>
        </w:rPr>
        <w:t>to </w:t>
      </w:r>
      <w:r>
        <w:rPr>
          <w:w w:val="120"/>
          <w:sz w:val="20"/>
        </w:rPr>
        <w:t>other </w:t>
      </w:r>
      <w:r>
        <w:rPr>
          <w:spacing w:val="-3"/>
          <w:w w:val="120"/>
          <w:sz w:val="20"/>
        </w:rPr>
        <w:t>Church </w:t>
      </w:r>
      <w:r>
        <w:rPr>
          <w:w w:val="120"/>
          <w:sz w:val="20"/>
        </w:rPr>
        <w:t>leaders. It is clear from </w:t>
      </w:r>
      <w:r>
        <w:rPr>
          <w:spacing w:val="-3"/>
          <w:w w:val="120"/>
          <w:sz w:val="20"/>
        </w:rPr>
        <w:t>those conversations </w:t>
      </w:r>
      <w:r>
        <w:rPr>
          <w:w w:val="120"/>
          <w:sz w:val="20"/>
        </w:rPr>
        <w:t>that the kind of </w:t>
      </w:r>
      <w:r>
        <w:rPr>
          <w:spacing w:val="-3"/>
          <w:w w:val="120"/>
          <w:sz w:val="20"/>
        </w:rPr>
        <w:t>missional collaboration </w:t>
      </w:r>
      <w:r>
        <w:rPr>
          <w:w w:val="120"/>
          <w:sz w:val="20"/>
        </w:rPr>
        <w:t>behind street pastors, foodbanks and Fresh Expressions is very much </w:t>
      </w:r>
      <w:r>
        <w:rPr>
          <w:spacing w:val="-3"/>
          <w:w w:val="120"/>
          <w:sz w:val="20"/>
        </w:rPr>
        <w:t>welcomed. </w:t>
      </w:r>
      <w:r>
        <w:rPr>
          <w:spacing w:val="-4"/>
          <w:w w:val="120"/>
          <w:sz w:val="20"/>
        </w:rPr>
        <w:t>However, </w:t>
      </w:r>
      <w:r>
        <w:rPr>
          <w:w w:val="120"/>
          <w:sz w:val="20"/>
        </w:rPr>
        <w:t>formal local ecumenical partnerships are </w:t>
      </w:r>
      <w:r>
        <w:rPr>
          <w:spacing w:val="-2"/>
          <w:w w:val="120"/>
          <w:sz w:val="20"/>
        </w:rPr>
        <w:t>viewed </w:t>
      </w:r>
      <w:r>
        <w:rPr>
          <w:w w:val="120"/>
          <w:sz w:val="20"/>
        </w:rPr>
        <w:t>by our partners as being much more problematic. In </w:t>
      </w:r>
      <w:r>
        <w:rPr>
          <w:spacing w:val="-3"/>
          <w:w w:val="120"/>
          <w:sz w:val="20"/>
        </w:rPr>
        <w:t>many </w:t>
      </w:r>
      <w:r>
        <w:rPr>
          <w:w w:val="120"/>
          <w:sz w:val="20"/>
        </w:rPr>
        <w:t>parts of our three </w:t>
      </w:r>
      <w:r>
        <w:rPr>
          <w:spacing w:val="-3"/>
          <w:w w:val="120"/>
          <w:sz w:val="20"/>
        </w:rPr>
        <w:t>nations, </w:t>
      </w:r>
      <w:r>
        <w:rPr>
          <w:w w:val="120"/>
          <w:sz w:val="20"/>
        </w:rPr>
        <w:t>money and people are </w:t>
      </w:r>
      <w:r>
        <w:rPr>
          <w:spacing w:val="-2"/>
          <w:w w:val="120"/>
          <w:sz w:val="20"/>
        </w:rPr>
        <w:t>not </w:t>
      </w:r>
      <w:r>
        <w:rPr>
          <w:spacing w:val="-3"/>
          <w:w w:val="120"/>
          <w:sz w:val="20"/>
        </w:rPr>
        <w:t>available to </w:t>
      </w:r>
      <w:r>
        <w:rPr>
          <w:w w:val="120"/>
          <w:sz w:val="20"/>
        </w:rPr>
        <w:t>support county</w:t>
      </w:r>
      <w:r>
        <w:rPr>
          <w:spacing w:val="-9"/>
          <w:w w:val="120"/>
          <w:sz w:val="20"/>
        </w:rPr>
        <w:t> </w:t>
      </w:r>
      <w:r>
        <w:rPr>
          <w:w w:val="120"/>
          <w:sz w:val="20"/>
        </w:rPr>
        <w:t>ecumenical</w:t>
      </w:r>
      <w:r>
        <w:rPr>
          <w:spacing w:val="-9"/>
          <w:w w:val="120"/>
          <w:sz w:val="20"/>
        </w:rPr>
        <w:t> </w:t>
      </w:r>
      <w:r>
        <w:rPr>
          <w:w w:val="120"/>
          <w:sz w:val="20"/>
        </w:rPr>
        <w:t>bodies.</w:t>
      </w:r>
      <w:r>
        <w:rPr>
          <w:spacing w:val="-9"/>
          <w:w w:val="120"/>
          <w:sz w:val="20"/>
        </w:rPr>
        <w:t> </w:t>
      </w:r>
      <w:r>
        <w:rPr>
          <w:w w:val="120"/>
          <w:sz w:val="20"/>
        </w:rPr>
        <w:t>This</w:t>
      </w:r>
      <w:r>
        <w:rPr>
          <w:spacing w:val="-9"/>
          <w:w w:val="120"/>
          <w:sz w:val="20"/>
        </w:rPr>
        <w:t> </w:t>
      </w:r>
      <w:r>
        <w:rPr>
          <w:w w:val="120"/>
          <w:sz w:val="20"/>
        </w:rPr>
        <w:t>in</w:t>
      </w:r>
      <w:r>
        <w:rPr>
          <w:spacing w:val="-9"/>
          <w:w w:val="120"/>
          <w:sz w:val="20"/>
        </w:rPr>
        <w:t> </w:t>
      </w:r>
      <w:r>
        <w:rPr>
          <w:w w:val="120"/>
          <w:sz w:val="20"/>
        </w:rPr>
        <w:t>turn</w:t>
      </w:r>
      <w:r>
        <w:rPr>
          <w:spacing w:val="-9"/>
          <w:w w:val="120"/>
          <w:sz w:val="20"/>
        </w:rPr>
        <w:t> </w:t>
      </w:r>
      <w:r>
        <w:rPr>
          <w:w w:val="120"/>
          <w:sz w:val="20"/>
        </w:rPr>
        <w:t>adversely</w:t>
      </w:r>
      <w:r>
        <w:rPr>
          <w:spacing w:val="-9"/>
          <w:w w:val="120"/>
          <w:sz w:val="20"/>
        </w:rPr>
        <w:t> </w:t>
      </w:r>
      <w:r>
        <w:rPr>
          <w:w w:val="120"/>
          <w:sz w:val="20"/>
        </w:rPr>
        <w:t>affects</w:t>
      </w:r>
      <w:r>
        <w:rPr>
          <w:spacing w:val="-9"/>
          <w:w w:val="120"/>
          <w:sz w:val="20"/>
        </w:rPr>
        <w:t> </w:t>
      </w:r>
      <w:r>
        <w:rPr>
          <w:w w:val="120"/>
          <w:sz w:val="20"/>
        </w:rPr>
        <w:t>formal</w:t>
      </w:r>
      <w:r>
        <w:rPr>
          <w:spacing w:val="-8"/>
          <w:w w:val="120"/>
          <w:sz w:val="20"/>
        </w:rPr>
        <w:t> </w:t>
      </w:r>
      <w:r>
        <w:rPr>
          <w:w w:val="120"/>
          <w:sz w:val="20"/>
        </w:rPr>
        <w:t>ecumenical</w:t>
      </w:r>
      <w:r>
        <w:rPr>
          <w:spacing w:val="-9"/>
          <w:w w:val="120"/>
          <w:sz w:val="20"/>
        </w:rPr>
        <w:t> </w:t>
      </w:r>
      <w:r>
        <w:rPr>
          <w:spacing w:val="-3"/>
          <w:w w:val="120"/>
          <w:sz w:val="20"/>
        </w:rPr>
        <w:t>churches</w:t>
      </w:r>
      <w:r>
        <w:rPr>
          <w:spacing w:val="-9"/>
          <w:w w:val="120"/>
          <w:sz w:val="20"/>
        </w:rPr>
        <w:t> </w:t>
      </w:r>
      <w:r>
        <w:rPr>
          <w:w w:val="120"/>
          <w:sz w:val="20"/>
        </w:rPr>
        <w:t>and projects as the bodies which had given </w:t>
      </w:r>
      <w:r>
        <w:rPr>
          <w:spacing w:val="-3"/>
          <w:w w:val="120"/>
          <w:sz w:val="20"/>
        </w:rPr>
        <w:t>oversight to </w:t>
      </w:r>
      <w:r>
        <w:rPr>
          <w:w w:val="120"/>
          <w:sz w:val="20"/>
        </w:rPr>
        <w:t>them struggle for lack of</w:t>
      </w:r>
      <w:r>
        <w:rPr>
          <w:spacing w:val="-18"/>
          <w:w w:val="120"/>
          <w:sz w:val="20"/>
        </w:rPr>
        <w:t> </w:t>
      </w:r>
      <w:r>
        <w:rPr>
          <w:spacing w:val="-3"/>
          <w:w w:val="120"/>
          <w:sz w:val="20"/>
        </w:rPr>
        <w:t>resources.</w:t>
      </w:r>
    </w:p>
    <w:p>
      <w:pPr>
        <w:pStyle w:val="BodyText"/>
        <w:spacing w:before="1"/>
      </w:pPr>
    </w:p>
    <w:p>
      <w:pPr>
        <w:pStyle w:val="ListParagraph"/>
        <w:numPr>
          <w:ilvl w:val="0"/>
          <w:numId w:val="42"/>
        </w:numPr>
        <w:tabs>
          <w:tab w:pos="2664" w:val="left" w:leader="none"/>
          <w:tab w:pos="2665" w:val="left" w:leader="none"/>
        </w:tabs>
        <w:spacing w:line="235" w:lineRule="auto" w:before="1" w:after="0"/>
        <w:ind w:left="1984" w:right="1620" w:firstLine="0"/>
        <w:jc w:val="left"/>
        <w:rPr>
          <w:sz w:val="20"/>
        </w:rPr>
      </w:pPr>
      <w:r>
        <w:rPr>
          <w:w w:val="120"/>
          <w:sz w:val="20"/>
        </w:rPr>
        <w:t>A particular question arising out of the general point above concerns our future relationships with the Methodist Church. There has been, at the urging of</w:t>
      </w:r>
      <w:r>
        <w:rPr>
          <w:spacing w:val="49"/>
          <w:w w:val="120"/>
          <w:sz w:val="20"/>
        </w:rPr>
        <w:t> </w:t>
      </w:r>
      <w:r>
        <w:rPr>
          <w:w w:val="120"/>
          <w:sz w:val="20"/>
        </w:rPr>
        <w:t>the</w:t>
      </w:r>
    </w:p>
    <w:p>
      <w:pPr>
        <w:pStyle w:val="BodyText"/>
        <w:spacing w:line="235" w:lineRule="auto" w:before="1"/>
        <w:ind w:left="1984" w:right="1352"/>
      </w:pPr>
      <w:r>
        <w:rPr>
          <w:w w:val="120"/>
        </w:rPr>
        <w:t>Methodist Conference and our General Assembly a number of joint meetings between Mission Council and Methodist Council, between moderators and chairs of district.</w:t>
      </w:r>
    </w:p>
    <w:p>
      <w:pPr>
        <w:pStyle w:val="BodyText"/>
        <w:spacing w:line="235" w:lineRule="auto" w:before="2"/>
        <w:ind w:left="1984" w:right="1352"/>
      </w:pPr>
      <w:r>
        <w:rPr>
          <w:w w:val="120"/>
        </w:rPr>
        <w:t>Many warm sentiments have been expressed. Yet we are left wondering, where is this leading? Perhaps our two Churches are simply wanting us Church leaders to encourage local exploration of what further closer working might involve.</w:t>
      </w:r>
    </w:p>
    <w:p>
      <w:pPr>
        <w:pStyle w:val="BodyText"/>
        <w:spacing w:before="10"/>
        <w:rPr>
          <w:sz w:val="19"/>
        </w:rPr>
      </w:pPr>
    </w:p>
    <w:p>
      <w:pPr>
        <w:pStyle w:val="ListParagraph"/>
        <w:numPr>
          <w:ilvl w:val="0"/>
          <w:numId w:val="42"/>
        </w:numPr>
        <w:tabs>
          <w:tab w:pos="2664" w:val="left" w:leader="none"/>
          <w:tab w:pos="2665" w:val="left" w:leader="none"/>
        </w:tabs>
        <w:spacing w:line="235" w:lineRule="auto" w:before="0" w:after="0"/>
        <w:ind w:left="1984" w:right="1254" w:firstLine="0"/>
        <w:jc w:val="left"/>
        <w:rPr>
          <w:sz w:val="20"/>
        </w:rPr>
      </w:pPr>
      <w:r>
        <w:rPr>
          <w:w w:val="120"/>
          <w:sz w:val="20"/>
        </w:rPr>
        <w:t>Just at the point when we might be losing hope in a chain reaction in ecumenical development, the Churches of Cumbria have committed to “growing together in ministry, mission and buildings”. Following the lead of Cumbria, Churches Together in Cornwall have also covenanted to work more closely together. We await the fruits of these ecumenical pilgrimages with hope. </w:t>
      </w:r>
      <w:r>
        <w:rPr>
          <w:spacing w:val="-7"/>
          <w:w w:val="120"/>
          <w:sz w:val="20"/>
        </w:rPr>
        <w:t>To </w:t>
      </w:r>
      <w:r>
        <w:rPr>
          <w:w w:val="120"/>
          <w:sz w:val="20"/>
        </w:rPr>
        <w:t>recognise each other’s ministries, to</w:t>
      </w:r>
      <w:r>
        <w:rPr>
          <w:spacing w:val="7"/>
          <w:w w:val="120"/>
          <w:sz w:val="20"/>
        </w:rPr>
        <w:t> </w:t>
      </w:r>
      <w:r>
        <w:rPr>
          <w:w w:val="120"/>
          <w:sz w:val="20"/>
        </w:rPr>
        <w:t>share</w:t>
      </w:r>
    </w:p>
    <w:p>
      <w:pPr>
        <w:spacing w:after="0" w:line="235" w:lineRule="auto"/>
        <w:jc w:val="left"/>
        <w:rPr>
          <w:sz w:val="20"/>
        </w:rPr>
        <w:sectPr>
          <w:headerReference w:type="default" r:id="rId165"/>
          <w:footerReference w:type="default" r:id="rId166"/>
          <w:footerReference w:type="even" r:id="rId167"/>
          <w:pgSz w:w="11910" w:h="16840"/>
          <w:pgMar w:header="0" w:footer="647" w:top="0" w:bottom="840" w:left="0" w:right="0"/>
          <w:pgNumType w:start="71"/>
        </w:sectPr>
      </w:pPr>
    </w:p>
    <w:p>
      <w:pPr>
        <w:pStyle w:val="BodyText"/>
      </w:pPr>
      <w:r>
        <w:rPr/>
        <w:drawing>
          <wp:anchor distT="0" distB="0" distL="0" distR="0" allowOverlap="1" layoutInCell="1" locked="0" behindDoc="0" simplePos="0" relativeHeight="251864064">
            <wp:simplePos x="0" y="0"/>
            <wp:positionH relativeFrom="page">
              <wp:posOffset>0</wp:posOffset>
            </wp:positionH>
            <wp:positionV relativeFrom="page">
              <wp:posOffset>0</wp:posOffset>
            </wp:positionV>
            <wp:extent cx="594067" cy="10692003"/>
            <wp:effectExtent l="0" t="0" r="0" b="0"/>
            <wp:wrapNone/>
            <wp:docPr id="133" name="image24.png"/>
            <wp:cNvGraphicFramePr>
              <a:graphicFrameLocks noChangeAspect="1"/>
            </wp:cNvGraphicFramePr>
            <a:graphic>
              <a:graphicData uri="http://schemas.openxmlformats.org/drawingml/2006/picture">
                <pic:pic>
                  <pic:nvPicPr>
                    <pic:cNvPr id="134" name="image24.png"/>
                    <pic:cNvPicPr/>
                  </pic:nvPicPr>
                  <pic:blipFill>
                    <a:blip r:embed="rId90"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spacing w:before="106"/>
        <w:ind w:left="1247" w:right="0" w:firstLine="0"/>
        <w:jc w:val="left"/>
        <w:rPr>
          <w:sz w:val="26"/>
        </w:rPr>
      </w:pPr>
      <w:r>
        <w:rPr/>
        <w:pict>
          <v:shape style="position:absolute;margin-left:20.519100pt;margin-top:22.593945pt;width:25.9pt;height:264.55pt;mso-position-horizontal-relative:page;mso-position-vertical-relative:paragraph;z-index:251865088" type="#_x0000_t202" filled="false" stroked="false">
            <v:textbox inset="0,0,0,0" style="layout-flow:vertical">
              <w:txbxContent>
                <w:p>
                  <w:pPr>
                    <w:spacing w:before="27"/>
                    <w:ind w:left="20" w:right="0" w:firstLine="0"/>
                    <w:jc w:val="left"/>
                    <w:rPr>
                      <w:sz w:val="39"/>
                    </w:rPr>
                  </w:pPr>
                  <w:r>
                    <w:rPr>
                      <w:color w:val="FFFFFF"/>
                      <w:w w:val="120"/>
                      <w:sz w:val="39"/>
                    </w:rPr>
                    <w:t>Synod moderators’ report</w:t>
                  </w:r>
                </w:p>
              </w:txbxContent>
            </v:textbox>
            <w10:wrap type="none"/>
          </v:shape>
        </w:pict>
      </w:r>
      <w:r>
        <w:rPr>
          <w:color w:val="7EAABF"/>
          <w:w w:val="115"/>
          <w:sz w:val="26"/>
        </w:rPr>
        <w:t>Synod Moderators report</w:t>
      </w:r>
    </w:p>
    <w:p>
      <w:pPr>
        <w:pStyle w:val="BodyText"/>
        <w:spacing w:line="235" w:lineRule="auto" w:before="222"/>
        <w:ind w:left="1247" w:right="2030"/>
      </w:pPr>
      <w:r>
        <w:rPr>
          <w:w w:val="120"/>
        </w:rPr>
        <w:t>fewer buildings, and to join together in our missionary task in villages and towns can keep Christian ministry local at a time when denominational deployment strategies join more and more churches together under single ministers who spend an increased time in their car rather than in pastoral encounters.</w:t>
      </w:r>
    </w:p>
    <w:p>
      <w:pPr>
        <w:pStyle w:val="BodyText"/>
        <w:spacing w:before="9"/>
        <w:rPr>
          <w:sz w:val="21"/>
        </w:rPr>
      </w:pPr>
    </w:p>
    <w:p>
      <w:pPr>
        <w:pStyle w:val="Heading7"/>
        <w:spacing w:line="230" w:lineRule="auto"/>
        <w:ind w:right="2058"/>
        <w:rPr>
          <w:sz w:val="14"/>
        </w:rPr>
      </w:pPr>
      <w:r>
        <w:rPr>
          <w:w w:val="115"/>
        </w:rPr>
        <w:t>So as you change – or as change is imposed on you – keep your historic</w:t>
      </w:r>
      <w:r>
        <w:rPr>
          <w:spacing w:val="-23"/>
          <w:w w:val="115"/>
        </w:rPr>
        <w:t> </w:t>
      </w:r>
      <w:r>
        <w:rPr>
          <w:w w:val="115"/>
        </w:rPr>
        <w:t>identity</w:t>
      </w:r>
      <w:r>
        <w:rPr>
          <w:spacing w:val="-23"/>
          <w:w w:val="115"/>
        </w:rPr>
        <w:t> </w:t>
      </w:r>
      <w:r>
        <w:rPr>
          <w:w w:val="115"/>
        </w:rPr>
        <w:t>and</w:t>
      </w:r>
      <w:r>
        <w:rPr>
          <w:spacing w:val="-22"/>
          <w:w w:val="115"/>
        </w:rPr>
        <w:t> </w:t>
      </w:r>
      <w:r>
        <w:rPr>
          <w:w w:val="115"/>
        </w:rPr>
        <w:t>your</w:t>
      </w:r>
      <w:r>
        <w:rPr>
          <w:spacing w:val="-23"/>
          <w:w w:val="115"/>
        </w:rPr>
        <w:t> </w:t>
      </w:r>
      <w:r>
        <w:rPr>
          <w:w w:val="115"/>
        </w:rPr>
        <w:t>ecclesial</w:t>
      </w:r>
      <w:r>
        <w:rPr>
          <w:spacing w:val="-23"/>
          <w:w w:val="115"/>
        </w:rPr>
        <w:t> </w:t>
      </w:r>
      <w:r>
        <w:rPr>
          <w:w w:val="115"/>
        </w:rPr>
        <w:t>soul.</w:t>
      </w:r>
      <w:r>
        <w:rPr>
          <w:spacing w:val="-22"/>
          <w:w w:val="115"/>
        </w:rPr>
        <w:t> </w:t>
      </w:r>
      <w:r>
        <w:rPr>
          <w:w w:val="115"/>
        </w:rPr>
        <w:t>Fight</w:t>
      </w:r>
      <w:r>
        <w:rPr>
          <w:spacing w:val="-23"/>
          <w:w w:val="115"/>
        </w:rPr>
        <w:t> </w:t>
      </w:r>
      <w:r>
        <w:rPr>
          <w:w w:val="115"/>
        </w:rPr>
        <w:t>the</w:t>
      </w:r>
      <w:r>
        <w:rPr>
          <w:spacing w:val="-22"/>
          <w:w w:val="115"/>
        </w:rPr>
        <w:t> </w:t>
      </w:r>
      <w:r>
        <w:rPr>
          <w:w w:val="115"/>
        </w:rPr>
        <w:t>urge</w:t>
      </w:r>
      <w:r>
        <w:rPr>
          <w:spacing w:val="-23"/>
          <w:w w:val="115"/>
        </w:rPr>
        <w:t> </w:t>
      </w:r>
      <w:r>
        <w:rPr>
          <w:w w:val="115"/>
        </w:rPr>
        <w:t>for</w:t>
      </w:r>
      <w:r>
        <w:rPr>
          <w:spacing w:val="-23"/>
          <w:w w:val="115"/>
        </w:rPr>
        <w:t> </w:t>
      </w:r>
      <w:r>
        <w:rPr>
          <w:w w:val="115"/>
        </w:rPr>
        <w:t>perpetual re-invention</w:t>
      </w:r>
      <w:r>
        <w:rPr>
          <w:spacing w:val="-12"/>
          <w:w w:val="115"/>
        </w:rPr>
        <w:t> </w:t>
      </w:r>
      <w:r>
        <w:rPr>
          <w:w w:val="115"/>
        </w:rPr>
        <w:t>and</w:t>
      </w:r>
      <w:r>
        <w:rPr>
          <w:spacing w:val="-13"/>
          <w:w w:val="115"/>
        </w:rPr>
        <w:t> </w:t>
      </w:r>
      <w:r>
        <w:rPr>
          <w:spacing w:val="-3"/>
          <w:w w:val="115"/>
        </w:rPr>
        <w:t>don’t</w:t>
      </w:r>
      <w:r>
        <w:rPr>
          <w:spacing w:val="-12"/>
          <w:w w:val="115"/>
        </w:rPr>
        <w:t> </w:t>
      </w:r>
      <w:r>
        <w:rPr>
          <w:spacing w:val="-3"/>
          <w:w w:val="115"/>
        </w:rPr>
        <w:t>watch</w:t>
      </w:r>
      <w:r>
        <w:rPr>
          <w:spacing w:val="-12"/>
          <w:w w:val="115"/>
        </w:rPr>
        <w:t> </w:t>
      </w:r>
      <w:r>
        <w:rPr>
          <w:w w:val="115"/>
        </w:rPr>
        <w:t>the</w:t>
      </w:r>
      <w:r>
        <w:rPr>
          <w:spacing w:val="-12"/>
          <w:w w:val="115"/>
        </w:rPr>
        <w:t> </w:t>
      </w:r>
      <w:r>
        <w:rPr>
          <w:w w:val="115"/>
        </w:rPr>
        <w:t>roll</w:t>
      </w:r>
      <w:r>
        <w:rPr>
          <w:spacing w:val="-12"/>
          <w:w w:val="115"/>
        </w:rPr>
        <w:t> </w:t>
      </w:r>
      <w:r>
        <w:rPr>
          <w:w w:val="115"/>
        </w:rPr>
        <w:t>book</w:t>
      </w:r>
      <w:r>
        <w:rPr>
          <w:spacing w:val="-12"/>
          <w:w w:val="115"/>
        </w:rPr>
        <w:t> </w:t>
      </w:r>
      <w:r>
        <w:rPr>
          <w:w w:val="115"/>
        </w:rPr>
        <w:t>for</w:t>
      </w:r>
      <w:r>
        <w:rPr>
          <w:spacing w:val="-12"/>
          <w:w w:val="115"/>
        </w:rPr>
        <w:t> </w:t>
      </w:r>
      <w:r>
        <w:rPr>
          <w:w w:val="115"/>
        </w:rPr>
        <w:t>young</w:t>
      </w:r>
      <w:r>
        <w:rPr>
          <w:spacing w:val="-12"/>
          <w:w w:val="115"/>
        </w:rPr>
        <w:t> </w:t>
      </w:r>
      <w:r>
        <w:rPr>
          <w:w w:val="115"/>
        </w:rPr>
        <w:t>adults.</w:t>
      </w:r>
      <w:r>
        <w:rPr>
          <w:w w:val="115"/>
          <w:position w:val="6"/>
          <w:sz w:val="14"/>
        </w:rPr>
        <w:t>2</w:t>
      </w:r>
    </w:p>
    <w:p>
      <w:pPr>
        <w:spacing w:before="91"/>
        <w:ind w:left="708" w:right="762" w:firstLine="0"/>
        <w:jc w:val="center"/>
        <w:rPr>
          <w:i/>
          <w:sz w:val="20"/>
        </w:rPr>
      </w:pPr>
      <w:r>
        <w:rPr>
          <w:w w:val="120"/>
          <w:sz w:val="20"/>
        </w:rPr>
        <w:t>Andrea Dilley – </w:t>
      </w:r>
      <w:r>
        <w:rPr>
          <w:i/>
          <w:w w:val="120"/>
          <w:sz w:val="20"/>
        </w:rPr>
        <w:t>30 something blogger</w:t>
      </w:r>
    </w:p>
    <w:p>
      <w:pPr>
        <w:pStyle w:val="BodyText"/>
        <w:rPr>
          <w:i/>
          <w:sz w:val="24"/>
        </w:rPr>
      </w:pPr>
    </w:p>
    <w:p>
      <w:pPr>
        <w:pStyle w:val="Heading4"/>
        <w:spacing w:before="159"/>
        <w:ind w:left="1247" w:firstLine="0"/>
      </w:pPr>
      <w:r>
        <w:rPr>
          <w:w w:val="110"/>
        </w:rPr>
        <w:t>The spectrum of ministries</w:t>
      </w:r>
    </w:p>
    <w:p>
      <w:pPr>
        <w:pStyle w:val="BodyText"/>
        <w:spacing w:line="235" w:lineRule="auto" w:before="183"/>
        <w:ind w:left="1247" w:right="2004"/>
      </w:pPr>
      <w:r>
        <w:rPr>
          <w:w w:val="120"/>
        </w:rPr>
        <w:t>In the New Testament, ‘laos’ means people and the ‘laos of God’ are the people of God, the Church, with different and complementary gifts and ministries but sharing one common vocation to be the people of God’s new creation.</w:t>
      </w:r>
    </w:p>
    <w:p>
      <w:pPr>
        <w:pStyle w:val="BodyText"/>
        <w:spacing w:before="6"/>
        <w:rPr>
          <w:sz w:val="18"/>
        </w:rPr>
      </w:pPr>
    </w:p>
    <w:p>
      <w:pPr>
        <w:spacing w:before="0"/>
        <w:ind w:left="1247" w:right="0" w:firstLine="0"/>
        <w:jc w:val="left"/>
        <w:rPr>
          <w:rFonts w:ascii="Stone Sans II ITC Std Bk"/>
          <w:b/>
          <w:sz w:val="20"/>
        </w:rPr>
      </w:pPr>
      <w:r>
        <w:rPr>
          <w:rFonts w:ascii="Stone Sans II ITC Std Bk"/>
          <w:b/>
          <w:i/>
          <w:w w:val="110"/>
          <w:sz w:val="20"/>
        </w:rPr>
        <w:t>Equipping the Saints </w:t>
      </w:r>
      <w:r>
        <w:rPr>
          <w:rFonts w:ascii="Stone Sans II ITC Std Bk"/>
          <w:b/>
          <w:w w:val="110"/>
          <w:sz w:val="20"/>
        </w:rPr>
        <w:t>URC</w:t>
      </w:r>
    </w:p>
    <w:p>
      <w:pPr>
        <w:pStyle w:val="BodyText"/>
        <w:spacing w:before="9"/>
        <w:rPr>
          <w:rFonts w:ascii="Stone Sans II ITC Std Bk"/>
          <w:b/>
          <w:sz w:val="16"/>
        </w:rPr>
      </w:pPr>
    </w:p>
    <w:p>
      <w:pPr>
        <w:pStyle w:val="ListParagraph"/>
        <w:numPr>
          <w:ilvl w:val="0"/>
          <w:numId w:val="42"/>
        </w:numPr>
        <w:tabs>
          <w:tab w:pos="1927" w:val="left" w:leader="none"/>
          <w:tab w:pos="1928" w:val="left" w:leader="none"/>
        </w:tabs>
        <w:spacing w:line="235" w:lineRule="auto" w:before="0" w:after="0"/>
        <w:ind w:left="1247" w:right="2015" w:firstLine="0"/>
        <w:jc w:val="left"/>
        <w:rPr>
          <w:sz w:val="20"/>
        </w:rPr>
      </w:pPr>
      <w:r>
        <w:rPr>
          <w:w w:val="120"/>
          <w:sz w:val="20"/>
        </w:rPr>
        <w:t>General Assembly has called on the Church to explore more collaborative patterns of ministry on a number of occasions in the past few years. We practice shared leadership of local churches vested in elders and ministers of Word and sacraments.  </w:t>
      </w:r>
      <w:r>
        <w:rPr>
          <w:spacing w:val="-3"/>
          <w:w w:val="120"/>
          <w:sz w:val="20"/>
        </w:rPr>
        <w:t>Yet, </w:t>
      </w:r>
      <w:r>
        <w:rPr>
          <w:w w:val="120"/>
          <w:sz w:val="20"/>
        </w:rPr>
        <w:t>as moderators, we rejoice in the spectrum of ministries within the United Reformed Church. Ministries such as those of lay preachers, church related community workers, local leaders, and increasingly local appointments of youth and </w:t>
      </w:r>
      <w:r>
        <w:rPr>
          <w:spacing w:val="-3"/>
          <w:w w:val="120"/>
          <w:sz w:val="20"/>
        </w:rPr>
        <w:t>children’s </w:t>
      </w:r>
      <w:r>
        <w:rPr>
          <w:w w:val="120"/>
          <w:sz w:val="20"/>
        </w:rPr>
        <w:t>workers, together with a variety of voluntary chaplaincies, contribute to the </w:t>
      </w:r>
      <w:r>
        <w:rPr>
          <w:spacing w:val="-3"/>
          <w:w w:val="120"/>
          <w:sz w:val="20"/>
        </w:rPr>
        <w:t>Church’s </w:t>
      </w:r>
      <w:r>
        <w:rPr>
          <w:w w:val="120"/>
          <w:sz w:val="20"/>
        </w:rPr>
        <w:t>mission.   </w:t>
      </w:r>
      <w:r>
        <w:rPr>
          <w:spacing w:val="-5"/>
          <w:w w:val="120"/>
          <w:sz w:val="20"/>
        </w:rPr>
        <w:t>Yet </w:t>
      </w:r>
      <w:r>
        <w:rPr>
          <w:w w:val="120"/>
          <w:sz w:val="20"/>
        </w:rPr>
        <w:t>too often these ministries are not integrated and risk becoming fragmented and demoralised as a result. The recommendations of the Assembly </w:t>
      </w:r>
      <w:r>
        <w:rPr>
          <w:spacing w:val="2"/>
          <w:w w:val="120"/>
          <w:sz w:val="20"/>
        </w:rPr>
        <w:t>report </w:t>
      </w:r>
      <w:r>
        <w:rPr>
          <w:i/>
          <w:w w:val="120"/>
          <w:sz w:val="20"/>
        </w:rPr>
        <w:t>Challenge to the </w:t>
      </w:r>
      <w:r>
        <w:rPr>
          <w:i/>
          <w:w w:val="120"/>
          <w:sz w:val="20"/>
        </w:rPr>
        <w:t>Church </w:t>
      </w:r>
      <w:r>
        <w:rPr>
          <w:w w:val="120"/>
          <w:sz w:val="20"/>
        </w:rPr>
        <w:t>still remain to be</w:t>
      </w:r>
      <w:r>
        <w:rPr>
          <w:spacing w:val="9"/>
          <w:w w:val="120"/>
          <w:sz w:val="20"/>
        </w:rPr>
        <w:t> </w:t>
      </w:r>
      <w:r>
        <w:rPr>
          <w:w w:val="120"/>
          <w:sz w:val="20"/>
        </w:rPr>
        <w:t>implemented.</w:t>
      </w:r>
    </w:p>
    <w:p>
      <w:pPr>
        <w:pStyle w:val="BodyText"/>
        <w:spacing w:before="3"/>
      </w:pPr>
    </w:p>
    <w:p>
      <w:pPr>
        <w:pStyle w:val="ListParagraph"/>
        <w:numPr>
          <w:ilvl w:val="0"/>
          <w:numId w:val="42"/>
        </w:numPr>
        <w:tabs>
          <w:tab w:pos="1927" w:val="left" w:leader="none"/>
          <w:tab w:pos="1928" w:val="left" w:leader="none"/>
        </w:tabs>
        <w:spacing w:line="235" w:lineRule="auto" w:before="1" w:after="0"/>
        <w:ind w:left="1247" w:right="1988" w:firstLine="0"/>
        <w:jc w:val="left"/>
        <w:rPr>
          <w:sz w:val="20"/>
        </w:rPr>
      </w:pPr>
      <w:r>
        <w:rPr>
          <w:w w:val="120"/>
          <w:sz w:val="20"/>
        </w:rPr>
        <w:t>Throughout the Church there is an acceptance of multi-church pastorates but there is evidence that the congregation’s expectations of the minister serving within them have not changed. In other words, the minister is expected to do what she or he would have done in earlier years in a single church, except now the role will involve two or three churches. This involves the chairing of each constituent </w:t>
      </w:r>
      <w:r>
        <w:rPr>
          <w:spacing w:val="-3"/>
          <w:w w:val="120"/>
          <w:sz w:val="20"/>
        </w:rPr>
        <w:t>church’s </w:t>
      </w:r>
      <w:r>
        <w:rPr>
          <w:w w:val="120"/>
          <w:sz w:val="20"/>
        </w:rPr>
        <w:t>elders and church meetings and committees. We find ourselves asking frequently at vacancy visits, “What do you want a minister </w:t>
      </w:r>
      <w:r>
        <w:rPr>
          <w:spacing w:val="-4"/>
          <w:w w:val="120"/>
          <w:sz w:val="20"/>
        </w:rPr>
        <w:t>for? </w:t>
      </w:r>
      <w:r>
        <w:rPr>
          <w:w w:val="120"/>
          <w:sz w:val="20"/>
        </w:rPr>
        <w:t>What </w:t>
      </w:r>
      <w:r>
        <w:rPr>
          <w:spacing w:val="2"/>
          <w:w w:val="120"/>
          <w:sz w:val="20"/>
        </w:rPr>
        <w:t>gifts </w:t>
      </w:r>
      <w:r>
        <w:rPr>
          <w:w w:val="120"/>
          <w:sz w:val="20"/>
        </w:rPr>
        <w:t>can they bring to the leadership of the local church which you do not already possess in each</w:t>
      </w:r>
      <w:r>
        <w:rPr>
          <w:spacing w:val="22"/>
          <w:w w:val="120"/>
          <w:sz w:val="20"/>
        </w:rPr>
        <w:t> </w:t>
      </w:r>
      <w:r>
        <w:rPr>
          <w:w w:val="120"/>
          <w:sz w:val="20"/>
        </w:rPr>
        <w:t>other?”</w:t>
      </w:r>
    </w:p>
    <w:p>
      <w:pPr>
        <w:pStyle w:val="BodyText"/>
        <w:spacing w:before="1"/>
      </w:pPr>
    </w:p>
    <w:p>
      <w:pPr>
        <w:pStyle w:val="ListParagraph"/>
        <w:numPr>
          <w:ilvl w:val="0"/>
          <w:numId w:val="42"/>
        </w:numPr>
        <w:tabs>
          <w:tab w:pos="1927" w:val="left" w:leader="none"/>
          <w:tab w:pos="1928" w:val="left" w:leader="none"/>
        </w:tabs>
        <w:spacing w:line="235" w:lineRule="auto" w:before="0" w:after="0"/>
        <w:ind w:left="1247" w:right="2500" w:firstLine="0"/>
        <w:jc w:val="left"/>
        <w:rPr>
          <w:sz w:val="20"/>
        </w:rPr>
      </w:pPr>
      <w:r>
        <w:rPr>
          <w:w w:val="120"/>
          <w:sz w:val="20"/>
        </w:rPr>
        <w:t>The marketing and identity campaign began a process of helping us see ourselves as others see us and in particular to reacquaint ourselves with our history so that we can have confidence in the distinctive emphases which we bring to</w:t>
      </w:r>
      <w:r>
        <w:rPr>
          <w:spacing w:val="6"/>
          <w:w w:val="120"/>
          <w:sz w:val="20"/>
        </w:rPr>
        <w:t> </w:t>
      </w:r>
      <w:r>
        <w:rPr>
          <w:w w:val="120"/>
          <w:sz w:val="20"/>
        </w:rPr>
        <w:t>the</w:t>
      </w:r>
    </w:p>
    <w:p>
      <w:pPr>
        <w:pStyle w:val="BodyText"/>
        <w:spacing w:line="235" w:lineRule="auto" w:before="3"/>
        <w:ind w:left="1247" w:right="2074"/>
      </w:pPr>
      <w:r>
        <w:rPr>
          <w:w w:val="120"/>
        </w:rPr>
        <w:t>ecumenical table today. That still seems to be necessary as we continue in Christ’s Way today. In our post-denominational context, ministers and churches need to know why we are as we are and what we have to offer to the emerging universal Church.</w:t>
      </w:r>
    </w:p>
    <w:p>
      <w:pPr>
        <w:pStyle w:val="BodyText"/>
        <w:spacing w:before="10"/>
        <w:rPr>
          <w:sz w:val="19"/>
        </w:rPr>
      </w:pPr>
    </w:p>
    <w:p>
      <w:pPr>
        <w:pStyle w:val="ListParagraph"/>
        <w:numPr>
          <w:ilvl w:val="0"/>
          <w:numId w:val="42"/>
        </w:numPr>
        <w:tabs>
          <w:tab w:pos="1927" w:val="left" w:leader="none"/>
          <w:tab w:pos="1928" w:val="left" w:leader="none"/>
        </w:tabs>
        <w:spacing w:line="235" w:lineRule="auto" w:before="0" w:after="0"/>
        <w:ind w:left="1247" w:right="2102" w:firstLine="0"/>
        <w:jc w:val="left"/>
        <w:rPr>
          <w:sz w:val="20"/>
        </w:rPr>
      </w:pPr>
      <w:r>
        <w:rPr>
          <w:w w:val="120"/>
          <w:sz w:val="20"/>
        </w:rPr>
        <w:t>Specialist roles are developing alongside the more traditional forms of ministry. Transitional ministers are beginning to be deployed who can accompany churches for short</w:t>
      </w:r>
      <w:r>
        <w:rPr>
          <w:spacing w:val="-5"/>
          <w:w w:val="120"/>
          <w:sz w:val="20"/>
        </w:rPr>
        <w:t> </w:t>
      </w:r>
      <w:r>
        <w:rPr>
          <w:w w:val="120"/>
          <w:sz w:val="20"/>
        </w:rPr>
        <w:t>focussed</w:t>
      </w:r>
      <w:r>
        <w:rPr>
          <w:spacing w:val="-4"/>
          <w:w w:val="120"/>
          <w:sz w:val="20"/>
        </w:rPr>
        <w:t> </w:t>
      </w:r>
      <w:r>
        <w:rPr>
          <w:w w:val="120"/>
          <w:sz w:val="20"/>
        </w:rPr>
        <w:t>ministries</w:t>
      </w:r>
      <w:r>
        <w:rPr>
          <w:spacing w:val="-4"/>
          <w:w w:val="120"/>
          <w:sz w:val="20"/>
        </w:rPr>
        <w:t> </w:t>
      </w:r>
      <w:r>
        <w:rPr>
          <w:w w:val="120"/>
          <w:sz w:val="20"/>
        </w:rPr>
        <w:t>for</w:t>
      </w:r>
      <w:r>
        <w:rPr>
          <w:spacing w:val="-4"/>
          <w:w w:val="120"/>
          <w:sz w:val="20"/>
        </w:rPr>
        <w:t> </w:t>
      </w:r>
      <w:r>
        <w:rPr>
          <w:w w:val="120"/>
          <w:sz w:val="20"/>
        </w:rPr>
        <w:t>pastoral</w:t>
      </w:r>
      <w:r>
        <w:rPr>
          <w:spacing w:val="-4"/>
          <w:w w:val="120"/>
          <w:sz w:val="20"/>
        </w:rPr>
        <w:t> </w:t>
      </w:r>
      <w:r>
        <w:rPr>
          <w:w w:val="120"/>
          <w:sz w:val="20"/>
        </w:rPr>
        <w:t>reasons.</w:t>
      </w:r>
      <w:r>
        <w:rPr>
          <w:spacing w:val="-4"/>
          <w:w w:val="120"/>
          <w:sz w:val="20"/>
        </w:rPr>
        <w:t> </w:t>
      </w:r>
      <w:r>
        <w:rPr>
          <w:w w:val="120"/>
          <w:sz w:val="20"/>
        </w:rPr>
        <w:t>We</w:t>
      </w:r>
      <w:r>
        <w:rPr>
          <w:spacing w:val="-5"/>
          <w:w w:val="120"/>
          <w:sz w:val="20"/>
        </w:rPr>
        <w:t> </w:t>
      </w:r>
      <w:r>
        <w:rPr>
          <w:w w:val="120"/>
          <w:sz w:val="20"/>
        </w:rPr>
        <w:t>are</w:t>
      </w:r>
      <w:r>
        <w:rPr>
          <w:spacing w:val="-4"/>
          <w:w w:val="120"/>
          <w:sz w:val="20"/>
        </w:rPr>
        <w:t> </w:t>
      </w:r>
      <w:r>
        <w:rPr>
          <w:w w:val="120"/>
          <w:sz w:val="20"/>
        </w:rPr>
        <w:t>fortunate</w:t>
      </w:r>
      <w:r>
        <w:rPr>
          <w:spacing w:val="-4"/>
          <w:w w:val="120"/>
          <w:sz w:val="20"/>
        </w:rPr>
        <w:t> </w:t>
      </w:r>
      <w:r>
        <w:rPr>
          <w:w w:val="120"/>
          <w:sz w:val="20"/>
        </w:rPr>
        <w:t>when</w:t>
      </w:r>
      <w:r>
        <w:rPr>
          <w:spacing w:val="-4"/>
          <w:w w:val="120"/>
          <w:sz w:val="20"/>
        </w:rPr>
        <w:t> </w:t>
      </w:r>
      <w:r>
        <w:rPr>
          <w:w w:val="120"/>
          <w:sz w:val="20"/>
        </w:rPr>
        <w:t>we</w:t>
      </w:r>
      <w:r>
        <w:rPr>
          <w:spacing w:val="-4"/>
          <w:w w:val="120"/>
          <w:sz w:val="20"/>
        </w:rPr>
        <w:t> </w:t>
      </w:r>
      <w:r>
        <w:rPr>
          <w:w w:val="120"/>
          <w:sz w:val="20"/>
        </w:rPr>
        <w:t>find</w:t>
      </w:r>
      <w:r>
        <w:rPr>
          <w:spacing w:val="-4"/>
          <w:w w:val="120"/>
          <w:sz w:val="20"/>
        </w:rPr>
        <w:t> </w:t>
      </w:r>
      <w:r>
        <w:rPr>
          <w:w w:val="120"/>
          <w:sz w:val="20"/>
        </w:rPr>
        <w:t>someone who is available and has the appropriate training or skills since the need often   outstrips the availability of such ministers. It also places financial requirements on</w:t>
      </w:r>
    </w:p>
    <w:p>
      <w:pPr>
        <w:pStyle w:val="BodyText"/>
        <w:spacing w:line="235" w:lineRule="auto" w:before="4"/>
        <w:ind w:left="1247" w:right="2004"/>
      </w:pPr>
      <w:r>
        <w:rPr>
          <w:w w:val="120"/>
        </w:rPr>
        <w:t>already strained budgets. In addition to interims there has been a range of chaplaincies which perhaps testify to the desire within the Church to ensure Christian ministry presence in football grounds, shopping and business parks, police headquarters,</w:t>
      </w:r>
    </w:p>
    <w:p>
      <w:pPr>
        <w:pStyle w:val="BodyText"/>
        <w:spacing w:line="235" w:lineRule="auto" w:before="2"/>
        <w:ind w:left="1247" w:right="2004"/>
      </w:pPr>
      <w:r>
        <w:rPr>
          <w:w w:val="120"/>
        </w:rPr>
        <w:t>sports grounds, agricultural shows and livestock markets, as well as the more traditional forms of chaplaincy.</w:t>
      </w:r>
    </w:p>
    <w:p>
      <w:pPr>
        <w:spacing w:after="0" w:line="235" w:lineRule="auto"/>
        <w:sectPr>
          <w:headerReference w:type="even" r:id="rId168"/>
          <w:pgSz w:w="11910" w:h="16840"/>
          <w:pgMar w:header="0" w:footer="647" w:top="0" w:bottom="840" w:left="0" w:right="0"/>
        </w:sectPr>
      </w:pPr>
    </w:p>
    <w:p>
      <w:pPr>
        <w:pStyle w:val="BodyText"/>
      </w:pPr>
      <w:r>
        <w:rPr/>
        <w:drawing>
          <wp:anchor distT="0" distB="0" distL="0" distR="0" allowOverlap="1" layoutInCell="1" locked="0" behindDoc="0" simplePos="0" relativeHeight="251866112">
            <wp:simplePos x="0" y="0"/>
            <wp:positionH relativeFrom="page">
              <wp:posOffset>6974928</wp:posOffset>
            </wp:positionH>
            <wp:positionV relativeFrom="page">
              <wp:posOffset>0</wp:posOffset>
            </wp:positionV>
            <wp:extent cx="585063" cy="10692003"/>
            <wp:effectExtent l="0" t="0" r="0" b="0"/>
            <wp:wrapNone/>
            <wp:docPr id="135" name="image5.png"/>
            <wp:cNvGraphicFramePr>
              <a:graphicFrameLocks noChangeAspect="1"/>
            </wp:cNvGraphicFramePr>
            <a:graphic>
              <a:graphicData uri="http://schemas.openxmlformats.org/drawingml/2006/picture">
                <pic:pic>
                  <pic:nvPicPr>
                    <pic:cNvPr id="136" name="image5.png"/>
                    <pic:cNvPicPr/>
                  </pic:nvPicPr>
                  <pic:blipFill>
                    <a:blip r:embed="rId10"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pStyle w:val="Heading5"/>
        <w:ind w:left="7549"/>
      </w:pPr>
      <w:r>
        <w:rPr/>
        <w:pict>
          <v:shape style="position:absolute;margin-left:554.141174pt;margin-top:22.593945pt;width:25.9pt;height:264.55pt;mso-position-horizontal-relative:page;mso-position-vertical-relative:paragraph;z-index:251867136" type="#_x0000_t202" filled="false" stroked="false">
            <v:textbox inset="0,0,0,0" style="layout-flow:vertical">
              <w:txbxContent>
                <w:p>
                  <w:pPr>
                    <w:spacing w:before="27"/>
                    <w:ind w:left="20" w:right="0" w:firstLine="0"/>
                    <w:jc w:val="left"/>
                    <w:rPr>
                      <w:sz w:val="39"/>
                    </w:rPr>
                  </w:pPr>
                  <w:r>
                    <w:rPr>
                      <w:color w:val="FFFFFF"/>
                      <w:w w:val="120"/>
                      <w:sz w:val="39"/>
                    </w:rPr>
                    <w:t>Synod moderators’ report</w:t>
                  </w:r>
                </w:p>
              </w:txbxContent>
            </v:textbox>
            <w10:wrap type="none"/>
          </v:shape>
        </w:pict>
      </w:r>
      <w:r>
        <w:rPr>
          <w:color w:val="7EAABF"/>
          <w:w w:val="115"/>
        </w:rPr>
        <w:t>Synod Moderators report</w:t>
      </w:r>
    </w:p>
    <w:p>
      <w:pPr>
        <w:pStyle w:val="ListParagraph"/>
        <w:numPr>
          <w:ilvl w:val="0"/>
          <w:numId w:val="42"/>
        </w:numPr>
        <w:tabs>
          <w:tab w:pos="2664" w:val="left" w:leader="none"/>
          <w:tab w:pos="2665" w:val="left" w:leader="none"/>
        </w:tabs>
        <w:spacing w:line="235" w:lineRule="auto" w:before="222" w:after="0"/>
        <w:ind w:left="1984" w:right="1283" w:firstLine="0"/>
        <w:jc w:val="left"/>
        <w:rPr>
          <w:sz w:val="20"/>
        </w:rPr>
      </w:pPr>
      <w:r>
        <w:rPr>
          <w:w w:val="120"/>
          <w:sz w:val="20"/>
        </w:rPr>
        <w:t>In our ministry, we are aware that for many churches and ministers, our presence is not heeded until there is something to celebrate or a problem to resolve. Our role is to embody the connectedness of our Church as we reflect the decisions of our councils to different </w:t>
      </w:r>
      <w:r>
        <w:rPr>
          <w:spacing w:val="2"/>
          <w:w w:val="120"/>
          <w:sz w:val="20"/>
        </w:rPr>
        <w:t>parts </w:t>
      </w:r>
      <w:r>
        <w:rPr>
          <w:w w:val="120"/>
          <w:sz w:val="20"/>
        </w:rPr>
        <w:t>of the Church. </w:t>
      </w:r>
      <w:r>
        <w:rPr>
          <w:spacing w:val="-5"/>
          <w:w w:val="120"/>
          <w:sz w:val="20"/>
        </w:rPr>
        <w:t>Yet </w:t>
      </w:r>
      <w:r>
        <w:rPr>
          <w:w w:val="120"/>
          <w:sz w:val="20"/>
        </w:rPr>
        <w:t>sometimes it feels as if we are drifting apart, into an insularity of congregations who do not understand the covenant underlying the Plan   for Partnership and just want the ministry ‘they’ pay </w:t>
      </w:r>
      <w:r>
        <w:rPr>
          <w:spacing w:val="-3"/>
          <w:w w:val="120"/>
          <w:sz w:val="20"/>
        </w:rPr>
        <w:t>for. </w:t>
      </w:r>
      <w:r>
        <w:rPr>
          <w:w w:val="120"/>
          <w:sz w:val="20"/>
        </w:rPr>
        <w:t>In </w:t>
      </w:r>
      <w:r>
        <w:rPr>
          <w:spacing w:val="2"/>
          <w:w w:val="120"/>
          <w:sz w:val="20"/>
        </w:rPr>
        <w:t>fact </w:t>
      </w:r>
      <w:r>
        <w:rPr>
          <w:w w:val="120"/>
          <w:sz w:val="20"/>
        </w:rPr>
        <w:t>the language of </w:t>
      </w:r>
      <w:r>
        <w:rPr>
          <w:spacing w:val="-4"/>
          <w:w w:val="120"/>
          <w:sz w:val="20"/>
        </w:rPr>
        <w:t>‘us’ </w:t>
      </w:r>
      <w:r>
        <w:rPr>
          <w:w w:val="120"/>
          <w:sz w:val="20"/>
        </w:rPr>
        <w:t>and ‘them’ rather than ‘we’ together underlines our failure to appreciate that body of Christ into which we were all</w:t>
      </w:r>
      <w:r>
        <w:rPr>
          <w:spacing w:val="10"/>
          <w:w w:val="120"/>
          <w:sz w:val="20"/>
        </w:rPr>
        <w:t> </w:t>
      </w:r>
      <w:r>
        <w:rPr>
          <w:w w:val="120"/>
          <w:sz w:val="20"/>
        </w:rPr>
        <w:t>baptised.</w:t>
      </w:r>
    </w:p>
    <w:p>
      <w:pPr>
        <w:pStyle w:val="BodyText"/>
        <w:rPr>
          <w:sz w:val="24"/>
        </w:rPr>
      </w:pPr>
    </w:p>
    <w:p>
      <w:pPr>
        <w:pStyle w:val="Heading4"/>
        <w:spacing w:before="165"/>
        <w:ind w:left="1984" w:firstLine="0"/>
      </w:pPr>
      <w:r>
        <w:rPr>
          <w:w w:val="110"/>
        </w:rPr>
        <w:t>Discerning times and seasons</w:t>
      </w:r>
    </w:p>
    <w:p>
      <w:pPr>
        <w:pStyle w:val="Heading7"/>
        <w:spacing w:line="230" w:lineRule="auto" w:before="205"/>
        <w:ind w:left="3280" w:right="2472"/>
      </w:pPr>
      <w:r>
        <w:rPr>
          <w:spacing w:val="-5"/>
          <w:w w:val="115"/>
        </w:rPr>
        <w:t>You</w:t>
      </w:r>
      <w:r>
        <w:rPr>
          <w:spacing w:val="-17"/>
          <w:w w:val="115"/>
        </w:rPr>
        <w:t> </w:t>
      </w:r>
      <w:r>
        <w:rPr>
          <w:w w:val="115"/>
        </w:rPr>
        <w:t>find</w:t>
      </w:r>
      <w:r>
        <w:rPr>
          <w:spacing w:val="-16"/>
          <w:w w:val="115"/>
        </w:rPr>
        <w:t> </w:t>
      </w:r>
      <w:r>
        <w:rPr>
          <w:w w:val="115"/>
        </w:rPr>
        <w:t>it</w:t>
      </w:r>
      <w:r>
        <w:rPr>
          <w:spacing w:val="-16"/>
          <w:w w:val="115"/>
        </w:rPr>
        <w:t> </w:t>
      </w:r>
      <w:r>
        <w:rPr>
          <w:w w:val="115"/>
        </w:rPr>
        <w:t>easy</w:t>
      </w:r>
      <w:r>
        <w:rPr>
          <w:spacing w:val="-16"/>
          <w:w w:val="115"/>
        </w:rPr>
        <w:t> </w:t>
      </w:r>
      <w:r>
        <w:rPr>
          <w:w w:val="115"/>
        </w:rPr>
        <w:t>enough</w:t>
      </w:r>
      <w:r>
        <w:rPr>
          <w:spacing w:val="-16"/>
          <w:w w:val="115"/>
        </w:rPr>
        <w:t> </w:t>
      </w:r>
      <w:r>
        <w:rPr>
          <w:spacing w:val="-3"/>
          <w:w w:val="115"/>
        </w:rPr>
        <w:t>to</w:t>
      </w:r>
      <w:r>
        <w:rPr>
          <w:spacing w:val="-16"/>
          <w:w w:val="115"/>
        </w:rPr>
        <w:t> </w:t>
      </w:r>
      <w:r>
        <w:rPr>
          <w:w w:val="115"/>
        </w:rPr>
        <w:t>forecast</w:t>
      </w:r>
      <w:r>
        <w:rPr>
          <w:spacing w:val="-16"/>
          <w:w w:val="115"/>
        </w:rPr>
        <w:t> </w:t>
      </w:r>
      <w:r>
        <w:rPr>
          <w:w w:val="115"/>
        </w:rPr>
        <w:t>the</w:t>
      </w:r>
      <w:r>
        <w:rPr>
          <w:spacing w:val="-16"/>
          <w:w w:val="115"/>
        </w:rPr>
        <w:t> </w:t>
      </w:r>
      <w:r>
        <w:rPr>
          <w:w w:val="115"/>
        </w:rPr>
        <w:t>weather</w:t>
      </w:r>
      <w:r>
        <w:rPr>
          <w:spacing w:val="-16"/>
          <w:w w:val="115"/>
        </w:rPr>
        <w:t> </w:t>
      </w:r>
      <w:r>
        <w:rPr>
          <w:w w:val="115"/>
        </w:rPr>
        <w:t>– why</w:t>
      </w:r>
      <w:r>
        <w:rPr>
          <w:spacing w:val="-10"/>
          <w:w w:val="115"/>
        </w:rPr>
        <w:t> </w:t>
      </w:r>
      <w:r>
        <w:rPr>
          <w:spacing w:val="-4"/>
          <w:w w:val="115"/>
        </w:rPr>
        <w:t>can’t</w:t>
      </w:r>
      <w:r>
        <w:rPr>
          <w:spacing w:val="-9"/>
          <w:w w:val="115"/>
        </w:rPr>
        <w:t> </w:t>
      </w:r>
      <w:r>
        <w:rPr>
          <w:w w:val="115"/>
        </w:rPr>
        <w:t>you</w:t>
      </w:r>
      <w:r>
        <w:rPr>
          <w:spacing w:val="-9"/>
          <w:w w:val="115"/>
        </w:rPr>
        <w:t> </w:t>
      </w:r>
      <w:r>
        <w:rPr>
          <w:w w:val="115"/>
        </w:rPr>
        <w:t>read</w:t>
      </w:r>
      <w:r>
        <w:rPr>
          <w:spacing w:val="-9"/>
          <w:w w:val="115"/>
        </w:rPr>
        <w:t> </w:t>
      </w:r>
      <w:r>
        <w:rPr>
          <w:w w:val="115"/>
        </w:rPr>
        <w:t>the</w:t>
      </w:r>
      <w:r>
        <w:rPr>
          <w:spacing w:val="-9"/>
          <w:w w:val="115"/>
        </w:rPr>
        <w:t> </w:t>
      </w:r>
      <w:r>
        <w:rPr>
          <w:w w:val="115"/>
        </w:rPr>
        <w:t>signs</w:t>
      </w:r>
      <w:r>
        <w:rPr>
          <w:spacing w:val="-10"/>
          <w:w w:val="115"/>
        </w:rPr>
        <w:t> </w:t>
      </w:r>
      <w:r>
        <w:rPr>
          <w:w w:val="115"/>
        </w:rPr>
        <w:t>of</w:t>
      </w:r>
      <w:r>
        <w:rPr>
          <w:spacing w:val="-9"/>
          <w:w w:val="115"/>
        </w:rPr>
        <w:t> </w:t>
      </w:r>
      <w:r>
        <w:rPr>
          <w:w w:val="115"/>
        </w:rPr>
        <w:t>the</w:t>
      </w:r>
      <w:r>
        <w:rPr>
          <w:spacing w:val="-9"/>
          <w:w w:val="115"/>
        </w:rPr>
        <w:t> </w:t>
      </w:r>
      <w:r>
        <w:rPr>
          <w:spacing w:val="-4"/>
          <w:w w:val="115"/>
        </w:rPr>
        <w:t>times?</w:t>
      </w:r>
    </w:p>
    <w:p>
      <w:pPr>
        <w:spacing w:before="90"/>
        <w:ind w:left="736" w:right="0" w:firstLine="0"/>
        <w:jc w:val="center"/>
        <w:rPr>
          <w:i/>
          <w:sz w:val="20"/>
        </w:rPr>
      </w:pPr>
      <w:r>
        <w:rPr>
          <w:w w:val="120"/>
          <w:sz w:val="20"/>
        </w:rPr>
        <w:t>Matthew 16:3 – </w:t>
      </w:r>
      <w:r>
        <w:rPr>
          <w:i/>
          <w:w w:val="120"/>
          <w:sz w:val="20"/>
        </w:rPr>
        <w:t>The Message</w:t>
      </w:r>
    </w:p>
    <w:p>
      <w:pPr>
        <w:pStyle w:val="BodyText"/>
        <w:spacing w:before="7"/>
        <w:rPr>
          <w:i/>
          <w:sz w:val="19"/>
        </w:rPr>
      </w:pPr>
    </w:p>
    <w:p>
      <w:pPr>
        <w:pStyle w:val="ListParagraph"/>
        <w:numPr>
          <w:ilvl w:val="0"/>
          <w:numId w:val="42"/>
        </w:numPr>
        <w:tabs>
          <w:tab w:pos="2664" w:val="left" w:leader="none"/>
          <w:tab w:pos="2665" w:val="left" w:leader="none"/>
        </w:tabs>
        <w:spacing w:line="235" w:lineRule="auto" w:before="0" w:after="0"/>
        <w:ind w:left="1984" w:right="1363" w:firstLine="0"/>
        <w:jc w:val="left"/>
        <w:rPr>
          <w:sz w:val="20"/>
        </w:rPr>
      </w:pPr>
      <w:r>
        <w:rPr>
          <w:w w:val="120"/>
          <w:sz w:val="20"/>
        </w:rPr>
        <w:t>Listening to the Church as it tries to strike this balance between continuity and change is one of the roles of synod moderators. For a conciliar church, it raises the question of discernment. How do we recognise aright God’s gracious purposes for God’s children who constitute the United Reformed Church? </w:t>
      </w:r>
      <w:r>
        <w:rPr>
          <w:spacing w:val="3"/>
          <w:w w:val="120"/>
          <w:sz w:val="20"/>
        </w:rPr>
        <w:t>As </w:t>
      </w:r>
      <w:r>
        <w:rPr>
          <w:w w:val="120"/>
          <w:sz w:val="20"/>
        </w:rPr>
        <w:t>we together </w:t>
      </w:r>
      <w:r>
        <w:rPr>
          <w:spacing w:val="3"/>
          <w:w w:val="120"/>
          <w:sz w:val="20"/>
        </w:rPr>
        <w:t>try </w:t>
      </w:r>
      <w:r>
        <w:rPr>
          <w:w w:val="120"/>
          <w:sz w:val="20"/>
        </w:rPr>
        <w:t>to deploy our stipendiary ministers </w:t>
      </w:r>
      <w:r>
        <w:rPr>
          <w:spacing w:val="-3"/>
          <w:w w:val="120"/>
          <w:sz w:val="20"/>
        </w:rPr>
        <w:t>wisely, </w:t>
      </w:r>
      <w:r>
        <w:rPr>
          <w:w w:val="120"/>
          <w:sz w:val="20"/>
        </w:rPr>
        <w:t>as we understand our future relationships with partner denominations, as we seem to be confronted with more and more issues for which there is no precedent, we find ourselves looking with some urgency for wisdom and</w:t>
      </w:r>
      <w:r>
        <w:rPr>
          <w:spacing w:val="2"/>
          <w:w w:val="120"/>
          <w:sz w:val="20"/>
        </w:rPr>
        <w:t> </w:t>
      </w:r>
      <w:r>
        <w:rPr>
          <w:w w:val="120"/>
          <w:sz w:val="20"/>
        </w:rPr>
        <w:t>direction.</w:t>
      </w:r>
    </w:p>
    <w:p>
      <w:pPr>
        <w:pStyle w:val="BodyText"/>
        <w:spacing w:before="2"/>
      </w:pPr>
    </w:p>
    <w:p>
      <w:pPr>
        <w:pStyle w:val="ListParagraph"/>
        <w:numPr>
          <w:ilvl w:val="0"/>
          <w:numId w:val="42"/>
        </w:numPr>
        <w:tabs>
          <w:tab w:pos="2664" w:val="left" w:leader="none"/>
          <w:tab w:pos="2665" w:val="left" w:leader="none"/>
        </w:tabs>
        <w:spacing w:line="235" w:lineRule="auto" w:before="0" w:after="0"/>
        <w:ind w:left="1984" w:right="1607" w:firstLine="0"/>
        <w:jc w:val="left"/>
        <w:rPr>
          <w:sz w:val="20"/>
        </w:rPr>
      </w:pPr>
      <w:r>
        <w:rPr>
          <w:w w:val="120"/>
          <w:sz w:val="20"/>
        </w:rPr>
        <w:t>Examples of this include the difficulty of forging relationships with churches which are not formally recognised by Churches Together in England to the point of sharing buildings or ministry with them. </w:t>
      </w:r>
      <w:r>
        <w:rPr>
          <w:spacing w:val="3"/>
          <w:w w:val="120"/>
          <w:sz w:val="20"/>
        </w:rPr>
        <w:t>As </w:t>
      </w:r>
      <w:r>
        <w:rPr>
          <w:w w:val="120"/>
          <w:sz w:val="20"/>
        </w:rPr>
        <w:t>those who have responsibility for the process of ministerial transition, the question of call to ministry continues to exercise us – particularly when a church is being incorporated into a pastorate which already receives settled ministry of Word and</w:t>
      </w:r>
      <w:r>
        <w:rPr>
          <w:spacing w:val="9"/>
          <w:w w:val="120"/>
          <w:sz w:val="20"/>
        </w:rPr>
        <w:t> </w:t>
      </w:r>
      <w:r>
        <w:rPr>
          <w:w w:val="120"/>
          <w:sz w:val="20"/>
        </w:rPr>
        <w:t>sacrament.</w:t>
      </w:r>
    </w:p>
    <w:p>
      <w:pPr>
        <w:pStyle w:val="BodyText"/>
      </w:pPr>
    </w:p>
    <w:p>
      <w:pPr>
        <w:pStyle w:val="ListParagraph"/>
        <w:numPr>
          <w:ilvl w:val="0"/>
          <w:numId w:val="42"/>
        </w:numPr>
        <w:tabs>
          <w:tab w:pos="2664" w:val="left" w:leader="none"/>
          <w:tab w:pos="2665" w:val="left" w:leader="none"/>
        </w:tabs>
        <w:spacing w:line="235" w:lineRule="auto" w:before="1" w:after="0"/>
        <w:ind w:left="1984" w:right="1976" w:firstLine="0"/>
        <w:jc w:val="left"/>
        <w:rPr>
          <w:sz w:val="20"/>
        </w:rPr>
      </w:pPr>
      <w:r>
        <w:rPr>
          <w:w w:val="120"/>
          <w:sz w:val="20"/>
        </w:rPr>
        <w:t>Perhaps more than ever before the Church has to accept a degree of provisionality. After the earthquake of three years ago, Christchurch Cathedral</w:t>
      </w:r>
      <w:r>
        <w:rPr>
          <w:spacing w:val="23"/>
          <w:w w:val="120"/>
          <w:sz w:val="20"/>
        </w:rPr>
        <w:t> </w:t>
      </w:r>
      <w:r>
        <w:rPr>
          <w:w w:val="120"/>
          <w:sz w:val="20"/>
        </w:rPr>
        <w:t>in</w:t>
      </w:r>
    </w:p>
    <w:p>
      <w:pPr>
        <w:pStyle w:val="BodyText"/>
        <w:spacing w:line="235" w:lineRule="auto" w:before="1"/>
        <w:ind w:left="1984" w:right="1414"/>
        <w:rPr>
          <w:sz w:val="16"/>
        </w:rPr>
      </w:pPr>
      <w:r>
        <w:rPr>
          <w:w w:val="120"/>
        </w:rPr>
        <w:t>New Zealand has been replaced by a cardboard structure. The acting dean said of this, “I think we were saying that this is not a monument. It is not a building to indicate the power of the Church, or the power of the architect. It is a temporary building, it looks like a tent, sometime its useful life will come to an end. This is a transitional time for Christchurch and during this time we want to have a building that reflects the sense of possibility and hope but also uncertainties in the city.” </w:t>
      </w:r>
      <w:r>
        <w:rPr>
          <w:w w:val="120"/>
          <w:position w:val="4"/>
          <w:sz w:val="16"/>
        </w:rPr>
        <w:t>3</w:t>
      </w:r>
    </w:p>
    <w:p>
      <w:pPr>
        <w:pStyle w:val="BodyText"/>
        <w:spacing w:before="11"/>
        <w:rPr>
          <w:sz w:val="19"/>
        </w:rPr>
      </w:pPr>
    </w:p>
    <w:p>
      <w:pPr>
        <w:pStyle w:val="ListParagraph"/>
        <w:numPr>
          <w:ilvl w:val="0"/>
          <w:numId w:val="42"/>
        </w:numPr>
        <w:tabs>
          <w:tab w:pos="2664" w:val="left" w:leader="none"/>
          <w:tab w:pos="2665" w:val="left" w:leader="none"/>
        </w:tabs>
        <w:spacing w:line="235" w:lineRule="auto" w:before="0" w:after="0"/>
        <w:ind w:left="1984" w:right="1334" w:firstLine="0"/>
        <w:jc w:val="left"/>
        <w:rPr>
          <w:sz w:val="20"/>
        </w:rPr>
      </w:pPr>
      <w:r>
        <w:rPr>
          <w:spacing w:val="2"/>
          <w:w w:val="120"/>
          <w:sz w:val="20"/>
        </w:rPr>
        <w:t>Of </w:t>
      </w:r>
      <w:r>
        <w:rPr>
          <w:w w:val="120"/>
          <w:sz w:val="20"/>
        </w:rPr>
        <w:t>course, this is difficult for those of us who have grown up with the United Reformed Church and continue to hold its vision of visible Christian unity, valuing its commitment to inclusivity, its structures of mutual accountability under God. However, we did enshrine provisionality in our Statement of the Nature, Faith and Order of the United Reformed</w:t>
      </w:r>
      <w:r>
        <w:rPr>
          <w:spacing w:val="4"/>
          <w:w w:val="120"/>
          <w:sz w:val="20"/>
        </w:rPr>
        <w:t> </w:t>
      </w:r>
      <w:r>
        <w:rPr>
          <w:w w:val="120"/>
          <w:sz w:val="20"/>
        </w:rPr>
        <w:t>Church.</w:t>
      </w:r>
    </w:p>
    <w:p>
      <w:pPr>
        <w:pStyle w:val="BodyText"/>
        <w:spacing w:before="11"/>
        <w:rPr>
          <w:sz w:val="19"/>
        </w:rPr>
      </w:pPr>
    </w:p>
    <w:p>
      <w:pPr>
        <w:pStyle w:val="ListParagraph"/>
        <w:numPr>
          <w:ilvl w:val="0"/>
          <w:numId w:val="42"/>
        </w:numPr>
        <w:tabs>
          <w:tab w:pos="2664" w:val="left" w:leader="none"/>
          <w:tab w:pos="2665" w:val="left" w:leader="none"/>
        </w:tabs>
        <w:spacing w:line="235" w:lineRule="auto" w:before="0" w:after="0"/>
        <w:ind w:left="1984" w:right="1254" w:firstLine="0"/>
        <w:jc w:val="left"/>
        <w:rPr>
          <w:sz w:val="20"/>
        </w:rPr>
      </w:pPr>
      <w:r>
        <w:rPr>
          <w:w w:val="120"/>
          <w:sz w:val="20"/>
        </w:rPr>
        <w:t>Gradually new forms of community are beginning to emerge. In Salford a new church is being formed in partnership with the Oasis Trust. One of the first actions was to talk about what values and ethos the new church would have. One person said that it should be non-hierarchical, another that decision making should be shared. A concern was expressed that worship should be Christ centred but culturally relevant. In time this worshipping community will have to be manifested in a form that existing structures  can</w:t>
      </w:r>
      <w:r>
        <w:rPr>
          <w:spacing w:val="2"/>
          <w:w w:val="120"/>
          <w:sz w:val="20"/>
        </w:rPr>
        <w:t> </w:t>
      </w:r>
      <w:r>
        <w:rPr>
          <w:w w:val="120"/>
          <w:sz w:val="20"/>
        </w:rPr>
        <w:t>recognise.</w:t>
      </w:r>
    </w:p>
    <w:p>
      <w:pPr>
        <w:pStyle w:val="BodyText"/>
        <w:spacing w:before="1"/>
      </w:pPr>
    </w:p>
    <w:p>
      <w:pPr>
        <w:pStyle w:val="ListParagraph"/>
        <w:numPr>
          <w:ilvl w:val="0"/>
          <w:numId w:val="42"/>
        </w:numPr>
        <w:tabs>
          <w:tab w:pos="2664" w:val="left" w:leader="none"/>
          <w:tab w:pos="2665" w:val="left" w:leader="none"/>
        </w:tabs>
        <w:spacing w:line="235" w:lineRule="auto" w:before="1" w:after="0"/>
        <w:ind w:left="1984" w:right="1265" w:firstLine="0"/>
        <w:jc w:val="left"/>
        <w:rPr>
          <w:sz w:val="20"/>
        </w:rPr>
      </w:pPr>
      <w:r>
        <w:rPr>
          <w:w w:val="120"/>
          <w:sz w:val="20"/>
        </w:rPr>
        <w:t>In Cullompton, Devon, Janet Sutton Webb is exploring with others what a   holistic emerging church comprising largely those with no prior experience of Church might look like. What sense does the concept of membership have in such experimental communities? How permissive can the wider Church be of</w:t>
      </w:r>
      <w:r>
        <w:rPr>
          <w:spacing w:val="25"/>
          <w:w w:val="120"/>
          <w:sz w:val="20"/>
        </w:rPr>
        <w:t> </w:t>
      </w:r>
      <w:r>
        <w:rPr>
          <w:w w:val="120"/>
          <w:sz w:val="20"/>
        </w:rPr>
        <w:t>experimentation?</w:t>
      </w:r>
    </w:p>
    <w:p>
      <w:pPr>
        <w:spacing w:after="0" w:line="235" w:lineRule="auto"/>
        <w:jc w:val="left"/>
        <w:rPr>
          <w:sz w:val="20"/>
        </w:rPr>
        <w:sectPr>
          <w:headerReference w:type="default" r:id="rId169"/>
          <w:footerReference w:type="default" r:id="rId170"/>
          <w:footerReference w:type="even" r:id="rId171"/>
          <w:pgSz w:w="11910" w:h="16840"/>
          <w:pgMar w:header="0" w:footer="647" w:top="0" w:bottom="840" w:left="0" w:right="0"/>
          <w:pgNumType w:start="73"/>
        </w:sectPr>
      </w:pPr>
    </w:p>
    <w:p>
      <w:pPr>
        <w:pStyle w:val="BodyText"/>
      </w:pPr>
      <w:r>
        <w:rPr/>
        <w:drawing>
          <wp:anchor distT="0" distB="0" distL="0" distR="0" allowOverlap="1" layoutInCell="1" locked="0" behindDoc="0" simplePos="0" relativeHeight="251868160">
            <wp:simplePos x="0" y="0"/>
            <wp:positionH relativeFrom="page">
              <wp:posOffset>0</wp:posOffset>
            </wp:positionH>
            <wp:positionV relativeFrom="page">
              <wp:posOffset>0</wp:posOffset>
            </wp:positionV>
            <wp:extent cx="594067" cy="10692003"/>
            <wp:effectExtent l="0" t="0" r="0" b="0"/>
            <wp:wrapNone/>
            <wp:docPr id="137" name="image24.png"/>
            <wp:cNvGraphicFramePr>
              <a:graphicFrameLocks noChangeAspect="1"/>
            </wp:cNvGraphicFramePr>
            <a:graphic>
              <a:graphicData uri="http://schemas.openxmlformats.org/drawingml/2006/picture">
                <pic:pic>
                  <pic:nvPicPr>
                    <pic:cNvPr id="138" name="image24.png"/>
                    <pic:cNvPicPr/>
                  </pic:nvPicPr>
                  <pic:blipFill>
                    <a:blip r:embed="rId90"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spacing w:before="106"/>
        <w:ind w:left="1247" w:right="0" w:firstLine="0"/>
        <w:jc w:val="left"/>
        <w:rPr>
          <w:sz w:val="26"/>
        </w:rPr>
      </w:pPr>
      <w:r>
        <w:rPr/>
        <w:pict>
          <v:shape style="position:absolute;margin-left:20.519100pt;margin-top:22.593945pt;width:25.9pt;height:264.55pt;mso-position-horizontal-relative:page;mso-position-vertical-relative:paragraph;z-index:251869184" type="#_x0000_t202" filled="false" stroked="false">
            <v:textbox inset="0,0,0,0" style="layout-flow:vertical">
              <w:txbxContent>
                <w:p>
                  <w:pPr>
                    <w:spacing w:before="27"/>
                    <w:ind w:left="20" w:right="0" w:firstLine="0"/>
                    <w:jc w:val="left"/>
                    <w:rPr>
                      <w:sz w:val="39"/>
                    </w:rPr>
                  </w:pPr>
                  <w:r>
                    <w:rPr>
                      <w:color w:val="FFFFFF"/>
                      <w:w w:val="120"/>
                      <w:sz w:val="39"/>
                    </w:rPr>
                    <w:t>Synod moderators’ report</w:t>
                  </w:r>
                </w:p>
              </w:txbxContent>
            </v:textbox>
            <w10:wrap type="none"/>
          </v:shape>
        </w:pict>
      </w:r>
      <w:r>
        <w:rPr>
          <w:color w:val="7EAABF"/>
          <w:w w:val="115"/>
          <w:sz w:val="26"/>
        </w:rPr>
        <w:t>Synod Moderators report</w:t>
      </w:r>
    </w:p>
    <w:p>
      <w:pPr>
        <w:pStyle w:val="ListParagraph"/>
        <w:numPr>
          <w:ilvl w:val="0"/>
          <w:numId w:val="42"/>
        </w:numPr>
        <w:tabs>
          <w:tab w:pos="1927" w:val="left" w:leader="none"/>
          <w:tab w:pos="1928" w:val="left" w:leader="none"/>
        </w:tabs>
        <w:spacing w:line="235" w:lineRule="auto" w:before="222" w:after="0"/>
        <w:ind w:left="1247" w:right="1961" w:firstLine="0"/>
        <w:jc w:val="left"/>
        <w:rPr>
          <w:sz w:val="16"/>
        </w:rPr>
      </w:pPr>
      <w:r>
        <w:rPr>
          <w:w w:val="120"/>
          <w:sz w:val="20"/>
        </w:rPr>
        <w:t>Reading the </w:t>
      </w:r>
      <w:r>
        <w:rPr>
          <w:spacing w:val="-3"/>
          <w:w w:val="120"/>
          <w:sz w:val="20"/>
        </w:rPr>
        <w:t>signs </w:t>
      </w:r>
      <w:r>
        <w:rPr>
          <w:w w:val="120"/>
          <w:sz w:val="20"/>
        </w:rPr>
        <w:t>of the times is therefore a matter of interpretation of </w:t>
      </w:r>
      <w:r>
        <w:rPr>
          <w:spacing w:val="-3"/>
          <w:w w:val="120"/>
          <w:sz w:val="20"/>
        </w:rPr>
        <w:t>cultural </w:t>
      </w:r>
      <w:r>
        <w:rPr>
          <w:w w:val="120"/>
          <w:sz w:val="20"/>
        </w:rPr>
        <w:t>shifts. One writer has </w:t>
      </w:r>
      <w:r>
        <w:rPr>
          <w:spacing w:val="-3"/>
          <w:w w:val="120"/>
          <w:sz w:val="20"/>
        </w:rPr>
        <w:t>commented: </w:t>
      </w:r>
      <w:r>
        <w:rPr>
          <w:w w:val="120"/>
          <w:sz w:val="20"/>
        </w:rPr>
        <w:t>“This is an age in which the </w:t>
      </w:r>
      <w:r>
        <w:rPr>
          <w:spacing w:val="-3"/>
          <w:w w:val="120"/>
          <w:sz w:val="20"/>
        </w:rPr>
        <w:t>cloth </w:t>
      </w:r>
      <w:r>
        <w:rPr>
          <w:w w:val="120"/>
          <w:sz w:val="20"/>
        </w:rPr>
        <w:t>is being </w:t>
      </w:r>
      <w:r>
        <w:rPr>
          <w:spacing w:val="-3"/>
          <w:w w:val="120"/>
          <w:sz w:val="20"/>
        </w:rPr>
        <w:t>unwoven. </w:t>
      </w:r>
      <w:r>
        <w:rPr>
          <w:w w:val="120"/>
          <w:sz w:val="20"/>
        </w:rPr>
        <w:t>It is therefore no good trying </w:t>
      </w:r>
      <w:r>
        <w:rPr>
          <w:spacing w:val="-3"/>
          <w:w w:val="120"/>
          <w:sz w:val="20"/>
        </w:rPr>
        <w:t>to patch. We </w:t>
      </w:r>
      <w:r>
        <w:rPr>
          <w:w w:val="120"/>
          <w:sz w:val="20"/>
        </w:rPr>
        <w:t>must therefore set up the loom on which </w:t>
      </w:r>
      <w:r>
        <w:rPr>
          <w:spacing w:val="-3"/>
          <w:w w:val="120"/>
          <w:sz w:val="20"/>
        </w:rPr>
        <w:t>coming </w:t>
      </w:r>
      <w:r>
        <w:rPr>
          <w:w w:val="120"/>
          <w:sz w:val="20"/>
        </w:rPr>
        <w:t>generations </w:t>
      </w:r>
      <w:r>
        <w:rPr>
          <w:spacing w:val="-3"/>
          <w:w w:val="120"/>
          <w:sz w:val="20"/>
        </w:rPr>
        <w:t>may weave </w:t>
      </w:r>
      <w:r>
        <w:rPr>
          <w:w w:val="120"/>
          <w:sz w:val="20"/>
        </w:rPr>
        <w:t>new </w:t>
      </w:r>
      <w:r>
        <w:rPr>
          <w:spacing w:val="-3"/>
          <w:w w:val="120"/>
          <w:sz w:val="20"/>
        </w:rPr>
        <w:t>cloth according to </w:t>
      </w:r>
      <w:r>
        <w:rPr>
          <w:w w:val="120"/>
          <w:sz w:val="20"/>
        </w:rPr>
        <w:t>the pattern which God</w:t>
      </w:r>
      <w:r>
        <w:rPr>
          <w:spacing w:val="25"/>
          <w:w w:val="120"/>
          <w:sz w:val="20"/>
        </w:rPr>
        <w:t> </w:t>
      </w:r>
      <w:r>
        <w:rPr>
          <w:spacing w:val="-6"/>
          <w:w w:val="120"/>
          <w:sz w:val="20"/>
        </w:rPr>
        <w:t>provides.”</w:t>
      </w:r>
      <w:r>
        <w:rPr>
          <w:spacing w:val="-6"/>
          <w:w w:val="120"/>
          <w:position w:val="4"/>
          <w:sz w:val="16"/>
        </w:rPr>
        <w:t>4</w:t>
      </w:r>
    </w:p>
    <w:p>
      <w:pPr>
        <w:pStyle w:val="BodyText"/>
        <w:rPr>
          <w:sz w:val="24"/>
        </w:rPr>
      </w:pPr>
    </w:p>
    <w:p>
      <w:pPr>
        <w:pStyle w:val="Heading4"/>
        <w:spacing w:before="160"/>
        <w:ind w:left="1247" w:firstLine="0"/>
      </w:pPr>
      <w:r>
        <w:rPr>
          <w:w w:val="110"/>
        </w:rPr>
        <w:t>Seeds of Renewal</w:t>
      </w:r>
    </w:p>
    <w:p>
      <w:pPr>
        <w:pStyle w:val="Heading7"/>
        <w:spacing w:line="230" w:lineRule="auto" w:before="91"/>
        <w:ind w:left="1548" w:right="2093"/>
      </w:pPr>
      <w:r>
        <w:rPr>
          <w:spacing w:val="-5"/>
          <w:w w:val="115"/>
        </w:rPr>
        <w:t>God’s</w:t>
      </w:r>
      <w:r>
        <w:rPr>
          <w:spacing w:val="-17"/>
          <w:w w:val="115"/>
        </w:rPr>
        <w:t> </w:t>
      </w:r>
      <w:r>
        <w:rPr>
          <w:spacing w:val="-4"/>
          <w:w w:val="115"/>
        </w:rPr>
        <w:t>call</w:t>
      </w:r>
      <w:r>
        <w:rPr>
          <w:spacing w:val="-16"/>
          <w:w w:val="115"/>
        </w:rPr>
        <w:t> </w:t>
      </w:r>
      <w:r>
        <w:rPr>
          <w:spacing w:val="-3"/>
          <w:w w:val="115"/>
        </w:rPr>
        <w:t>is</w:t>
      </w:r>
      <w:r>
        <w:rPr>
          <w:spacing w:val="-16"/>
          <w:w w:val="115"/>
        </w:rPr>
        <w:t> </w:t>
      </w:r>
      <w:r>
        <w:rPr>
          <w:w w:val="115"/>
        </w:rPr>
        <w:t>for</w:t>
      </w:r>
      <w:r>
        <w:rPr>
          <w:spacing w:val="-16"/>
          <w:w w:val="115"/>
        </w:rPr>
        <w:t> </w:t>
      </w:r>
      <w:r>
        <w:rPr>
          <w:spacing w:val="-4"/>
          <w:w w:val="115"/>
        </w:rPr>
        <w:t>newness</w:t>
      </w:r>
      <w:r>
        <w:rPr>
          <w:spacing w:val="-16"/>
          <w:w w:val="115"/>
        </w:rPr>
        <w:t> </w:t>
      </w:r>
      <w:r>
        <w:rPr>
          <w:w w:val="115"/>
        </w:rPr>
        <w:t>for</w:t>
      </w:r>
      <w:r>
        <w:rPr>
          <w:spacing w:val="-16"/>
          <w:w w:val="115"/>
        </w:rPr>
        <w:t> </w:t>
      </w:r>
      <w:r>
        <w:rPr>
          <w:spacing w:val="-3"/>
          <w:w w:val="115"/>
        </w:rPr>
        <w:t>the</w:t>
      </w:r>
      <w:r>
        <w:rPr>
          <w:spacing w:val="-17"/>
          <w:w w:val="115"/>
        </w:rPr>
        <w:t> </w:t>
      </w:r>
      <w:r>
        <w:rPr>
          <w:spacing w:val="-3"/>
          <w:w w:val="115"/>
        </w:rPr>
        <w:t>whole</w:t>
      </w:r>
      <w:r>
        <w:rPr>
          <w:spacing w:val="-16"/>
          <w:w w:val="115"/>
        </w:rPr>
        <w:t> </w:t>
      </w:r>
      <w:r>
        <w:rPr>
          <w:spacing w:val="-4"/>
          <w:w w:val="115"/>
        </w:rPr>
        <w:t>world,</w:t>
      </w:r>
      <w:r>
        <w:rPr>
          <w:spacing w:val="-16"/>
          <w:w w:val="115"/>
        </w:rPr>
        <w:t> </w:t>
      </w:r>
      <w:r>
        <w:rPr>
          <w:spacing w:val="-3"/>
          <w:w w:val="115"/>
        </w:rPr>
        <w:t>not</w:t>
      </w:r>
      <w:r>
        <w:rPr>
          <w:spacing w:val="-16"/>
          <w:w w:val="115"/>
        </w:rPr>
        <w:t> </w:t>
      </w:r>
      <w:r>
        <w:rPr>
          <w:spacing w:val="-3"/>
          <w:w w:val="115"/>
        </w:rPr>
        <w:t>just</w:t>
      </w:r>
      <w:r>
        <w:rPr>
          <w:spacing w:val="-16"/>
          <w:w w:val="115"/>
        </w:rPr>
        <w:t> </w:t>
      </w:r>
      <w:r>
        <w:rPr>
          <w:spacing w:val="-3"/>
          <w:w w:val="115"/>
        </w:rPr>
        <w:t>the</w:t>
      </w:r>
      <w:r>
        <w:rPr>
          <w:spacing w:val="-17"/>
          <w:w w:val="115"/>
        </w:rPr>
        <w:t> </w:t>
      </w:r>
      <w:r>
        <w:rPr>
          <w:spacing w:val="-4"/>
          <w:w w:val="115"/>
        </w:rPr>
        <w:t>Church. </w:t>
      </w:r>
      <w:r>
        <w:rPr>
          <w:spacing w:val="-3"/>
          <w:w w:val="115"/>
        </w:rPr>
        <w:t>Those</w:t>
      </w:r>
      <w:r>
        <w:rPr>
          <w:spacing w:val="-16"/>
          <w:w w:val="115"/>
        </w:rPr>
        <w:t> </w:t>
      </w:r>
      <w:r>
        <w:rPr>
          <w:w w:val="115"/>
        </w:rPr>
        <w:t>of</w:t>
      </w:r>
      <w:r>
        <w:rPr>
          <w:spacing w:val="-16"/>
          <w:w w:val="115"/>
        </w:rPr>
        <w:t> </w:t>
      </w:r>
      <w:r>
        <w:rPr>
          <w:w w:val="115"/>
        </w:rPr>
        <w:t>us</w:t>
      </w:r>
      <w:r>
        <w:rPr>
          <w:spacing w:val="-16"/>
          <w:w w:val="115"/>
        </w:rPr>
        <w:t> </w:t>
      </w:r>
      <w:r>
        <w:rPr>
          <w:spacing w:val="-3"/>
          <w:w w:val="115"/>
        </w:rPr>
        <w:t>who</w:t>
      </w:r>
      <w:r>
        <w:rPr>
          <w:spacing w:val="-16"/>
          <w:w w:val="115"/>
        </w:rPr>
        <w:t> </w:t>
      </w:r>
      <w:r>
        <w:rPr>
          <w:spacing w:val="-4"/>
          <w:w w:val="115"/>
        </w:rPr>
        <w:t>are</w:t>
      </w:r>
      <w:r>
        <w:rPr>
          <w:spacing w:val="-16"/>
          <w:w w:val="115"/>
        </w:rPr>
        <w:t> </w:t>
      </w:r>
      <w:r>
        <w:rPr>
          <w:spacing w:val="-3"/>
          <w:w w:val="115"/>
        </w:rPr>
        <w:t>called</w:t>
      </w:r>
      <w:r>
        <w:rPr>
          <w:spacing w:val="-16"/>
          <w:w w:val="115"/>
        </w:rPr>
        <w:t> </w:t>
      </w:r>
      <w:r>
        <w:rPr>
          <w:spacing w:val="-5"/>
          <w:w w:val="115"/>
        </w:rPr>
        <w:t>into</w:t>
      </w:r>
      <w:r>
        <w:rPr>
          <w:spacing w:val="-16"/>
          <w:w w:val="115"/>
        </w:rPr>
        <w:t> </w:t>
      </w:r>
      <w:r>
        <w:rPr>
          <w:spacing w:val="-3"/>
          <w:w w:val="115"/>
        </w:rPr>
        <w:t>the</w:t>
      </w:r>
      <w:r>
        <w:rPr>
          <w:spacing w:val="-16"/>
          <w:w w:val="115"/>
        </w:rPr>
        <w:t> </w:t>
      </w:r>
      <w:r>
        <w:rPr>
          <w:spacing w:val="-4"/>
          <w:w w:val="115"/>
        </w:rPr>
        <w:t>church</w:t>
      </w:r>
      <w:r>
        <w:rPr>
          <w:spacing w:val="-16"/>
          <w:w w:val="115"/>
        </w:rPr>
        <w:t> </w:t>
      </w:r>
      <w:r>
        <w:rPr>
          <w:spacing w:val="-5"/>
          <w:w w:val="115"/>
        </w:rPr>
        <w:t>have</w:t>
      </w:r>
      <w:r>
        <w:rPr>
          <w:spacing w:val="-15"/>
          <w:w w:val="115"/>
        </w:rPr>
        <w:t> </w:t>
      </w:r>
      <w:r>
        <w:rPr>
          <w:w w:val="115"/>
        </w:rPr>
        <w:t>a</w:t>
      </w:r>
      <w:r>
        <w:rPr>
          <w:spacing w:val="-16"/>
          <w:w w:val="115"/>
        </w:rPr>
        <w:t> </w:t>
      </w:r>
      <w:r>
        <w:rPr>
          <w:spacing w:val="-4"/>
          <w:w w:val="115"/>
        </w:rPr>
        <w:t>special</w:t>
      </w:r>
      <w:r>
        <w:rPr>
          <w:spacing w:val="-16"/>
          <w:w w:val="115"/>
        </w:rPr>
        <w:t> </w:t>
      </w:r>
      <w:r>
        <w:rPr>
          <w:spacing w:val="-4"/>
          <w:w w:val="115"/>
        </w:rPr>
        <w:t>vocation to</w:t>
      </w:r>
      <w:r>
        <w:rPr>
          <w:spacing w:val="-16"/>
          <w:w w:val="115"/>
        </w:rPr>
        <w:t> </w:t>
      </w:r>
      <w:r>
        <w:rPr>
          <w:spacing w:val="-4"/>
          <w:w w:val="115"/>
        </w:rPr>
        <w:t>work</w:t>
      </w:r>
      <w:r>
        <w:rPr>
          <w:spacing w:val="-16"/>
          <w:w w:val="115"/>
        </w:rPr>
        <w:t> </w:t>
      </w:r>
      <w:r>
        <w:rPr>
          <w:w w:val="115"/>
        </w:rPr>
        <w:t>for</w:t>
      </w:r>
      <w:r>
        <w:rPr>
          <w:spacing w:val="-16"/>
          <w:w w:val="115"/>
        </w:rPr>
        <w:t> </w:t>
      </w:r>
      <w:r>
        <w:rPr>
          <w:spacing w:val="-3"/>
          <w:w w:val="115"/>
        </w:rPr>
        <w:t>the</w:t>
      </w:r>
      <w:r>
        <w:rPr>
          <w:spacing w:val="-16"/>
          <w:w w:val="115"/>
        </w:rPr>
        <w:t> </w:t>
      </w:r>
      <w:r>
        <w:rPr>
          <w:spacing w:val="-4"/>
          <w:w w:val="115"/>
        </w:rPr>
        <w:t>renewal</w:t>
      </w:r>
      <w:r>
        <w:rPr>
          <w:spacing w:val="-16"/>
          <w:w w:val="115"/>
        </w:rPr>
        <w:t> </w:t>
      </w:r>
      <w:r>
        <w:rPr>
          <w:spacing w:val="-3"/>
          <w:w w:val="115"/>
        </w:rPr>
        <w:t>and</w:t>
      </w:r>
      <w:r>
        <w:rPr>
          <w:spacing w:val="-16"/>
          <w:w w:val="115"/>
        </w:rPr>
        <w:t> </w:t>
      </w:r>
      <w:r>
        <w:rPr>
          <w:spacing w:val="-4"/>
          <w:w w:val="115"/>
        </w:rPr>
        <w:t>refreshment</w:t>
      </w:r>
      <w:r>
        <w:rPr>
          <w:spacing w:val="-16"/>
          <w:w w:val="115"/>
        </w:rPr>
        <w:t> </w:t>
      </w:r>
      <w:r>
        <w:rPr>
          <w:w w:val="115"/>
        </w:rPr>
        <w:t>of</w:t>
      </w:r>
      <w:r>
        <w:rPr>
          <w:spacing w:val="-16"/>
          <w:w w:val="115"/>
        </w:rPr>
        <w:t> </w:t>
      </w:r>
      <w:r>
        <w:rPr>
          <w:spacing w:val="-3"/>
          <w:w w:val="115"/>
        </w:rPr>
        <w:t>the</w:t>
      </w:r>
      <w:r>
        <w:rPr>
          <w:spacing w:val="-16"/>
          <w:w w:val="115"/>
        </w:rPr>
        <w:t> </w:t>
      </w:r>
      <w:r>
        <w:rPr>
          <w:spacing w:val="-4"/>
          <w:w w:val="115"/>
        </w:rPr>
        <w:t>Church,</w:t>
      </w:r>
      <w:r>
        <w:rPr>
          <w:spacing w:val="-16"/>
          <w:w w:val="115"/>
        </w:rPr>
        <w:t> </w:t>
      </w:r>
      <w:r>
        <w:rPr>
          <w:spacing w:val="-3"/>
          <w:w w:val="115"/>
        </w:rPr>
        <w:t>not</w:t>
      </w:r>
      <w:r>
        <w:rPr>
          <w:spacing w:val="-16"/>
          <w:w w:val="115"/>
        </w:rPr>
        <w:t> </w:t>
      </w:r>
      <w:r>
        <w:rPr>
          <w:spacing w:val="-3"/>
          <w:w w:val="115"/>
        </w:rPr>
        <w:t>as</w:t>
      </w:r>
      <w:r>
        <w:rPr>
          <w:spacing w:val="-16"/>
          <w:w w:val="115"/>
        </w:rPr>
        <w:t> </w:t>
      </w:r>
      <w:r>
        <w:rPr>
          <w:spacing w:val="-3"/>
          <w:w w:val="115"/>
        </w:rPr>
        <w:t>an </w:t>
      </w:r>
      <w:r>
        <w:rPr>
          <w:spacing w:val="-4"/>
          <w:w w:val="115"/>
        </w:rPr>
        <w:t>institution</w:t>
      </w:r>
      <w:r>
        <w:rPr>
          <w:spacing w:val="-18"/>
          <w:w w:val="115"/>
        </w:rPr>
        <w:t> </w:t>
      </w:r>
      <w:r>
        <w:rPr>
          <w:spacing w:val="-3"/>
          <w:w w:val="115"/>
        </w:rPr>
        <w:t>out</w:t>
      </w:r>
      <w:r>
        <w:rPr>
          <w:spacing w:val="-18"/>
          <w:w w:val="115"/>
        </w:rPr>
        <w:t> </w:t>
      </w:r>
      <w:r>
        <w:rPr>
          <w:w w:val="115"/>
        </w:rPr>
        <w:t>of</w:t>
      </w:r>
      <w:r>
        <w:rPr>
          <w:spacing w:val="-18"/>
          <w:w w:val="115"/>
        </w:rPr>
        <w:t> </w:t>
      </w:r>
      <w:r>
        <w:rPr>
          <w:spacing w:val="-3"/>
          <w:w w:val="115"/>
        </w:rPr>
        <w:t>the</w:t>
      </w:r>
      <w:r>
        <w:rPr>
          <w:spacing w:val="-17"/>
          <w:w w:val="115"/>
        </w:rPr>
        <w:t> </w:t>
      </w:r>
      <w:r>
        <w:rPr>
          <w:spacing w:val="-4"/>
          <w:w w:val="115"/>
        </w:rPr>
        <w:t>past,</w:t>
      </w:r>
      <w:r>
        <w:rPr>
          <w:spacing w:val="-18"/>
          <w:w w:val="115"/>
        </w:rPr>
        <w:t> </w:t>
      </w:r>
      <w:r>
        <w:rPr>
          <w:w w:val="115"/>
        </w:rPr>
        <w:t>but</w:t>
      </w:r>
      <w:r>
        <w:rPr>
          <w:spacing w:val="-18"/>
          <w:w w:val="115"/>
        </w:rPr>
        <w:t> </w:t>
      </w:r>
      <w:r>
        <w:rPr>
          <w:spacing w:val="-3"/>
          <w:w w:val="115"/>
        </w:rPr>
        <w:t>as</w:t>
      </w:r>
      <w:r>
        <w:rPr>
          <w:spacing w:val="-18"/>
          <w:w w:val="115"/>
        </w:rPr>
        <w:t> </w:t>
      </w:r>
      <w:r>
        <w:rPr>
          <w:w w:val="115"/>
        </w:rPr>
        <w:t>a</w:t>
      </w:r>
      <w:r>
        <w:rPr>
          <w:spacing w:val="-17"/>
          <w:w w:val="115"/>
        </w:rPr>
        <w:t> </w:t>
      </w:r>
      <w:r>
        <w:rPr>
          <w:spacing w:val="-4"/>
          <w:w w:val="115"/>
        </w:rPr>
        <w:t>centering</w:t>
      </w:r>
      <w:r>
        <w:rPr>
          <w:spacing w:val="-18"/>
          <w:w w:val="115"/>
        </w:rPr>
        <w:t> </w:t>
      </w:r>
      <w:r>
        <w:rPr>
          <w:spacing w:val="-4"/>
          <w:w w:val="115"/>
        </w:rPr>
        <w:t>presence</w:t>
      </w:r>
      <w:r>
        <w:rPr>
          <w:spacing w:val="-18"/>
          <w:w w:val="115"/>
        </w:rPr>
        <w:t> </w:t>
      </w:r>
      <w:r>
        <w:rPr>
          <w:spacing w:val="-3"/>
          <w:w w:val="115"/>
        </w:rPr>
        <w:t>out</w:t>
      </w:r>
      <w:r>
        <w:rPr>
          <w:spacing w:val="-17"/>
          <w:w w:val="115"/>
        </w:rPr>
        <w:t> </w:t>
      </w:r>
      <w:r>
        <w:rPr>
          <w:w w:val="115"/>
        </w:rPr>
        <w:t>of</w:t>
      </w:r>
      <w:r>
        <w:rPr>
          <w:spacing w:val="-18"/>
          <w:w w:val="115"/>
        </w:rPr>
        <w:t> </w:t>
      </w:r>
      <w:r>
        <w:rPr>
          <w:spacing w:val="-4"/>
          <w:w w:val="115"/>
        </w:rPr>
        <w:t>which we</w:t>
      </w:r>
      <w:r>
        <w:rPr>
          <w:spacing w:val="-14"/>
          <w:w w:val="115"/>
        </w:rPr>
        <w:t> </w:t>
      </w:r>
      <w:r>
        <w:rPr>
          <w:spacing w:val="-4"/>
          <w:w w:val="115"/>
        </w:rPr>
        <w:t>may</w:t>
      </w:r>
      <w:r>
        <w:rPr>
          <w:spacing w:val="-13"/>
          <w:w w:val="115"/>
        </w:rPr>
        <w:t> </w:t>
      </w:r>
      <w:r>
        <w:rPr>
          <w:w w:val="115"/>
        </w:rPr>
        <w:t>serve</w:t>
      </w:r>
      <w:r>
        <w:rPr>
          <w:spacing w:val="-14"/>
          <w:w w:val="115"/>
        </w:rPr>
        <w:t> </w:t>
      </w:r>
      <w:r>
        <w:rPr>
          <w:spacing w:val="-3"/>
          <w:w w:val="115"/>
        </w:rPr>
        <w:t>the</w:t>
      </w:r>
      <w:r>
        <w:rPr>
          <w:spacing w:val="-13"/>
          <w:w w:val="115"/>
        </w:rPr>
        <w:t> </w:t>
      </w:r>
      <w:r>
        <w:rPr>
          <w:spacing w:val="-3"/>
          <w:w w:val="115"/>
        </w:rPr>
        <w:t>new</w:t>
      </w:r>
      <w:r>
        <w:rPr>
          <w:spacing w:val="-14"/>
          <w:w w:val="115"/>
        </w:rPr>
        <w:t> </w:t>
      </w:r>
      <w:r>
        <w:rPr>
          <w:spacing w:val="-4"/>
          <w:w w:val="115"/>
        </w:rPr>
        <w:t>world</w:t>
      </w:r>
      <w:r>
        <w:rPr>
          <w:spacing w:val="-13"/>
          <w:w w:val="115"/>
        </w:rPr>
        <w:t> </w:t>
      </w:r>
      <w:r>
        <w:rPr>
          <w:spacing w:val="-4"/>
          <w:w w:val="115"/>
        </w:rPr>
        <w:t>that</w:t>
      </w:r>
      <w:r>
        <w:rPr>
          <w:spacing w:val="-14"/>
          <w:w w:val="115"/>
        </w:rPr>
        <w:t> </w:t>
      </w:r>
      <w:r>
        <w:rPr>
          <w:w w:val="115"/>
        </w:rPr>
        <w:t>God</w:t>
      </w:r>
      <w:r>
        <w:rPr>
          <w:spacing w:val="-13"/>
          <w:w w:val="115"/>
        </w:rPr>
        <w:t> </w:t>
      </w:r>
      <w:r>
        <w:rPr>
          <w:spacing w:val="-3"/>
          <w:w w:val="115"/>
        </w:rPr>
        <w:t>is</w:t>
      </w:r>
      <w:r>
        <w:rPr>
          <w:spacing w:val="-14"/>
          <w:w w:val="115"/>
        </w:rPr>
        <w:t> </w:t>
      </w:r>
      <w:r>
        <w:rPr>
          <w:spacing w:val="-4"/>
          <w:w w:val="115"/>
        </w:rPr>
        <w:t>creating</w:t>
      </w:r>
      <w:r>
        <w:rPr>
          <w:spacing w:val="-13"/>
          <w:w w:val="115"/>
        </w:rPr>
        <w:t> </w:t>
      </w:r>
      <w:r>
        <w:rPr>
          <w:spacing w:val="-4"/>
          <w:w w:val="115"/>
        </w:rPr>
        <w:t>around</w:t>
      </w:r>
      <w:r>
        <w:rPr>
          <w:spacing w:val="-14"/>
          <w:w w:val="115"/>
        </w:rPr>
        <w:t> </w:t>
      </w:r>
      <w:r>
        <w:rPr>
          <w:spacing w:val="-3"/>
          <w:w w:val="115"/>
        </w:rPr>
        <w:t>us.</w:t>
      </w:r>
    </w:p>
    <w:p>
      <w:pPr>
        <w:spacing w:before="95"/>
        <w:ind w:left="708" w:right="1252" w:firstLine="0"/>
        <w:jc w:val="center"/>
        <w:rPr>
          <w:i/>
          <w:sz w:val="20"/>
        </w:rPr>
      </w:pPr>
      <w:r>
        <w:rPr>
          <w:w w:val="115"/>
          <w:sz w:val="20"/>
        </w:rPr>
        <w:t>Loren B Mead – </w:t>
      </w:r>
      <w:r>
        <w:rPr>
          <w:i/>
          <w:w w:val="115"/>
          <w:sz w:val="20"/>
        </w:rPr>
        <w:t>The Once and Future Church</w:t>
      </w:r>
    </w:p>
    <w:p>
      <w:pPr>
        <w:pStyle w:val="BodyText"/>
        <w:spacing w:before="7"/>
        <w:rPr>
          <w:i/>
          <w:sz w:val="19"/>
        </w:rPr>
      </w:pPr>
    </w:p>
    <w:p>
      <w:pPr>
        <w:pStyle w:val="ListParagraph"/>
        <w:numPr>
          <w:ilvl w:val="0"/>
          <w:numId w:val="42"/>
        </w:numPr>
        <w:tabs>
          <w:tab w:pos="1927" w:val="left" w:leader="none"/>
          <w:tab w:pos="1928" w:val="left" w:leader="none"/>
        </w:tabs>
        <w:spacing w:line="235" w:lineRule="auto" w:before="1" w:after="0"/>
        <w:ind w:left="1247" w:right="1887" w:firstLine="0"/>
        <w:jc w:val="left"/>
        <w:rPr>
          <w:sz w:val="20"/>
        </w:rPr>
      </w:pPr>
      <w:r>
        <w:rPr>
          <w:w w:val="120"/>
          <w:sz w:val="20"/>
        </w:rPr>
        <w:t>Confidence in all that God is and all that God promises us through Jesus Christ is   at the heart of our discipleship. The refreshing and renewing of the Holy Spirit received  as a </w:t>
      </w:r>
      <w:r>
        <w:rPr>
          <w:spacing w:val="2"/>
          <w:w w:val="120"/>
          <w:sz w:val="20"/>
        </w:rPr>
        <w:t>gift </w:t>
      </w:r>
      <w:r>
        <w:rPr>
          <w:w w:val="120"/>
          <w:sz w:val="20"/>
        </w:rPr>
        <w:t>to individuals and to churches is the key to our renewal. Prayer needs to be at the heart of all that we do. We see prayer finding an increased emphasis in many ways: through prayer shawl ministries which have arisen; through the work of the St Cuthbert’s Centre</w:t>
      </w:r>
      <w:r>
        <w:rPr>
          <w:spacing w:val="6"/>
          <w:w w:val="120"/>
          <w:sz w:val="20"/>
        </w:rPr>
        <w:t> </w:t>
      </w:r>
      <w:r>
        <w:rPr>
          <w:w w:val="120"/>
          <w:sz w:val="20"/>
        </w:rPr>
        <w:t>on</w:t>
      </w:r>
      <w:r>
        <w:rPr>
          <w:spacing w:val="6"/>
          <w:w w:val="120"/>
          <w:sz w:val="20"/>
        </w:rPr>
        <w:t> </w:t>
      </w:r>
      <w:r>
        <w:rPr>
          <w:w w:val="120"/>
          <w:sz w:val="20"/>
        </w:rPr>
        <w:t>Holy</w:t>
      </w:r>
      <w:r>
        <w:rPr>
          <w:spacing w:val="7"/>
          <w:w w:val="120"/>
          <w:sz w:val="20"/>
        </w:rPr>
        <w:t> </w:t>
      </w:r>
      <w:r>
        <w:rPr>
          <w:w w:val="120"/>
          <w:sz w:val="20"/>
        </w:rPr>
        <w:t>Island;</w:t>
      </w:r>
      <w:r>
        <w:rPr>
          <w:spacing w:val="6"/>
          <w:w w:val="120"/>
          <w:sz w:val="20"/>
        </w:rPr>
        <w:t> </w:t>
      </w:r>
      <w:r>
        <w:rPr>
          <w:w w:val="120"/>
          <w:sz w:val="20"/>
        </w:rPr>
        <w:t>through</w:t>
      </w:r>
      <w:r>
        <w:rPr>
          <w:spacing w:val="6"/>
          <w:w w:val="120"/>
          <w:sz w:val="20"/>
        </w:rPr>
        <w:t> </w:t>
      </w:r>
      <w:r>
        <w:rPr>
          <w:w w:val="120"/>
          <w:sz w:val="20"/>
        </w:rPr>
        <w:t>the</w:t>
      </w:r>
      <w:r>
        <w:rPr>
          <w:spacing w:val="7"/>
          <w:w w:val="120"/>
          <w:sz w:val="20"/>
        </w:rPr>
        <w:t> </w:t>
      </w:r>
      <w:r>
        <w:rPr>
          <w:w w:val="120"/>
          <w:sz w:val="20"/>
        </w:rPr>
        <w:t>emergence</w:t>
      </w:r>
      <w:r>
        <w:rPr>
          <w:spacing w:val="6"/>
          <w:w w:val="120"/>
          <w:sz w:val="20"/>
        </w:rPr>
        <w:t> </w:t>
      </w:r>
      <w:r>
        <w:rPr>
          <w:w w:val="120"/>
          <w:sz w:val="20"/>
        </w:rPr>
        <w:t>of</w:t>
      </w:r>
      <w:r>
        <w:rPr>
          <w:spacing w:val="6"/>
          <w:w w:val="120"/>
          <w:sz w:val="20"/>
        </w:rPr>
        <w:t> </w:t>
      </w:r>
      <w:r>
        <w:rPr>
          <w:w w:val="120"/>
          <w:sz w:val="20"/>
        </w:rPr>
        <w:t>a</w:t>
      </w:r>
      <w:r>
        <w:rPr>
          <w:spacing w:val="7"/>
          <w:w w:val="120"/>
          <w:sz w:val="20"/>
        </w:rPr>
        <w:t> </w:t>
      </w:r>
      <w:r>
        <w:rPr>
          <w:w w:val="120"/>
          <w:sz w:val="20"/>
        </w:rPr>
        <w:t>prayer</w:t>
      </w:r>
      <w:r>
        <w:rPr>
          <w:spacing w:val="6"/>
          <w:w w:val="120"/>
          <w:sz w:val="20"/>
        </w:rPr>
        <w:t> </w:t>
      </w:r>
      <w:r>
        <w:rPr>
          <w:w w:val="120"/>
          <w:sz w:val="20"/>
        </w:rPr>
        <w:t>community</w:t>
      </w:r>
      <w:r>
        <w:rPr>
          <w:spacing w:val="6"/>
          <w:w w:val="120"/>
          <w:sz w:val="20"/>
        </w:rPr>
        <w:t> </w:t>
      </w:r>
      <w:r>
        <w:rPr>
          <w:w w:val="120"/>
          <w:sz w:val="20"/>
        </w:rPr>
        <w:t>within</w:t>
      </w:r>
      <w:r>
        <w:rPr>
          <w:spacing w:val="7"/>
          <w:w w:val="120"/>
          <w:sz w:val="20"/>
        </w:rPr>
        <w:t> </w:t>
      </w:r>
      <w:r>
        <w:rPr>
          <w:w w:val="120"/>
          <w:sz w:val="20"/>
        </w:rPr>
        <w:t>the</w:t>
      </w:r>
      <w:r>
        <w:rPr>
          <w:spacing w:val="6"/>
          <w:w w:val="120"/>
          <w:sz w:val="20"/>
        </w:rPr>
        <w:t> </w:t>
      </w:r>
      <w:r>
        <w:rPr>
          <w:w w:val="120"/>
          <w:sz w:val="20"/>
        </w:rPr>
        <w:t>URC;</w:t>
      </w:r>
      <w:r>
        <w:rPr>
          <w:spacing w:val="7"/>
          <w:w w:val="120"/>
          <w:sz w:val="20"/>
        </w:rPr>
        <w:t> </w:t>
      </w:r>
      <w:r>
        <w:rPr>
          <w:w w:val="120"/>
          <w:sz w:val="20"/>
        </w:rPr>
        <w:t>as</w:t>
      </w:r>
    </w:p>
    <w:p>
      <w:pPr>
        <w:pStyle w:val="BodyText"/>
        <w:spacing w:line="235" w:lineRule="auto" w:before="4"/>
        <w:ind w:left="1247" w:right="1352"/>
      </w:pPr>
      <w:r>
        <w:rPr>
          <w:w w:val="120"/>
        </w:rPr>
        <w:t>well as through the many country chapels offering themselves as retreat venues and other churches offering themselves as open places of prayer and reflection.</w:t>
      </w:r>
    </w:p>
    <w:p>
      <w:pPr>
        <w:pStyle w:val="BodyText"/>
        <w:spacing w:before="9"/>
        <w:rPr>
          <w:sz w:val="19"/>
        </w:rPr>
      </w:pPr>
    </w:p>
    <w:p>
      <w:pPr>
        <w:pStyle w:val="ListParagraph"/>
        <w:numPr>
          <w:ilvl w:val="0"/>
          <w:numId w:val="42"/>
        </w:numPr>
        <w:tabs>
          <w:tab w:pos="1927" w:val="left" w:leader="none"/>
          <w:tab w:pos="1928" w:val="left" w:leader="none"/>
        </w:tabs>
        <w:spacing w:line="235" w:lineRule="auto" w:before="1" w:after="0"/>
        <w:ind w:left="1247" w:right="1923" w:firstLine="0"/>
        <w:jc w:val="left"/>
        <w:rPr>
          <w:sz w:val="20"/>
        </w:rPr>
      </w:pPr>
      <w:r>
        <w:rPr>
          <w:w w:val="120"/>
          <w:sz w:val="20"/>
        </w:rPr>
        <w:t>It is encouraging to see evidence of a greater ethnic diversity within the Church being reflected amongst those candidating for ministry within the United Reformed Church. General Assembly’s commitment to a multi-racial, multi-cultural officer may well have encouraged the growing diversity within our congregations. There is work to do here in ensuring that intercultural sensitivity leads to informed relationships between inherited Church and newer ‘tenant’</w:t>
      </w:r>
      <w:r>
        <w:rPr>
          <w:spacing w:val="14"/>
          <w:w w:val="120"/>
          <w:sz w:val="20"/>
        </w:rPr>
        <w:t> </w:t>
      </w:r>
      <w:r>
        <w:rPr>
          <w:w w:val="120"/>
          <w:sz w:val="20"/>
        </w:rPr>
        <w:t>congregations.</w:t>
      </w:r>
    </w:p>
    <w:p>
      <w:pPr>
        <w:pStyle w:val="BodyText"/>
      </w:pPr>
    </w:p>
    <w:p>
      <w:pPr>
        <w:pStyle w:val="ListParagraph"/>
        <w:numPr>
          <w:ilvl w:val="0"/>
          <w:numId w:val="42"/>
        </w:numPr>
        <w:tabs>
          <w:tab w:pos="1927" w:val="left" w:leader="none"/>
          <w:tab w:pos="1928" w:val="left" w:leader="none"/>
        </w:tabs>
        <w:spacing w:line="235" w:lineRule="auto" w:before="0" w:after="0"/>
        <w:ind w:left="1247" w:right="2107" w:firstLine="0"/>
        <w:jc w:val="left"/>
        <w:rPr>
          <w:sz w:val="20"/>
        </w:rPr>
      </w:pPr>
      <w:r>
        <w:rPr>
          <w:w w:val="120"/>
          <w:sz w:val="20"/>
        </w:rPr>
        <w:t>People of different theological persuasions within the Church need to dialogue with one another over the matters which divide rather than taking to different </w:t>
      </w:r>
      <w:r>
        <w:rPr>
          <w:spacing w:val="-4"/>
          <w:w w:val="120"/>
          <w:sz w:val="20"/>
        </w:rPr>
        <w:t>‘camps.’ </w:t>
      </w:r>
      <w:r>
        <w:rPr>
          <w:w w:val="120"/>
          <w:sz w:val="20"/>
        </w:rPr>
        <w:t>Examples of this are the Westminster consultation over issues of human sexuality and collaboration between people of different understandings over the </w:t>
      </w:r>
      <w:r>
        <w:rPr>
          <w:i/>
          <w:w w:val="120"/>
          <w:sz w:val="20"/>
        </w:rPr>
        <w:t>Vision4Life </w:t>
      </w:r>
      <w:r>
        <w:rPr>
          <w:w w:val="120"/>
          <w:sz w:val="20"/>
        </w:rPr>
        <w:t>process. The challenge for the United Reformed Church is to relinquish a sectarian spirit and recover catholicity and</w:t>
      </w:r>
      <w:r>
        <w:rPr>
          <w:spacing w:val="6"/>
          <w:w w:val="120"/>
          <w:sz w:val="20"/>
        </w:rPr>
        <w:t> </w:t>
      </w:r>
      <w:r>
        <w:rPr>
          <w:w w:val="120"/>
          <w:sz w:val="20"/>
        </w:rPr>
        <w:t>wholeness.</w:t>
      </w:r>
    </w:p>
    <w:p>
      <w:pPr>
        <w:pStyle w:val="BodyText"/>
      </w:pPr>
    </w:p>
    <w:p>
      <w:pPr>
        <w:pStyle w:val="ListParagraph"/>
        <w:numPr>
          <w:ilvl w:val="0"/>
          <w:numId w:val="42"/>
        </w:numPr>
        <w:tabs>
          <w:tab w:pos="1927" w:val="left" w:leader="none"/>
          <w:tab w:pos="1928" w:val="left" w:leader="none"/>
        </w:tabs>
        <w:spacing w:line="235" w:lineRule="auto" w:before="0" w:after="0"/>
        <w:ind w:left="1247" w:right="1846" w:firstLine="0"/>
        <w:jc w:val="left"/>
        <w:rPr>
          <w:sz w:val="20"/>
        </w:rPr>
      </w:pPr>
      <w:r>
        <w:rPr>
          <w:w w:val="120"/>
          <w:sz w:val="20"/>
        </w:rPr>
        <w:t>Various online forums have enabled lively debates to ensue about a range of issues facing the United Reformed Church and the Church as a whole. </w:t>
      </w:r>
      <w:r>
        <w:rPr>
          <w:spacing w:val="3"/>
          <w:w w:val="120"/>
          <w:sz w:val="20"/>
        </w:rPr>
        <w:t>As </w:t>
      </w:r>
      <w:r>
        <w:rPr>
          <w:w w:val="120"/>
          <w:sz w:val="20"/>
        </w:rPr>
        <w:t>a mark of theological ferment both to participants and the greater cloud of witnesses who click on the URC website, these demonstrate that the United Reformed Church is still thinking about its faith and still passionate about how to live the faith and make its implications</w:t>
      </w:r>
      <w:r>
        <w:rPr>
          <w:spacing w:val="9"/>
          <w:w w:val="120"/>
          <w:sz w:val="20"/>
        </w:rPr>
        <w:t> </w:t>
      </w:r>
      <w:r>
        <w:rPr>
          <w:spacing w:val="-3"/>
          <w:w w:val="120"/>
          <w:sz w:val="20"/>
        </w:rPr>
        <w:t>clear.</w:t>
      </w:r>
    </w:p>
    <w:p>
      <w:pPr>
        <w:pStyle w:val="BodyText"/>
      </w:pPr>
    </w:p>
    <w:p>
      <w:pPr>
        <w:pStyle w:val="ListParagraph"/>
        <w:numPr>
          <w:ilvl w:val="0"/>
          <w:numId w:val="42"/>
        </w:numPr>
        <w:tabs>
          <w:tab w:pos="1927" w:val="left" w:leader="none"/>
          <w:tab w:pos="1928" w:val="left" w:leader="none"/>
        </w:tabs>
        <w:spacing w:line="235" w:lineRule="auto" w:before="0" w:after="0"/>
        <w:ind w:left="1247" w:right="1825" w:firstLine="0"/>
        <w:jc w:val="left"/>
        <w:rPr>
          <w:sz w:val="20"/>
        </w:rPr>
      </w:pPr>
      <w:r>
        <w:rPr>
          <w:w w:val="120"/>
          <w:sz w:val="20"/>
        </w:rPr>
        <w:t>The special category ministry provision has led to many different types of Christian presence in the wider community and innovative engagements. The National</w:t>
      </w:r>
      <w:r>
        <w:rPr>
          <w:spacing w:val="9"/>
          <w:w w:val="120"/>
          <w:sz w:val="20"/>
        </w:rPr>
        <w:t> </w:t>
      </w:r>
      <w:r>
        <w:rPr>
          <w:w w:val="120"/>
          <w:sz w:val="20"/>
        </w:rPr>
        <w:t>Synod</w:t>
      </w:r>
    </w:p>
    <w:p>
      <w:pPr>
        <w:pStyle w:val="BodyText"/>
        <w:spacing w:line="235" w:lineRule="auto" w:before="1"/>
        <w:ind w:left="1247" w:right="2412"/>
      </w:pPr>
      <w:r>
        <w:rPr>
          <w:w w:val="120"/>
        </w:rPr>
        <w:t>of Scotland, partnering with the Church of Scotland, is contributing an SCM minister to the eco congregations movement. Congregations are encouraged to become</w:t>
      </w:r>
    </w:p>
    <w:p>
      <w:pPr>
        <w:pStyle w:val="BodyText"/>
        <w:spacing w:line="235" w:lineRule="auto" w:before="2"/>
        <w:ind w:left="1247" w:right="2004"/>
      </w:pPr>
      <w:r>
        <w:rPr>
          <w:w w:val="120"/>
        </w:rPr>
        <w:t>ecocongregations by taking care of their environment. Ecocongregations also campaigns within the Scottish parliament for greater care of the earth.</w:t>
      </w:r>
    </w:p>
    <w:p>
      <w:pPr>
        <w:pStyle w:val="BodyText"/>
        <w:spacing w:before="9"/>
        <w:rPr>
          <w:sz w:val="19"/>
        </w:rPr>
      </w:pPr>
    </w:p>
    <w:p>
      <w:pPr>
        <w:pStyle w:val="ListParagraph"/>
        <w:numPr>
          <w:ilvl w:val="0"/>
          <w:numId w:val="42"/>
        </w:numPr>
        <w:tabs>
          <w:tab w:pos="1927" w:val="left" w:leader="none"/>
          <w:tab w:pos="1928" w:val="left" w:leader="none"/>
        </w:tabs>
        <w:spacing w:line="235" w:lineRule="auto" w:before="0" w:after="0"/>
        <w:ind w:left="1247" w:right="1858" w:firstLine="0"/>
        <w:jc w:val="left"/>
        <w:rPr>
          <w:sz w:val="20"/>
        </w:rPr>
      </w:pPr>
      <w:r>
        <w:rPr>
          <w:w w:val="120"/>
          <w:sz w:val="20"/>
        </w:rPr>
        <w:t>In the </w:t>
      </w:r>
      <w:r>
        <w:rPr>
          <w:spacing w:val="2"/>
          <w:w w:val="120"/>
          <w:sz w:val="20"/>
        </w:rPr>
        <w:t>story </w:t>
      </w:r>
      <w:r>
        <w:rPr>
          <w:w w:val="120"/>
          <w:sz w:val="20"/>
        </w:rPr>
        <w:t>of the drought ending in 1 Kings </w:t>
      </w:r>
      <w:r>
        <w:rPr>
          <w:spacing w:val="-5"/>
          <w:w w:val="120"/>
          <w:sz w:val="20"/>
        </w:rPr>
        <w:t>18, </w:t>
      </w:r>
      <w:r>
        <w:rPr>
          <w:w w:val="120"/>
          <w:sz w:val="20"/>
        </w:rPr>
        <w:t>Elijah tells Ahab that he can hear the sound of rushing rain. After prayer he sends his servant seven times to look to the  sea. Finally he sees a small cloud no bigger than a person’s hand. It is the precursor to the life-giving rain the land so craved. It is our hope that through this report, you may notice some small signs of the renewing presence of the Spirit bringing to our structures and to Christ’s mission through the URC, a freshness and</w:t>
      </w:r>
      <w:r>
        <w:rPr>
          <w:spacing w:val="16"/>
          <w:w w:val="120"/>
          <w:sz w:val="20"/>
        </w:rPr>
        <w:t> </w:t>
      </w:r>
      <w:r>
        <w:rPr>
          <w:w w:val="120"/>
          <w:sz w:val="20"/>
        </w:rPr>
        <w:t>vitality.</w:t>
      </w:r>
    </w:p>
    <w:p>
      <w:pPr>
        <w:spacing w:after="0" w:line="235" w:lineRule="auto"/>
        <w:jc w:val="left"/>
        <w:rPr>
          <w:sz w:val="20"/>
        </w:rPr>
        <w:sectPr>
          <w:headerReference w:type="even" r:id="rId172"/>
          <w:pgSz w:w="11910" w:h="16840"/>
          <w:pgMar w:header="0" w:footer="647" w:top="0" w:bottom="840" w:left="0" w:right="0"/>
        </w:sectPr>
      </w:pPr>
    </w:p>
    <w:p>
      <w:pPr>
        <w:pStyle w:val="BodyText"/>
      </w:pPr>
    </w:p>
    <w:p>
      <w:pPr>
        <w:pStyle w:val="BodyText"/>
        <w:spacing w:before="7"/>
        <w:rPr>
          <w:sz w:val="21"/>
        </w:rPr>
      </w:pPr>
    </w:p>
    <w:p>
      <w:pPr>
        <w:spacing w:after="0"/>
        <w:rPr>
          <w:sz w:val="21"/>
        </w:rPr>
        <w:sectPr>
          <w:headerReference w:type="default" r:id="rId173"/>
          <w:footerReference w:type="default" r:id="rId174"/>
          <w:pgSz w:w="11910" w:h="16840"/>
          <w:pgMar w:header="0" w:footer="647" w:top="0" w:bottom="840" w:left="0" w:right="0"/>
          <w:pgNumType w:start="75"/>
        </w:sectPr>
      </w:pPr>
    </w:p>
    <w:p>
      <w:pPr>
        <w:pStyle w:val="BodyText"/>
        <w:spacing w:before="4"/>
        <w:rPr>
          <w:sz w:val="52"/>
        </w:rPr>
      </w:pPr>
    </w:p>
    <w:p>
      <w:pPr>
        <w:pStyle w:val="Heading4"/>
        <w:ind w:left="1984" w:firstLine="0"/>
      </w:pPr>
      <w:r>
        <w:rPr>
          <w:w w:val="110"/>
        </w:rPr>
        <w:t>Personalia</w:t>
      </w:r>
    </w:p>
    <w:p>
      <w:pPr>
        <w:pStyle w:val="Heading5"/>
        <w:ind w:left="1984"/>
      </w:pPr>
      <w:r>
        <w:rPr/>
        <w:br w:type="column"/>
      </w:r>
      <w:r>
        <w:rPr>
          <w:color w:val="7EAABF"/>
          <w:w w:val="115"/>
        </w:rPr>
        <w:t>Synod Moderators report</w:t>
      </w:r>
    </w:p>
    <w:p>
      <w:pPr>
        <w:spacing w:after="0"/>
        <w:sectPr>
          <w:type w:val="continuous"/>
          <w:pgSz w:w="11910" w:h="16840"/>
          <w:pgMar w:top="680" w:bottom="280" w:left="0" w:right="0"/>
          <w:cols w:num="2" w:equalWidth="0">
            <w:col w:w="3680" w:space="1885"/>
            <w:col w:w="6345"/>
          </w:cols>
        </w:sectPr>
      </w:pPr>
    </w:p>
    <w:p>
      <w:pPr>
        <w:pStyle w:val="ListParagraph"/>
        <w:numPr>
          <w:ilvl w:val="0"/>
          <w:numId w:val="42"/>
        </w:numPr>
        <w:tabs>
          <w:tab w:pos="2664" w:val="left" w:leader="none"/>
          <w:tab w:pos="2665" w:val="left" w:leader="none"/>
        </w:tabs>
        <w:spacing w:line="235" w:lineRule="auto" w:before="69" w:after="0"/>
        <w:ind w:left="1984" w:right="1623" w:firstLine="0"/>
        <w:jc w:val="left"/>
        <w:rPr>
          <w:sz w:val="20"/>
        </w:rPr>
      </w:pPr>
      <w:r>
        <w:rPr/>
        <w:drawing>
          <wp:anchor distT="0" distB="0" distL="0" distR="0" allowOverlap="1" layoutInCell="1" locked="0" behindDoc="0" simplePos="0" relativeHeight="251870208">
            <wp:simplePos x="0" y="0"/>
            <wp:positionH relativeFrom="page">
              <wp:posOffset>6974928</wp:posOffset>
            </wp:positionH>
            <wp:positionV relativeFrom="page">
              <wp:posOffset>0</wp:posOffset>
            </wp:positionV>
            <wp:extent cx="585063" cy="10692003"/>
            <wp:effectExtent l="0" t="0" r="0" b="0"/>
            <wp:wrapNone/>
            <wp:docPr id="139" name="image5.png"/>
            <wp:cNvGraphicFramePr>
              <a:graphicFrameLocks noChangeAspect="1"/>
            </wp:cNvGraphicFramePr>
            <a:graphic>
              <a:graphicData uri="http://schemas.openxmlformats.org/drawingml/2006/picture">
                <pic:pic>
                  <pic:nvPicPr>
                    <pic:cNvPr id="140" name="image5.png"/>
                    <pic:cNvPicPr/>
                  </pic:nvPicPr>
                  <pic:blipFill>
                    <a:blip r:embed="rId10" cstate="print"/>
                    <a:stretch>
                      <a:fillRect/>
                    </a:stretch>
                  </pic:blipFill>
                  <pic:spPr>
                    <a:xfrm>
                      <a:off x="0" y="0"/>
                      <a:ext cx="585063" cy="10692003"/>
                    </a:xfrm>
                    <a:prstGeom prst="rect">
                      <a:avLst/>
                    </a:prstGeom>
                  </pic:spPr>
                </pic:pic>
              </a:graphicData>
            </a:graphic>
          </wp:anchor>
        </w:drawing>
      </w:r>
      <w:r>
        <w:rPr/>
        <w:pict>
          <v:shape style="position:absolute;margin-left:554.141174pt;margin-top:-28.931347pt;width:25.9pt;height:264.55pt;mso-position-horizontal-relative:page;mso-position-vertical-relative:paragraph;z-index:251871232" type="#_x0000_t202" filled="false" stroked="false">
            <v:textbox inset="0,0,0,0" style="layout-flow:vertical">
              <w:txbxContent>
                <w:p>
                  <w:pPr>
                    <w:spacing w:before="27"/>
                    <w:ind w:left="20" w:right="0" w:firstLine="0"/>
                    <w:jc w:val="left"/>
                    <w:rPr>
                      <w:sz w:val="39"/>
                    </w:rPr>
                  </w:pPr>
                  <w:r>
                    <w:rPr>
                      <w:color w:val="FFFFFF"/>
                      <w:w w:val="120"/>
                      <w:sz w:val="39"/>
                    </w:rPr>
                    <w:t>Synod moderators’ report</w:t>
                  </w:r>
                </w:p>
              </w:txbxContent>
            </v:textbox>
            <w10:wrap type="none"/>
          </v:shape>
        </w:pict>
      </w:r>
      <w:r>
        <w:rPr>
          <w:w w:val="120"/>
          <w:sz w:val="20"/>
        </w:rPr>
        <w:t>Since our last </w:t>
      </w:r>
      <w:r>
        <w:rPr>
          <w:spacing w:val="2"/>
          <w:w w:val="120"/>
          <w:sz w:val="20"/>
        </w:rPr>
        <w:t>report </w:t>
      </w:r>
      <w:r>
        <w:rPr>
          <w:w w:val="120"/>
          <w:sz w:val="20"/>
        </w:rPr>
        <w:t>to General Assembly we have said goodbye to Rowena Francis, who has returned to local ministry and we have welcomed Lis Mullen as interim synod moderator of </w:t>
      </w:r>
      <w:r>
        <w:rPr>
          <w:spacing w:val="2"/>
          <w:w w:val="120"/>
          <w:sz w:val="20"/>
        </w:rPr>
        <w:t>Northern </w:t>
      </w:r>
      <w:r>
        <w:rPr>
          <w:w w:val="120"/>
          <w:sz w:val="20"/>
        </w:rPr>
        <w:t>Synod. David Grosch-Miller has also </w:t>
      </w:r>
      <w:r>
        <w:rPr>
          <w:spacing w:val="2"/>
          <w:w w:val="120"/>
          <w:sz w:val="20"/>
        </w:rPr>
        <w:t>left </w:t>
      </w:r>
      <w:r>
        <w:rPr>
          <w:w w:val="120"/>
          <w:sz w:val="20"/>
        </w:rPr>
        <w:t>for an active retirement in the service of the Church to be succeeded by Ruth Whitehead  as moderator of South Western Synod. Howard Sharp retires from Mersey Synod in June</w:t>
      </w:r>
      <w:r>
        <w:rPr>
          <w:spacing w:val="4"/>
          <w:w w:val="120"/>
          <w:sz w:val="20"/>
        </w:rPr>
        <w:t> </w:t>
      </w:r>
      <w:r>
        <w:rPr>
          <w:w w:val="120"/>
          <w:sz w:val="20"/>
        </w:rPr>
        <w:t>and</w:t>
      </w:r>
      <w:r>
        <w:rPr>
          <w:spacing w:val="4"/>
          <w:w w:val="120"/>
          <w:sz w:val="20"/>
        </w:rPr>
        <w:t> </w:t>
      </w:r>
      <w:r>
        <w:rPr>
          <w:w w:val="120"/>
          <w:sz w:val="20"/>
        </w:rPr>
        <w:t>we</w:t>
      </w:r>
      <w:r>
        <w:rPr>
          <w:spacing w:val="5"/>
          <w:w w:val="120"/>
          <w:sz w:val="20"/>
        </w:rPr>
        <w:t> </w:t>
      </w:r>
      <w:r>
        <w:rPr>
          <w:w w:val="120"/>
          <w:sz w:val="20"/>
        </w:rPr>
        <w:t>will</w:t>
      </w:r>
      <w:r>
        <w:rPr>
          <w:spacing w:val="4"/>
          <w:w w:val="120"/>
          <w:sz w:val="20"/>
        </w:rPr>
        <w:t> </w:t>
      </w:r>
      <w:r>
        <w:rPr>
          <w:w w:val="120"/>
          <w:sz w:val="20"/>
        </w:rPr>
        <w:t>be</w:t>
      </w:r>
      <w:r>
        <w:rPr>
          <w:spacing w:val="4"/>
          <w:w w:val="120"/>
          <w:sz w:val="20"/>
        </w:rPr>
        <w:t> </w:t>
      </w:r>
      <w:r>
        <w:rPr>
          <w:w w:val="120"/>
          <w:sz w:val="20"/>
        </w:rPr>
        <w:t>welcoming</w:t>
      </w:r>
      <w:r>
        <w:rPr>
          <w:spacing w:val="5"/>
          <w:w w:val="120"/>
          <w:sz w:val="20"/>
        </w:rPr>
        <w:t> </w:t>
      </w:r>
      <w:r>
        <w:rPr>
          <w:w w:val="120"/>
          <w:sz w:val="20"/>
        </w:rPr>
        <w:t>his</w:t>
      </w:r>
      <w:r>
        <w:rPr>
          <w:spacing w:val="4"/>
          <w:w w:val="120"/>
          <w:sz w:val="20"/>
        </w:rPr>
        <w:t> </w:t>
      </w:r>
      <w:r>
        <w:rPr>
          <w:spacing w:val="-3"/>
          <w:w w:val="120"/>
          <w:sz w:val="20"/>
        </w:rPr>
        <w:t>successor.</w:t>
      </w:r>
      <w:r>
        <w:rPr>
          <w:spacing w:val="5"/>
          <w:w w:val="120"/>
          <w:sz w:val="20"/>
        </w:rPr>
        <w:t> </w:t>
      </w:r>
      <w:r>
        <w:rPr>
          <w:w w:val="120"/>
          <w:sz w:val="20"/>
        </w:rPr>
        <w:t>In</w:t>
      </w:r>
      <w:r>
        <w:rPr>
          <w:spacing w:val="4"/>
          <w:w w:val="120"/>
          <w:sz w:val="20"/>
        </w:rPr>
        <w:t> </w:t>
      </w:r>
      <w:r>
        <w:rPr>
          <w:w w:val="120"/>
          <w:sz w:val="20"/>
        </w:rPr>
        <w:t>the</w:t>
      </w:r>
      <w:r>
        <w:rPr>
          <w:spacing w:val="4"/>
          <w:w w:val="120"/>
          <w:sz w:val="20"/>
        </w:rPr>
        <w:t> </w:t>
      </w:r>
      <w:r>
        <w:rPr>
          <w:w w:val="120"/>
          <w:sz w:val="20"/>
        </w:rPr>
        <w:t>parting</w:t>
      </w:r>
      <w:r>
        <w:rPr>
          <w:spacing w:val="5"/>
          <w:w w:val="120"/>
          <w:sz w:val="20"/>
        </w:rPr>
        <w:t> </w:t>
      </w:r>
      <w:r>
        <w:rPr>
          <w:w w:val="120"/>
          <w:sz w:val="20"/>
        </w:rPr>
        <w:t>there</w:t>
      </w:r>
      <w:r>
        <w:rPr>
          <w:spacing w:val="4"/>
          <w:w w:val="120"/>
          <w:sz w:val="20"/>
        </w:rPr>
        <w:t> </w:t>
      </w:r>
      <w:r>
        <w:rPr>
          <w:w w:val="120"/>
          <w:sz w:val="20"/>
        </w:rPr>
        <w:t>is</w:t>
      </w:r>
      <w:r>
        <w:rPr>
          <w:spacing w:val="5"/>
          <w:w w:val="120"/>
          <w:sz w:val="20"/>
        </w:rPr>
        <w:t> </w:t>
      </w:r>
      <w:r>
        <w:rPr>
          <w:w w:val="120"/>
          <w:sz w:val="20"/>
        </w:rPr>
        <w:t>sadness.</w:t>
      </w:r>
      <w:r>
        <w:rPr>
          <w:spacing w:val="4"/>
          <w:w w:val="120"/>
          <w:sz w:val="20"/>
        </w:rPr>
        <w:t> </w:t>
      </w:r>
      <w:r>
        <w:rPr>
          <w:w w:val="120"/>
          <w:sz w:val="20"/>
        </w:rPr>
        <w:t>In</w:t>
      </w:r>
      <w:r>
        <w:rPr>
          <w:spacing w:val="4"/>
          <w:w w:val="120"/>
          <w:sz w:val="20"/>
        </w:rPr>
        <w:t> </w:t>
      </w:r>
      <w:r>
        <w:rPr>
          <w:w w:val="120"/>
          <w:sz w:val="20"/>
        </w:rPr>
        <w:t>the</w:t>
      </w:r>
    </w:p>
    <w:p>
      <w:pPr>
        <w:pStyle w:val="BodyText"/>
        <w:spacing w:line="235" w:lineRule="auto" w:before="4"/>
        <w:ind w:left="1984" w:right="1352"/>
      </w:pPr>
      <w:r>
        <w:rPr>
          <w:w w:val="120"/>
        </w:rPr>
        <w:t>joining, we look forward to all that Lis, Ruth and the new Mersey Synod moderator will contribute to this team.</w:t>
      </w:r>
    </w:p>
    <w:p>
      <w:pPr>
        <w:pStyle w:val="BodyText"/>
        <w:rPr>
          <w:sz w:val="24"/>
        </w:rPr>
      </w:pPr>
    </w:p>
    <w:p>
      <w:pPr>
        <w:pStyle w:val="Heading9"/>
        <w:spacing w:before="173"/>
        <w:ind w:left="1984" w:firstLine="0"/>
      </w:pPr>
      <w:r>
        <w:rPr>
          <w:w w:val="110"/>
        </w:rPr>
        <w:t>Endnotes</w:t>
      </w:r>
    </w:p>
    <w:p>
      <w:pPr>
        <w:pStyle w:val="ListParagraph"/>
        <w:numPr>
          <w:ilvl w:val="0"/>
          <w:numId w:val="43"/>
        </w:numPr>
        <w:tabs>
          <w:tab w:pos="2437" w:val="left" w:leader="none"/>
          <w:tab w:pos="2438" w:val="left" w:leader="none"/>
        </w:tabs>
        <w:spacing w:line="210" w:lineRule="exact" w:before="0" w:after="0"/>
        <w:ind w:left="2437" w:right="0" w:hanging="454"/>
        <w:jc w:val="left"/>
        <w:rPr>
          <w:sz w:val="18"/>
        </w:rPr>
      </w:pPr>
      <w:r>
        <w:rPr>
          <w:w w:val="115"/>
          <w:sz w:val="18"/>
        </w:rPr>
        <w:t>Richard Giles, </w:t>
      </w:r>
      <w:r>
        <w:rPr>
          <w:i/>
          <w:w w:val="115"/>
          <w:sz w:val="18"/>
        </w:rPr>
        <w:t>Re-pitching the </w:t>
      </w:r>
      <w:r>
        <w:rPr>
          <w:i/>
          <w:spacing w:val="-3"/>
          <w:w w:val="115"/>
          <w:sz w:val="18"/>
        </w:rPr>
        <w:t>Tent</w:t>
      </w:r>
      <w:r>
        <w:rPr>
          <w:spacing w:val="-3"/>
          <w:w w:val="115"/>
          <w:sz w:val="18"/>
        </w:rPr>
        <w:t>, </w:t>
      </w:r>
      <w:r>
        <w:rPr>
          <w:w w:val="115"/>
          <w:sz w:val="18"/>
        </w:rPr>
        <w:t>p</w:t>
      </w:r>
      <w:r>
        <w:rPr>
          <w:spacing w:val="21"/>
          <w:w w:val="115"/>
          <w:sz w:val="18"/>
        </w:rPr>
        <w:t> </w:t>
      </w:r>
      <w:r>
        <w:rPr>
          <w:spacing w:val="-3"/>
          <w:w w:val="115"/>
          <w:sz w:val="18"/>
        </w:rPr>
        <w:t>63</w:t>
      </w:r>
    </w:p>
    <w:p>
      <w:pPr>
        <w:pStyle w:val="ListParagraph"/>
        <w:numPr>
          <w:ilvl w:val="0"/>
          <w:numId w:val="43"/>
        </w:numPr>
        <w:tabs>
          <w:tab w:pos="2437" w:val="left" w:leader="none"/>
          <w:tab w:pos="2438" w:val="left" w:leader="none"/>
        </w:tabs>
        <w:spacing w:line="240" w:lineRule="auto" w:before="0" w:after="0"/>
        <w:ind w:left="2437" w:right="0" w:hanging="454"/>
        <w:jc w:val="left"/>
        <w:rPr>
          <w:sz w:val="18"/>
        </w:rPr>
      </w:pPr>
      <w:hyperlink r:id="rId175">
        <w:r>
          <w:rPr>
            <w:w w:val="120"/>
            <w:sz w:val="18"/>
          </w:rPr>
          <w:t>http://www.faithandleadership.com/content/andrea-palpant-dilley-change-wisely-dude</w:t>
        </w:r>
      </w:hyperlink>
    </w:p>
    <w:p>
      <w:pPr>
        <w:pStyle w:val="ListParagraph"/>
        <w:numPr>
          <w:ilvl w:val="0"/>
          <w:numId w:val="43"/>
        </w:numPr>
        <w:tabs>
          <w:tab w:pos="2437" w:val="left" w:leader="none"/>
          <w:tab w:pos="2438" w:val="left" w:leader="none"/>
        </w:tabs>
        <w:spacing w:line="240" w:lineRule="auto" w:before="0" w:after="0"/>
        <w:ind w:left="2437" w:right="0" w:hanging="454"/>
        <w:jc w:val="left"/>
        <w:rPr>
          <w:sz w:val="18"/>
        </w:rPr>
      </w:pPr>
      <w:r>
        <w:rPr>
          <w:i/>
          <w:w w:val="120"/>
          <w:sz w:val="18"/>
        </w:rPr>
        <w:t>War Cry, </w:t>
      </w:r>
      <w:r>
        <w:rPr>
          <w:w w:val="120"/>
          <w:sz w:val="18"/>
        </w:rPr>
        <w:t>7 September </w:t>
      </w:r>
      <w:r>
        <w:rPr>
          <w:spacing w:val="-7"/>
          <w:w w:val="120"/>
          <w:sz w:val="18"/>
        </w:rPr>
        <w:t>2013 </w:t>
      </w:r>
      <w:r>
        <w:rPr>
          <w:w w:val="120"/>
          <w:sz w:val="18"/>
        </w:rPr>
        <w:t>p</w:t>
      </w:r>
      <w:r>
        <w:rPr>
          <w:spacing w:val="13"/>
          <w:w w:val="120"/>
          <w:sz w:val="18"/>
        </w:rPr>
        <w:t> </w:t>
      </w:r>
      <w:r>
        <w:rPr>
          <w:w w:val="120"/>
          <w:sz w:val="18"/>
        </w:rPr>
        <w:t>5</w:t>
      </w:r>
    </w:p>
    <w:p>
      <w:pPr>
        <w:pStyle w:val="ListParagraph"/>
        <w:numPr>
          <w:ilvl w:val="0"/>
          <w:numId w:val="43"/>
        </w:numPr>
        <w:tabs>
          <w:tab w:pos="2437" w:val="left" w:leader="none"/>
          <w:tab w:pos="2438" w:val="left" w:leader="none"/>
        </w:tabs>
        <w:spacing w:line="240" w:lineRule="auto" w:before="0" w:after="0"/>
        <w:ind w:left="2437" w:right="0" w:hanging="454"/>
        <w:jc w:val="left"/>
        <w:rPr>
          <w:sz w:val="18"/>
        </w:rPr>
      </w:pPr>
      <w:r>
        <w:rPr>
          <w:w w:val="115"/>
          <w:sz w:val="18"/>
        </w:rPr>
        <w:t>Mother</w:t>
      </w:r>
      <w:r>
        <w:rPr>
          <w:spacing w:val="6"/>
          <w:w w:val="115"/>
          <w:sz w:val="18"/>
        </w:rPr>
        <w:t> </w:t>
      </w:r>
      <w:r>
        <w:rPr>
          <w:spacing w:val="3"/>
          <w:w w:val="115"/>
          <w:sz w:val="18"/>
        </w:rPr>
        <w:t>Mary</w:t>
      </w:r>
      <w:r>
        <w:rPr>
          <w:spacing w:val="6"/>
          <w:w w:val="115"/>
          <w:sz w:val="18"/>
        </w:rPr>
        <w:t> </w:t>
      </w:r>
      <w:r>
        <w:rPr>
          <w:w w:val="115"/>
          <w:sz w:val="18"/>
        </w:rPr>
        <w:t>Clare</w:t>
      </w:r>
      <w:r>
        <w:rPr>
          <w:spacing w:val="7"/>
          <w:w w:val="115"/>
          <w:sz w:val="18"/>
        </w:rPr>
        <w:t> </w:t>
      </w:r>
      <w:r>
        <w:rPr>
          <w:w w:val="115"/>
          <w:sz w:val="18"/>
        </w:rPr>
        <w:t>Oxford,</w:t>
      </w:r>
      <w:r>
        <w:rPr>
          <w:spacing w:val="6"/>
          <w:w w:val="115"/>
          <w:sz w:val="18"/>
        </w:rPr>
        <w:t> </w:t>
      </w:r>
      <w:r>
        <w:rPr>
          <w:i/>
          <w:w w:val="115"/>
          <w:sz w:val="18"/>
        </w:rPr>
        <w:t>Church</w:t>
      </w:r>
      <w:r>
        <w:rPr>
          <w:i/>
          <w:spacing w:val="3"/>
          <w:w w:val="115"/>
          <w:sz w:val="18"/>
        </w:rPr>
        <w:t> </w:t>
      </w:r>
      <w:r>
        <w:rPr>
          <w:i/>
          <w:w w:val="115"/>
          <w:sz w:val="18"/>
        </w:rPr>
        <w:t>of</w:t>
      </w:r>
      <w:r>
        <w:rPr>
          <w:i/>
          <w:spacing w:val="3"/>
          <w:w w:val="115"/>
          <w:sz w:val="18"/>
        </w:rPr>
        <w:t> </w:t>
      </w:r>
      <w:r>
        <w:rPr>
          <w:i/>
          <w:w w:val="115"/>
          <w:sz w:val="18"/>
        </w:rPr>
        <w:t>the</w:t>
      </w:r>
      <w:r>
        <w:rPr>
          <w:i/>
          <w:spacing w:val="3"/>
          <w:w w:val="115"/>
          <w:sz w:val="18"/>
        </w:rPr>
        <w:t> </w:t>
      </w:r>
      <w:r>
        <w:rPr>
          <w:i/>
          <w:w w:val="115"/>
          <w:sz w:val="18"/>
        </w:rPr>
        <w:t>Isles,</w:t>
      </w:r>
      <w:r>
        <w:rPr>
          <w:i/>
          <w:spacing w:val="7"/>
          <w:w w:val="115"/>
          <w:sz w:val="18"/>
        </w:rPr>
        <w:t> </w:t>
      </w:r>
      <w:r>
        <w:rPr>
          <w:w w:val="115"/>
          <w:sz w:val="18"/>
        </w:rPr>
        <w:t>Ray</w:t>
      </w:r>
      <w:r>
        <w:rPr>
          <w:spacing w:val="6"/>
          <w:w w:val="115"/>
          <w:sz w:val="18"/>
        </w:rPr>
        <w:t> </w:t>
      </w:r>
      <w:r>
        <w:rPr>
          <w:w w:val="115"/>
          <w:sz w:val="18"/>
        </w:rPr>
        <w:t>Simpson,</w:t>
      </w:r>
      <w:r>
        <w:rPr>
          <w:spacing w:val="6"/>
          <w:w w:val="115"/>
          <w:sz w:val="18"/>
        </w:rPr>
        <w:t> </w:t>
      </w:r>
      <w:r>
        <w:rPr>
          <w:w w:val="115"/>
          <w:sz w:val="18"/>
        </w:rPr>
        <w:t>Kevin</w:t>
      </w:r>
      <w:r>
        <w:rPr>
          <w:spacing w:val="7"/>
          <w:w w:val="115"/>
          <w:sz w:val="18"/>
        </w:rPr>
        <w:t> </w:t>
      </w:r>
      <w:r>
        <w:rPr>
          <w:w w:val="115"/>
          <w:sz w:val="18"/>
        </w:rPr>
        <w:t>Mayhew</w:t>
      </w:r>
      <w:r>
        <w:rPr>
          <w:spacing w:val="6"/>
          <w:w w:val="115"/>
          <w:sz w:val="18"/>
        </w:rPr>
        <w:t> </w:t>
      </w:r>
      <w:r>
        <w:rPr>
          <w:w w:val="115"/>
          <w:sz w:val="18"/>
        </w:rPr>
        <w:t>2003</w:t>
      </w:r>
    </w:p>
    <w:p>
      <w:pPr>
        <w:spacing w:after="0" w:line="240" w:lineRule="auto"/>
        <w:jc w:val="left"/>
        <w:rPr>
          <w:sz w:val="18"/>
        </w:rPr>
        <w:sectPr>
          <w:type w:val="continuous"/>
          <w:pgSz w:w="11910" w:h="16840"/>
          <w:pgMar w:top="680" w:bottom="280" w:left="0" w:right="0"/>
        </w:sectPr>
      </w:pPr>
    </w:p>
    <w:tbl>
      <w:tblPr>
        <w:tblW w:w="0" w:type="auto"/>
        <w:jc w:val="left"/>
        <w:tblInd w:w="9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88"/>
        <w:gridCol w:w="2660"/>
        <w:gridCol w:w="6491"/>
      </w:tblGrid>
      <w:tr>
        <w:trPr>
          <w:trHeight w:val="3702" w:hRule="atLeast"/>
        </w:trPr>
        <w:tc>
          <w:tcPr>
            <w:tcW w:w="9439" w:type="dxa"/>
            <w:gridSpan w:val="3"/>
            <w:tcBorders>
              <w:top w:val="nil"/>
              <w:left w:val="nil"/>
              <w:bottom w:val="nil"/>
              <w:right w:val="nil"/>
            </w:tcBorders>
            <w:shd w:val="clear" w:color="auto" w:fill="FFEDC2"/>
          </w:tcPr>
          <w:p>
            <w:pPr>
              <w:pStyle w:val="TableParagraph"/>
              <w:ind w:left="0"/>
              <w:rPr>
                <w:sz w:val="64"/>
              </w:rPr>
            </w:pPr>
          </w:p>
          <w:p>
            <w:pPr>
              <w:pStyle w:val="TableParagraph"/>
              <w:spacing w:line="213" w:lineRule="auto" w:before="451"/>
              <w:ind w:left="283"/>
              <w:rPr>
                <w:rFonts w:ascii="Stone Sans II ITC Std X Bd"/>
                <w:b/>
                <w:sz w:val="50"/>
              </w:rPr>
            </w:pPr>
            <w:bookmarkStart w:name="_bookmark10" w:id="11"/>
            <w:bookmarkEnd w:id="11"/>
            <w:r>
              <w:rPr/>
            </w:r>
            <w:r>
              <w:rPr>
                <w:rFonts w:ascii="Stone Sans II ITC Std X Bd"/>
                <w:b/>
                <w:color w:val="FCC400"/>
                <w:w w:val="110"/>
                <w:sz w:val="50"/>
              </w:rPr>
              <w:t>National Synod of Scotland: </w:t>
            </w:r>
            <w:r>
              <w:rPr>
                <w:rFonts w:ascii="Stone Sans II ITC Std X Bd"/>
                <w:b/>
                <w:w w:val="110"/>
                <w:sz w:val="50"/>
              </w:rPr>
              <w:t>Scottish independence referendum 2014</w:t>
            </w:r>
          </w:p>
          <w:p>
            <w:pPr>
              <w:pStyle w:val="TableParagraph"/>
              <w:spacing w:before="377"/>
              <w:ind w:left="283"/>
              <w:rPr>
                <w:sz w:val="20"/>
              </w:rPr>
            </w:pPr>
            <w:r>
              <w:rPr>
                <w:w w:val="120"/>
                <w:sz w:val="20"/>
              </w:rPr>
              <w:t>Basic Information</w:t>
            </w:r>
          </w:p>
        </w:tc>
      </w:tr>
      <w:tr>
        <w:trPr>
          <w:trHeight w:val="680" w:hRule="atLeast"/>
        </w:trPr>
        <w:tc>
          <w:tcPr>
            <w:tcW w:w="288" w:type="dxa"/>
            <w:vMerge w:val="restart"/>
            <w:tcBorders>
              <w:top w:val="nil"/>
              <w:left w:val="nil"/>
              <w:bottom w:val="nil"/>
            </w:tcBorders>
            <w:shd w:val="clear" w:color="auto" w:fill="FFEDC2"/>
          </w:tcPr>
          <w:p>
            <w:pPr>
              <w:pStyle w:val="TableParagraph"/>
              <w:ind w:left="0"/>
              <w:rPr>
                <w:rFonts w:ascii="Times New Roman"/>
                <w:sz w:val="22"/>
              </w:rPr>
            </w:pPr>
          </w:p>
        </w:tc>
        <w:tc>
          <w:tcPr>
            <w:tcW w:w="2660" w:type="dxa"/>
            <w:shd w:val="clear" w:color="auto" w:fill="FFFFFF"/>
          </w:tcPr>
          <w:p>
            <w:pPr>
              <w:pStyle w:val="TableParagraph"/>
              <w:spacing w:line="213" w:lineRule="auto" w:before="133"/>
              <w:ind w:left="75" w:right="600"/>
              <w:rPr>
                <w:rFonts w:ascii="Stone Sans II ITC Std Bk"/>
                <w:b/>
                <w:sz w:val="20"/>
              </w:rPr>
            </w:pPr>
            <w:r>
              <w:rPr>
                <w:rFonts w:ascii="Stone Sans II ITC Std Bk"/>
                <w:b/>
                <w:w w:val="110"/>
                <w:sz w:val="20"/>
              </w:rPr>
              <w:t>Contact name and email address</w:t>
            </w:r>
          </w:p>
        </w:tc>
        <w:tc>
          <w:tcPr>
            <w:tcW w:w="6491" w:type="dxa"/>
            <w:tcBorders>
              <w:right w:val="nil"/>
            </w:tcBorders>
            <w:shd w:val="clear" w:color="auto" w:fill="FFFFFF"/>
          </w:tcPr>
          <w:p>
            <w:pPr>
              <w:pStyle w:val="TableParagraph"/>
              <w:spacing w:line="235" w:lineRule="auto" w:before="127"/>
              <w:ind w:left="75" w:right="3308"/>
              <w:rPr>
                <w:sz w:val="20"/>
              </w:rPr>
            </w:pPr>
            <w:r>
              <w:rPr>
                <w:w w:val="120"/>
                <w:sz w:val="20"/>
              </w:rPr>
              <w:t>John Humphreys </w:t>
            </w:r>
            <w:hyperlink r:id="rId178">
              <w:r>
                <w:rPr>
                  <w:w w:val="120"/>
                  <w:sz w:val="20"/>
                </w:rPr>
                <w:t>moderator@urcscotland.org.uk</w:t>
              </w:r>
            </w:hyperlink>
          </w:p>
        </w:tc>
      </w:tr>
      <w:tr>
        <w:trPr>
          <w:trHeight w:val="440" w:hRule="atLeast"/>
        </w:trPr>
        <w:tc>
          <w:tcPr>
            <w:tcW w:w="288" w:type="dxa"/>
            <w:vMerge/>
            <w:tcBorders>
              <w:top w:val="nil"/>
              <w:left w:val="nil"/>
              <w:bottom w:val="nil"/>
            </w:tcBorders>
            <w:shd w:val="clear" w:color="auto" w:fill="FFEDC2"/>
          </w:tcPr>
          <w:p>
            <w:pPr>
              <w:rPr>
                <w:sz w:val="2"/>
                <w:szCs w:val="2"/>
              </w:rPr>
            </w:pPr>
          </w:p>
        </w:tc>
        <w:tc>
          <w:tcPr>
            <w:tcW w:w="2660" w:type="dxa"/>
            <w:shd w:val="clear" w:color="auto" w:fill="FFFFFF"/>
          </w:tcPr>
          <w:p>
            <w:pPr>
              <w:pStyle w:val="TableParagraph"/>
              <w:spacing w:before="111"/>
              <w:ind w:left="75"/>
              <w:rPr>
                <w:rFonts w:ascii="Stone Sans II ITC Std Bk"/>
                <w:b/>
                <w:sz w:val="20"/>
              </w:rPr>
            </w:pPr>
            <w:r>
              <w:rPr>
                <w:rFonts w:ascii="Stone Sans II ITC Std Bk"/>
                <w:b/>
                <w:w w:val="110"/>
                <w:sz w:val="20"/>
              </w:rPr>
              <w:t>Action required</w:t>
            </w:r>
          </w:p>
        </w:tc>
        <w:tc>
          <w:tcPr>
            <w:tcW w:w="6491" w:type="dxa"/>
            <w:tcBorders>
              <w:right w:val="nil"/>
            </w:tcBorders>
            <w:shd w:val="clear" w:color="auto" w:fill="FFFFFF"/>
          </w:tcPr>
          <w:p>
            <w:pPr>
              <w:pStyle w:val="TableParagraph"/>
              <w:spacing w:before="123"/>
              <w:ind w:left="75"/>
              <w:rPr>
                <w:sz w:val="20"/>
              </w:rPr>
            </w:pPr>
            <w:r>
              <w:rPr>
                <w:w w:val="120"/>
                <w:sz w:val="20"/>
              </w:rPr>
              <w:t>Decision</w:t>
            </w:r>
          </w:p>
        </w:tc>
      </w:tr>
      <w:tr>
        <w:trPr>
          <w:trHeight w:val="2360" w:hRule="atLeast"/>
        </w:trPr>
        <w:tc>
          <w:tcPr>
            <w:tcW w:w="288" w:type="dxa"/>
            <w:vMerge/>
            <w:tcBorders>
              <w:top w:val="nil"/>
              <w:left w:val="nil"/>
              <w:bottom w:val="nil"/>
            </w:tcBorders>
            <w:shd w:val="clear" w:color="auto" w:fill="FFEDC2"/>
          </w:tcPr>
          <w:p>
            <w:pPr>
              <w:rPr>
                <w:sz w:val="2"/>
                <w:szCs w:val="2"/>
              </w:rPr>
            </w:pPr>
          </w:p>
        </w:tc>
        <w:tc>
          <w:tcPr>
            <w:tcW w:w="2660" w:type="dxa"/>
            <w:shd w:val="clear" w:color="auto" w:fill="FFFFFF"/>
          </w:tcPr>
          <w:p>
            <w:pPr>
              <w:pStyle w:val="TableParagraph"/>
              <w:spacing w:before="111"/>
              <w:ind w:left="75"/>
              <w:rPr>
                <w:rFonts w:ascii="Stone Sans II ITC Std Bk"/>
                <w:b/>
                <w:sz w:val="20"/>
              </w:rPr>
            </w:pPr>
            <w:r>
              <w:rPr>
                <w:rFonts w:ascii="Stone Sans II ITC Std Bk"/>
                <w:b/>
                <w:w w:val="110"/>
                <w:sz w:val="20"/>
              </w:rPr>
              <w:t>Draft resolution(s)</w:t>
            </w:r>
          </w:p>
        </w:tc>
        <w:tc>
          <w:tcPr>
            <w:tcW w:w="6491" w:type="dxa"/>
            <w:tcBorders>
              <w:right w:val="nil"/>
            </w:tcBorders>
            <w:shd w:val="clear" w:color="auto" w:fill="FFFFFF"/>
          </w:tcPr>
          <w:p>
            <w:pPr>
              <w:pStyle w:val="TableParagraph"/>
              <w:spacing w:line="213" w:lineRule="auto" w:before="133"/>
              <w:ind w:left="75" w:right="569"/>
              <w:rPr>
                <w:rFonts w:ascii="Stone Sans II ITC Std Bk"/>
                <w:b/>
                <w:sz w:val="20"/>
              </w:rPr>
            </w:pPr>
            <w:r>
              <w:rPr>
                <w:rFonts w:ascii="Stone Sans II ITC Std Bk"/>
                <w:b/>
                <w:w w:val="110"/>
                <w:sz w:val="20"/>
              </w:rPr>
              <w:t>General Assembly calls the United Reformed Church  to pray for the people of Scotland before, during and following the independence referendum to be held on </w:t>
            </w:r>
            <w:r>
              <w:rPr>
                <w:rFonts w:ascii="Stone Sans II ITC Std Bk"/>
                <w:b/>
                <w:spacing w:val="-6"/>
                <w:w w:val="110"/>
                <w:sz w:val="20"/>
              </w:rPr>
              <w:t>18 </w:t>
            </w:r>
            <w:r>
              <w:rPr>
                <w:rFonts w:ascii="Stone Sans II ITC Std Bk"/>
                <w:b/>
                <w:w w:val="110"/>
                <w:sz w:val="20"/>
              </w:rPr>
              <w:t>September </w:t>
            </w:r>
            <w:r>
              <w:rPr>
                <w:rFonts w:ascii="Stone Sans II ITC Std Bk"/>
                <w:b/>
                <w:spacing w:val="-5"/>
                <w:w w:val="110"/>
                <w:sz w:val="20"/>
              </w:rPr>
              <w:t>2014. </w:t>
            </w:r>
            <w:r>
              <w:rPr>
                <w:rFonts w:ascii="Stone Sans II ITC Std Bk"/>
                <w:b/>
                <w:w w:val="110"/>
                <w:sz w:val="20"/>
              </w:rPr>
              <w:t>These prayers should be for all, regardless of conviction, recognising how important the peoples of these islands are to each</w:t>
            </w:r>
            <w:r>
              <w:rPr>
                <w:rFonts w:ascii="Stone Sans II ITC Std Bk"/>
                <w:b/>
                <w:spacing w:val="1"/>
                <w:w w:val="110"/>
                <w:sz w:val="20"/>
              </w:rPr>
              <w:t> </w:t>
            </w:r>
            <w:r>
              <w:rPr>
                <w:rFonts w:ascii="Stone Sans II ITC Std Bk"/>
                <w:b/>
                <w:spacing w:val="-3"/>
                <w:w w:val="110"/>
                <w:sz w:val="20"/>
              </w:rPr>
              <w:t>other.</w:t>
            </w:r>
          </w:p>
          <w:p>
            <w:pPr>
              <w:pStyle w:val="TableParagraph"/>
              <w:spacing w:before="10"/>
              <w:ind w:left="0"/>
              <w:rPr>
                <w:sz w:val="18"/>
              </w:rPr>
            </w:pPr>
          </w:p>
          <w:p>
            <w:pPr>
              <w:pStyle w:val="TableParagraph"/>
              <w:spacing w:line="235" w:lineRule="auto"/>
              <w:ind w:left="75" w:right="3754"/>
              <w:rPr>
                <w:sz w:val="20"/>
              </w:rPr>
            </w:pPr>
            <w:r>
              <w:rPr>
                <w:w w:val="120"/>
                <w:sz w:val="20"/>
              </w:rPr>
              <w:t>Proposer: John Humphreys Seconder: David Coleman</w:t>
            </w:r>
          </w:p>
        </w:tc>
      </w:tr>
      <w:tr>
        <w:trPr>
          <w:trHeight w:val="480" w:hRule="atLeast"/>
        </w:trPr>
        <w:tc>
          <w:tcPr>
            <w:tcW w:w="9439" w:type="dxa"/>
            <w:gridSpan w:val="3"/>
            <w:tcBorders>
              <w:top w:val="nil"/>
              <w:left w:val="nil"/>
              <w:bottom w:val="nil"/>
              <w:right w:val="nil"/>
            </w:tcBorders>
            <w:shd w:val="clear" w:color="auto" w:fill="FFEDC2"/>
          </w:tcPr>
          <w:p>
            <w:pPr>
              <w:pStyle w:val="TableParagraph"/>
              <w:spacing w:before="191"/>
              <w:ind w:left="283"/>
              <w:rPr>
                <w:sz w:val="20"/>
              </w:rPr>
            </w:pPr>
            <w:r>
              <w:rPr>
                <w:w w:val="120"/>
                <w:sz w:val="20"/>
              </w:rPr>
              <w:t>Summary of Content</w:t>
            </w:r>
          </w:p>
        </w:tc>
      </w:tr>
      <w:tr>
        <w:trPr>
          <w:trHeight w:val="680" w:hRule="atLeast"/>
        </w:trPr>
        <w:tc>
          <w:tcPr>
            <w:tcW w:w="288" w:type="dxa"/>
            <w:vMerge w:val="restart"/>
            <w:tcBorders>
              <w:top w:val="nil"/>
              <w:left w:val="nil"/>
              <w:bottom w:val="nil"/>
            </w:tcBorders>
            <w:shd w:val="clear" w:color="auto" w:fill="FFEDC2"/>
          </w:tcPr>
          <w:p>
            <w:pPr>
              <w:pStyle w:val="TableParagraph"/>
              <w:ind w:left="0"/>
              <w:rPr>
                <w:rFonts w:ascii="Times New Roman"/>
                <w:sz w:val="22"/>
              </w:rPr>
            </w:pPr>
          </w:p>
        </w:tc>
        <w:tc>
          <w:tcPr>
            <w:tcW w:w="2660" w:type="dxa"/>
            <w:shd w:val="clear" w:color="auto" w:fill="FFFFFF"/>
          </w:tcPr>
          <w:p>
            <w:pPr>
              <w:pStyle w:val="TableParagraph"/>
              <w:spacing w:before="111"/>
              <w:ind w:left="75"/>
              <w:rPr>
                <w:rFonts w:ascii="Stone Sans II ITC Std Bk"/>
                <w:b/>
                <w:sz w:val="20"/>
              </w:rPr>
            </w:pPr>
            <w:r>
              <w:rPr>
                <w:rFonts w:ascii="Stone Sans II ITC Std Bk"/>
                <w:b/>
                <w:w w:val="110"/>
                <w:sz w:val="20"/>
              </w:rPr>
              <w:t>Subject and aim(s)</w:t>
            </w:r>
          </w:p>
        </w:tc>
        <w:tc>
          <w:tcPr>
            <w:tcW w:w="6491" w:type="dxa"/>
            <w:tcBorders>
              <w:right w:val="nil"/>
            </w:tcBorders>
            <w:shd w:val="clear" w:color="auto" w:fill="FFFFFF"/>
          </w:tcPr>
          <w:p>
            <w:pPr>
              <w:pStyle w:val="TableParagraph"/>
              <w:spacing w:line="235" w:lineRule="auto" w:before="127"/>
              <w:ind w:left="75"/>
              <w:rPr>
                <w:sz w:val="20"/>
              </w:rPr>
            </w:pPr>
            <w:r>
              <w:rPr>
                <w:w w:val="120"/>
                <w:sz w:val="20"/>
              </w:rPr>
              <w:t>The resolution is a call for prayer at an important moment which will determine the future of Scotland and the United Kingdom.</w:t>
            </w:r>
          </w:p>
        </w:tc>
      </w:tr>
      <w:tr>
        <w:trPr>
          <w:trHeight w:val="4280" w:hRule="atLeast"/>
        </w:trPr>
        <w:tc>
          <w:tcPr>
            <w:tcW w:w="288" w:type="dxa"/>
            <w:vMerge/>
            <w:tcBorders>
              <w:top w:val="nil"/>
              <w:left w:val="nil"/>
              <w:bottom w:val="nil"/>
            </w:tcBorders>
            <w:shd w:val="clear" w:color="auto" w:fill="FFEDC2"/>
          </w:tcPr>
          <w:p>
            <w:pPr>
              <w:rPr>
                <w:sz w:val="2"/>
                <w:szCs w:val="2"/>
              </w:rPr>
            </w:pPr>
          </w:p>
        </w:tc>
        <w:tc>
          <w:tcPr>
            <w:tcW w:w="2660" w:type="dxa"/>
            <w:shd w:val="clear" w:color="auto" w:fill="FFFFFF"/>
          </w:tcPr>
          <w:p>
            <w:pPr>
              <w:pStyle w:val="TableParagraph"/>
              <w:spacing w:before="111"/>
              <w:ind w:left="75"/>
              <w:rPr>
                <w:rFonts w:ascii="Stone Sans II ITC Std Bk"/>
                <w:b/>
                <w:sz w:val="20"/>
              </w:rPr>
            </w:pPr>
            <w:r>
              <w:rPr>
                <w:rFonts w:ascii="Stone Sans II ITC Std Bk"/>
                <w:b/>
                <w:w w:val="110"/>
                <w:sz w:val="20"/>
              </w:rPr>
              <w:t>Main points</w:t>
            </w:r>
          </w:p>
        </w:tc>
        <w:tc>
          <w:tcPr>
            <w:tcW w:w="6491" w:type="dxa"/>
            <w:tcBorders>
              <w:right w:val="nil"/>
            </w:tcBorders>
            <w:shd w:val="clear" w:color="auto" w:fill="FFFFFF"/>
          </w:tcPr>
          <w:p>
            <w:pPr>
              <w:pStyle w:val="TableParagraph"/>
              <w:spacing w:line="235" w:lineRule="auto" w:before="127"/>
              <w:ind w:left="75" w:right="138"/>
              <w:rPr>
                <w:sz w:val="20"/>
              </w:rPr>
            </w:pPr>
            <w:r>
              <w:rPr>
                <w:w w:val="120"/>
                <w:sz w:val="20"/>
              </w:rPr>
              <w:t>The debate concerning the referendum to be held in Scotland   is increasingly on the agenda of the media. It is clear that we will be in a different place once the result is known. In Scotland some will be celebrating, some will be in despair, some will be </w:t>
            </w:r>
            <w:r>
              <w:rPr>
                <w:spacing w:val="2"/>
                <w:w w:val="120"/>
                <w:sz w:val="20"/>
              </w:rPr>
              <w:t>angry </w:t>
            </w:r>
            <w:r>
              <w:rPr>
                <w:w w:val="120"/>
                <w:sz w:val="20"/>
              </w:rPr>
              <w:t>and some will be afraid, but this will also be true around the rest of the United Kingdom. Unfortunate things are being said. There is rhetoric in Scotland about “them South of the border”, and there are voices outwith Scotland asking, “What are you Scots playing at?” After the referendum there will be deep disappointment and serious triumphalism. Churches in Scotland have been focussing on the values that will shape the nation we want to be, irrespective of which way the vote goes, and we hope that this vision and aspiration will not be lost. This resolution is designed to remind the United Reformed Church that we belong to one Church community which always seeks reconciliation even when living with diversity of</w:t>
            </w:r>
            <w:r>
              <w:rPr>
                <w:spacing w:val="36"/>
                <w:w w:val="120"/>
                <w:sz w:val="20"/>
              </w:rPr>
              <w:t> </w:t>
            </w:r>
            <w:r>
              <w:rPr>
                <w:w w:val="120"/>
                <w:sz w:val="20"/>
              </w:rPr>
              <w:t>opinion.</w:t>
            </w:r>
          </w:p>
        </w:tc>
      </w:tr>
      <w:tr>
        <w:trPr>
          <w:trHeight w:val="680" w:hRule="atLeast"/>
        </w:trPr>
        <w:tc>
          <w:tcPr>
            <w:tcW w:w="288" w:type="dxa"/>
            <w:vMerge/>
            <w:tcBorders>
              <w:top w:val="nil"/>
              <w:left w:val="nil"/>
              <w:bottom w:val="nil"/>
            </w:tcBorders>
            <w:shd w:val="clear" w:color="auto" w:fill="FFEDC2"/>
          </w:tcPr>
          <w:p>
            <w:pPr>
              <w:rPr>
                <w:sz w:val="2"/>
                <w:szCs w:val="2"/>
              </w:rPr>
            </w:pPr>
          </w:p>
        </w:tc>
        <w:tc>
          <w:tcPr>
            <w:tcW w:w="2660" w:type="dxa"/>
            <w:shd w:val="clear" w:color="auto" w:fill="FFFFFF"/>
          </w:tcPr>
          <w:p>
            <w:pPr>
              <w:pStyle w:val="TableParagraph"/>
              <w:spacing w:line="213" w:lineRule="auto" w:before="133"/>
              <w:ind w:left="75" w:right="706"/>
              <w:rPr>
                <w:rFonts w:ascii="Stone Sans II ITC Std Bk"/>
                <w:b/>
                <w:sz w:val="20"/>
              </w:rPr>
            </w:pPr>
            <w:r>
              <w:rPr>
                <w:rFonts w:ascii="Stone Sans II ITC Std Bk"/>
                <w:b/>
                <w:w w:val="110"/>
                <w:sz w:val="20"/>
              </w:rPr>
              <w:t>Previous relevant documents</w:t>
            </w:r>
          </w:p>
        </w:tc>
        <w:tc>
          <w:tcPr>
            <w:tcW w:w="6491" w:type="dxa"/>
            <w:tcBorders>
              <w:right w:val="nil"/>
            </w:tcBorders>
            <w:shd w:val="clear" w:color="auto" w:fill="FFFFFF"/>
          </w:tcPr>
          <w:p>
            <w:pPr>
              <w:pStyle w:val="TableParagraph"/>
              <w:ind w:left="0"/>
              <w:rPr>
                <w:rFonts w:ascii="Times New Roman"/>
                <w:sz w:val="22"/>
              </w:rPr>
            </w:pPr>
          </w:p>
        </w:tc>
      </w:tr>
      <w:tr>
        <w:trPr>
          <w:trHeight w:val="680" w:hRule="atLeast"/>
        </w:trPr>
        <w:tc>
          <w:tcPr>
            <w:tcW w:w="288" w:type="dxa"/>
            <w:vMerge/>
            <w:tcBorders>
              <w:top w:val="nil"/>
              <w:left w:val="nil"/>
              <w:bottom w:val="nil"/>
            </w:tcBorders>
            <w:shd w:val="clear" w:color="auto" w:fill="FFEDC2"/>
          </w:tcPr>
          <w:p>
            <w:pPr>
              <w:rPr>
                <w:sz w:val="2"/>
                <w:szCs w:val="2"/>
              </w:rPr>
            </w:pPr>
          </w:p>
        </w:tc>
        <w:tc>
          <w:tcPr>
            <w:tcW w:w="2660" w:type="dxa"/>
            <w:shd w:val="clear" w:color="auto" w:fill="FFFFFF"/>
          </w:tcPr>
          <w:p>
            <w:pPr>
              <w:pStyle w:val="TableParagraph"/>
              <w:spacing w:line="213" w:lineRule="auto" w:before="133"/>
              <w:ind w:left="75" w:right="109"/>
              <w:rPr>
                <w:rFonts w:ascii="Stone Sans II ITC Std Bk"/>
                <w:b/>
                <w:sz w:val="20"/>
              </w:rPr>
            </w:pPr>
            <w:r>
              <w:rPr>
                <w:rFonts w:ascii="Stone Sans II ITC Std Bk"/>
                <w:b/>
                <w:w w:val="110"/>
                <w:sz w:val="20"/>
              </w:rPr>
              <w:t>Consultation has taken place with...</w:t>
            </w:r>
          </w:p>
        </w:tc>
        <w:tc>
          <w:tcPr>
            <w:tcW w:w="6491" w:type="dxa"/>
            <w:tcBorders>
              <w:right w:val="nil"/>
            </w:tcBorders>
            <w:shd w:val="clear" w:color="auto" w:fill="FFFFFF"/>
          </w:tcPr>
          <w:p>
            <w:pPr>
              <w:pStyle w:val="TableParagraph"/>
              <w:spacing w:before="123"/>
              <w:ind w:left="75"/>
              <w:rPr>
                <w:sz w:val="20"/>
              </w:rPr>
            </w:pPr>
            <w:r>
              <w:rPr>
                <w:w w:val="120"/>
                <w:sz w:val="20"/>
              </w:rPr>
              <w:t>None</w:t>
            </w:r>
          </w:p>
        </w:tc>
      </w:tr>
      <w:tr>
        <w:trPr>
          <w:trHeight w:val="480" w:hRule="atLeast"/>
        </w:trPr>
        <w:tc>
          <w:tcPr>
            <w:tcW w:w="9439" w:type="dxa"/>
            <w:gridSpan w:val="3"/>
            <w:tcBorders>
              <w:top w:val="nil"/>
              <w:left w:val="nil"/>
              <w:bottom w:val="nil"/>
              <w:right w:val="nil"/>
            </w:tcBorders>
            <w:shd w:val="clear" w:color="auto" w:fill="FFEDC2"/>
          </w:tcPr>
          <w:p>
            <w:pPr>
              <w:pStyle w:val="TableParagraph"/>
              <w:spacing w:before="191"/>
              <w:ind w:left="283"/>
              <w:rPr>
                <w:sz w:val="20"/>
              </w:rPr>
            </w:pPr>
            <w:r>
              <w:rPr>
                <w:w w:val="120"/>
                <w:sz w:val="20"/>
              </w:rPr>
              <w:t>Summary of Impact</w:t>
            </w:r>
          </w:p>
        </w:tc>
      </w:tr>
      <w:tr>
        <w:trPr>
          <w:trHeight w:val="440" w:hRule="atLeast"/>
        </w:trPr>
        <w:tc>
          <w:tcPr>
            <w:tcW w:w="288" w:type="dxa"/>
            <w:vMerge w:val="restart"/>
            <w:tcBorders>
              <w:top w:val="nil"/>
              <w:left w:val="nil"/>
              <w:bottom w:val="nil"/>
            </w:tcBorders>
            <w:shd w:val="clear" w:color="auto" w:fill="FFEDC2"/>
          </w:tcPr>
          <w:p>
            <w:pPr>
              <w:pStyle w:val="TableParagraph"/>
              <w:ind w:left="0"/>
              <w:rPr>
                <w:rFonts w:ascii="Times New Roman"/>
                <w:sz w:val="22"/>
              </w:rPr>
            </w:pPr>
          </w:p>
        </w:tc>
        <w:tc>
          <w:tcPr>
            <w:tcW w:w="2660" w:type="dxa"/>
            <w:shd w:val="clear" w:color="auto" w:fill="FFFFFF"/>
          </w:tcPr>
          <w:p>
            <w:pPr>
              <w:pStyle w:val="TableParagraph"/>
              <w:spacing w:before="111"/>
              <w:ind w:left="75"/>
              <w:rPr>
                <w:rFonts w:ascii="Stone Sans II ITC Std Bk"/>
                <w:b/>
                <w:sz w:val="20"/>
              </w:rPr>
            </w:pPr>
            <w:r>
              <w:rPr>
                <w:rFonts w:ascii="Stone Sans II ITC Std Bk"/>
                <w:b/>
                <w:w w:val="110"/>
                <w:sz w:val="20"/>
              </w:rPr>
              <w:t>Financial</w:t>
            </w:r>
          </w:p>
        </w:tc>
        <w:tc>
          <w:tcPr>
            <w:tcW w:w="6491" w:type="dxa"/>
            <w:tcBorders>
              <w:right w:val="nil"/>
            </w:tcBorders>
            <w:shd w:val="clear" w:color="auto" w:fill="FFFFFF"/>
          </w:tcPr>
          <w:p>
            <w:pPr>
              <w:pStyle w:val="TableParagraph"/>
              <w:spacing w:before="123"/>
              <w:ind w:left="75"/>
              <w:rPr>
                <w:sz w:val="20"/>
              </w:rPr>
            </w:pPr>
            <w:r>
              <w:rPr>
                <w:w w:val="120"/>
                <w:sz w:val="20"/>
              </w:rPr>
              <w:t>None</w:t>
            </w:r>
          </w:p>
        </w:tc>
      </w:tr>
      <w:tr>
        <w:trPr>
          <w:trHeight w:val="680" w:hRule="atLeast"/>
        </w:trPr>
        <w:tc>
          <w:tcPr>
            <w:tcW w:w="288" w:type="dxa"/>
            <w:vMerge/>
            <w:tcBorders>
              <w:top w:val="nil"/>
              <w:left w:val="nil"/>
              <w:bottom w:val="nil"/>
            </w:tcBorders>
            <w:shd w:val="clear" w:color="auto" w:fill="FFEDC2"/>
          </w:tcPr>
          <w:p>
            <w:pPr>
              <w:rPr>
                <w:sz w:val="2"/>
                <w:szCs w:val="2"/>
              </w:rPr>
            </w:pPr>
          </w:p>
        </w:tc>
        <w:tc>
          <w:tcPr>
            <w:tcW w:w="2660" w:type="dxa"/>
            <w:shd w:val="clear" w:color="auto" w:fill="FFFFFF"/>
          </w:tcPr>
          <w:p>
            <w:pPr>
              <w:pStyle w:val="TableParagraph"/>
              <w:spacing w:line="255" w:lineRule="exact" w:before="111"/>
              <w:ind w:left="75"/>
              <w:rPr>
                <w:rFonts w:ascii="Stone Sans II ITC Std Bk"/>
                <w:b/>
                <w:sz w:val="20"/>
              </w:rPr>
            </w:pPr>
            <w:r>
              <w:rPr>
                <w:rFonts w:ascii="Stone Sans II ITC Std Bk"/>
                <w:b/>
                <w:w w:val="110"/>
                <w:sz w:val="20"/>
              </w:rPr>
              <w:t>External</w:t>
            </w:r>
          </w:p>
          <w:p>
            <w:pPr>
              <w:pStyle w:val="TableParagraph"/>
              <w:spacing w:line="255" w:lineRule="exact"/>
              <w:ind w:left="75"/>
              <w:rPr>
                <w:rFonts w:ascii="Stone Sans II ITC Std Bk"/>
                <w:b/>
                <w:sz w:val="20"/>
              </w:rPr>
            </w:pPr>
            <w:r>
              <w:rPr>
                <w:rFonts w:ascii="Stone Sans II ITC Std Bk"/>
                <w:b/>
                <w:w w:val="110"/>
                <w:sz w:val="20"/>
              </w:rPr>
              <w:t>(e.g. ecumenical)</w:t>
            </w:r>
          </w:p>
        </w:tc>
        <w:tc>
          <w:tcPr>
            <w:tcW w:w="6491" w:type="dxa"/>
            <w:tcBorders>
              <w:right w:val="nil"/>
            </w:tcBorders>
            <w:shd w:val="clear" w:color="auto" w:fill="FFFFFF"/>
          </w:tcPr>
          <w:p>
            <w:pPr>
              <w:pStyle w:val="TableParagraph"/>
              <w:spacing w:before="123"/>
              <w:ind w:left="75"/>
              <w:rPr>
                <w:sz w:val="20"/>
              </w:rPr>
            </w:pPr>
            <w:r>
              <w:rPr>
                <w:w w:val="120"/>
                <w:sz w:val="20"/>
              </w:rPr>
              <w:t>None</w:t>
            </w:r>
          </w:p>
        </w:tc>
      </w:tr>
      <w:tr>
        <w:trPr>
          <w:trHeight w:val="1134" w:hRule="atLeast"/>
        </w:trPr>
        <w:tc>
          <w:tcPr>
            <w:tcW w:w="9439" w:type="dxa"/>
            <w:gridSpan w:val="3"/>
            <w:tcBorders>
              <w:top w:val="nil"/>
              <w:left w:val="nil"/>
              <w:bottom w:val="nil"/>
              <w:right w:val="nil"/>
            </w:tcBorders>
            <w:shd w:val="clear" w:color="auto" w:fill="FFEDC2"/>
          </w:tcPr>
          <w:p>
            <w:pPr>
              <w:pStyle w:val="TableParagraph"/>
              <w:spacing w:before="266"/>
              <w:ind w:left="311"/>
              <w:rPr>
                <w:sz w:val="23"/>
              </w:rPr>
            </w:pPr>
            <w:r>
              <w:rPr>
                <w:rFonts w:ascii="Stone Sans II ITC Std X Bd" w:hAnsi="Stone Sans II ITC Std X Bd"/>
                <w:b/>
                <w:w w:val="110"/>
                <w:sz w:val="24"/>
              </w:rPr>
              <w:t>76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c>
      </w:tr>
    </w:tbl>
    <w:p>
      <w:pPr>
        <w:rPr>
          <w:sz w:val="2"/>
          <w:szCs w:val="2"/>
        </w:rPr>
      </w:pPr>
      <w:r>
        <w:rPr/>
        <w:pict>
          <v:rect style="position:absolute;margin-left:594.374023pt;margin-top:.000015pt;width:.901pt;height:841.89pt;mso-position-horizontal-relative:page;mso-position-vertical-relative:page;z-index:251872256" filled="true" fillcolor="#ffedc2" stroked="false">
            <v:fill type="solid"/>
            <w10:wrap type="none"/>
          </v:rect>
        </w:pict>
      </w:r>
      <w:r>
        <w:rPr/>
        <w:drawing>
          <wp:anchor distT="0" distB="0" distL="0" distR="0" allowOverlap="1" layoutInCell="1" locked="0" behindDoc="0" simplePos="0" relativeHeight="251873280">
            <wp:simplePos x="0" y="0"/>
            <wp:positionH relativeFrom="page">
              <wp:posOffset>0</wp:posOffset>
            </wp:positionH>
            <wp:positionV relativeFrom="page">
              <wp:posOffset>0</wp:posOffset>
            </wp:positionV>
            <wp:extent cx="594067" cy="10692003"/>
            <wp:effectExtent l="0" t="0" r="0" b="0"/>
            <wp:wrapNone/>
            <wp:docPr id="141" name="image24.png"/>
            <wp:cNvGraphicFramePr>
              <a:graphicFrameLocks noChangeAspect="1"/>
            </wp:cNvGraphicFramePr>
            <a:graphic>
              <a:graphicData uri="http://schemas.openxmlformats.org/drawingml/2006/picture">
                <pic:pic>
                  <pic:nvPicPr>
                    <pic:cNvPr id="142" name="image24.png"/>
                    <pic:cNvPicPr/>
                  </pic:nvPicPr>
                  <pic:blipFill>
                    <a:blip r:embed="rId90"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404.85pt;mso-position-horizontal-relative:page;mso-position-vertical-relative:page;z-index:251874304" type="#_x0000_t202" filled="false" stroked="false">
            <v:textbox inset="0,0,0,0" style="layout-flow:vertical">
              <w:txbxContent>
                <w:p>
                  <w:pPr>
                    <w:spacing w:before="27"/>
                    <w:ind w:left="20" w:right="0" w:firstLine="0"/>
                    <w:jc w:val="left"/>
                    <w:rPr>
                      <w:sz w:val="39"/>
                    </w:rPr>
                  </w:pPr>
                  <w:r>
                    <w:rPr>
                      <w:color w:val="FFFFFF"/>
                      <w:spacing w:val="3"/>
                      <w:w w:val="120"/>
                      <w:sz w:val="39"/>
                    </w:rPr>
                    <w:t>Scottish independance </w:t>
                  </w:r>
                  <w:r>
                    <w:rPr>
                      <w:color w:val="FFFFFF"/>
                      <w:spacing w:val="2"/>
                      <w:w w:val="120"/>
                      <w:sz w:val="39"/>
                    </w:rPr>
                    <w:t>referendum </w:t>
                  </w:r>
                  <w:r>
                    <w:rPr>
                      <w:color w:val="FFFFFF"/>
                      <w:spacing w:val="4"/>
                      <w:w w:val="120"/>
                      <w:sz w:val="39"/>
                    </w:rPr>
                    <w:t>2014</w:t>
                  </w:r>
                </w:p>
              </w:txbxContent>
            </v:textbox>
            <w10:wrap type="none"/>
          </v:shape>
        </w:pict>
      </w:r>
    </w:p>
    <w:p>
      <w:pPr>
        <w:spacing w:after="0"/>
        <w:rPr>
          <w:sz w:val="2"/>
          <w:szCs w:val="2"/>
        </w:rPr>
        <w:sectPr>
          <w:headerReference w:type="even" r:id="rId176"/>
          <w:footerReference w:type="even" r:id="rId177"/>
          <w:pgSz w:w="11910" w:h="16840"/>
          <w:pgMar w:header="0" w:footer="0" w:top="0" w:bottom="0" w:left="0" w:right="0"/>
        </w:sectPr>
      </w:pPr>
    </w:p>
    <w:p>
      <w:pPr>
        <w:pStyle w:val="BodyText"/>
      </w:pPr>
      <w:r>
        <w:rPr/>
        <w:pict>
          <v:rect style="position:absolute;margin-left:0pt;margin-top:.000015pt;width:549.207pt;height:841.89pt;mso-position-horizontal-relative:page;mso-position-vertical-relative:page;z-index:-267401216" filled="true" fillcolor="#ffedc2" stroked="false">
            <v:fill type="solid"/>
            <w10:wrap type="none"/>
          </v:rect>
        </w:pict>
      </w:r>
      <w:r>
        <w:rPr/>
        <w:drawing>
          <wp:anchor distT="0" distB="0" distL="0" distR="0" allowOverlap="1" layoutInCell="1" locked="0" behindDoc="0" simplePos="0" relativeHeight="251876352">
            <wp:simplePos x="0" y="0"/>
            <wp:positionH relativeFrom="page">
              <wp:posOffset>6974928</wp:posOffset>
            </wp:positionH>
            <wp:positionV relativeFrom="page">
              <wp:posOffset>0</wp:posOffset>
            </wp:positionV>
            <wp:extent cx="585063" cy="10692003"/>
            <wp:effectExtent l="0" t="0" r="0" b="0"/>
            <wp:wrapNone/>
            <wp:docPr id="143" name="image5.png"/>
            <wp:cNvGraphicFramePr>
              <a:graphicFrameLocks noChangeAspect="1"/>
            </wp:cNvGraphicFramePr>
            <a:graphic>
              <a:graphicData uri="http://schemas.openxmlformats.org/drawingml/2006/picture">
                <pic:pic>
                  <pic:nvPicPr>
                    <pic:cNvPr id="144" name="image5.png"/>
                    <pic:cNvPicPr/>
                  </pic:nvPicPr>
                  <pic:blipFill>
                    <a:blip r:embed="rId10"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5"/>
        <w:rPr>
          <w:sz w:val="28"/>
        </w:rPr>
      </w:pPr>
    </w:p>
    <w:p>
      <w:pPr>
        <w:pStyle w:val="Heading2"/>
        <w:spacing w:line="213" w:lineRule="auto"/>
        <w:ind w:left="1984" w:right="2004"/>
        <w:rPr>
          <w:b/>
        </w:rPr>
      </w:pPr>
      <w:r>
        <w:rPr/>
        <w:pict>
          <v:shape style="position:absolute;margin-left:554.141174pt;margin-top:-5.989334pt;width:25.9pt;height:335pt;mso-position-horizontal-relative:page;mso-position-vertical-relative:paragraph;z-index:251877376" type="#_x0000_t202" filled="false" stroked="false">
            <v:textbox inset="0,0,0,0" style="layout-flow:vertical">
              <w:txbxContent>
                <w:p>
                  <w:pPr>
                    <w:spacing w:before="27"/>
                    <w:ind w:left="20" w:right="0" w:firstLine="0"/>
                    <w:jc w:val="left"/>
                    <w:rPr>
                      <w:sz w:val="39"/>
                    </w:rPr>
                  </w:pPr>
                  <w:r>
                    <w:rPr>
                      <w:color w:val="FFFFFF"/>
                      <w:spacing w:val="11"/>
                      <w:w w:val="120"/>
                      <w:sz w:val="39"/>
                    </w:rPr>
                    <w:t>Ministry </w:t>
                  </w:r>
                  <w:r>
                    <w:rPr>
                      <w:color w:val="FFFFFF"/>
                      <w:spacing w:val="7"/>
                      <w:w w:val="120"/>
                      <w:sz w:val="39"/>
                    </w:rPr>
                    <w:t>and </w:t>
                  </w:r>
                  <w:r>
                    <w:rPr>
                      <w:color w:val="FFFFFF"/>
                      <w:spacing w:val="9"/>
                      <w:w w:val="120"/>
                      <w:sz w:val="39"/>
                    </w:rPr>
                    <w:t>mission </w:t>
                  </w:r>
                  <w:r>
                    <w:rPr>
                      <w:color w:val="FFFFFF"/>
                      <w:spacing w:val="8"/>
                      <w:w w:val="120"/>
                      <w:sz w:val="39"/>
                    </w:rPr>
                    <w:t>fund</w:t>
                  </w:r>
                  <w:r>
                    <w:rPr>
                      <w:color w:val="FFFFFF"/>
                      <w:spacing w:val="84"/>
                      <w:w w:val="120"/>
                      <w:sz w:val="39"/>
                    </w:rPr>
                    <w:t> </w:t>
                  </w:r>
                  <w:r>
                    <w:rPr>
                      <w:color w:val="FFFFFF"/>
                      <w:spacing w:val="11"/>
                      <w:w w:val="120"/>
                      <w:sz w:val="39"/>
                    </w:rPr>
                    <w:t>giving</w:t>
                  </w:r>
                </w:p>
              </w:txbxContent>
            </v:textbox>
            <w10:wrap type="none"/>
          </v:shape>
        </w:pict>
      </w:r>
      <w:bookmarkStart w:name="_bookmark11" w:id="12"/>
      <w:bookmarkEnd w:id="12"/>
      <w:r>
        <w:rPr>
          <w:b w:val="0"/>
        </w:rPr>
      </w:r>
      <w:r>
        <w:rPr>
          <w:b/>
          <w:color w:val="FCC400"/>
          <w:w w:val="110"/>
        </w:rPr>
        <w:t>South Western Synod: </w:t>
      </w:r>
      <w:r>
        <w:rPr>
          <w:b/>
          <w:w w:val="110"/>
        </w:rPr>
        <w:t>Ministry and mission fund giving</w:t>
      </w:r>
    </w:p>
    <w:p>
      <w:pPr>
        <w:pStyle w:val="BodyText"/>
        <w:spacing w:before="377" w:after="26"/>
        <w:ind w:left="1984"/>
      </w:pPr>
      <w:r>
        <w:rPr>
          <w:w w:val="120"/>
        </w:rPr>
        <w:t>Basic Information</w:t>
      </w:r>
    </w:p>
    <w:tbl>
      <w:tblPr>
        <w:tblW w:w="0" w:type="auto"/>
        <w:jc w:val="left"/>
        <w:tblInd w:w="19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335"/>
      </w:tblGrid>
      <w:tr>
        <w:trPr>
          <w:trHeight w:val="680" w:hRule="atLeast"/>
        </w:trPr>
        <w:tc>
          <w:tcPr>
            <w:tcW w:w="2660" w:type="dxa"/>
            <w:shd w:val="clear" w:color="auto" w:fill="FFFFFF"/>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335" w:type="dxa"/>
            <w:tcBorders>
              <w:right w:val="nil"/>
            </w:tcBorders>
            <w:shd w:val="clear" w:color="auto" w:fill="FFFFFF"/>
          </w:tcPr>
          <w:p>
            <w:pPr>
              <w:pStyle w:val="TableParagraph"/>
              <w:spacing w:line="235" w:lineRule="auto" w:before="145"/>
              <w:ind w:right="2956"/>
              <w:rPr>
                <w:sz w:val="20"/>
              </w:rPr>
            </w:pPr>
            <w:r>
              <w:rPr>
                <w:w w:val="120"/>
                <w:sz w:val="20"/>
              </w:rPr>
              <w:t>George Faris</w:t>
            </w:r>
            <w:hyperlink r:id="rId181">
              <w:r>
                <w:rPr>
                  <w:w w:val="120"/>
                  <w:sz w:val="20"/>
                </w:rPr>
                <w:t> synodclerk@urcsouthwest.org.uk</w:t>
              </w:r>
            </w:hyperlink>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Action required</w:t>
            </w:r>
          </w:p>
        </w:tc>
        <w:tc>
          <w:tcPr>
            <w:tcW w:w="6335" w:type="dxa"/>
            <w:tcBorders>
              <w:right w:val="nil"/>
            </w:tcBorders>
            <w:shd w:val="clear" w:color="auto" w:fill="FFFFFF"/>
          </w:tcPr>
          <w:p>
            <w:pPr>
              <w:pStyle w:val="TableParagraph"/>
              <w:spacing w:before="141"/>
              <w:rPr>
                <w:sz w:val="20"/>
              </w:rPr>
            </w:pPr>
            <w:r>
              <w:rPr>
                <w:w w:val="120"/>
                <w:sz w:val="20"/>
              </w:rPr>
              <w:t>Decision</w:t>
            </w:r>
          </w:p>
        </w:tc>
      </w:tr>
      <w:tr>
        <w:trPr>
          <w:trHeight w:val="116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Draft resolution(s)</w:t>
            </w:r>
          </w:p>
        </w:tc>
        <w:tc>
          <w:tcPr>
            <w:tcW w:w="6335" w:type="dxa"/>
            <w:tcBorders>
              <w:right w:val="nil"/>
            </w:tcBorders>
            <w:shd w:val="clear" w:color="auto" w:fill="FFFFFF"/>
          </w:tcPr>
          <w:p>
            <w:pPr>
              <w:pStyle w:val="TableParagraph"/>
              <w:spacing w:line="213" w:lineRule="auto" w:before="151"/>
              <w:ind w:right="513"/>
              <w:rPr>
                <w:rFonts w:ascii="Stone Sans II ITC Std Bk"/>
                <w:b/>
                <w:sz w:val="20"/>
              </w:rPr>
            </w:pPr>
            <w:r>
              <w:rPr>
                <w:rFonts w:ascii="Stone Sans II ITC Std Bk"/>
                <w:b/>
                <w:w w:val="110"/>
                <w:sz w:val="20"/>
              </w:rPr>
              <w:t>General Assembly challenges all local churches to increase their giving to the ministry and mission fund by at least 1% per annum.</w:t>
            </w:r>
          </w:p>
        </w:tc>
      </w:tr>
    </w:tbl>
    <w:p>
      <w:pPr>
        <w:pStyle w:val="BodyText"/>
        <w:rPr>
          <w:sz w:val="24"/>
        </w:rPr>
      </w:pPr>
    </w:p>
    <w:p>
      <w:pPr>
        <w:pStyle w:val="BodyText"/>
        <w:spacing w:before="156" w:after="27"/>
        <w:ind w:left="1984"/>
      </w:pPr>
      <w:r>
        <w:rPr>
          <w:w w:val="120"/>
        </w:rPr>
        <w:t>Summary of Content</w:t>
      </w:r>
    </w:p>
    <w:tbl>
      <w:tblPr>
        <w:tblW w:w="0" w:type="auto"/>
        <w:jc w:val="left"/>
        <w:tblInd w:w="19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335"/>
      </w:tblGrid>
      <w:tr>
        <w:trPr>
          <w:trHeight w:val="68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Subject and aim(s)</w:t>
            </w:r>
          </w:p>
        </w:tc>
        <w:tc>
          <w:tcPr>
            <w:tcW w:w="6335" w:type="dxa"/>
            <w:tcBorders>
              <w:right w:val="nil"/>
            </w:tcBorders>
            <w:shd w:val="clear" w:color="auto" w:fill="FFFFFF"/>
          </w:tcPr>
          <w:p>
            <w:pPr>
              <w:pStyle w:val="TableParagraph"/>
              <w:spacing w:line="235" w:lineRule="auto" w:before="145"/>
              <w:rPr>
                <w:sz w:val="20"/>
              </w:rPr>
            </w:pPr>
            <w:r>
              <w:rPr>
                <w:w w:val="120"/>
                <w:sz w:val="20"/>
              </w:rPr>
              <w:t>To challenge the churches to give more to the ministry and mission fund</w:t>
            </w:r>
          </w:p>
        </w:tc>
      </w:tr>
      <w:tr>
        <w:trPr>
          <w:trHeight w:val="28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Main points</w:t>
            </w:r>
          </w:p>
        </w:tc>
        <w:tc>
          <w:tcPr>
            <w:tcW w:w="6335" w:type="dxa"/>
            <w:tcBorders>
              <w:right w:val="nil"/>
            </w:tcBorders>
            <w:shd w:val="clear" w:color="auto" w:fill="FFFFFF"/>
          </w:tcPr>
          <w:p>
            <w:pPr>
              <w:pStyle w:val="TableParagraph"/>
              <w:spacing w:line="235" w:lineRule="auto" w:before="145"/>
              <w:ind w:right="216"/>
              <w:rPr>
                <w:sz w:val="20"/>
              </w:rPr>
            </w:pPr>
            <w:r>
              <w:rPr>
                <w:w w:val="120"/>
                <w:sz w:val="20"/>
              </w:rPr>
              <w:t>At the 23 November 2013 Mission Council the URC treasurer stated that if every local church increased its giving to the M&amp;M Fund by 1% per annum, then by 2016 on present estimates we would have a large surplus, perhaps of</w:t>
            </w:r>
          </w:p>
          <w:p>
            <w:pPr>
              <w:pStyle w:val="TableParagraph"/>
              <w:spacing w:line="241" w:lineRule="exact"/>
              <w:rPr>
                <w:sz w:val="20"/>
              </w:rPr>
            </w:pPr>
            <w:r>
              <w:rPr>
                <w:w w:val="120"/>
                <w:sz w:val="20"/>
              </w:rPr>
              <w:t>£1million, instead of the predicted deficit of perhaps</w:t>
            </w:r>
          </w:p>
          <w:p>
            <w:pPr>
              <w:pStyle w:val="TableParagraph"/>
              <w:spacing w:line="235" w:lineRule="auto" w:before="2"/>
              <w:ind w:right="513"/>
              <w:rPr>
                <w:sz w:val="20"/>
              </w:rPr>
            </w:pPr>
            <w:r>
              <w:rPr>
                <w:w w:val="120"/>
                <w:sz w:val="20"/>
              </w:rPr>
              <w:t>£300k and rising. The South Western Synod, inspired by the experience of renewed stewardship at New Brunswick Church in Bristol, felt it appropriate to challenge all local churches to increase their giving to the M&amp;M Fund by at least 1% per annum.</w:t>
            </w:r>
          </w:p>
        </w:tc>
      </w:tr>
      <w:tr>
        <w:trPr>
          <w:trHeight w:val="680" w:hRule="atLeast"/>
        </w:trPr>
        <w:tc>
          <w:tcPr>
            <w:tcW w:w="2660" w:type="dxa"/>
            <w:shd w:val="clear" w:color="auto" w:fill="FFFFFF"/>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335" w:type="dxa"/>
            <w:tcBorders>
              <w:right w:val="nil"/>
            </w:tcBorders>
            <w:shd w:val="clear" w:color="auto" w:fill="FFFFFF"/>
          </w:tcPr>
          <w:p>
            <w:pPr>
              <w:pStyle w:val="TableParagraph"/>
              <w:spacing w:before="141"/>
              <w:rPr>
                <w:sz w:val="20"/>
              </w:rPr>
            </w:pPr>
            <w:r>
              <w:rPr>
                <w:w w:val="120"/>
                <w:sz w:val="20"/>
              </w:rPr>
              <w:t>None</w:t>
            </w:r>
          </w:p>
        </w:tc>
      </w:tr>
      <w:tr>
        <w:trPr>
          <w:trHeight w:val="680" w:hRule="atLeast"/>
        </w:trPr>
        <w:tc>
          <w:tcPr>
            <w:tcW w:w="2660" w:type="dxa"/>
            <w:shd w:val="clear" w:color="auto" w:fill="FFFFFF"/>
          </w:tcPr>
          <w:p>
            <w:pPr>
              <w:pStyle w:val="TableParagraph"/>
              <w:spacing w:line="213" w:lineRule="auto" w:before="151"/>
              <w:ind w:right="104"/>
              <w:rPr>
                <w:rFonts w:ascii="Stone Sans II ITC Std Bk"/>
                <w:b/>
                <w:sz w:val="20"/>
              </w:rPr>
            </w:pPr>
            <w:r>
              <w:rPr>
                <w:rFonts w:ascii="Stone Sans II ITC Std Bk"/>
                <w:b/>
                <w:w w:val="110"/>
                <w:sz w:val="20"/>
              </w:rPr>
              <w:t>Consultation has taken place with...</w:t>
            </w:r>
          </w:p>
        </w:tc>
        <w:tc>
          <w:tcPr>
            <w:tcW w:w="6335" w:type="dxa"/>
            <w:tcBorders>
              <w:right w:val="nil"/>
            </w:tcBorders>
            <w:shd w:val="clear" w:color="auto" w:fill="FFFFFF"/>
          </w:tcPr>
          <w:p>
            <w:pPr>
              <w:pStyle w:val="TableParagraph"/>
              <w:spacing w:before="141"/>
              <w:rPr>
                <w:sz w:val="20"/>
              </w:rPr>
            </w:pPr>
            <w:r>
              <w:rPr>
                <w:w w:val="120"/>
                <w:sz w:val="20"/>
              </w:rPr>
              <w:t>URC treasurer</w:t>
            </w:r>
          </w:p>
        </w:tc>
      </w:tr>
    </w:tbl>
    <w:p>
      <w:pPr>
        <w:pStyle w:val="BodyText"/>
        <w:rPr>
          <w:sz w:val="24"/>
        </w:rPr>
      </w:pPr>
    </w:p>
    <w:p>
      <w:pPr>
        <w:pStyle w:val="BodyText"/>
        <w:spacing w:before="156" w:after="27"/>
        <w:ind w:left="1984"/>
      </w:pPr>
      <w:r>
        <w:rPr>
          <w:w w:val="120"/>
        </w:rPr>
        <w:t>Summary of Impact</w:t>
      </w:r>
    </w:p>
    <w:tbl>
      <w:tblPr>
        <w:tblW w:w="0" w:type="auto"/>
        <w:jc w:val="left"/>
        <w:tblInd w:w="19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335"/>
      </w:tblGrid>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335" w:type="dxa"/>
            <w:tcBorders>
              <w:right w:val="nil"/>
            </w:tcBorders>
            <w:shd w:val="clear" w:color="auto" w:fill="FFFFFF"/>
          </w:tcPr>
          <w:p>
            <w:pPr>
              <w:pStyle w:val="TableParagraph"/>
              <w:spacing w:before="141"/>
              <w:rPr>
                <w:sz w:val="20"/>
              </w:rPr>
            </w:pPr>
            <w:r>
              <w:rPr>
                <w:w w:val="120"/>
                <w:sz w:val="20"/>
              </w:rPr>
              <w:t>If successful, income should increase.</w:t>
            </w:r>
          </w:p>
        </w:tc>
      </w:tr>
      <w:tr>
        <w:trPr>
          <w:trHeight w:val="68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335" w:type="dxa"/>
            <w:tcBorders>
              <w:right w:val="nil"/>
            </w:tcBorders>
            <w:shd w:val="clear" w:color="auto" w:fill="FFFFFF"/>
          </w:tcPr>
          <w:p>
            <w:pPr>
              <w:pStyle w:val="TableParagraph"/>
              <w:spacing w:before="141"/>
              <w:rPr>
                <w:sz w:val="20"/>
              </w:rPr>
            </w:pPr>
            <w:r>
              <w:rPr>
                <w:w w:val="120"/>
                <w:sz w:val="20"/>
              </w:rPr>
              <w:t>None</w:t>
            </w:r>
          </w:p>
        </w:tc>
      </w:tr>
    </w:tbl>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3"/>
        <w:rPr>
          <w:sz w:val="32"/>
        </w:rPr>
      </w:pPr>
    </w:p>
    <w:p>
      <w:pPr>
        <w:pStyle w:val="Heading8"/>
        <w:spacing w:before="0"/>
        <w:ind w:left="4510"/>
        <w:rPr>
          <w:rFonts w:ascii="Stone Sans II ITC Std X Bd" w:hAnsi="Stone Sans II ITC Std X Bd"/>
          <w:b/>
          <w:sz w:val="24"/>
        </w:rPr>
      </w:pP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2014 </w:t>
      </w:r>
      <w:r>
        <w:rPr>
          <w:rFonts w:ascii="Symbol" w:hAnsi="Symbol"/>
          <w:color w:val="7EAABF"/>
          <w:w w:val="110"/>
        </w:rPr>
        <w:t></w:t>
      </w:r>
      <w:r>
        <w:rPr>
          <w:rFonts w:ascii="Times New Roman" w:hAnsi="Times New Roman"/>
          <w:color w:val="7EAABF"/>
          <w:spacing w:val="51"/>
          <w:w w:val="110"/>
        </w:rPr>
        <w:t> </w:t>
      </w:r>
      <w:r>
        <w:rPr>
          <w:rFonts w:ascii="Stone Sans II ITC Std X Bd" w:hAnsi="Stone Sans II ITC Std X Bd"/>
          <w:b/>
          <w:w w:val="110"/>
          <w:sz w:val="24"/>
        </w:rPr>
        <w:t>77</w:t>
      </w:r>
    </w:p>
    <w:p>
      <w:pPr>
        <w:spacing w:after="0"/>
        <w:rPr>
          <w:rFonts w:ascii="Stone Sans II ITC Std X Bd" w:hAnsi="Stone Sans II ITC Std X Bd"/>
          <w:sz w:val="24"/>
        </w:rPr>
        <w:sectPr>
          <w:headerReference w:type="default" r:id="rId179"/>
          <w:footerReference w:type="default" r:id="rId180"/>
          <w:pgSz w:w="11910" w:h="16840"/>
          <w:pgMar w:header="0" w:footer="0" w:top="0" w:bottom="0" w:left="0" w:right="0"/>
        </w:sectPr>
      </w:pPr>
    </w:p>
    <w:tbl>
      <w:tblPr>
        <w:tblW w:w="0" w:type="auto"/>
        <w:jc w:val="left"/>
        <w:tblInd w:w="9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
        <w:gridCol w:w="2660"/>
        <w:gridCol w:w="6463"/>
      </w:tblGrid>
      <w:tr>
        <w:trPr>
          <w:trHeight w:val="3702" w:hRule="atLeast"/>
        </w:trPr>
        <w:tc>
          <w:tcPr>
            <w:tcW w:w="9440" w:type="dxa"/>
            <w:gridSpan w:val="3"/>
            <w:tcBorders>
              <w:top w:val="nil"/>
              <w:left w:val="nil"/>
              <w:bottom w:val="nil"/>
              <w:right w:val="nil"/>
            </w:tcBorders>
            <w:shd w:val="clear" w:color="auto" w:fill="FFEDC2"/>
          </w:tcPr>
          <w:p>
            <w:pPr>
              <w:pStyle w:val="TableParagraph"/>
              <w:spacing w:before="2"/>
              <w:ind w:left="0"/>
              <w:rPr>
                <w:rFonts w:ascii="Stone Sans II ITC Std X Bd"/>
                <w:b/>
                <w:sz w:val="91"/>
              </w:rPr>
            </w:pPr>
          </w:p>
          <w:p>
            <w:pPr>
              <w:pStyle w:val="TableParagraph"/>
              <w:spacing w:line="213" w:lineRule="auto"/>
              <w:ind w:left="311" w:right="2120"/>
              <w:rPr>
                <w:rFonts w:ascii="Stone Sans II ITC Std X Bd"/>
                <w:b/>
                <w:sz w:val="50"/>
              </w:rPr>
            </w:pPr>
            <w:bookmarkStart w:name="_bookmark12" w:id="13"/>
            <w:bookmarkEnd w:id="13"/>
            <w:r>
              <w:rPr/>
            </w:r>
            <w:r>
              <w:rPr>
                <w:rFonts w:ascii="Stone Sans II ITC Std X Bd"/>
                <w:b/>
                <w:color w:val="FCC400"/>
                <w:w w:val="110"/>
                <w:sz w:val="50"/>
              </w:rPr>
              <w:t>West Midlands Synod: </w:t>
            </w:r>
            <w:r>
              <w:rPr>
                <w:rFonts w:ascii="Stone Sans II ITC Std X Bd"/>
                <w:b/>
                <w:w w:val="110"/>
                <w:sz w:val="50"/>
              </w:rPr>
              <w:t>Non-stipendiary ministry age limit</w:t>
            </w:r>
          </w:p>
          <w:p>
            <w:pPr>
              <w:pStyle w:val="TableParagraph"/>
              <w:spacing w:before="376"/>
              <w:ind w:left="311"/>
              <w:rPr>
                <w:sz w:val="20"/>
              </w:rPr>
            </w:pPr>
            <w:r>
              <w:rPr>
                <w:w w:val="120"/>
                <w:sz w:val="20"/>
              </w:rPr>
              <w:t>Basic Information</w:t>
            </w:r>
          </w:p>
        </w:tc>
      </w:tr>
      <w:tr>
        <w:trPr>
          <w:trHeight w:val="680" w:hRule="atLeast"/>
        </w:trPr>
        <w:tc>
          <w:tcPr>
            <w:tcW w:w="317" w:type="dxa"/>
            <w:vMerge w:val="restart"/>
            <w:tcBorders>
              <w:top w:val="nil"/>
              <w:left w:val="nil"/>
              <w:bottom w:val="nil"/>
            </w:tcBorders>
            <w:shd w:val="clear" w:color="auto" w:fill="FFEDC2"/>
          </w:tcPr>
          <w:p>
            <w:pPr>
              <w:pStyle w:val="TableParagraph"/>
              <w:ind w:left="0"/>
              <w:rPr>
                <w:rFonts w:ascii="Times New Roman"/>
                <w:sz w:val="24"/>
              </w:rPr>
            </w:pPr>
          </w:p>
        </w:tc>
        <w:tc>
          <w:tcPr>
            <w:tcW w:w="2660" w:type="dxa"/>
            <w:shd w:val="clear" w:color="auto" w:fill="FFFFFF"/>
          </w:tcPr>
          <w:p>
            <w:pPr>
              <w:pStyle w:val="TableParagraph"/>
              <w:spacing w:line="213" w:lineRule="auto" w:before="133"/>
              <w:ind w:left="74" w:right="601"/>
              <w:rPr>
                <w:rFonts w:ascii="Stone Sans II ITC Std Bk"/>
                <w:b/>
                <w:sz w:val="20"/>
              </w:rPr>
            </w:pPr>
            <w:r>
              <w:rPr>
                <w:rFonts w:ascii="Stone Sans II ITC Std Bk"/>
                <w:b/>
                <w:w w:val="110"/>
                <w:sz w:val="20"/>
              </w:rPr>
              <w:t>Contact name and email address</w:t>
            </w:r>
          </w:p>
        </w:tc>
        <w:tc>
          <w:tcPr>
            <w:tcW w:w="6463" w:type="dxa"/>
            <w:tcBorders>
              <w:right w:val="nil"/>
            </w:tcBorders>
            <w:shd w:val="clear" w:color="auto" w:fill="FFFFFF"/>
          </w:tcPr>
          <w:p>
            <w:pPr>
              <w:pStyle w:val="TableParagraph"/>
              <w:spacing w:line="235" w:lineRule="auto" w:before="127"/>
              <w:ind w:left="74" w:right="2751"/>
              <w:rPr>
                <w:sz w:val="20"/>
              </w:rPr>
            </w:pPr>
            <w:r>
              <w:rPr>
                <w:w w:val="120"/>
                <w:sz w:val="20"/>
              </w:rPr>
              <w:t>Roy Lowes </w:t>
            </w:r>
            <w:hyperlink r:id="rId184">
              <w:r>
                <w:rPr>
                  <w:w w:val="120"/>
                  <w:sz w:val="20"/>
                </w:rPr>
                <w:t>moderator@urcwestmidlands.org.uk</w:t>
              </w:r>
            </w:hyperlink>
          </w:p>
        </w:tc>
      </w:tr>
      <w:tr>
        <w:trPr>
          <w:trHeight w:val="440" w:hRule="atLeast"/>
        </w:trPr>
        <w:tc>
          <w:tcPr>
            <w:tcW w:w="317" w:type="dxa"/>
            <w:vMerge/>
            <w:tcBorders>
              <w:top w:val="nil"/>
              <w:left w:val="nil"/>
              <w:bottom w:val="nil"/>
            </w:tcBorders>
            <w:shd w:val="clear" w:color="auto" w:fill="FFEDC2"/>
          </w:tcPr>
          <w:p>
            <w:pPr>
              <w:rPr>
                <w:sz w:val="2"/>
                <w:szCs w:val="2"/>
              </w:rPr>
            </w:pPr>
          </w:p>
        </w:tc>
        <w:tc>
          <w:tcPr>
            <w:tcW w:w="2660" w:type="dxa"/>
            <w:shd w:val="clear" w:color="auto" w:fill="FFFFFF"/>
          </w:tcPr>
          <w:p>
            <w:pPr>
              <w:pStyle w:val="TableParagraph"/>
              <w:spacing w:before="111"/>
              <w:ind w:left="74"/>
              <w:rPr>
                <w:rFonts w:ascii="Stone Sans II ITC Std Bk"/>
                <w:b/>
                <w:sz w:val="20"/>
              </w:rPr>
            </w:pPr>
            <w:r>
              <w:rPr>
                <w:rFonts w:ascii="Stone Sans II ITC Std Bk"/>
                <w:b/>
                <w:w w:val="110"/>
                <w:sz w:val="20"/>
              </w:rPr>
              <w:t>Action required</w:t>
            </w:r>
          </w:p>
        </w:tc>
        <w:tc>
          <w:tcPr>
            <w:tcW w:w="6463" w:type="dxa"/>
            <w:tcBorders>
              <w:right w:val="nil"/>
            </w:tcBorders>
            <w:shd w:val="clear" w:color="auto" w:fill="FFFFFF"/>
          </w:tcPr>
          <w:p>
            <w:pPr>
              <w:pStyle w:val="TableParagraph"/>
              <w:spacing w:before="123"/>
              <w:ind w:left="74"/>
              <w:rPr>
                <w:sz w:val="20"/>
              </w:rPr>
            </w:pPr>
            <w:r>
              <w:rPr>
                <w:w w:val="120"/>
                <w:sz w:val="20"/>
              </w:rPr>
              <w:t>Decision</w:t>
            </w:r>
          </w:p>
        </w:tc>
      </w:tr>
      <w:tr>
        <w:trPr>
          <w:trHeight w:val="2360" w:hRule="atLeast"/>
        </w:trPr>
        <w:tc>
          <w:tcPr>
            <w:tcW w:w="317" w:type="dxa"/>
            <w:vMerge/>
            <w:tcBorders>
              <w:top w:val="nil"/>
              <w:left w:val="nil"/>
              <w:bottom w:val="nil"/>
            </w:tcBorders>
            <w:shd w:val="clear" w:color="auto" w:fill="FFEDC2"/>
          </w:tcPr>
          <w:p>
            <w:pPr>
              <w:rPr>
                <w:sz w:val="2"/>
                <w:szCs w:val="2"/>
              </w:rPr>
            </w:pPr>
          </w:p>
        </w:tc>
        <w:tc>
          <w:tcPr>
            <w:tcW w:w="2660" w:type="dxa"/>
            <w:shd w:val="clear" w:color="auto" w:fill="FFFFFF"/>
          </w:tcPr>
          <w:p>
            <w:pPr>
              <w:pStyle w:val="TableParagraph"/>
              <w:spacing w:before="111"/>
              <w:ind w:left="74"/>
              <w:rPr>
                <w:rFonts w:ascii="Stone Sans II ITC Std Bk"/>
                <w:b/>
                <w:sz w:val="20"/>
              </w:rPr>
            </w:pPr>
            <w:r>
              <w:rPr>
                <w:rFonts w:ascii="Stone Sans II ITC Std Bk"/>
                <w:b/>
                <w:w w:val="110"/>
                <w:sz w:val="20"/>
              </w:rPr>
              <w:t>Draft resolution(s)</w:t>
            </w:r>
          </w:p>
        </w:tc>
        <w:tc>
          <w:tcPr>
            <w:tcW w:w="6463" w:type="dxa"/>
            <w:tcBorders>
              <w:right w:val="nil"/>
            </w:tcBorders>
            <w:shd w:val="clear" w:color="auto" w:fill="FFFFFF"/>
          </w:tcPr>
          <w:p>
            <w:pPr>
              <w:pStyle w:val="TableParagraph"/>
              <w:spacing w:line="213" w:lineRule="auto" w:before="133"/>
              <w:ind w:left="74" w:right="351"/>
              <w:rPr>
                <w:rFonts w:ascii="Stone Sans II ITC Std Bk"/>
                <w:b/>
                <w:sz w:val="20"/>
              </w:rPr>
            </w:pPr>
            <w:r>
              <w:rPr>
                <w:rFonts w:ascii="Stone Sans II ITC Std Bk"/>
                <w:b/>
                <w:w w:val="110"/>
                <w:sz w:val="20"/>
              </w:rPr>
              <w:t>Recognising that people are working longer in many occupations and that UK legislation has changed in recent years to enable people to work without fear of age discrimination; the General Assembly resolves to remove the age related entry qualifications with regard to non-stipendiary ministry.</w:t>
            </w:r>
          </w:p>
          <w:p>
            <w:pPr>
              <w:pStyle w:val="TableParagraph"/>
              <w:ind w:left="0"/>
              <w:rPr>
                <w:rFonts w:ascii="Stone Sans II ITC Std X Bd"/>
                <w:b/>
                <w:sz w:val="17"/>
              </w:rPr>
            </w:pPr>
          </w:p>
          <w:p>
            <w:pPr>
              <w:pStyle w:val="TableParagraph"/>
              <w:spacing w:line="235" w:lineRule="auto"/>
              <w:ind w:left="74" w:right="4161"/>
              <w:rPr>
                <w:sz w:val="20"/>
              </w:rPr>
            </w:pPr>
            <w:r>
              <w:rPr>
                <w:w w:val="120"/>
                <w:sz w:val="20"/>
              </w:rPr>
              <w:t>Proposer: Roy Lowes Seconder: Craig Muir</w:t>
            </w:r>
          </w:p>
        </w:tc>
      </w:tr>
      <w:tr>
        <w:trPr>
          <w:trHeight w:val="720" w:hRule="atLeast"/>
        </w:trPr>
        <w:tc>
          <w:tcPr>
            <w:tcW w:w="9440" w:type="dxa"/>
            <w:gridSpan w:val="3"/>
            <w:tcBorders>
              <w:top w:val="nil"/>
              <w:left w:val="nil"/>
              <w:bottom w:val="nil"/>
              <w:right w:val="nil"/>
            </w:tcBorders>
            <w:shd w:val="clear" w:color="auto" w:fill="FFEDC2"/>
          </w:tcPr>
          <w:p>
            <w:pPr>
              <w:pStyle w:val="TableParagraph"/>
              <w:spacing w:before="12"/>
              <w:ind w:left="0"/>
              <w:rPr>
                <w:rFonts w:ascii="Stone Sans II ITC Std X Bd"/>
                <w:b/>
                <w:sz w:val="31"/>
              </w:rPr>
            </w:pPr>
          </w:p>
          <w:p>
            <w:pPr>
              <w:pStyle w:val="TableParagraph"/>
              <w:ind w:left="311"/>
              <w:rPr>
                <w:sz w:val="20"/>
              </w:rPr>
            </w:pPr>
            <w:r>
              <w:rPr>
                <w:w w:val="120"/>
                <w:sz w:val="20"/>
              </w:rPr>
              <w:t>Summary of Content</w:t>
            </w:r>
          </w:p>
        </w:tc>
      </w:tr>
      <w:tr>
        <w:trPr>
          <w:trHeight w:val="920" w:hRule="atLeast"/>
        </w:trPr>
        <w:tc>
          <w:tcPr>
            <w:tcW w:w="317" w:type="dxa"/>
            <w:vMerge w:val="restart"/>
            <w:tcBorders>
              <w:top w:val="nil"/>
              <w:left w:val="nil"/>
              <w:bottom w:val="nil"/>
            </w:tcBorders>
            <w:shd w:val="clear" w:color="auto" w:fill="FFEDC2"/>
          </w:tcPr>
          <w:p>
            <w:pPr>
              <w:pStyle w:val="TableParagraph"/>
              <w:ind w:left="0"/>
              <w:rPr>
                <w:rFonts w:ascii="Times New Roman"/>
                <w:sz w:val="24"/>
              </w:rPr>
            </w:pPr>
          </w:p>
        </w:tc>
        <w:tc>
          <w:tcPr>
            <w:tcW w:w="2660" w:type="dxa"/>
            <w:shd w:val="clear" w:color="auto" w:fill="FFFFFF"/>
          </w:tcPr>
          <w:p>
            <w:pPr>
              <w:pStyle w:val="TableParagraph"/>
              <w:spacing w:before="111"/>
              <w:ind w:left="74"/>
              <w:rPr>
                <w:rFonts w:ascii="Stone Sans II ITC Std Bk"/>
                <w:b/>
                <w:sz w:val="20"/>
              </w:rPr>
            </w:pPr>
            <w:r>
              <w:rPr>
                <w:rFonts w:ascii="Stone Sans II ITC Std Bk"/>
                <w:b/>
                <w:w w:val="110"/>
                <w:sz w:val="20"/>
              </w:rPr>
              <w:t>Subject and aim(s)</w:t>
            </w:r>
          </w:p>
        </w:tc>
        <w:tc>
          <w:tcPr>
            <w:tcW w:w="6463" w:type="dxa"/>
            <w:tcBorders>
              <w:right w:val="nil"/>
            </w:tcBorders>
            <w:shd w:val="clear" w:color="auto" w:fill="FFFFFF"/>
          </w:tcPr>
          <w:p>
            <w:pPr>
              <w:pStyle w:val="TableParagraph"/>
              <w:spacing w:line="235" w:lineRule="auto" w:before="127"/>
              <w:ind w:left="74"/>
              <w:rPr>
                <w:sz w:val="20"/>
              </w:rPr>
            </w:pPr>
            <w:r>
              <w:rPr>
                <w:w w:val="120"/>
                <w:sz w:val="20"/>
              </w:rPr>
              <w:t>It is proposed that the age limit for training for non-stipendiary ministry be removed in light of new understandings of age discrimination and retirement.</w:t>
            </w:r>
          </w:p>
        </w:tc>
      </w:tr>
      <w:tr>
        <w:trPr>
          <w:trHeight w:val="680" w:hRule="atLeast"/>
        </w:trPr>
        <w:tc>
          <w:tcPr>
            <w:tcW w:w="317" w:type="dxa"/>
            <w:vMerge/>
            <w:tcBorders>
              <w:top w:val="nil"/>
              <w:left w:val="nil"/>
              <w:bottom w:val="nil"/>
            </w:tcBorders>
            <w:shd w:val="clear" w:color="auto" w:fill="FFEDC2"/>
          </w:tcPr>
          <w:p>
            <w:pPr>
              <w:rPr>
                <w:sz w:val="2"/>
                <w:szCs w:val="2"/>
              </w:rPr>
            </w:pPr>
          </w:p>
        </w:tc>
        <w:tc>
          <w:tcPr>
            <w:tcW w:w="2660" w:type="dxa"/>
            <w:shd w:val="clear" w:color="auto" w:fill="FFFFFF"/>
          </w:tcPr>
          <w:p>
            <w:pPr>
              <w:pStyle w:val="TableParagraph"/>
              <w:spacing w:before="111"/>
              <w:ind w:left="74"/>
              <w:rPr>
                <w:rFonts w:ascii="Stone Sans II ITC Std Bk"/>
                <w:b/>
                <w:sz w:val="20"/>
              </w:rPr>
            </w:pPr>
            <w:r>
              <w:rPr>
                <w:rFonts w:ascii="Stone Sans II ITC Std Bk"/>
                <w:b/>
                <w:w w:val="110"/>
                <w:sz w:val="20"/>
              </w:rPr>
              <w:t>Main points</w:t>
            </w:r>
          </w:p>
        </w:tc>
        <w:tc>
          <w:tcPr>
            <w:tcW w:w="6463" w:type="dxa"/>
            <w:tcBorders>
              <w:right w:val="nil"/>
            </w:tcBorders>
            <w:shd w:val="clear" w:color="auto" w:fill="FFFFFF"/>
          </w:tcPr>
          <w:p>
            <w:pPr>
              <w:pStyle w:val="TableParagraph"/>
              <w:spacing w:line="235" w:lineRule="auto" w:before="127"/>
              <w:ind w:left="74" w:right="594"/>
              <w:rPr>
                <w:sz w:val="20"/>
              </w:rPr>
            </w:pPr>
            <w:r>
              <w:rPr>
                <w:w w:val="120"/>
                <w:sz w:val="20"/>
              </w:rPr>
              <w:t>The case of a prospective candidate is given as an example of the discrimination represented by the current policy.</w:t>
            </w:r>
          </w:p>
        </w:tc>
      </w:tr>
      <w:tr>
        <w:trPr>
          <w:trHeight w:val="680" w:hRule="atLeast"/>
        </w:trPr>
        <w:tc>
          <w:tcPr>
            <w:tcW w:w="317" w:type="dxa"/>
            <w:vMerge/>
            <w:tcBorders>
              <w:top w:val="nil"/>
              <w:left w:val="nil"/>
              <w:bottom w:val="nil"/>
            </w:tcBorders>
            <w:shd w:val="clear" w:color="auto" w:fill="FFEDC2"/>
          </w:tcPr>
          <w:p>
            <w:pPr>
              <w:rPr>
                <w:sz w:val="2"/>
                <w:szCs w:val="2"/>
              </w:rPr>
            </w:pPr>
          </w:p>
        </w:tc>
        <w:tc>
          <w:tcPr>
            <w:tcW w:w="2660" w:type="dxa"/>
            <w:shd w:val="clear" w:color="auto" w:fill="FFFFFF"/>
          </w:tcPr>
          <w:p>
            <w:pPr>
              <w:pStyle w:val="TableParagraph"/>
              <w:spacing w:line="213" w:lineRule="auto" w:before="133"/>
              <w:ind w:left="74" w:right="707"/>
              <w:rPr>
                <w:rFonts w:ascii="Stone Sans II ITC Std Bk"/>
                <w:b/>
                <w:sz w:val="20"/>
              </w:rPr>
            </w:pPr>
            <w:r>
              <w:rPr>
                <w:rFonts w:ascii="Stone Sans II ITC Std Bk"/>
                <w:b/>
                <w:w w:val="110"/>
                <w:sz w:val="20"/>
              </w:rPr>
              <w:t>Previous relevant documents</w:t>
            </w:r>
          </w:p>
        </w:tc>
        <w:tc>
          <w:tcPr>
            <w:tcW w:w="6463" w:type="dxa"/>
            <w:tcBorders>
              <w:right w:val="nil"/>
            </w:tcBorders>
            <w:shd w:val="clear" w:color="auto" w:fill="FFFFFF"/>
          </w:tcPr>
          <w:p>
            <w:pPr>
              <w:pStyle w:val="TableParagraph"/>
              <w:spacing w:line="235" w:lineRule="auto" w:before="127"/>
              <w:ind w:left="74" w:right="594"/>
              <w:rPr>
                <w:sz w:val="20"/>
              </w:rPr>
            </w:pPr>
            <w:r>
              <w:rPr>
                <w:w w:val="120"/>
                <w:sz w:val="20"/>
              </w:rPr>
              <w:t>General Assembly 1997 (resolution 34) set an age limit of 55 for candidates applying for non-stipendiary ministry.</w:t>
            </w:r>
          </w:p>
        </w:tc>
      </w:tr>
      <w:tr>
        <w:trPr>
          <w:trHeight w:val="680" w:hRule="atLeast"/>
        </w:trPr>
        <w:tc>
          <w:tcPr>
            <w:tcW w:w="317" w:type="dxa"/>
            <w:vMerge/>
            <w:tcBorders>
              <w:top w:val="nil"/>
              <w:left w:val="nil"/>
              <w:bottom w:val="nil"/>
            </w:tcBorders>
            <w:shd w:val="clear" w:color="auto" w:fill="FFEDC2"/>
          </w:tcPr>
          <w:p>
            <w:pPr>
              <w:rPr>
                <w:sz w:val="2"/>
                <w:szCs w:val="2"/>
              </w:rPr>
            </w:pPr>
          </w:p>
        </w:tc>
        <w:tc>
          <w:tcPr>
            <w:tcW w:w="2660" w:type="dxa"/>
            <w:shd w:val="clear" w:color="auto" w:fill="FFFFFF"/>
          </w:tcPr>
          <w:p>
            <w:pPr>
              <w:pStyle w:val="TableParagraph"/>
              <w:spacing w:line="213" w:lineRule="auto" w:before="133"/>
              <w:ind w:left="74" w:right="110"/>
              <w:rPr>
                <w:rFonts w:ascii="Stone Sans II ITC Std Bk"/>
                <w:b/>
                <w:sz w:val="20"/>
              </w:rPr>
            </w:pPr>
            <w:r>
              <w:rPr>
                <w:rFonts w:ascii="Stone Sans II ITC Std Bk"/>
                <w:b/>
                <w:w w:val="110"/>
                <w:sz w:val="20"/>
              </w:rPr>
              <w:t>Consultation has taken place with...</w:t>
            </w:r>
          </w:p>
        </w:tc>
        <w:tc>
          <w:tcPr>
            <w:tcW w:w="6463" w:type="dxa"/>
            <w:tcBorders>
              <w:right w:val="nil"/>
            </w:tcBorders>
            <w:shd w:val="clear" w:color="auto" w:fill="FFFFFF"/>
          </w:tcPr>
          <w:p>
            <w:pPr>
              <w:pStyle w:val="TableParagraph"/>
              <w:spacing w:before="123"/>
              <w:ind w:left="74"/>
              <w:rPr>
                <w:sz w:val="20"/>
              </w:rPr>
            </w:pPr>
            <w:r>
              <w:rPr>
                <w:w w:val="120"/>
                <w:sz w:val="20"/>
              </w:rPr>
              <w:t>None</w:t>
            </w:r>
          </w:p>
        </w:tc>
      </w:tr>
      <w:tr>
        <w:trPr>
          <w:trHeight w:val="720" w:hRule="atLeast"/>
        </w:trPr>
        <w:tc>
          <w:tcPr>
            <w:tcW w:w="9440" w:type="dxa"/>
            <w:gridSpan w:val="3"/>
            <w:tcBorders>
              <w:top w:val="nil"/>
              <w:left w:val="nil"/>
              <w:bottom w:val="nil"/>
              <w:right w:val="nil"/>
            </w:tcBorders>
            <w:shd w:val="clear" w:color="auto" w:fill="FFEDC2"/>
          </w:tcPr>
          <w:p>
            <w:pPr>
              <w:pStyle w:val="TableParagraph"/>
              <w:spacing w:before="12"/>
              <w:ind w:left="0"/>
              <w:rPr>
                <w:rFonts w:ascii="Stone Sans II ITC Std X Bd"/>
                <w:b/>
                <w:sz w:val="31"/>
              </w:rPr>
            </w:pPr>
          </w:p>
          <w:p>
            <w:pPr>
              <w:pStyle w:val="TableParagraph"/>
              <w:ind w:left="311"/>
              <w:rPr>
                <w:sz w:val="20"/>
              </w:rPr>
            </w:pPr>
            <w:r>
              <w:rPr>
                <w:w w:val="120"/>
                <w:sz w:val="20"/>
              </w:rPr>
              <w:t>Summary of Impact</w:t>
            </w:r>
          </w:p>
        </w:tc>
      </w:tr>
      <w:tr>
        <w:trPr>
          <w:trHeight w:val="680" w:hRule="atLeast"/>
        </w:trPr>
        <w:tc>
          <w:tcPr>
            <w:tcW w:w="317" w:type="dxa"/>
            <w:vMerge w:val="restart"/>
            <w:tcBorders>
              <w:top w:val="nil"/>
              <w:left w:val="nil"/>
              <w:bottom w:val="nil"/>
            </w:tcBorders>
            <w:shd w:val="clear" w:color="auto" w:fill="FFEDC2"/>
          </w:tcPr>
          <w:p>
            <w:pPr>
              <w:pStyle w:val="TableParagraph"/>
              <w:ind w:left="0"/>
              <w:rPr>
                <w:rFonts w:ascii="Times New Roman"/>
                <w:sz w:val="24"/>
              </w:rPr>
            </w:pPr>
          </w:p>
        </w:tc>
        <w:tc>
          <w:tcPr>
            <w:tcW w:w="2660" w:type="dxa"/>
            <w:shd w:val="clear" w:color="auto" w:fill="FFFFFF"/>
          </w:tcPr>
          <w:p>
            <w:pPr>
              <w:pStyle w:val="TableParagraph"/>
              <w:spacing w:before="111"/>
              <w:ind w:left="74"/>
              <w:rPr>
                <w:rFonts w:ascii="Stone Sans II ITC Std Bk"/>
                <w:b/>
                <w:sz w:val="20"/>
              </w:rPr>
            </w:pPr>
            <w:r>
              <w:rPr>
                <w:rFonts w:ascii="Stone Sans II ITC Std Bk"/>
                <w:b/>
                <w:w w:val="110"/>
                <w:sz w:val="20"/>
              </w:rPr>
              <w:t>Financial</w:t>
            </w:r>
          </w:p>
        </w:tc>
        <w:tc>
          <w:tcPr>
            <w:tcW w:w="6463" w:type="dxa"/>
            <w:tcBorders>
              <w:right w:val="nil"/>
            </w:tcBorders>
            <w:shd w:val="clear" w:color="auto" w:fill="FFFFFF"/>
          </w:tcPr>
          <w:p>
            <w:pPr>
              <w:pStyle w:val="TableParagraph"/>
              <w:spacing w:line="235" w:lineRule="auto" w:before="127"/>
              <w:ind w:left="74"/>
              <w:rPr>
                <w:sz w:val="20"/>
              </w:rPr>
            </w:pPr>
            <w:r>
              <w:rPr>
                <w:w w:val="120"/>
                <w:sz w:val="20"/>
              </w:rPr>
              <w:t>Additional candidates for non-stipendiary ministry would hopefully come forward for training</w:t>
            </w:r>
          </w:p>
        </w:tc>
      </w:tr>
      <w:tr>
        <w:trPr>
          <w:trHeight w:val="680" w:hRule="atLeast"/>
        </w:trPr>
        <w:tc>
          <w:tcPr>
            <w:tcW w:w="317" w:type="dxa"/>
            <w:vMerge/>
            <w:tcBorders>
              <w:top w:val="nil"/>
              <w:left w:val="nil"/>
              <w:bottom w:val="nil"/>
            </w:tcBorders>
            <w:shd w:val="clear" w:color="auto" w:fill="FFEDC2"/>
          </w:tcPr>
          <w:p>
            <w:pPr>
              <w:rPr>
                <w:sz w:val="2"/>
                <w:szCs w:val="2"/>
              </w:rPr>
            </w:pPr>
          </w:p>
        </w:tc>
        <w:tc>
          <w:tcPr>
            <w:tcW w:w="2660" w:type="dxa"/>
            <w:shd w:val="clear" w:color="auto" w:fill="FFFFFF"/>
          </w:tcPr>
          <w:p>
            <w:pPr>
              <w:pStyle w:val="TableParagraph"/>
              <w:spacing w:line="255" w:lineRule="exact" w:before="111"/>
              <w:ind w:left="74"/>
              <w:rPr>
                <w:rFonts w:ascii="Stone Sans II ITC Std Bk"/>
                <w:b/>
                <w:sz w:val="20"/>
              </w:rPr>
            </w:pPr>
            <w:r>
              <w:rPr>
                <w:rFonts w:ascii="Stone Sans II ITC Std Bk"/>
                <w:b/>
                <w:w w:val="110"/>
                <w:sz w:val="20"/>
              </w:rPr>
              <w:t>External</w:t>
            </w:r>
          </w:p>
          <w:p>
            <w:pPr>
              <w:pStyle w:val="TableParagraph"/>
              <w:spacing w:line="255" w:lineRule="exact"/>
              <w:ind w:left="74"/>
              <w:rPr>
                <w:rFonts w:ascii="Stone Sans II ITC Std Bk"/>
                <w:b/>
                <w:sz w:val="20"/>
              </w:rPr>
            </w:pPr>
            <w:r>
              <w:rPr>
                <w:rFonts w:ascii="Stone Sans II ITC Std Bk"/>
                <w:b/>
                <w:w w:val="110"/>
                <w:sz w:val="20"/>
              </w:rPr>
              <w:t>(e.g. ecumenical)</w:t>
            </w:r>
          </w:p>
        </w:tc>
        <w:tc>
          <w:tcPr>
            <w:tcW w:w="6463" w:type="dxa"/>
            <w:tcBorders>
              <w:right w:val="nil"/>
            </w:tcBorders>
            <w:shd w:val="clear" w:color="auto" w:fill="FFFFFF"/>
          </w:tcPr>
          <w:p>
            <w:pPr>
              <w:pStyle w:val="TableParagraph"/>
              <w:spacing w:before="123"/>
              <w:ind w:left="74"/>
              <w:rPr>
                <w:sz w:val="20"/>
              </w:rPr>
            </w:pPr>
            <w:r>
              <w:rPr>
                <w:w w:val="120"/>
                <w:sz w:val="20"/>
              </w:rPr>
              <w:t>None</w:t>
            </w:r>
          </w:p>
        </w:tc>
      </w:tr>
      <w:tr>
        <w:trPr>
          <w:trHeight w:val="3774" w:hRule="atLeast"/>
        </w:trPr>
        <w:tc>
          <w:tcPr>
            <w:tcW w:w="9440" w:type="dxa"/>
            <w:gridSpan w:val="3"/>
            <w:tcBorders>
              <w:top w:val="nil"/>
              <w:left w:val="nil"/>
              <w:bottom w:val="nil"/>
              <w:right w:val="nil"/>
            </w:tcBorders>
            <w:shd w:val="clear" w:color="auto" w:fill="FFEDC2"/>
          </w:tcPr>
          <w:p>
            <w:pPr>
              <w:pStyle w:val="TableParagraph"/>
              <w:ind w:left="0"/>
              <w:rPr>
                <w:rFonts w:ascii="Stone Sans II ITC Std X Bd"/>
                <w:b/>
                <w:sz w:val="30"/>
              </w:rPr>
            </w:pPr>
          </w:p>
          <w:p>
            <w:pPr>
              <w:pStyle w:val="TableParagraph"/>
              <w:ind w:left="0"/>
              <w:rPr>
                <w:rFonts w:ascii="Stone Sans II ITC Std X Bd"/>
                <w:b/>
                <w:sz w:val="30"/>
              </w:rPr>
            </w:pPr>
          </w:p>
          <w:p>
            <w:pPr>
              <w:pStyle w:val="TableParagraph"/>
              <w:ind w:left="0"/>
              <w:rPr>
                <w:rFonts w:ascii="Stone Sans II ITC Std X Bd"/>
                <w:b/>
                <w:sz w:val="30"/>
              </w:rPr>
            </w:pPr>
          </w:p>
          <w:p>
            <w:pPr>
              <w:pStyle w:val="TableParagraph"/>
              <w:ind w:left="0"/>
              <w:rPr>
                <w:rFonts w:ascii="Stone Sans II ITC Std X Bd"/>
                <w:b/>
                <w:sz w:val="30"/>
              </w:rPr>
            </w:pPr>
          </w:p>
          <w:p>
            <w:pPr>
              <w:pStyle w:val="TableParagraph"/>
              <w:ind w:left="0"/>
              <w:rPr>
                <w:rFonts w:ascii="Stone Sans II ITC Std X Bd"/>
                <w:b/>
                <w:sz w:val="30"/>
              </w:rPr>
            </w:pPr>
          </w:p>
          <w:p>
            <w:pPr>
              <w:pStyle w:val="TableParagraph"/>
              <w:ind w:left="0"/>
              <w:rPr>
                <w:rFonts w:ascii="Stone Sans II ITC Std X Bd"/>
                <w:b/>
                <w:sz w:val="30"/>
              </w:rPr>
            </w:pPr>
          </w:p>
          <w:p>
            <w:pPr>
              <w:pStyle w:val="TableParagraph"/>
              <w:spacing w:before="13"/>
              <w:ind w:left="0"/>
              <w:rPr>
                <w:rFonts w:ascii="Stone Sans II ITC Std X Bd"/>
                <w:b/>
                <w:sz w:val="34"/>
              </w:rPr>
            </w:pPr>
          </w:p>
          <w:p>
            <w:pPr>
              <w:pStyle w:val="TableParagraph"/>
              <w:ind w:left="311"/>
              <w:rPr>
                <w:sz w:val="23"/>
              </w:rPr>
            </w:pPr>
            <w:r>
              <w:rPr>
                <w:rFonts w:ascii="Stone Sans II ITC Std X Bd" w:hAnsi="Stone Sans II ITC Std X Bd"/>
                <w:b/>
                <w:w w:val="110"/>
                <w:sz w:val="24"/>
              </w:rPr>
              <w:t>78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c>
      </w:tr>
    </w:tbl>
    <w:p>
      <w:pPr>
        <w:rPr>
          <w:sz w:val="2"/>
          <w:szCs w:val="2"/>
        </w:rPr>
      </w:pPr>
      <w:r>
        <w:rPr/>
        <w:pict>
          <v:rect style="position:absolute;margin-left:594.374023pt;margin-top:.000015pt;width:.901pt;height:841.89pt;mso-position-horizontal-relative:page;mso-position-vertical-relative:page;z-index:251878400" filled="true" fillcolor="#ffedc2" stroked="false">
            <v:fill type="solid"/>
            <w10:wrap type="none"/>
          </v:rect>
        </w:pict>
      </w:r>
      <w:r>
        <w:rPr/>
        <w:drawing>
          <wp:anchor distT="0" distB="0" distL="0" distR="0" allowOverlap="1" layoutInCell="1" locked="0" behindDoc="0" simplePos="0" relativeHeight="251879424">
            <wp:simplePos x="0" y="0"/>
            <wp:positionH relativeFrom="page">
              <wp:posOffset>0</wp:posOffset>
            </wp:positionH>
            <wp:positionV relativeFrom="page">
              <wp:posOffset>0</wp:posOffset>
            </wp:positionV>
            <wp:extent cx="594067" cy="10692003"/>
            <wp:effectExtent l="0" t="0" r="0" b="0"/>
            <wp:wrapNone/>
            <wp:docPr id="145" name="image24.png"/>
            <wp:cNvGraphicFramePr>
              <a:graphicFrameLocks noChangeAspect="1"/>
            </wp:cNvGraphicFramePr>
            <a:graphic>
              <a:graphicData uri="http://schemas.openxmlformats.org/drawingml/2006/picture">
                <pic:pic>
                  <pic:nvPicPr>
                    <pic:cNvPr id="146" name="image24.png"/>
                    <pic:cNvPicPr/>
                  </pic:nvPicPr>
                  <pic:blipFill>
                    <a:blip r:embed="rId90"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349.85pt;mso-position-horizontal-relative:page;mso-position-vertical-relative:page;z-index:251880448" type="#_x0000_t202" filled="false" stroked="false">
            <v:textbox inset="0,0,0,0" style="layout-flow:vertical">
              <w:txbxContent>
                <w:p>
                  <w:pPr>
                    <w:spacing w:before="27"/>
                    <w:ind w:left="20" w:right="0" w:firstLine="0"/>
                    <w:jc w:val="left"/>
                    <w:rPr>
                      <w:sz w:val="39"/>
                    </w:rPr>
                  </w:pPr>
                  <w:r>
                    <w:rPr>
                      <w:color w:val="FFFFFF"/>
                      <w:w w:val="120"/>
                      <w:sz w:val="39"/>
                    </w:rPr>
                    <w:t>Non-stipendiary ministry age limit</w:t>
                  </w:r>
                </w:p>
              </w:txbxContent>
            </v:textbox>
            <w10:wrap type="none"/>
          </v:shape>
        </w:pict>
      </w:r>
    </w:p>
    <w:p>
      <w:pPr>
        <w:spacing w:after="0"/>
        <w:rPr>
          <w:sz w:val="2"/>
          <w:szCs w:val="2"/>
        </w:rPr>
        <w:sectPr>
          <w:headerReference w:type="even" r:id="rId182"/>
          <w:footerReference w:type="even" r:id="rId183"/>
          <w:pgSz w:w="11910" w:h="16840"/>
          <w:pgMar w:header="0" w:footer="0" w:top="0" w:bottom="0" w:left="0" w:right="0"/>
        </w:sectPr>
      </w:pPr>
    </w:p>
    <w:p>
      <w:pPr>
        <w:pStyle w:val="BodyText"/>
        <w:rPr>
          <w:rFonts w:ascii="Stone Sans II ITC Std X Bd"/>
          <w:b/>
        </w:rPr>
      </w:pPr>
      <w:r>
        <w:rPr/>
        <w:drawing>
          <wp:anchor distT="0" distB="0" distL="0" distR="0" allowOverlap="1" layoutInCell="1" locked="0" behindDoc="0" simplePos="0" relativeHeight="251881472">
            <wp:simplePos x="0" y="0"/>
            <wp:positionH relativeFrom="page">
              <wp:posOffset>6974928</wp:posOffset>
            </wp:positionH>
            <wp:positionV relativeFrom="page">
              <wp:posOffset>0</wp:posOffset>
            </wp:positionV>
            <wp:extent cx="585063" cy="10692003"/>
            <wp:effectExtent l="0" t="0" r="0" b="0"/>
            <wp:wrapNone/>
            <wp:docPr id="147" name="image5.png"/>
            <wp:cNvGraphicFramePr>
              <a:graphicFrameLocks noChangeAspect="1"/>
            </wp:cNvGraphicFramePr>
            <a:graphic>
              <a:graphicData uri="http://schemas.openxmlformats.org/drawingml/2006/picture">
                <pic:pic>
                  <pic:nvPicPr>
                    <pic:cNvPr id="148" name="image5.png"/>
                    <pic:cNvPicPr/>
                  </pic:nvPicPr>
                  <pic:blipFill>
                    <a:blip r:embed="rId10" cstate="print"/>
                    <a:stretch>
                      <a:fillRect/>
                    </a:stretch>
                  </pic:blipFill>
                  <pic:spPr>
                    <a:xfrm>
                      <a:off x="0" y="0"/>
                      <a:ext cx="585063" cy="10692003"/>
                    </a:xfrm>
                    <a:prstGeom prst="rect">
                      <a:avLst/>
                    </a:prstGeom>
                  </pic:spPr>
                </pic:pic>
              </a:graphicData>
            </a:graphic>
          </wp:anchor>
        </w:drawing>
      </w:r>
    </w:p>
    <w:p>
      <w:pPr>
        <w:pStyle w:val="BodyText"/>
        <w:spacing w:before="7"/>
        <w:rPr>
          <w:rFonts w:ascii="Stone Sans II ITC Std X Bd"/>
          <w:b/>
          <w:sz w:val="17"/>
        </w:rPr>
      </w:pPr>
    </w:p>
    <w:p>
      <w:pPr>
        <w:spacing w:before="107"/>
        <w:ind w:left="6469" w:right="0" w:firstLine="0"/>
        <w:jc w:val="left"/>
        <w:rPr>
          <w:sz w:val="26"/>
        </w:rPr>
      </w:pPr>
      <w:r>
        <w:rPr/>
        <w:pict>
          <v:shape style="position:absolute;margin-left:554.141174pt;margin-top:22.643946pt;width:25.9pt;height:349.85pt;mso-position-horizontal-relative:page;mso-position-vertical-relative:paragraph;z-index:251882496" type="#_x0000_t202" filled="false" stroked="false">
            <v:textbox inset="0,0,0,0" style="layout-flow:vertical">
              <w:txbxContent>
                <w:p>
                  <w:pPr>
                    <w:spacing w:before="27"/>
                    <w:ind w:left="20" w:right="0" w:firstLine="0"/>
                    <w:jc w:val="left"/>
                    <w:rPr>
                      <w:sz w:val="39"/>
                    </w:rPr>
                  </w:pPr>
                  <w:r>
                    <w:rPr>
                      <w:color w:val="FFFFFF"/>
                      <w:w w:val="120"/>
                      <w:sz w:val="39"/>
                    </w:rPr>
                    <w:t>Non-stipendiary ministry age limit</w:t>
                  </w:r>
                </w:p>
              </w:txbxContent>
            </v:textbox>
            <w10:wrap type="none"/>
          </v:shape>
        </w:pict>
      </w:r>
      <w:r>
        <w:rPr>
          <w:color w:val="7EAABF"/>
          <w:w w:val="115"/>
          <w:sz w:val="26"/>
        </w:rPr>
        <w:t>Non-stipendiary ministry age limit</w:t>
      </w:r>
    </w:p>
    <w:p>
      <w:pPr>
        <w:pStyle w:val="BodyText"/>
        <w:spacing w:before="8"/>
        <w:rPr>
          <w:sz w:val="24"/>
        </w:rPr>
      </w:pPr>
    </w:p>
    <w:p>
      <w:pPr>
        <w:spacing w:line="213" w:lineRule="auto" w:before="0"/>
        <w:ind w:left="1984" w:right="2167" w:firstLine="0"/>
        <w:jc w:val="left"/>
        <w:rPr>
          <w:rFonts w:ascii="Stone Sans II ITC Std X Bd"/>
          <w:b/>
          <w:sz w:val="50"/>
        </w:rPr>
      </w:pPr>
      <w:r>
        <w:rPr>
          <w:rFonts w:ascii="Stone Sans II ITC Std X Bd"/>
          <w:b/>
          <w:w w:val="110"/>
          <w:sz w:val="50"/>
        </w:rPr>
        <w:t>Non-stipendiary ministry age limit</w:t>
      </w:r>
    </w:p>
    <w:p>
      <w:pPr>
        <w:pStyle w:val="ListParagraph"/>
        <w:numPr>
          <w:ilvl w:val="0"/>
          <w:numId w:val="44"/>
        </w:numPr>
        <w:tabs>
          <w:tab w:pos="2664" w:val="left" w:leader="none"/>
          <w:tab w:pos="2665" w:val="left" w:leader="none"/>
        </w:tabs>
        <w:spacing w:line="235" w:lineRule="auto" w:before="502" w:after="0"/>
        <w:ind w:left="1984" w:right="2042" w:firstLine="0"/>
        <w:jc w:val="left"/>
        <w:rPr>
          <w:sz w:val="20"/>
        </w:rPr>
      </w:pPr>
      <w:r>
        <w:rPr>
          <w:w w:val="120"/>
          <w:sz w:val="20"/>
        </w:rPr>
        <w:t>The West Midlands Synod has come to the view that the time has come to remove the age limits on church members candidating to be non-stipendiary ministers</w:t>
      </w:r>
      <w:r>
        <w:rPr>
          <w:spacing w:val="2"/>
          <w:w w:val="120"/>
          <w:sz w:val="20"/>
        </w:rPr>
        <w:t> </w:t>
      </w:r>
      <w:r>
        <w:rPr>
          <w:spacing w:val="-3"/>
          <w:w w:val="120"/>
          <w:sz w:val="20"/>
        </w:rPr>
        <w:t>(NSM).</w:t>
      </w:r>
    </w:p>
    <w:p>
      <w:pPr>
        <w:pStyle w:val="BodyText"/>
        <w:spacing w:before="10"/>
        <w:rPr>
          <w:sz w:val="19"/>
        </w:rPr>
      </w:pPr>
    </w:p>
    <w:p>
      <w:pPr>
        <w:pStyle w:val="ListParagraph"/>
        <w:numPr>
          <w:ilvl w:val="0"/>
          <w:numId w:val="44"/>
        </w:numPr>
        <w:tabs>
          <w:tab w:pos="2664" w:val="left" w:leader="none"/>
          <w:tab w:pos="2665" w:val="left" w:leader="none"/>
        </w:tabs>
        <w:spacing w:line="235" w:lineRule="auto" w:before="0" w:after="0"/>
        <w:ind w:left="1984" w:right="1784" w:firstLine="0"/>
        <w:jc w:val="left"/>
        <w:rPr>
          <w:sz w:val="20"/>
        </w:rPr>
      </w:pPr>
      <w:r>
        <w:rPr>
          <w:w w:val="120"/>
          <w:sz w:val="20"/>
        </w:rPr>
        <w:t>In establishing an age limit for candidates for ministry, the United Reformed Church wanted to ensure that the Church received an appropriate return in length of service for its investment in education and learning </w:t>
      </w:r>
      <w:r>
        <w:rPr>
          <w:spacing w:val="-5"/>
          <w:w w:val="120"/>
          <w:sz w:val="20"/>
        </w:rPr>
        <w:t>(and </w:t>
      </w:r>
      <w:r>
        <w:rPr>
          <w:w w:val="120"/>
          <w:sz w:val="20"/>
        </w:rPr>
        <w:t>stipend for stipendiary </w:t>
      </w:r>
      <w:r>
        <w:rPr>
          <w:spacing w:val="-3"/>
          <w:w w:val="120"/>
          <w:sz w:val="20"/>
        </w:rPr>
        <w:t>minsters). </w:t>
      </w:r>
      <w:r>
        <w:rPr>
          <w:w w:val="120"/>
          <w:sz w:val="20"/>
        </w:rPr>
        <w:t>The synod believes that factors now are such that for non-stipendiary ministers this age restraint should be lifted. These factors</w:t>
      </w:r>
      <w:r>
        <w:rPr>
          <w:spacing w:val="18"/>
          <w:w w:val="120"/>
          <w:sz w:val="20"/>
        </w:rPr>
        <w:t> </w:t>
      </w:r>
      <w:r>
        <w:rPr>
          <w:w w:val="120"/>
          <w:sz w:val="20"/>
        </w:rPr>
        <w:t>include:</w:t>
      </w:r>
    </w:p>
    <w:p>
      <w:pPr>
        <w:pStyle w:val="BodyText"/>
        <w:spacing w:before="12"/>
        <w:rPr>
          <w:sz w:val="19"/>
        </w:rPr>
      </w:pPr>
    </w:p>
    <w:p>
      <w:pPr>
        <w:pStyle w:val="ListParagraph"/>
        <w:numPr>
          <w:ilvl w:val="1"/>
          <w:numId w:val="44"/>
        </w:numPr>
        <w:tabs>
          <w:tab w:pos="2664" w:val="left" w:leader="none"/>
          <w:tab w:pos="2665" w:val="left" w:leader="none"/>
        </w:tabs>
        <w:spacing w:line="235" w:lineRule="auto" w:before="0" w:after="0"/>
        <w:ind w:left="1984" w:right="2162" w:firstLine="0"/>
        <w:jc w:val="left"/>
        <w:rPr>
          <w:sz w:val="20"/>
        </w:rPr>
      </w:pPr>
      <w:r>
        <w:rPr>
          <w:w w:val="120"/>
          <w:sz w:val="20"/>
        </w:rPr>
        <w:t>The denomination does not pay a stipend to these ministers and invests a smaller amount in their education for ministry phase 1 learning period</w:t>
      </w:r>
      <w:r>
        <w:rPr>
          <w:spacing w:val="3"/>
          <w:w w:val="120"/>
          <w:sz w:val="20"/>
        </w:rPr>
        <w:t> </w:t>
      </w:r>
      <w:r>
        <w:rPr>
          <w:w w:val="120"/>
          <w:sz w:val="20"/>
        </w:rPr>
        <w:t>(pre-</w:t>
      </w:r>
    </w:p>
    <w:p>
      <w:pPr>
        <w:pStyle w:val="BodyText"/>
        <w:spacing w:line="235" w:lineRule="auto" w:before="1"/>
        <w:ind w:left="1984" w:right="1820"/>
      </w:pPr>
      <w:r>
        <w:rPr>
          <w:w w:val="120"/>
        </w:rPr>
        <w:t>ordination) than for people preparing full-time for stipendiary service. The amount estimated is, we understand, about £10,000 for four years’ part-time training, including academic fees and re-imbursement of expenses.</w:t>
      </w:r>
    </w:p>
    <w:p>
      <w:pPr>
        <w:pStyle w:val="BodyText"/>
        <w:spacing w:before="10"/>
        <w:rPr>
          <w:sz w:val="19"/>
        </w:rPr>
      </w:pPr>
    </w:p>
    <w:p>
      <w:pPr>
        <w:pStyle w:val="ListParagraph"/>
        <w:numPr>
          <w:ilvl w:val="1"/>
          <w:numId w:val="44"/>
        </w:numPr>
        <w:tabs>
          <w:tab w:pos="2664" w:val="left" w:leader="none"/>
          <w:tab w:pos="2665" w:val="left" w:leader="none"/>
        </w:tabs>
        <w:spacing w:line="235" w:lineRule="auto" w:before="1" w:after="0"/>
        <w:ind w:left="1984" w:right="1658" w:firstLine="0"/>
        <w:jc w:val="left"/>
        <w:rPr>
          <w:sz w:val="20"/>
        </w:rPr>
      </w:pPr>
      <w:r>
        <w:rPr>
          <w:w w:val="120"/>
          <w:sz w:val="20"/>
        </w:rPr>
        <w:t>Resolution 28, brought to Assembly 2004, emphasised that if candidates had prior experience and qualifications, this might shorten their training. </w:t>
      </w:r>
      <w:r>
        <w:rPr>
          <w:spacing w:val="2"/>
          <w:w w:val="120"/>
          <w:sz w:val="20"/>
        </w:rPr>
        <w:t>Of </w:t>
      </w:r>
      <w:r>
        <w:rPr>
          <w:w w:val="120"/>
          <w:sz w:val="20"/>
        </w:rPr>
        <w:t>course, whenever that is the case and learning programmes are foreshortened, the financial investment of the Church is less than the estimate</w:t>
      </w:r>
      <w:r>
        <w:rPr>
          <w:spacing w:val="12"/>
          <w:w w:val="120"/>
          <w:sz w:val="20"/>
        </w:rPr>
        <w:t> </w:t>
      </w:r>
      <w:r>
        <w:rPr>
          <w:w w:val="120"/>
          <w:sz w:val="20"/>
        </w:rPr>
        <w:t>above.</w:t>
      </w:r>
    </w:p>
    <w:p>
      <w:pPr>
        <w:pStyle w:val="BodyText"/>
        <w:spacing w:before="10"/>
        <w:rPr>
          <w:sz w:val="19"/>
        </w:rPr>
      </w:pPr>
    </w:p>
    <w:p>
      <w:pPr>
        <w:pStyle w:val="ListParagraph"/>
        <w:numPr>
          <w:ilvl w:val="1"/>
          <w:numId w:val="44"/>
        </w:numPr>
        <w:tabs>
          <w:tab w:pos="2664" w:val="left" w:leader="none"/>
          <w:tab w:pos="2665" w:val="left" w:leader="none"/>
        </w:tabs>
        <w:spacing w:line="235" w:lineRule="auto" w:before="1" w:after="0"/>
        <w:ind w:left="1984" w:right="1490" w:firstLine="0"/>
        <w:jc w:val="left"/>
        <w:rPr>
          <w:sz w:val="20"/>
        </w:rPr>
      </w:pPr>
      <w:r>
        <w:rPr>
          <w:w w:val="120"/>
          <w:sz w:val="20"/>
        </w:rPr>
        <w:t>Whilst</w:t>
      </w:r>
      <w:r>
        <w:rPr>
          <w:spacing w:val="-5"/>
          <w:w w:val="120"/>
          <w:sz w:val="20"/>
        </w:rPr>
        <w:t> </w:t>
      </w:r>
      <w:r>
        <w:rPr>
          <w:w w:val="120"/>
          <w:sz w:val="20"/>
        </w:rPr>
        <w:t>ministers</w:t>
      </w:r>
      <w:r>
        <w:rPr>
          <w:spacing w:val="-5"/>
          <w:w w:val="120"/>
          <w:sz w:val="20"/>
        </w:rPr>
        <w:t> </w:t>
      </w:r>
      <w:r>
        <w:rPr>
          <w:w w:val="120"/>
          <w:sz w:val="20"/>
        </w:rPr>
        <w:t>are</w:t>
      </w:r>
      <w:r>
        <w:rPr>
          <w:spacing w:val="-5"/>
          <w:w w:val="120"/>
          <w:sz w:val="20"/>
        </w:rPr>
        <w:t> </w:t>
      </w:r>
      <w:r>
        <w:rPr>
          <w:w w:val="120"/>
          <w:sz w:val="20"/>
        </w:rPr>
        <w:t>officer</w:t>
      </w:r>
      <w:r>
        <w:rPr>
          <w:spacing w:val="-5"/>
          <w:w w:val="120"/>
          <w:sz w:val="20"/>
        </w:rPr>
        <w:t> </w:t>
      </w:r>
      <w:r>
        <w:rPr>
          <w:w w:val="120"/>
          <w:sz w:val="20"/>
        </w:rPr>
        <w:t>holders</w:t>
      </w:r>
      <w:r>
        <w:rPr>
          <w:spacing w:val="-5"/>
          <w:w w:val="120"/>
          <w:sz w:val="20"/>
        </w:rPr>
        <w:t> </w:t>
      </w:r>
      <w:r>
        <w:rPr>
          <w:w w:val="120"/>
          <w:sz w:val="20"/>
        </w:rPr>
        <w:t>and</w:t>
      </w:r>
      <w:r>
        <w:rPr>
          <w:spacing w:val="-5"/>
          <w:w w:val="120"/>
          <w:sz w:val="20"/>
        </w:rPr>
        <w:t> </w:t>
      </w:r>
      <w:r>
        <w:rPr>
          <w:w w:val="120"/>
          <w:sz w:val="20"/>
        </w:rPr>
        <w:t>even</w:t>
      </w:r>
      <w:r>
        <w:rPr>
          <w:spacing w:val="-5"/>
          <w:w w:val="120"/>
          <w:sz w:val="20"/>
        </w:rPr>
        <w:t> </w:t>
      </w:r>
      <w:r>
        <w:rPr>
          <w:w w:val="120"/>
          <w:sz w:val="20"/>
        </w:rPr>
        <w:t>stipendiary</w:t>
      </w:r>
      <w:r>
        <w:rPr>
          <w:spacing w:val="-5"/>
          <w:w w:val="120"/>
          <w:sz w:val="20"/>
        </w:rPr>
        <w:t> </w:t>
      </w:r>
      <w:r>
        <w:rPr>
          <w:w w:val="120"/>
          <w:sz w:val="20"/>
        </w:rPr>
        <w:t>minsters</w:t>
      </w:r>
      <w:r>
        <w:rPr>
          <w:spacing w:val="-5"/>
          <w:w w:val="120"/>
          <w:sz w:val="20"/>
        </w:rPr>
        <w:t> </w:t>
      </w:r>
      <w:r>
        <w:rPr>
          <w:w w:val="120"/>
          <w:sz w:val="20"/>
        </w:rPr>
        <w:t>are</w:t>
      </w:r>
      <w:r>
        <w:rPr>
          <w:spacing w:val="-5"/>
          <w:w w:val="120"/>
          <w:sz w:val="20"/>
        </w:rPr>
        <w:t> </w:t>
      </w:r>
      <w:r>
        <w:rPr>
          <w:w w:val="120"/>
          <w:sz w:val="20"/>
        </w:rPr>
        <w:t>therefore not employees, we feel we should be sensitive to those aspects of law and</w:t>
      </w:r>
      <w:r>
        <w:rPr>
          <w:spacing w:val="23"/>
          <w:w w:val="120"/>
          <w:sz w:val="20"/>
        </w:rPr>
        <w:t> </w:t>
      </w:r>
      <w:r>
        <w:rPr>
          <w:w w:val="120"/>
          <w:sz w:val="20"/>
        </w:rPr>
        <w:t>context</w:t>
      </w:r>
    </w:p>
    <w:p>
      <w:pPr>
        <w:pStyle w:val="BodyText"/>
        <w:spacing w:line="235" w:lineRule="auto" w:before="1"/>
        <w:ind w:left="1984" w:right="1606"/>
      </w:pPr>
      <w:r>
        <w:rPr>
          <w:w w:val="120"/>
        </w:rPr>
        <w:t>in our society which might suggest we ourselves are contravening issues of justice and equal opportunities which we </w:t>
      </w:r>
      <w:r>
        <w:rPr>
          <w:spacing w:val="2"/>
          <w:w w:val="120"/>
        </w:rPr>
        <w:t>purport </w:t>
      </w:r>
      <w:r>
        <w:rPr>
          <w:w w:val="120"/>
        </w:rPr>
        <w:t>to hold </w:t>
      </w:r>
      <w:r>
        <w:rPr>
          <w:spacing w:val="-3"/>
          <w:w w:val="120"/>
        </w:rPr>
        <w:t>dear. </w:t>
      </w:r>
      <w:r>
        <w:rPr>
          <w:w w:val="120"/>
        </w:rPr>
        <w:t>We think our current rules could be viewed as age discriminatory and that we would need very good reasons to continue operating</w:t>
      </w:r>
      <w:r>
        <w:rPr>
          <w:spacing w:val="4"/>
          <w:w w:val="120"/>
        </w:rPr>
        <w:t> </w:t>
      </w:r>
      <w:r>
        <w:rPr>
          <w:w w:val="120"/>
        </w:rPr>
        <w:t>them.</w:t>
      </w:r>
    </w:p>
    <w:p>
      <w:pPr>
        <w:pStyle w:val="BodyText"/>
        <w:spacing w:before="11"/>
        <w:rPr>
          <w:sz w:val="19"/>
        </w:rPr>
      </w:pPr>
    </w:p>
    <w:p>
      <w:pPr>
        <w:pStyle w:val="ListParagraph"/>
        <w:numPr>
          <w:ilvl w:val="1"/>
          <w:numId w:val="44"/>
        </w:numPr>
        <w:tabs>
          <w:tab w:pos="2664" w:val="left" w:leader="none"/>
          <w:tab w:pos="2665" w:val="left" w:leader="none"/>
        </w:tabs>
        <w:spacing w:line="235" w:lineRule="auto" w:before="0" w:after="0"/>
        <w:ind w:left="1984" w:right="1463" w:firstLine="0"/>
        <w:jc w:val="left"/>
        <w:rPr>
          <w:sz w:val="20"/>
        </w:rPr>
      </w:pPr>
      <w:r>
        <w:rPr>
          <w:w w:val="120"/>
          <w:sz w:val="20"/>
        </w:rPr>
        <w:t>In the main people are living longer. </w:t>
      </w:r>
      <w:r>
        <w:rPr>
          <w:spacing w:val="3"/>
          <w:w w:val="120"/>
          <w:sz w:val="20"/>
        </w:rPr>
        <w:t>As </w:t>
      </w:r>
      <w:r>
        <w:rPr>
          <w:spacing w:val="-4"/>
          <w:w w:val="120"/>
          <w:sz w:val="20"/>
        </w:rPr>
        <w:t>Tony </w:t>
      </w:r>
      <w:r>
        <w:rPr>
          <w:w w:val="120"/>
          <w:sz w:val="20"/>
        </w:rPr>
        <w:t>Benn said in a letter to his grandchildren: “The concept of old age has changed dramatically since even my parents’ generation. The 60-year-old pensioner is the new middle </w:t>
      </w:r>
      <w:r>
        <w:rPr>
          <w:spacing w:val="-3"/>
          <w:w w:val="120"/>
          <w:sz w:val="20"/>
        </w:rPr>
        <w:t>aged...” </w:t>
      </w:r>
      <w:r>
        <w:rPr>
          <w:w w:val="120"/>
          <w:sz w:val="20"/>
        </w:rPr>
        <w:t>so it is absurd </w:t>
      </w:r>
      <w:r>
        <w:rPr>
          <w:spacing w:val="-7"/>
          <w:w w:val="120"/>
          <w:sz w:val="20"/>
        </w:rPr>
        <w:t>“...to </w:t>
      </w:r>
      <w:r>
        <w:rPr>
          <w:w w:val="120"/>
          <w:sz w:val="20"/>
        </w:rPr>
        <w:t>think of retirement now at 60 or 65 as a process of winding down until  the curtain falls shortly thereafter”. A small number of ministers in West Midlands are now ministering at age 70 and beyond – one at </w:t>
      </w:r>
      <w:r>
        <w:rPr>
          <w:spacing w:val="-6"/>
          <w:w w:val="120"/>
          <w:sz w:val="20"/>
        </w:rPr>
        <w:t>75. </w:t>
      </w:r>
      <w:r>
        <w:rPr>
          <w:w w:val="120"/>
          <w:sz w:val="20"/>
        </w:rPr>
        <w:t>We suspect that this is not just the West Midlands’ air but </w:t>
      </w:r>
      <w:r>
        <w:rPr>
          <w:spacing w:val="2"/>
          <w:w w:val="120"/>
          <w:sz w:val="20"/>
        </w:rPr>
        <w:t>part </w:t>
      </w:r>
      <w:r>
        <w:rPr>
          <w:w w:val="120"/>
          <w:sz w:val="20"/>
        </w:rPr>
        <w:t>of a wider</w:t>
      </w:r>
      <w:r>
        <w:rPr>
          <w:spacing w:val="11"/>
          <w:w w:val="120"/>
          <w:sz w:val="20"/>
        </w:rPr>
        <w:t> </w:t>
      </w:r>
      <w:r>
        <w:rPr>
          <w:w w:val="120"/>
          <w:sz w:val="20"/>
        </w:rPr>
        <w:t>trend.</w:t>
      </w:r>
    </w:p>
    <w:p>
      <w:pPr>
        <w:pStyle w:val="BodyText"/>
        <w:spacing w:before="1"/>
      </w:pPr>
    </w:p>
    <w:p>
      <w:pPr>
        <w:pStyle w:val="ListParagraph"/>
        <w:numPr>
          <w:ilvl w:val="1"/>
          <w:numId w:val="44"/>
        </w:numPr>
        <w:tabs>
          <w:tab w:pos="2664" w:val="left" w:leader="none"/>
          <w:tab w:pos="2665" w:val="left" w:leader="none"/>
        </w:tabs>
        <w:spacing w:line="235" w:lineRule="auto" w:before="0" w:after="0"/>
        <w:ind w:left="1984" w:right="1853" w:firstLine="0"/>
        <w:jc w:val="left"/>
        <w:rPr>
          <w:sz w:val="20"/>
        </w:rPr>
      </w:pPr>
      <w:r>
        <w:rPr>
          <w:w w:val="120"/>
          <w:sz w:val="20"/>
        </w:rPr>
        <w:t>We do recognise that ordination means setting someone aside for future ministry, but we feel that the potential for this should be considered on a case-by- case basis and not by use of a universal age limit. The risk of someone serving a short period of time after the relatively minor investment the Church makes in training is</w:t>
      </w:r>
      <w:r>
        <w:rPr>
          <w:spacing w:val="3"/>
          <w:w w:val="120"/>
          <w:sz w:val="20"/>
        </w:rPr>
        <w:t> </w:t>
      </w:r>
      <w:r>
        <w:rPr>
          <w:w w:val="120"/>
          <w:sz w:val="20"/>
        </w:rPr>
        <w:t>small.</w:t>
      </w:r>
    </w:p>
    <w:p>
      <w:pPr>
        <w:pStyle w:val="BodyText"/>
        <w:spacing w:before="12"/>
        <w:rPr>
          <w:sz w:val="19"/>
        </w:rPr>
      </w:pPr>
    </w:p>
    <w:p>
      <w:pPr>
        <w:pStyle w:val="ListParagraph"/>
        <w:numPr>
          <w:ilvl w:val="1"/>
          <w:numId w:val="44"/>
        </w:numPr>
        <w:tabs>
          <w:tab w:pos="2664" w:val="left" w:leader="none"/>
          <w:tab w:pos="2665" w:val="left" w:leader="none"/>
        </w:tabs>
        <w:spacing w:line="235" w:lineRule="auto" w:before="0" w:after="0"/>
        <w:ind w:left="1984" w:right="1565" w:firstLine="0"/>
        <w:jc w:val="left"/>
        <w:rPr>
          <w:sz w:val="20"/>
        </w:rPr>
      </w:pPr>
      <w:r>
        <w:rPr>
          <w:w w:val="120"/>
          <w:sz w:val="20"/>
        </w:rPr>
        <w:t>Further we believe that the denomination is in sore need of people to offer  for ministry, and especially for NSM, a calling which has seen a reduction in those coming forward. This potentially vital ministry, local in context, remains a valuable asset to the denomination and restricting its flow for reasons of age and finance is no longer</w:t>
      </w:r>
      <w:r>
        <w:rPr>
          <w:spacing w:val="2"/>
          <w:w w:val="120"/>
          <w:sz w:val="20"/>
        </w:rPr>
        <w:t> </w:t>
      </w:r>
      <w:r>
        <w:rPr>
          <w:w w:val="120"/>
          <w:sz w:val="20"/>
        </w:rPr>
        <w:t>justified.</w:t>
      </w:r>
    </w:p>
    <w:p>
      <w:pPr>
        <w:pStyle w:val="BodyText"/>
        <w:spacing w:before="11"/>
        <w:rPr>
          <w:sz w:val="19"/>
        </w:rPr>
      </w:pPr>
    </w:p>
    <w:p>
      <w:pPr>
        <w:pStyle w:val="ListParagraph"/>
        <w:numPr>
          <w:ilvl w:val="1"/>
          <w:numId w:val="44"/>
        </w:numPr>
        <w:tabs>
          <w:tab w:pos="2664" w:val="left" w:leader="none"/>
          <w:tab w:pos="2665" w:val="left" w:leader="none"/>
        </w:tabs>
        <w:spacing w:line="235" w:lineRule="auto" w:before="1" w:after="0"/>
        <w:ind w:left="1984" w:right="1619" w:firstLine="0"/>
        <w:jc w:val="left"/>
        <w:rPr>
          <w:sz w:val="20"/>
        </w:rPr>
      </w:pPr>
      <w:r>
        <w:rPr>
          <w:w w:val="120"/>
          <w:sz w:val="20"/>
        </w:rPr>
        <w:t>If we are seeing reduced numbers of candidates for NSM ministry, one factor might be that the availability of people taking early retirement and thus being available for NSM in their mid-50s is reducing. An article in </w:t>
      </w:r>
      <w:r>
        <w:rPr>
          <w:i/>
          <w:w w:val="120"/>
          <w:sz w:val="20"/>
        </w:rPr>
        <w:t>the Guardian </w:t>
      </w:r>
      <w:r>
        <w:rPr>
          <w:w w:val="120"/>
          <w:sz w:val="20"/>
        </w:rPr>
        <w:t>in January indicated: “The days of early retirement seem to be </w:t>
      </w:r>
      <w:r>
        <w:rPr>
          <w:spacing w:val="-4"/>
          <w:w w:val="120"/>
          <w:sz w:val="20"/>
        </w:rPr>
        <w:t>over, </w:t>
      </w:r>
      <w:r>
        <w:rPr>
          <w:w w:val="120"/>
          <w:sz w:val="20"/>
        </w:rPr>
        <w:t>if a survey by Aviva is to</w:t>
      </w:r>
      <w:r>
        <w:rPr>
          <w:spacing w:val="29"/>
          <w:w w:val="120"/>
          <w:sz w:val="20"/>
        </w:rPr>
        <w:t> </w:t>
      </w:r>
      <w:r>
        <w:rPr>
          <w:w w:val="120"/>
          <w:sz w:val="20"/>
        </w:rPr>
        <w:t>be</w:t>
      </w:r>
    </w:p>
    <w:p>
      <w:pPr>
        <w:pStyle w:val="BodyText"/>
      </w:pPr>
    </w:p>
    <w:p>
      <w:pPr>
        <w:pStyle w:val="BodyText"/>
        <w:spacing w:before="6"/>
        <w:rPr>
          <w:sz w:val="17"/>
        </w:rPr>
      </w:pPr>
    </w:p>
    <w:p>
      <w:pPr>
        <w:pStyle w:val="Heading8"/>
        <w:spacing w:before="97"/>
        <w:ind w:left="4510"/>
        <w:rPr>
          <w:rFonts w:ascii="Stone Sans II ITC Std X Bd" w:hAnsi="Stone Sans II ITC Std X Bd"/>
          <w:b/>
          <w:sz w:val="24"/>
        </w:rPr>
      </w:pP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2014 </w:t>
      </w:r>
      <w:r>
        <w:rPr>
          <w:rFonts w:ascii="Symbol" w:hAnsi="Symbol"/>
          <w:color w:val="7EAABF"/>
          <w:w w:val="110"/>
        </w:rPr>
        <w:t></w:t>
      </w:r>
      <w:r>
        <w:rPr>
          <w:rFonts w:ascii="Times New Roman" w:hAnsi="Times New Roman"/>
          <w:color w:val="7EAABF"/>
          <w:spacing w:val="51"/>
          <w:w w:val="110"/>
        </w:rPr>
        <w:t> </w:t>
      </w:r>
      <w:r>
        <w:rPr>
          <w:rFonts w:ascii="Stone Sans II ITC Std X Bd" w:hAnsi="Stone Sans II ITC Std X Bd"/>
          <w:b/>
          <w:w w:val="110"/>
          <w:sz w:val="24"/>
        </w:rPr>
        <w:t>79</w:t>
      </w:r>
    </w:p>
    <w:p>
      <w:pPr>
        <w:spacing w:after="0"/>
        <w:rPr>
          <w:rFonts w:ascii="Stone Sans II ITC Std X Bd" w:hAnsi="Stone Sans II ITC Std X Bd"/>
          <w:sz w:val="24"/>
        </w:rPr>
        <w:sectPr>
          <w:headerReference w:type="default" r:id="rId185"/>
          <w:footerReference w:type="default" r:id="rId186"/>
          <w:pgSz w:w="11910" w:h="16840"/>
          <w:pgMar w:header="0" w:footer="0" w:top="0" w:bottom="0" w:left="0" w:right="0"/>
        </w:sectPr>
      </w:pPr>
    </w:p>
    <w:p>
      <w:pPr>
        <w:pStyle w:val="BodyText"/>
        <w:rPr>
          <w:rFonts w:ascii="Stone Sans II ITC Std X Bd"/>
          <w:b/>
        </w:rPr>
      </w:pPr>
      <w:r>
        <w:rPr/>
        <w:drawing>
          <wp:anchor distT="0" distB="0" distL="0" distR="0" allowOverlap="1" layoutInCell="1" locked="0" behindDoc="0" simplePos="0" relativeHeight="251883520">
            <wp:simplePos x="0" y="0"/>
            <wp:positionH relativeFrom="page">
              <wp:posOffset>0</wp:posOffset>
            </wp:positionH>
            <wp:positionV relativeFrom="page">
              <wp:posOffset>0</wp:posOffset>
            </wp:positionV>
            <wp:extent cx="594067" cy="10692003"/>
            <wp:effectExtent l="0" t="0" r="0" b="0"/>
            <wp:wrapNone/>
            <wp:docPr id="149" name="image24.png"/>
            <wp:cNvGraphicFramePr>
              <a:graphicFrameLocks noChangeAspect="1"/>
            </wp:cNvGraphicFramePr>
            <a:graphic>
              <a:graphicData uri="http://schemas.openxmlformats.org/drawingml/2006/picture">
                <pic:pic>
                  <pic:nvPicPr>
                    <pic:cNvPr id="150" name="image24.png"/>
                    <pic:cNvPicPr/>
                  </pic:nvPicPr>
                  <pic:blipFill>
                    <a:blip r:embed="rId90" cstate="print"/>
                    <a:stretch>
                      <a:fillRect/>
                    </a:stretch>
                  </pic:blipFill>
                  <pic:spPr>
                    <a:xfrm>
                      <a:off x="0" y="0"/>
                      <a:ext cx="594067" cy="10692003"/>
                    </a:xfrm>
                    <a:prstGeom prst="rect">
                      <a:avLst/>
                    </a:prstGeom>
                  </pic:spPr>
                </pic:pic>
              </a:graphicData>
            </a:graphic>
          </wp:anchor>
        </w:drawing>
      </w:r>
    </w:p>
    <w:p>
      <w:pPr>
        <w:pStyle w:val="BodyText"/>
        <w:spacing w:before="7"/>
        <w:rPr>
          <w:rFonts w:ascii="Stone Sans II ITC Std X Bd"/>
          <w:b/>
          <w:sz w:val="17"/>
        </w:rPr>
      </w:pPr>
    </w:p>
    <w:p>
      <w:pPr>
        <w:spacing w:before="107"/>
        <w:ind w:left="1247" w:right="0" w:firstLine="0"/>
        <w:jc w:val="left"/>
        <w:rPr>
          <w:sz w:val="26"/>
        </w:rPr>
      </w:pPr>
      <w:r>
        <w:rPr/>
        <w:pict>
          <v:shape style="position:absolute;margin-left:20.519100pt;margin-top:22.643946pt;width:25.9pt;height:349.85pt;mso-position-horizontal-relative:page;mso-position-vertical-relative:paragraph;z-index:251884544" type="#_x0000_t202" filled="false" stroked="false">
            <v:textbox inset="0,0,0,0" style="layout-flow:vertical">
              <w:txbxContent>
                <w:p>
                  <w:pPr>
                    <w:spacing w:before="27"/>
                    <w:ind w:left="20" w:right="0" w:firstLine="0"/>
                    <w:jc w:val="left"/>
                    <w:rPr>
                      <w:sz w:val="39"/>
                    </w:rPr>
                  </w:pPr>
                  <w:r>
                    <w:rPr>
                      <w:color w:val="FFFFFF"/>
                      <w:w w:val="120"/>
                      <w:sz w:val="39"/>
                    </w:rPr>
                    <w:t>Non-stipendiary ministry age limit</w:t>
                  </w:r>
                </w:p>
              </w:txbxContent>
            </v:textbox>
            <w10:wrap type="none"/>
          </v:shape>
        </w:pict>
      </w:r>
      <w:r>
        <w:rPr>
          <w:color w:val="7EAABF"/>
          <w:w w:val="115"/>
          <w:sz w:val="26"/>
        </w:rPr>
        <w:t>Non-stipendiary ministry age limit</w:t>
      </w:r>
    </w:p>
    <w:p>
      <w:pPr>
        <w:pStyle w:val="BodyText"/>
        <w:spacing w:line="242" w:lineRule="exact" w:before="217"/>
        <w:ind w:left="1247"/>
      </w:pPr>
      <w:r>
        <w:rPr>
          <w:w w:val="120"/>
        </w:rPr>
        <w:t>believed. It claims 55% of 55 to 64-year-olds were earning a wage in December 2012</w:t>
      </w:r>
    </w:p>
    <w:p>
      <w:pPr>
        <w:pStyle w:val="ListParagraph"/>
        <w:numPr>
          <w:ilvl w:val="0"/>
          <w:numId w:val="45"/>
        </w:numPr>
        <w:tabs>
          <w:tab w:pos="1432" w:val="left" w:leader="none"/>
        </w:tabs>
        <w:spacing w:line="235" w:lineRule="auto" w:before="2" w:after="0"/>
        <w:ind w:left="1247" w:right="2191" w:firstLine="0"/>
        <w:jc w:val="left"/>
        <w:rPr>
          <w:sz w:val="20"/>
        </w:rPr>
      </w:pPr>
      <w:r>
        <w:rPr>
          <w:w w:val="120"/>
          <w:sz w:val="20"/>
        </w:rPr>
        <w:t>up from </w:t>
      </w:r>
      <w:r>
        <w:rPr>
          <w:spacing w:val="-10"/>
          <w:w w:val="120"/>
          <w:sz w:val="20"/>
        </w:rPr>
        <w:t>41% </w:t>
      </w:r>
      <w:r>
        <w:rPr>
          <w:w w:val="120"/>
          <w:sz w:val="20"/>
        </w:rPr>
        <w:t>in </w:t>
      </w:r>
      <w:r>
        <w:rPr>
          <w:spacing w:val="2"/>
          <w:w w:val="120"/>
          <w:sz w:val="20"/>
        </w:rPr>
        <w:t>February </w:t>
      </w:r>
      <w:r>
        <w:rPr>
          <w:spacing w:val="-7"/>
          <w:w w:val="120"/>
          <w:sz w:val="20"/>
        </w:rPr>
        <w:t>2010.</w:t>
      </w:r>
      <w:r>
        <w:rPr>
          <w:spacing w:val="-7"/>
          <w:w w:val="120"/>
          <w:position w:val="7"/>
          <w:sz w:val="11"/>
        </w:rPr>
        <w:t>1 </w:t>
      </w:r>
      <w:r>
        <w:rPr>
          <w:w w:val="120"/>
          <w:sz w:val="20"/>
        </w:rPr>
        <w:t>Therefore we need to make it possible for people to serve as ministers of Word and sacraments closer to their potential retirement</w:t>
      </w:r>
      <w:r>
        <w:rPr>
          <w:spacing w:val="-25"/>
          <w:w w:val="120"/>
          <w:sz w:val="20"/>
        </w:rPr>
        <w:t> </w:t>
      </w:r>
      <w:r>
        <w:rPr>
          <w:w w:val="120"/>
          <w:sz w:val="20"/>
        </w:rPr>
        <w:t>ages.</w:t>
      </w:r>
    </w:p>
    <w:p>
      <w:pPr>
        <w:pStyle w:val="BodyText"/>
        <w:spacing w:before="9"/>
        <w:rPr>
          <w:sz w:val="19"/>
        </w:rPr>
      </w:pPr>
    </w:p>
    <w:p>
      <w:pPr>
        <w:pStyle w:val="ListParagraph"/>
        <w:numPr>
          <w:ilvl w:val="0"/>
          <w:numId w:val="44"/>
        </w:numPr>
        <w:tabs>
          <w:tab w:pos="1927" w:val="left" w:leader="none"/>
          <w:tab w:pos="1928" w:val="left" w:leader="none"/>
        </w:tabs>
        <w:spacing w:line="235" w:lineRule="auto" w:before="0" w:after="0"/>
        <w:ind w:left="1247" w:right="2185" w:firstLine="0"/>
        <w:jc w:val="left"/>
        <w:rPr>
          <w:sz w:val="20"/>
        </w:rPr>
      </w:pPr>
      <w:r>
        <w:rPr>
          <w:w w:val="120"/>
          <w:sz w:val="20"/>
        </w:rPr>
        <w:t>The synod has been provoked to raise this point and make this plea by the case of an elder in the synod</w:t>
      </w:r>
      <w:r>
        <w:rPr>
          <w:spacing w:val="12"/>
          <w:w w:val="120"/>
          <w:sz w:val="20"/>
        </w:rPr>
        <w:t> </w:t>
      </w:r>
      <w:r>
        <w:rPr>
          <w:w w:val="120"/>
          <w:sz w:val="20"/>
        </w:rPr>
        <w:t>who:</w:t>
      </w:r>
    </w:p>
    <w:p>
      <w:pPr>
        <w:pStyle w:val="ListParagraph"/>
        <w:numPr>
          <w:ilvl w:val="0"/>
          <w:numId w:val="46"/>
        </w:numPr>
        <w:tabs>
          <w:tab w:pos="1927" w:val="left" w:leader="none"/>
          <w:tab w:pos="1928" w:val="left" w:leader="none"/>
        </w:tabs>
        <w:spacing w:line="235" w:lineRule="auto" w:before="2" w:after="0"/>
        <w:ind w:left="1927" w:right="2799" w:hanging="681"/>
        <w:jc w:val="left"/>
        <w:rPr>
          <w:sz w:val="20"/>
        </w:rPr>
      </w:pPr>
      <w:r>
        <w:rPr>
          <w:w w:val="120"/>
          <w:sz w:val="20"/>
        </w:rPr>
        <w:t>has undertaken Training for Learning and Serving to degree level at their own</w:t>
      </w:r>
      <w:r>
        <w:rPr>
          <w:spacing w:val="2"/>
          <w:w w:val="120"/>
          <w:sz w:val="20"/>
        </w:rPr>
        <w:t> </w:t>
      </w:r>
      <w:r>
        <w:rPr>
          <w:w w:val="120"/>
          <w:sz w:val="20"/>
        </w:rPr>
        <w:t>expense</w:t>
      </w:r>
    </w:p>
    <w:p>
      <w:pPr>
        <w:pStyle w:val="ListParagraph"/>
        <w:numPr>
          <w:ilvl w:val="0"/>
          <w:numId w:val="46"/>
        </w:numPr>
        <w:tabs>
          <w:tab w:pos="1927" w:val="left" w:leader="none"/>
          <w:tab w:pos="1928" w:val="left" w:leader="none"/>
        </w:tabs>
        <w:spacing w:line="240" w:lineRule="exact" w:before="0" w:after="0"/>
        <w:ind w:left="1927" w:right="0" w:hanging="681"/>
        <w:jc w:val="left"/>
        <w:rPr>
          <w:sz w:val="20"/>
        </w:rPr>
      </w:pPr>
      <w:r>
        <w:rPr>
          <w:w w:val="120"/>
          <w:sz w:val="20"/>
        </w:rPr>
        <w:t>has been recognised as an Assembly-accredited lay</w:t>
      </w:r>
      <w:r>
        <w:rPr>
          <w:spacing w:val="15"/>
          <w:w w:val="120"/>
          <w:sz w:val="20"/>
        </w:rPr>
        <w:t> </w:t>
      </w:r>
      <w:r>
        <w:rPr>
          <w:w w:val="120"/>
          <w:sz w:val="20"/>
        </w:rPr>
        <w:t>preacher</w:t>
      </w:r>
    </w:p>
    <w:p>
      <w:pPr>
        <w:pStyle w:val="ListParagraph"/>
        <w:numPr>
          <w:ilvl w:val="0"/>
          <w:numId w:val="46"/>
        </w:numPr>
        <w:tabs>
          <w:tab w:pos="1927" w:val="left" w:leader="none"/>
          <w:tab w:pos="1928" w:val="left" w:leader="none"/>
        </w:tabs>
        <w:spacing w:line="240" w:lineRule="exact" w:before="0" w:after="0"/>
        <w:ind w:left="1927" w:right="0" w:hanging="681"/>
        <w:jc w:val="left"/>
        <w:rPr>
          <w:sz w:val="20"/>
        </w:rPr>
      </w:pPr>
      <w:r>
        <w:rPr>
          <w:w w:val="120"/>
          <w:sz w:val="20"/>
        </w:rPr>
        <w:t>has become a local leader in their own</w:t>
      </w:r>
      <w:r>
        <w:rPr>
          <w:spacing w:val="17"/>
          <w:w w:val="120"/>
          <w:sz w:val="20"/>
        </w:rPr>
        <w:t> </w:t>
      </w:r>
      <w:r>
        <w:rPr>
          <w:w w:val="120"/>
          <w:sz w:val="20"/>
        </w:rPr>
        <w:t>church</w:t>
      </w:r>
    </w:p>
    <w:p>
      <w:pPr>
        <w:pStyle w:val="ListParagraph"/>
        <w:numPr>
          <w:ilvl w:val="0"/>
          <w:numId w:val="46"/>
        </w:numPr>
        <w:tabs>
          <w:tab w:pos="1927" w:val="left" w:leader="none"/>
          <w:tab w:pos="1928" w:val="left" w:leader="none"/>
        </w:tabs>
        <w:spacing w:line="240" w:lineRule="exact" w:before="0" w:after="0"/>
        <w:ind w:left="1927" w:right="0" w:hanging="681"/>
        <w:jc w:val="left"/>
        <w:rPr>
          <w:sz w:val="20"/>
        </w:rPr>
      </w:pPr>
      <w:r>
        <w:rPr>
          <w:w w:val="120"/>
          <w:sz w:val="20"/>
        </w:rPr>
        <w:t>has offered much appreciated ministry in another church in the</w:t>
      </w:r>
      <w:r>
        <w:rPr>
          <w:spacing w:val="23"/>
          <w:w w:val="120"/>
          <w:sz w:val="20"/>
        </w:rPr>
        <w:t> </w:t>
      </w:r>
      <w:r>
        <w:rPr>
          <w:w w:val="120"/>
          <w:sz w:val="20"/>
        </w:rPr>
        <w:t>synod</w:t>
      </w:r>
    </w:p>
    <w:p>
      <w:pPr>
        <w:pStyle w:val="ListParagraph"/>
        <w:numPr>
          <w:ilvl w:val="0"/>
          <w:numId w:val="46"/>
        </w:numPr>
        <w:tabs>
          <w:tab w:pos="1927" w:val="left" w:leader="none"/>
          <w:tab w:pos="1928" w:val="left" w:leader="none"/>
        </w:tabs>
        <w:spacing w:line="235" w:lineRule="auto" w:before="2" w:after="0"/>
        <w:ind w:left="1927" w:right="2212" w:hanging="681"/>
        <w:jc w:val="left"/>
        <w:rPr>
          <w:sz w:val="20"/>
        </w:rPr>
      </w:pPr>
      <w:r>
        <w:rPr>
          <w:w w:val="120"/>
          <w:sz w:val="20"/>
        </w:rPr>
        <w:t>has been given, from time-to-time authorisation by the synod to preside at the sacraments at the church where they are a local</w:t>
      </w:r>
      <w:r>
        <w:rPr>
          <w:spacing w:val="13"/>
          <w:w w:val="120"/>
          <w:sz w:val="20"/>
        </w:rPr>
        <w:t> </w:t>
      </w:r>
      <w:r>
        <w:rPr>
          <w:w w:val="120"/>
          <w:sz w:val="20"/>
        </w:rPr>
        <w:t>leader</w:t>
      </w:r>
    </w:p>
    <w:p>
      <w:pPr>
        <w:pStyle w:val="ListParagraph"/>
        <w:numPr>
          <w:ilvl w:val="0"/>
          <w:numId w:val="46"/>
        </w:numPr>
        <w:tabs>
          <w:tab w:pos="1927" w:val="left" w:leader="none"/>
          <w:tab w:pos="1928" w:val="left" w:leader="none"/>
        </w:tabs>
        <w:spacing w:line="235" w:lineRule="auto" w:before="1" w:after="0"/>
        <w:ind w:left="1927" w:right="2111" w:hanging="681"/>
        <w:jc w:val="left"/>
        <w:rPr>
          <w:sz w:val="20"/>
        </w:rPr>
      </w:pPr>
      <w:r>
        <w:rPr>
          <w:w w:val="120"/>
          <w:sz w:val="20"/>
        </w:rPr>
        <w:t>is effectively offering an appreciated ministry of Word and sacrament – yet at  </w:t>
      </w:r>
      <w:r>
        <w:rPr>
          <w:spacing w:val="-6"/>
          <w:w w:val="120"/>
          <w:sz w:val="20"/>
        </w:rPr>
        <w:t>61 </w:t>
      </w:r>
      <w:r>
        <w:rPr>
          <w:w w:val="120"/>
          <w:sz w:val="20"/>
        </w:rPr>
        <w:t>has been for some years frustrated in having their desire to have a call to ministry</w:t>
      </w:r>
      <w:r>
        <w:rPr>
          <w:spacing w:val="5"/>
          <w:w w:val="120"/>
          <w:sz w:val="20"/>
        </w:rPr>
        <w:t> </w:t>
      </w:r>
      <w:r>
        <w:rPr>
          <w:w w:val="120"/>
          <w:sz w:val="20"/>
        </w:rPr>
        <w:t>of</w:t>
      </w:r>
      <w:r>
        <w:rPr>
          <w:spacing w:val="5"/>
          <w:w w:val="120"/>
          <w:sz w:val="20"/>
        </w:rPr>
        <w:t> </w:t>
      </w:r>
      <w:r>
        <w:rPr>
          <w:w w:val="120"/>
          <w:sz w:val="20"/>
        </w:rPr>
        <w:t>Word</w:t>
      </w:r>
      <w:r>
        <w:rPr>
          <w:spacing w:val="5"/>
          <w:w w:val="120"/>
          <w:sz w:val="20"/>
        </w:rPr>
        <w:t> </w:t>
      </w:r>
      <w:r>
        <w:rPr>
          <w:w w:val="120"/>
          <w:sz w:val="20"/>
        </w:rPr>
        <w:t>and</w:t>
      </w:r>
      <w:r>
        <w:rPr>
          <w:spacing w:val="5"/>
          <w:w w:val="120"/>
          <w:sz w:val="20"/>
        </w:rPr>
        <w:t> </w:t>
      </w:r>
      <w:r>
        <w:rPr>
          <w:w w:val="120"/>
          <w:sz w:val="20"/>
        </w:rPr>
        <w:t>sacrament</w:t>
      </w:r>
      <w:r>
        <w:rPr>
          <w:spacing w:val="6"/>
          <w:w w:val="120"/>
          <w:sz w:val="20"/>
        </w:rPr>
        <w:t> </w:t>
      </w:r>
      <w:r>
        <w:rPr>
          <w:w w:val="120"/>
          <w:sz w:val="20"/>
        </w:rPr>
        <w:t>tested</w:t>
      </w:r>
      <w:r>
        <w:rPr>
          <w:spacing w:val="5"/>
          <w:w w:val="120"/>
          <w:sz w:val="20"/>
        </w:rPr>
        <w:t> </w:t>
      </w:r>
      <w:r>
        <w:rPr>
          <w:w w:val="120"/>
          <w:sz w:val="20"/>
        </w:rPr>
        <w:t>by</w:t>
      </w:r>
      <w:r>
        <w:rPr>
          <w:spacing w:val="5"/>
          <w:w w:val="120"/>
          <w:sz w:val="20"/>
        </w:rPr>
        <w:t> </w:t>
      </w:r>
      <w:r>
        <w:rPr>
          <w:w w:val="120"/>
          <w:sz w:val="20"/>
        </w:rPr>
        <w:t>the</w:t>
      </w:r>
      <w:r>
        <w:rPr>
          <w:spacing w:val="5"/>
          <w:w w:val="120"/>
          <w:sz w:val="20"/>
        </w:rPr>
        <w:t> </w:t>
      </w:r>
      <w:r>
        <w:rPr>
          <w:w w:val="120"/>
          <w:sz w:val="20"/>
        </w:rPr>
        <w:t>church</w:t>
      </w:r>
      <w:r>
        <w:rPr>
          <w:spacing w:val="6"/>
          <w:w w:val="120"/>
          <w:sz w:val="20"/>
        </w:rPr>
        <w:t> </w:t>
      </w:r>
      <w:r>
        <w:rPr>
          <w:w w:val="120"/>
          <w:sz w:val="20"/>
        </w:rPr>
        <w:t>purely</w:t>
      </w:r>
      <w:r>
        <w:rPr>
          <w:spacing w:val="5"/>
          <w:w w:val="120"/>
          <w:sz w:val="20"/>
        </w:rPr>
        <w:t> </w:t>
      </w:r>
      <w:r>
        <w:rPr>
          <w:w w:val="120"/>
          <w:sz w:val="20"/>
        </w:rPr>
        <w:t>on</w:t>
      </w:r>
      <w:r>
        <w:rPr>
          <w:spacing w:val="5"/>
          <w:w w:val="120"/>
          <w:sz w:val="20"/>
        </w:rPr>
        <w:t> </w:t>
      </w:r>
      <w:r>
        <w:rPr>
          <w:w w:val="120"/>
          <w:sz w:val="20"/>
        </w:rPr>
        <w:t>grounds</w:t>
      </w:r>
      <w:r>
        <w:rPr>
          <w:spacing w:val="5"/>
          <w:w w:val="120"/>
          <w:sz w:val="20"/>
        </w:rPr>
        <w:t> </w:t>
      </w:r>
      <w:r>
        <w:rPr>
          <w:w w:val="120"/>
          <w:sz w:val="20"/>
        </w:rPr>
        <w:t>of</w:t>
      </w:r>
      <w:r>
        <w:rPr>
          <w:spacing w:val="6"/>
          <w:w w:val="120"/>
          <w:sz w:val="20"/>
        </w:rPr>
        <w:t> </w:t>
      </w:r>
      <w:r>
        <w:rPr>
          <w:w w:val="120"/>
          <w:sz w:val="20"/>
        </w:rPr>
        <w:t>age.</w:t>
      </w:r>
    </w:p>
    <w:p>
      <w:pPr>
        <w:pStyle w:val="BodyText"/>
        <w:spacing w:before="10"/>
        <w:rPr>
          <w:sz w:val="19"/>
        </w:rPr>
      </w:pPr>
    </w:p>
    <w:p>
      <w:pPr>
        <w:pStyle w:val="ListParagraph"/>
        <w:numPr>
          <w:ilvl w:val="0"/>
          <w:numId w:val="44"/>
        </w:numPr>
        <w:tabs>
          <w:tab w:pos="1927" w:val="left" w:leader="none"/>
          <w:tab w:pos="1928" w:val="left" w:leader="none"/>
        </w:tabs>
        <w:spacing w:line="235" w:lineRule="auto" w:before="0" w:after="0"/>
        <w:ind w:left="1247" w:right="2864" w:firstLine="0"/>
        <w:jc w:val="left"/>
        <w:rPr>
          <w:sz w:val="20"/>
        </w:rPr>
      </w:pPr>
      <w:r>
        <w:rPr>
          <w:w w:val="120"/>
          <w:sz w:val="20"/>
        </w:rPr>
        <w:t>The synod thus believes that there are good reasons to remove the non- stipendiary age</w:t>
      </w:r>
      <w:r>
        <w:rPr>
          <w:spacing w:val="4"/>
          <w:w w:val="120"/>
          <w:sz w:val="20"/>
        </w:rPr>
        <w:t> </w:t>
      </w:r>
      <w:r>
        <w:rPr>
          <w:w w:val="120"/>
          <w:sz w:val="20"/>
        </w:rPr>
        <w:t>restriction.</w:t>
      </w:r>
    </w:p>
    <w:p>
      <w:pPr>
        <w:pStyle w:val="BodyText"/>
        <w:rPr>
          <w:sz w:val="24"/>
        </w:rPr>
      </w:pPr>
    </w:p>
    <w:p>
      <w:pPr>
        <w:pStyle w:val="BodyText"/>
        <w:spacing w:before="185"/>
        <w:ind w:left="1300"/>
      </w:pPr>
      <w:r>
        <w:rPr>
          <w:w w:val="125"/>
          <w:position w:val="7"/>
          <w:sz w:val="11"/>
        </w:rPr>
        <w:t>1 </w:t>
      </w:r>
      <w:hyperlink r:id="rId189">
        <w:r>
          <w:rPr>
            <w:w w:val="125"/>
          </w:rPr>
          <w:t>http://www.theguardian.com/money/blog/2013/jan/04/early-retirement-over</w:t>
        </w:r>
      </w:hyperlink>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Heading8"/>
        <w:spacing w:before="259"/>
        <w:ind w:left="1247"/>
      </w:pPr>
      <w:r>
        <w:rPr>
          <w:rFonts w:ascii="Stone Sans II ITC Std X Bd" w:hAnsi="Stone Sans II ITC Std X Bd"/>
          <w:b/>
          <w:w w:val="110"/>
          <w:sz w:val="24"/>
        </w:rPr>
        <w:t>80 </w:t>
      </w:r>
      <w:r>
        <w:rPr>
          <w:rFonts w:ascii="Symbol" w:hAnsi="Symbol"/>
          <w:color w:val="7EAABF"/>
          <w:w w:val="110"/>
        </w:rPr>
        <w:t></w:t>
      </w:r>
      <w:r>
        <w:rPr>
          <w:rFonts w:ascii="Times New Roman" w:hAnsi="Times New Roman"/>
          <w:color w:val="7EAABF"/>
          <w:w w:val="110"/>
        </w:rPr>
        <w:t> </w:t>
      </w: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2014</w:t>
      </w:r>
    </w:p>
    <w:p>
      <w:pPr>
        <w:spacing w:after="0"/>
        <w:sectPr>
          <w:headerReference w:type="even" r:id="rId187"/>
          <w:footerReference w:type="even" r:id="rId188"/>
          <w:pgSz w:w="11910" w:h="16840"/>
          <w:pgMar w:header="0" w:footer="0" w:top="0" w:bottom="0" w:left="0" w:right="0"/>
        </w:sectPr>
      </w:pPr>
    </w:p>
    <w:p>
      <w:pPr>
        <w:pStyle w:val="BodyText"/>
      </w:pPr>
      <w:r>
        <w:rPr/>
        <w:pict>
          <v:rect style="position:absolute;margin-left:0pt;margin-top:.000015pt;width:549.207pt;height:841.89pt;mso-position-horizontal-relative:page;mso-position-vertical-relative:page;z-index:-267390976" filled="true" fillcolor="#e2eed8" stroked="false">
            <v:fill type="solid"/>
            <w10:wrap type="none"/>
          </v:rect>
        </w:pict>
      </w:r>
      <w:r>
        <w:rPr/>
        <w:pict>
          <v:group style="position:absolute;margin-left:0pt;margin-top:.000015pt;width:595.3pt;height:841.9pt;mso-position-horizontal-relative:page;mso-position-vertical-relative:page;z-index:-267389952" coordorigin="0,0" coordsize="11906,16838">
            <v:shape style="position:absolute;left:10984;top:0;width:922;height:16838" type="#_x0000_t75" stroked="false">
              <v:imagedata r:id="rId192" o:title=""/>
            </v:shape>
            <v:shape style="position:absolute;left:0;top:0;width:11906;height:16838" type="#_x0000_t75" stroked="false">
              <v:imagedata r:id="rId193" o:title=""/>
            </v:shape>
            <v:shape style="position:absolute;left:6344;top:94;width:4768;height:6045" type="#_x0000_t75" stroked="false">
              <v:imagedata r:id="rId194" o:title=""/>
            </v:shape>
            <w10:wrap type="none"/>
          </v:group>
        </w:pict>
      </w:r>
      <w:r>
        <w:rPr/>
        <w:pict>
          <v:shape style="position:absolute;margin-left:554.141174pt;margin-top:48.890015pt;width:25.9pt;height:247.2pt;mso-position-horizontal-relative:page;mso-position-vertical-relative:page;z-index:251887616" type="#_x0000_t202" filled="false" stroked="false">
            <v:textbox inset="0,0,0,0" style="layout-flow:vertical">
              <w:txbxContent>
                <w:p>
                  <w:pPr>
                    <w:spacing w:before="27"/>
                    <w:ind w:left="20" w:right="0" w:firstLine="0"/>
                    <w:jc w:val="left"/>
                    <w:rPr>
                      <w:sz w:val="39"/>
                    </w:rPr>
                  </w:pPr>
                  <w:r>
                    <w:rPr>
                      <w:color w:val="FFFFFF"/>
                      <w:w w:val="120"/>
                      <w:sz w:val="39"/>
                    </w:rPr>
                    <w:t>Forward looking reports</w:t>
                  </w:r>
                </w:p>
              </w:txbxContent>
            </v:textbox>
            <w10:wrap type="none"/>
          </v:shape>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spacing w:line="206" w:lineRule="auto" w:before="182"/>
        <w:ind w:left="3703" w:right="0" w:firstLine="0"/>
        <w:jc w:val="left"/>
        <w:rPr>
          <w:rFonts w:ascii="Stone Sans II ITC Std X Bd"/>
          <w:b/>
          <w:sz w:val="65"/>
        </w:rPr>
      </w:pPr>
      <w:bookmarkStart w:name="_bookmark13" w:id="14"/>
      <w:bookmarkEnd w:id="14"/>
      <w:r>
        <w:rPr/>
      </w:r>
      <w:r>
        <w:rPr>
          <w:rFonts w:ascii="Stone Sans II ITC Std X Bd"/>
          <w:b/>
          <w:w w:val="110"/>
          <w:sz w:val="65"/>
        </w:rPr>
        <w:t>Forward looking reports</w:t>
      </w:r>
    </w:p>
    <w:p>
      <w:pPr>
        <w:pStyle w:val="BodyText"/>
        <w:rPr>
          <w:rFonts w:ascii="Stone Sans II ITC Std X Bd"/>
          <w:b/>
        </w:rPr>
      </w:pPr>
    </w:p>
    <w:p>
      <w:pPr>
        <w:pStyle w:val="BodyText"/>
        <w:spacing w:before="10"/>
        <w:rPr>
          <w:rFonts w:ascii="Stone Sans II ITC Std X Bd"/>
          <w:b/>
          <w:sz w:val="16"/>
        </w:rPr>
      </w:pPr>
    </w:p>
    <w:p>
      <w:pPr>
        <w:pStyle w:val="BodyText"/>
        <w:tabs>
          <w:tab w:pos="9323" w:val="right" w:leader="none"/>
        </w:tabs>
        <w:spacing w:before="90"/>
        <w:ind w:left="3703"/>
        <w:rPr>
          <w:rFonts w:ascii="Stone Sans II ITC Std Sm"/>
          <w:b/>
        </w:rPr>
      </w:pPr>
      <w:r>
        <w:rPr>
          <w:rFonts w:ascii="Stone Sans II ITC Std Sm"/>
          <w:b/>
          <w:w w:val="110"/>
        </w:rPr>
        <w:t>Assembly arrangements</w:t>
        <w:tab/>
        <w:t>82</w:t>
      </w:r>
    </w:p>
    <w:p>
      <w:pPr>
        <w:pStyle w:val="BodyText"/>
        <w:tabs>
          <w:tab w:pos="9323" w:val="right" w:leader="none"/>
        </w:tabs>
        <w:spacing w:before="10"/>
        <w:ind w:left="3703"/>
        <w:rPr>
          <w:rFonts w:ascii="Stone Sans II ITC Std Sm" w:hAnsi="Stone Sans II ITC Std Sm"/>
          <w:b/>
        </w:rPr>
      </w:pPr>
      <w:r>
        <w:rPr>
          <w:rFonts w:ascii="Stone Sans II ITC Std Sm" w:hAnsi="Stone Sans II ITC Std Sm"/>
          <w:b/>
          <w:spacing w:val="-3"/>
          <w:w w:val="110"/>
        </w:rPr>
        <w:t>Children’s </w:t>
      </w:r>
      <w:r>
        <w:rPr>
          <w:rFonts w:ascii="Stone Sans II ITC Std Sm" w:hAnsi="Stone Sans II ITC Std Sm"/>
          <w:b/>
          <w:w w:val="110"/>
        </w:rPr>
        <w:t>and</w:t>
      </w:r>
      <w:r>
        <w:rPr>
          <w:rFonts w:ascii="Stone Sans II ITC Std Sm" w:hAnsi="Stone Sans II ITC Std Sm"/>
          <w:b/>
          <w:spacing w:val="2"/>
          <w:w w:val="110"/>
        </w:rPr>
        <w:t> </w:t>
      </w:r>
      <w:r>
        <w:rPr>
          <w:rFonts w:ascii="Stone Sans II ITC Std Sm" w:hAnsi="Stone Sans II ITC Std Sm"/>
          <w:b/>
          <w:w w:val="110"/>
        </w:rPr>
        <w:t>youth work</w:t>
        <w:tab/>
      </w:r>
      <w:r>
        <w:rPr>
          <w:rFonts w:ascii="Stone Sans II ITC Std Sm" w:hAnsi="Stone Sans II ITC Std Sm"/>
          <w:b/>
          <w:spacing w:val="-4"/>
          <w:w w:val="110"/>
        </w:rPr>
        <w:t>83</w:t>
      </w:r>
    </w:p>
    <w:p>
      <w:pPr>
        <w:pStyle w:val="BodyText"/>
        <w:tabs>
          <w:tab w:pos="9323" w:val="right" w:leader="none"/>
        </w:tabs>
        <w:spacing w:before="9"/>
        <w:ind w:left="3703"/>
        <w:rPr>
          <w:rFonts w:ascii="Stone Sans II ITC Std Sm"/>
          <w:b/>
        </w:rPr>
      </w:pPr>
      <w:r>
        <w:rPr>
          <w:rFonts w:ascii="Stone Sans II ITC Std Sm"/>
          <w:b/>
          <w:w w:val="110"/>
        </w:rPr>
        <w:t>Communications</w:t>
      </w:r>
      <w:r>
        <w:rPr>
          <w:rFonts w:ascii="Stone Sans II ITC Std Sm"/>
          <w:b/>
          <w:spacing w:val="-1"/>
          <w:w w:val="110"/>
        </w:rPr>
        <w:t> </w:t>
      </w:r>
      <w:r>
        <w:rPr>
          <w:rFonts w:ascii="Stone Sans II ITC Std Sm"/>
          <w:b/>
          <w:w w:val="110"/>
        </w:rPr>
        <w:t>and editorial</w:t>
        <w:tab/>
        <w:t>88</w:t>
      </w:r>
    </w:p>
    <w:p>
      <w:pPr>
        <w:pStyle w:val="BodyText"/>
        <w:tabs>
          <w:tab w:pos="9323" w:val="right" w:leader="none"/>
        </w:tabs>
        <w:spacing w:before="10"/>
        <w:ind w:left="3703"/>
        <w:rPr>
          <w:rFonts w:ascii="Stone Sans II ITC Std Sm"/>
          <w:b/>
        </w:rPr>
      </w:pPr>
      <w:r>
        <w:rPr>
          <w:rFonts w:ascii="Stone Sans II ITC Std Sm"/>
          <w:b/>
          <w:w w:val="110"/>
        </w:rPr>
        <w:t>Education</w:t>
      </w:r>
      <w:r>
        <w:rPr>
          <w:rFonts w:ascii="Stone Sans II ITC Std Sm"/>
          <w:b/>
          <w:spacing w:val="-1"/>
          <w:w w:val="110"/>
        </w:rPr>
        <w:t> </w:t>
      </w:r>
      <w:r>
        <w:rPr>
          <w:rFonts w:ascii="Stone Sans II ITC Std Sm"/>
          <w:b/>
          <w:w w:val="110"/>
        </w:rPr>
        <w:t>and learning</w:t>
        <w:tab/>
      </w:r>
      <w:r>
        <w:rPr>
          <w:rFonts w:ascii="Stone Sans II ITC Std Sm"/>
          <w:b/>
          <w:spacing w:val="-4"/>
          <w:w w:val="110"/>
        </w:rPr>
        <w:t>91</w:t>
      </w:r>
    </w:p>
    <w:p>
      <w:pPr>
        <w:pStyle w:val="BodyText"/>
        <w:tabs>
          <w:tab w:pos="9323" w:val="right" w:leader="none"/>
        </w:tabs>
        <w:spacing w:before="10"/>
        <w:ind w:left="3703"/>
        <w:rPr>
          <w:rFonts w:ascii="Stone Sans II ITC Std Sm"/>
          <w:b/>
        </w:rPr>
      </w:pPr>
      <w:r>
        <w:rPr>
          <w:rFonts w:ascii="Stone Sans II ITC Std Sm"/>
          <w:b/>
          <w:w w:val="110"/>
        </w:rPr>
        <w:t>Equalities</w:t>
        <w:tab/>
      </w:r>
      <w:r>
        <w:rPr>
          <w:rFonts w:ascii="Stone Sans II ITC Std Sm"/>
          <w:b/>
          <w:spacing w:val="-4"/>
          <w:w w:val="110"/>
        </w:rPr>
        <w:t>95</w:t>
      </w:r>
    </w:p>
    <w:p>
      <w:pPr>
        <w:pStyle w:val="BodyText"/>
        <w:tabs>
          <w:tab w:pos="9323" w:val="right" w:leader="none"/>
        </w:tabs>
        <w:spacing w:before="9"/>
        <w:ind w:left="3703"/>
        <w:rPr>
          <w:rFonts w:ascii="Stone Sans II ITC Std Sm"/>
          <w:b/>
        </w:rPr>
      </w:pPr>
      <w:r>
        <w:rPr>
          <w:rFonts w:ascii="Stone Sans II ITC Std Sm"/>
          <w:b/>
          <w:w w:val="110"/>
        </w:rPr>
        <w:t>Faith</w:t>
      </w:r>
      <w:r>
        <w:rPr>
          <w:rFonts w:ascii="Stone Sans II ITC Std Sm"/>
          <w:b/>
          <w:spacing w:val="-1"/>
          <w:w w:val="110"/>
        </w:rPr>
        <w:t> </w:t>
      </w:r>
      <w:r>
        <w:rPr>
          <w:rFonts w:ascii="Stone Sans II ITC Std Sm"/>
          <w:b/>
          <w:w w:val="110"/>
        </w:rPr>
        <w:t>and order</w:t>
        <w:tab/>
      </w:r>
      <w:r>
        <w:rPr>
          <w:rFonts w:ascii="Stone Sans II ITC Std Sm"/>
          <w:b/>
          <w:spacing w:val="-5"/>
          <w:w w:val="110"/>
        </w:rPr>
        <w:t>102</w:t>
      </w:r>
    </w:p>
    <w:p>
      <w:pPr>
        <w:pStyle w:val="BodyText"/>
        <w:tabs>
          <w:tab w:pos="9323" w:val="right" w:leader="none"/>
        </w:tabs>
        <w:spacing w:before="10"/>
        <w:ind w:left="3703"/>
        <w:rPr>
          <w:rFonts w:ascii="Stone Sans II ITC Std Sm"/>
          <w:b/>
        </w:rPr>
      </w:pPr>
      <w:r>
        <w:rPr>
          <w:rFonts w:ascii="Stone Sans II ITC Std Sm"/>
          <w:b/>
          <w:w w:val="110"/>
        </w:rPr>
        <w:t>Finance</w:t>
        <w:tab/>
      </w:r>
      <w:r>
        <w:rPr>
          <w:rFonts w:ascii="Stone Sans II ITC Std Sm"/>
          <w:b/>
          <w:spacing w:val="-7"/>
          <w:w w:val="110"/>
        </w:rPr>
        <w:t>128</w:t>
      </w:r>
    </w:p>
    <w:p>
      <w:pPr>
        <w:pStyle w:val="BodyText"/>
        <w:tabs>
          <w:tab w:pos="9323" w:val="right" w:leader="none"/>
        </w:tabs>
        <w:spacing w:before="9"/>
        <w:ind w:left="3703"/>
        <w:rPr>
          <w:rFonts w:ascii="Stone Sans II ITC Std Sm"/>
          <w:b/>
        </w:rPr>
      </w:pPr>
      <w:r>
        <w:rPr>
          <w:rFonts w:ascii="Stone Sans II ITC Std Sm"/>
          <w:b/>
          <w:w w:val="110"/>
        </w:rPr>
        <w:t>General secretary nominating group</w:t>
        <w:tab/>
      </w:r>
      <w:r>
        <w:rPr>
          <w:rFonts w:ascii="Stone Sans II ITC Std Sm"/>
          <w:b/>
          <w:spacing w:val="-6"/>
          <w:w w:val="110"/>
        </w:rPr>
        <w:t>129</w:t>
      </w:r>
    </w:p>
    <w:p>
      <w:pPr>
        <w:pStyle w:val="BodyText"/>
        <w:tabs>
          <w:tab w:pos="9323" w:val="right" w:leader="none"/>
        </w:tabs>
        <w:spacing w:before="10"/>
        <w:ind w:left="3703"/>
        <w:rPr>
          <w:rFonts w:ascii="Stone Sans II ITC Std Sm"/>
          <w:b/>
        </w:rPr>
      </w:pPr>
      <w:r>
        <w:rPr>
          <w:rFonts w:ascii="Stone Sans II ITC Std Sm"/>
          <w:b/>
          <w:w w:val="110"/>
        </w:rPr>
        <w:t>Ministries</w:t>
        <w:tab/>
      </w:r>
      <w:r>
        <w:rPr>
          <w:rFonts w:ascii="Stone Sans II ITC Std Sm"/>
          <w:b/>
          <w:spacing w:val="-8"/>
          <w:w w:val="110"/>
        </w:rPr>
        <w:t>130</w:t>
      </w:r>
    </w:p>
    <w:p>
      <w:pPr>
        <w:pStyle w:val="BodyText"/>
        <w:tabs>
          <w:tab w:pos="9323" w:val="right" w:leader="none"/>
        </w:tabs>
        <w:spacing w:before="10"/>
        <w:ind w:left="3703"/>
        <w:rPr>
          <w:rFonts w:ascii="Stone Sans II ITC Std Sm"/>
          <w:b/>
        </w:rPr>
      </w:pPr>
      <w:r>
        <w:rPr>
          <w:rFonts w:ascii="Stone Sans II ITC Std Sm"/>
          <w:b/>
          <w:w w:val="110"/>
        </w:rPr>
        <w:t>Mission</w:t>
        <w:tab/>
      </w:r>
      <w:r>
        <w:rPr>
          <w:rFonts w:ascii="Stone Sans II ITC Std Sm"/>
          <w:b/>
          <w:spacing w:val="-9"/>
          <w:w w:val="110"/>
        </w:rPr>
        <w:t>132</w:t>
      </w:r>
    </w:p>
    <w:p>
      <w:pPr>
        <w:pStyle w:val="BodyText"/>
        <w:tabs>
          <w:tab w:pos="9323" w:val="right" w:leader="none"/>
        </w:tabs>
        <w:spacing w:before="9"/>
        <w:ind w:left="3703"/>
        <w:rPr>
          <w:rFonts w:ascii="Stone Sans II ITC Std Sm"/>
          <w:b/>
        </w:rPr>
      </w:pPr>
      <w:r>
        <w:rPr>
          <w:rFonts w:ascii="Stone Sans II ITC Std Sm"/>
          <w:b/>
          <w:w w:val="110"/>
        </w:rPr>
        <w:t>Nominations</w:t>
        <w:tab/>
      </w:r>
      <w:r>
        <w:rPr>
          <w:rFonts w:ascii="Stone Sans II ITC Std Sm"/>
          <w:b/>
          <w:spacing w:val="-11"/>
          <w:w w:val="110"/>
        </w:rPr>
        <w:t>137</w:t>
      </w:r>
    </w:p>
    <w:p>
      <w:pPr>
        <w:pStyle w:val="BodyText"/>
        <w:rPr>
          <w:rFonts w:ascii="Stone Sans II ITC Std Sm"/>
          <w:b/>
          <w:sz w:val="30"/>
        </w:rPr>
      </w:pPr>
    </w:p>
    <w:p>
      <w:pPr>
        <w:pStyle w:val="BodyText"/>
        <w:rPr>
          <w:rFonts w:ascii="Stone Sans II ITC Std Sm"/>
          <w:b/>
          <w:sz w:val="30"/>
        </w:rPr>
      </w:pPr>
    </w:p>
    <w:p>
      <w:pPr>
        <w:pStyle w:val="BodyText"/>
        <w:rPr>
          <w:rFonts w:ascii="Stone Sans II ITC Std Sm"/>
          <w:b/>
          <w:sz w:val="30"/>
        </w:rPr>
      </w:pPr>
    </w:p>
    <w:p>
      <w:pPr>
        <w:pStyle w:val="BodyText"/>
        <w:rPr>
          <w:rFonts w:ascii="Stone Sans II ITC Std Sm"/>
          <w:b/>
          <w:sz w:val="30"/>
        </w:rPr>
      </w:pPr>
    </w:p>
    <w:p>
      <w:pPr>
        <w:pStyle w:val="BodyText"/>
        <w:rPr>
          <w:rFonts w:ascii="Stone Sans II ITC Std Sm"/>
          <w:b/>
          <w:sz w:val="30"/>
        </w:rPr>
      </w:pPr>
    </w:p>
    <w:p>
      <w:pPr>
        <w:pStyle w:val="BodyText"/>
        <w:rPr>
          <w:rFonts w:ascii="Stone Sans II ITC Std Sm"/>
          <w:b/>
          <w:sz w:val="30"/>
        </w:rPr>
      </w:pPr>
    </w:p>
    <w:p>
      <w:pPr>
        <w:pStyle w:val="BodyText"/>
        <w:rPr>
          <w:rFonts w:ascii="Stone Sans II ITC Std Sm"/>
          <w:b/>
          <w:sz w:val="30"/>
        </w:rPr>
      </w:pPr>
    </w:p>
    <w:p>
      <w:pPr>
        <w:pStyle w:val="BodyText"/>
        <w:rPr>
          <w:rFonts w:ascii="Stone Sans II ITC Std Sm"/>
          <w:b/>
          <w:sz w:val="30"/>
        </w:rPr>
      </w:pPr>
    </w:p>
    <w:p>
      <w:pPr>
        <w:pStyle w:val="BodyText"/>
        <w:rPr>
          <w:rFonts w:ascii="Stone Sans II ITC Std Sm"/>
          <w:b/>
          <w:sz w:val="30"/>
        </w:rPr>
      </w:pPr>
    </w:p>
    <w:p>
      <w:pPr>
        <w:pStyle w:val="BodyText"/>
        <w:rPr>
          <w:rFonts w:ascii="Stone Sans II ITC Std Sm"/>
          <w:b/>
          <w:sz w:val="30"/>
        </w:rPr>
      </w:pPr>
    </w:p>
    <w:p>
      <w:pPr>
        <w:pStyle w:val="BodyText"/>
        <w:spacing w:before="6"/>
        <w:rPr>
          <w:rFonts w:ascii="Stone Sans II ITC Std Sm"/>
          <w:b/>
          <w:sz w:val="25"/>
        </w:rPr>
      </w:pPr>
    </w:p>
    <w:p>
      <w:pPr>
        <w:spacing w:before="0"/>
        <w:ind w:left="451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spacing w:val="51"/>
          <w:w w:val="110"/>
          <w:sz w:val="23"/>
        </w:rPr>
        <w:t> </w:t>
      </w:r>
      <w:r>
        <w:rPr>
          <w:rFonts w:ascii="Stone Sans II ITC Std X Bd" w:hAnsi="Stone Sans II ITC Std X Bd"/>
          <w:b/>
          <w:w w:val="110"/>
          <w:sz w:val="24"/>
        </w:rPr>
        <w:t>81</w:t>
      </w:r>
    </w:p>
    <w:p>
      <w:pPr>
        <w:spacing w:after="0"/>
        <w:jc w:val="left"/>
        <w:rPr>
          <w:rFonts w:ascii="Stone Sans II ITC Std X Bd" w:hAnsi="Stone Sans II ITC Std X Bd"/>
          <w:sz w:val="24"/>
        </w:rPr>
        <w:sectPr>
          <w:headerReference w:type="default" r:id="rId190"/>
          <w:footerReference w:type="default" r:id="rId191"/>
          <w:pgSz w:w="11910" w:h="16840"/>
          <w:pgMar w:header="0" w:footer="0" w:top="1580" w:bottom="280" w:left="0" w:right="0"/>
        </w:sectPr>
      </w:pPr>
    </w:p>
    <w:tbl>
      <w:tblPr>
        <w:tblW w:w="0" w:type="auto"/>
        <w:jc w:val="left"/>
        <w:tblInd w:w="9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
        <w:gridCol w:w="2660"/>
        <w:gridCol w:w="6463"/>
      </w:tblGrid>
      <w:tr>
        <w:trPr>
          <w:trHeight w:val="3702" w:hRule="atLeast"/>
        </w:trPr>
        <w:tc>
          <w:tcPr>
            <w:tcW w:w="9440" w:type="dxa"/>
            <w:gridSpan w:val="3"/>
            <w:tcBorders>
              <w:top w:val="nil"/>
              <w:left w:val="nil"/>
              <w:bottom w:val="nil"/>
              <w:right w:val="nil"/>
            </w:tcBorders>
            <w:shd w:val="clear" w:color="auto" w:fill="D3E5C3"/>
          </w:tcPr>
          <w:p>
            <w:pPr>
              <w:pStyle w:val="TableParagraph"/>
              <w:spacing w:before="2"/>
              <w:ind w:left="0"/>
              <w:rPr>
                <w:rFonts w:ascii="Stone Sans II ITC Std X Bd"/>
                <w:b/>
                <w:sz w:val="91"/>
              </w:rPr>
            </w:pPr>
          </w:p>
          <w:p>
            <w:pPr>
              <w:pStyle w:val="TableParagraph"/>
              <w:spacing w:line="213" w:lineRule="auto"/>
              <w:ind w:left="311"/>
              <w:rPr>
                <w:rFonts w:ascii="Stone Sans II ITC Std X Bd"/>
                <w:b/>
                <w:sz w:val="50"/>
              </w:rPr>
            </w:pPr>
            <w:bookmarkStart w:name="_bookmark14" w:id="15"/>
            <w:bookmarkEnd w:id="15"/>
            <w:r>
              <w:rPr/>
            </w:r>
            <w:r>
              <w:rPr>
                <w:rFonts w:ascii="Stone Sans II ITC Std X Bd"/>
                <w:b/>
                <w:color w:val="41A62B"/>
                <w:w w:val="110"/>
                <w:sz w:val="50"/>
              </w:rPr>
              <w:t>Assembly arrangements committee:</w:t>
            </w:r>
          </w:p>
          <w:p>
            <w:pPr>
              <w:pStyle w:val="TableParagraph"/>
              <w:spacing w:line="617" w:lineRule="exact"/>
              <w:ind w:left="311"/>
              <w:rPr>
                <w:rFonts w:ascii="Stone Sans II ITC Std X Bd"/>
                <w:b/>
                <w:sz w:val="50"/>
              </w:rPr>
            </w:pPr>
            <w:r>
              <w:rPr>
                <w:rFonts w:ascii="Stone Sans II ITC Std X Bd"/>
                <w:b/>
                <w:w w:val="110"/>
                <w:sz w:val="50"/>
              </w:rPr>
              <w:t>General Assembly 2016</w:t>
            </w:r>
          </w:p>
          <w:p>
            <w:pPr>
              <w:pStyle w:val="TableParagraph"/>
              <w:spacing w:before="361"/>
              <w:ind w:left="311"/>
              <w:rPr>
                <w:sz w:val="20"/>
              </w:rPr>
            </w:pPr>
            <w:r>
              <w:rPr>
                <w:w w:val="120"/>
                <w:sz w:val="20"/>
              </w:rPr>
              <w:t>Basic Information</w:t>
            </w:r>
          </w:p>
        </w:tc>
      </w:tr>
      <w:tr>
        <w:trPr>
          <w:trHeight w:val="680" w:hRule="atLeast"/>
        </w:trPr>
        <w:tc>
          <w:tcPr>
            <w:tcW w:w="317" w:type="dxa"/>
            <w:vMerge w:val="restart"/>
            <w:tcBorders>
              <w:top w:val="nil"/>
              <w:left w:val="nil"/>
              <w:bottom w:val="nil"/>
            </w:tcBorders>
            <w:shd w:val="clear" w:color="auto" w:fill="D3E5C3"/>
          </w:tcPr>
          <w:p>
            <w:pPr>
              <w:pStyle w:val="TableParagraph"/>
              <w:ind w:left="0"/>
              <w:rPr>
                <w:rFonts w:ascii="Times New Roman"/>
                <w:sz w:val="24"/>
              </w:rPr>
            </w:pPr>
          </w:p>
        </w:tc>
        <w:tc>
          <w:tcPr>
            <w:tcW w:w="2660" w:type="dxa"/>
            <w:shd w:val="clear" w:color="auto" w:fill="FFFFFF"/>
          </w:tcPr>
          <w:p>
            <w:pPr>
              <w:pStyle w:val="TableParagraph"/>
              <w:spacing w:line="213" w:lineRule="auto" w:before="133"/>
              <w:ind w:left="74" w:right="601"/>
              <w:rPr>
                <w:rFonts w:ascii="Stone Sans II ITC Std Bk"/>
                <w:b/>
                <w:sz w:val="20"/>
              </w:rPr>
            </w:pPr>
            <w:r>
              <w:rPr>
                <w:rFonts w:ascii="Stone Sans II ITC Std Bk"/>
                <w:b/>
                <w:w w:val="110"/>
                <w:sz w:val="20"/>
              </w:rPr>
              <w:t>Contact name and email address</w:t>
            </w:r>
          </w:p>
        </w:tc>
        <w:tc>
          <w:tcPr>
            <w:tcW w:w="6463" w:type="dxa"/>
            <w:tcBorders>
              <w:right w:val="nil"/>
            </w:tcBorders>
            <w:shd w:val="clear" w:color="auto" w:fill="FFFFFF"/>
          </w:tcPr>
          <w:p>
            <w:pPr>
              <w:pStyle w:val="TableParagraph"/>
              <w:spacing w:line="235" w:lineRule="auto" w:before="127"/>
              <w:ind w:left="74" w:right="2751"/>
              <w:rPr>
                <w:sz w:val="20"/>
              </w:rPr>
            </w:pPr>
            <w:r>
              <w:rPr>
                <w:w w:val="120"/>
                <w:sz w:val="20"/>
              </w:rPr>
              <w:t>David Robinson </w:t>
            </w:r>
            <w:hyperlink r:id="rId197">
              <w:r>
                <w:rPr>
                  <w:w w:val="120"/>
                  <w:sz w:val="20"/>
                </w:rPr>
                <w:t>drobinson3@virginmedia.com</w:t>
              </w:r>
            </w:hyperlink>
          </w:p>
        </w:tc>
      </w:tr>
      <w:tr>
        <w:trPr>
          <w:trHeight w:val="440" w:hRule="atLeast"/>
        </w:trPr>
        <w:tc>
          <w:tcPr>
            <w:tcW w:w="317" w:type="dxa"/>
            <w:vMerge/>
            <w:tcBorders>
              <w:top w:val="nil"/>
              <w:left w:val="nil"/>
              <w:bottom w:val="nil"/>
            </w:tcBorders>
            <w:shd w:val="clear" w:color="auto" w:fill="D3E5C3"/>
          </w:tcPr>
          <w:p>
            <w:pPr>
              <w:rPr>
                <w:sz w:val="2"/>
                <w:szCs w:val="2"/>
              </w:rPr>
            </w:pPr>
          </w:p>
        </w:tc>
        <w:tc>
          <w:tcPr>
            <w:tcW w:w="2660" w:type="dxa"/>
            <w:shd w:val="clear" w:color="auto" w:fill="FFFFFF"/>
          </w:tcPr>
          <w:p>
            <w:pPr>
              <w:pStyle w:val="TableParagraph"/>
              <w:spacing w:before="111"/>
              <w:ind w:left="74"/>
              <w:rPr>
                <w:rFonts w:ascii="Stone Sans II ITC Std Bk"/>
                <w:b/>
                <w:sz w:val="20"/>
              </w:rPr>
            </w:pPr>
            <w:r>
              <w:rPr>
                <w:rFonts w:ascii="Stone Sans II ITC Std Bk"/>
                <w:b/>
                <w:w w:val="110"/>
                <w:sz w:val="20"/>
              </w:rPr>
              <w:t>Action required</w:t>
            </w:r>
          </w:p>
        </w:tc>
        <w:tc>
          <w:tcPr>
            <w:tcW w:w="6463" w:type="dxa"/>
            <w:tcBorders>
              <w:right w:val="nil"/>
            </w:tcBorders>
            <w:shd w:val="clear" w:color="auto" w:fill="FFFFFF"/>
          </w:tcPr>
          <w:p>
            <w:pPr>
              <w:pStyle w:val="TableParagraph"/>
              <w:spacing w:before="123"/>
              <w:ind w:left="74"/>
              <w:rPr>
                <w:sz w:val="20"/>
              </w:rPr>
            </w:pPr>
            <w:r>
              <w:rPr>
                <w:w w:val="120"/>
                <w:sz w:val="20"/>
              </w:rPr>
              <w:t>Decision</w:t>
            </w:r>
          </w:p>
        </w:tc>
      </w:tr>
      <w:tr>
        <w:trPr>
          <w:trHeight w:val="1160" w:hRule="atLeast"/>
        </w:trPr>
        <w:tc>
          <w:tcPr>
            <w:tcW w:w="317" w:type="dxa"/>
            <w:vMerge/>
            <w:tcBorders>
              <w:top w:val="nil"/>
              <w:left w:val="nil"/>
              <w:bottom w:val="nil"/>
            </w:tcBorders>
            <w:shd w:val="clear" w:color="auto" w:fill="D3E5C3"/>
          </w:tcPr>
          <w:p>
            <w:pPr>
              <w:rPr>
                <w:sz w:val="2"/>
                <w:szCs w:val="2"/>
              </w:rPr>
            </w:pPr>
          </w:p>
        </w:tc>
        <w:tc>
          <w:tcPr>
            <w:tcW w:w="2660" w:type="dxa"/>
            <w:shd w:val="clear" w:color="auto" w:fill="FFFFFF"/>
          </w:tcPr>
          <w:p>
            <w:pPr>
              <w:pStyle w:val="TableParagraph"/>
              <w:spacing w:before="111"/>
              <w:ind w:left="74"/>
              <w:rPr>
                <w:rFonts w:ascii="Stone Sans II ITC Std Bk"/>
                <w:b/>
                <w:sz w:val="20"/>
              </w:rPr>
            </w:pPr>
            <w:r>
              <w:rPr>
                <w:rFonts w:ascii="Stone Sans II ITC Std Bk"/>
                <w:b/>
                <w:w w:val="110"/>
                <w:sz w:val="20"/>
              </w:rPr>
              <w:t>Draft resolution(s)</w:t>
            </w:r>
          </w:p>
        </w:tc>
        <w:tc>
          <w:tcPr>
            <w:tcW w:w="6463" w:type="dxa"/>
            <w:tcBorders>
              <w:right w:val="nil"/>
            </w:tcBorders>
            <w:shd w:val="clear" w:color="auto" w:fill="FFFFFF"/>
          </w:tcPr>
          <w:p>
            <w:pPr>
              <w:pStyle w:val="TableParagraph"/>
              <w:spacing w:line="213" w:lineRule="auto" w:before="133"/>
              <w:ind w:left="74"/>
              <w:rPr>
                <w:rFonts w:ascii="Stone Sans II ITC Std Bk"/>
                <w:b/>
                <w:sz w:val="20"/>
              </w:rPr>
            </w:pPr>
            <w:r>
              <w:rPr>
                <w:rFonts w:ascii="Stone Sans II ITC Std Bk"/>
                <w:b/>
                <w:w w:val="110"/>
                <w:sz w:val="20"/>
              </w:rPr>
              <w:t>Assembly resolves to meet in Southport from 8 to 11 July 2016 (Friday to Monday) or at such time and place as may be determined.</w:t>
            </w:r>
          </w:p>
        </w:tc>
      </w:tr>
      <w:tr>
        <w:trPr>
          <w:trHeight w:val="720" w:hRule="atLeast"/>
        </w:trPr>
        <w:tc>
          <w:tcPr>
            <w:tcW w:w="9440" w:type="dxa"/>
            <w:gridSpan w:val="3"/>
            <w:tcBorders>
              <w:top w:val="nil"/>
              <w:left w:val="nil"/>
              <w:bottom w:val="nil"/>
              <w:right w:val="nil"/>
            </w:tcBorders>
            <w:shd w:val="clear" w:color="auto" w:fill="D3E5C3"/>
          </w:tcPr>
          <w:p>
            <w:pPr>
              <w:pStyle w:val="TableParagraph"/>
              <w:spacing w:before="12"/>
              <w:ind w:left="0"/>
              <w:rPr>
                <w:rFonts w:ascii="Stone Sans II ITC Std X Bd"/>
                <w:b/>
                <w:sz w:val="31"/>
              </w:rPr>
            </w:pPr>
          </w:p>
          <w:p>
            <w:pPr>
              <w:pStyle w:val="TableParagraph"/>
              <w:ind w:left="311"/>
              <w:rPr>
                <w:sz w:val="20"/>
              </w:rPr>
            </w:pPr>
            <w:r>
              <w:rPr>
                <w:w w:val="120"/>
                <w:sz w:val="20"/>
              </w:rPr>
              <w:t>Summary of Content</w:t>
            </w:r>
          </w:p>
        </w:tc>
      </w:tr>
      <w:tr>
        <w:trPr>
          <w:trHeight w:val="440" w:hRule="atLeast"/>
        </w:trPr>
        <w:tc>
          <w:tcPr>
            <w:tcW w:w="317" w:type="dxa"/>
            <w:vMerge w:val="restart"/>
            <w:tcBorders>
              <w:top w:val="nil"/>
              <w:left w:val="nil"/>
              <w:bottom w:val="nil"/>
            </w:tcBorders>
            <w:shd w:val="clear" w:color="auto" w:fill="D3E5C3"/>
          </w:tcPr>
          <w:p>
            <w:pPr>
              <w:pStyle w:val="TableParagraph"/>
              <w:ind w:left="0"/>
              <w:rPr>
                <w:rFonts w:ascii="Times New Roman"/>
                <w:sz w:val="24"/>
              </w:rPr>
            </w:pPr>
          </w:p>
        </w:tc>
        <w:tc>
          <w:tcPr>
            <w:tcW w:w="2660" w:type="dxa"/>
            <w:shd w:val="clear" w:color="auto" w:fill="FFFFFF"/>
          </w:tcPr>
          <w:p>
            <w:pPr>
              <w:pStyle w:val="TableParagraph"/>
              <w:spacing w:before="111"/>
              <w:ind w:left="74"/>
              <w:rPr>
                <w:rFonts w:ascii="Stone Sans II ITC Std Bk"/>
                <w:b/>
                <w:sz w:val="20"/>
              </w:rPr>
            </w:pPr>
            <w:r>
              <w:rPr>
                <w:rFonts w:ascii="Stone Sans II ITC Std Bk"/>
                <w:b/>
                <w:w w:val="110"/>
                <w:sz w:val="20"/>
              </w:rPr>
              <w:t>Subject and aim(s)</w:t>
            </w:r>
          </w:p>
        </w:tc>
        <w:tc>
          <w:tcPr>
            <w:tcW w:w="6463" w:type="dxa"/>
            <w:tcBorders>
              <w:right w:val="nil"/>
            </w:tcBorders>
            <w:shd w:val="clear" w:color="auto" w:fill="FFFFFF"/>
          </w:tcPr>
          <w:p>
            <w:pPr>
              <w:pStyle w:val="TableParagraph"/>
              <w:spacing w:before="123"/>
              <w:ind w:left="74"/>
              <w:rPr>
                <w:sz w:val="20"/>
              </w:rPr>
            </w:pPr>
            <w:r>
              <w:rPr>
                <w:w w:val="120"/>
                <w:sz w:val="20"/>
              </w:rPr>
              <w:t>To establish the date and venue of the 2016 Assembly</w:t>
            </w:r>
          </w:p>
        </w:tc>
      </w:tr>
      <w:tr>
        <w:trPr>
          <w:trHeight w:val="440" w:hRule="atLeast"/>
        </w:trPr>
        <w:tc>
          <w:tcPr>
            <w:tcW w:w="317" w:type="dxa"/>
            <w:vMerge/>
            <w:tcBorders>
              <w:top w:val="nil"/>
              <w:left w:val="nil"/>
              <w:bottom w:val="nil"/>
            </w:tcBorders>
            <w:shd w:val="clear" w:color="auto" w:fill="D3E5C3"/>
          </w:tcPr>
          <w:p>
            <w:pPr>
              <w:rPr>
                <w:sz w:val="2"/>
                <w:szCs w:val="2"/>
              </w:rPr>
            </w:pPr>
          </w:p>
        </w:tc>
        <w:tc>
          <w:tcPr>
            <w:tcW w:w="2660" w:type="dxa"/>
            <w:shd w:val="clear" w:color="auto" w:fill="FFFFFF"/>
          </w:tcPr>
          <w:p>
            <w:pPr>
              <w:pStyle w:val="TableParagraph"/>
              <w:spacing w:before="111"/>
              <w:ind w:left="74"/>
              <w:rPr>
                <w:rFonts w:ascii="Stone Sans II ITC Std Bk"/>
                <w:b/>
                <w:sz w:val="20"/>
              </w:rPr>
            </w:pPr>
            <w:r>
              <w:rPr>
                <w:rFonts w:ascii="Stone Sans II ITC Std Bk"/>
                <w:b/>
                <w:w w:val="110"/>
                <w:sz w:val="20"/>
              </w:rPr>
              <w:t>Main points</w:t>
            </w:r>
          </w:p>
        </w:tc>
        <w:tc>
          <w:tcPr>
            <w:tcW w:w="6463" w:type="dxa"/>
            <w:tcBorders>
              <w:right w:val="nil"/>
            </w:tcBorders>
            <w:shd w:val="clear" w:color="auto" w:fill="FFFFFF"/>
          </w:tcPr>
          <w:p>
            <w:pPr>
              <w:pStyle w:val="TableParagraph"/>
              <w:spacing w:before="123"/>
              <w:ind w:left="74"/>
              <w:rPr>
                <w:sz w:val="20"/>
              </w:rPr>
            </w:pPr>
            <w:r>
              <w:rPr>
                <w:w w:val="120"/>
                <w:sz w:val="20"/>
              </w:rPr>
              <w:t>Date and venue proposed</w:t>
            </w:r>
          </w:p>
        </w:tc>
      </w:tr>
      <w:tr>
        <w:trPr>
          <w:trHeight w:val="680" w:hRule="atLeast"/>
        </w:trPr>
        <w:tc>
          <w:tcPr>
            <w:tcW w:w="317" w:type="dxa"/>
            <w:vMerge/>
            <w:tcBorders>
              <w:top w:val="nil"/>
              <w:left w:val="nil"/>
              <w:bottom w:val="nil"/>
            </w:tcBorders>
            <w:shd w:val="clear" w:color="auto" w:fill="D3E5C3"/>
          </w:tcPr>
          <w:p>
            <w:pPr>
              <w:rPr>
                <w:sz w:val="2"/>
                <w:szCs w:val="2"/>
              </w:rPr>
            </w:pPr>
          </w:p>
        </w:tc>
        <w:tc>
          <w:tcPr>
            <w:tcW w:w="2660" w:type="dxa"/>
            <w:shd w:val="clear" w:color="auto" w:fill="FFFFFF"/>
          </w:tcPr>
          <w:p>
            <w:pPr>
              <w:pStyle w:val="TableParagraph"/>
              <w:spacing w:line="213" w:lineRule="auto" w:before="133"/>
              <w:ind w:left="74" w:right="707"/>
              <w:rPr>
                <w:rFonts w:ascii="Stone Sans II ITC Std Bk"/>
                <w:b/>
                <w:sz w:val="20"/>
              </w:rPr>
            </w:pPr>
            <w:r>
              <w:rPr>
                <w:rFonts w:ascii="Stone Sans II ITC Std Bk"/>
                <w:b/>
                <w:w w:val="110"/>
                <w:sz w:val="20"/>
              </w:rPr>
              <w:t>Previous relevant documents</w:t>
            </w:r>
          </w:p>
        </w:tc>
        <w:tc>
          <w:tcPr>
            <w:tcW w:w="6463" w:type="dxa"/>
            <w:tcBorders>
              <w:right w:val="nil"/>
            </w:tcBorders>
            <w:shd w:val="clear" w:color="auto" w:fill="FFFFFF"/>
          </w:tcPr>
          <w:p>
            <w:pPr>
              <w:pStyle w:val="TableParagraph"/>
              <w:spacing w:before="123"/>
              <w:ind w:left="74"/>
              <w:rPr>
                <w:sz w:val="20"/>
              </w:rPr>
            </w:pPr>
            <w:r>
              <w:rPr>
                <w:w w:val="120"/>
                <w:sz w:val="20"/>
              </w:rPr>
              <w:t>None</w:t>
            </w:r>
          </w:p>
        </w:tc>
      </w:tr>
      <w:tr>
        <w:trPr>
          <w:trHeight w:val="680" w:hRule="atLeast"/>
        </w:trPr>
        <w:tc>
          <w:tcPr>
            <w:tcW w:w="317" w:type="dxa"/>
            <w:vMerge/>
            <w:tcBorders>
              <w:top w:val="nil"/>
              <w:left w:val="nil"/>
              <w:bottom w:val="nil"/>
            </w:tcBorders>
            <w:shd w:val="clear" w:color="auto" w:fill="D3E5C3"/>
          </w:tcPr>
          <w:p>
            <w:pPr>
              <w:rPr>
                <w:sz w:val="2"/>
                <w:szCs w:val="2"/>
              </w:rPr>
            </w:pPr>
          </w:p>
        </w:tc>
        <w:tc>
          <w:tcPr>
            <w:tcW w:w="2660" w:type="dxa"/>
            <w:shd w:val="clear" w:color="auto" w:fill="FFFFFF"/>
          </w:tcPr>
          <w:p>
            <w:pPr>
              <w:pStyle w:val="TableParagraph"/>
              <w:spacing w:line="213" w:lineRule="auto" w:before="133"/>
              <w:ind w:left="74" w:right="110"/>
              <w:rPr>
                <w:rFonts w:ascii="Stone Sans II ITC Std Bk"/>
                <w:b/>
                <w:sz w:val="20"/>
              </w:rPr>
            </w:pPr>
            <w:r>
              <w:rPr>
                <w:rFonts w:ascii="Stone Sans II ITC Std Bk"/>
                <w:b/>
                <w:w w:val="110"/>
                <w:sz w:val="20"/>
              </w:rPr>
              <w:t>Consultation has taken place with...</w:t>
            </w:r>
          </w:p>
        </w:tc>
        <w:tc>
          <w:tcPr>
            <w:tcW w:w="6463" w:type="dxa"/>
            <w:tcBorders>
              <w:right w:val="nil"/>
            </w:tcBorders>
            <w:shd w:val="clear" w:color="auto" w:fill="FFFFFF"/>
          </w:tcPr>
          <w:p>
            <w:pPr>
              <w:pStyle w:val="TableParagraph"/>
              <w:spacing w:before="123"/>
              <w:ind w:left="74"/>
              <w:rPr>
                <w:sz w:val="20"/>
              </w:rPr>
            </w:pPr>
            <w:r>
              <w:rPr>
                <w:w w:val="120"/>
                <w:sz w:val="20"/>
              </w:rPr>
              <w:t>N/A</w:t>
            </w:r>
          </w:p>
        </w:tc>
      </w:tr>
      <w:tr>
        <w:trPr>
          <w:trHeight w:val="720" w:hRule="atLeast"/>
        </w:trPr>
        <w:tc>
          <w:tcPr>
            <w:tcW w:w="9440" w:type="dxa"/>
            <w:gridSpan w:val="3"/>
            <w:tcBorders>
              <w:top w:val="nil"/>
              <w:left w:val="nil"/>
              <w:bottom w:val="nil"/>
              <w:right w:val="nil"/>
            </w:tcBorders>
            <w:shd w:val="clear" w:color="auto" w:fill="D3E5C3"/>
          </w:tcPr>
          <w:p>
            <w:pPr>
              <w:pStyle w:val="TableParagraph"/>
              <w:spacing w:before="12"/>
              <w:ind w:left="0"/>
              <w:rPr>
                <w:rFonts w:ascii="Stone Sans II ITC Std X Bd"/>
                <w:b/>
                <w:sz w:val="31"/>
              </w:rPr>
            </w:pPr>
          </w:p>
          <w:p>
            <w:pPr>
              <w:pStyle w:val="TableParagraph"/>
              <w:ind w:left="311"/>
              <w:rPr>
                <w:sz w:val="20"/>
              </w:rPr>
            </w:pPr>
            <w:r>
              <w:rPr>
                <w:w w:val="120"/>
                <w:sz w:val="20"/>
              </w:rPr>
              <w:t>Summary of Impact</w:t>
            </w:r>
          </w:p>
        </w:tc>
      </w:tr>
      <w:tr>
        <w:trPr>
          <w:trHeight w:val="440" w:hRule="atLeast"/>
        </w:trPr>
        <w:tc>
          <w:tcPr>
            <w:tcW w:w="317" w:type="dxa"/>
            <w:vMerge w:val="restart"/>
            <w:tcBorders>
              <w:top w:val="nil"/>
              <w:left w:val="nil"/>
              <w:bottom w:val="nil"/>
            </w:tcBorders>
            <w:shd w:val="clear" w:color="auto" w:fill="D3E5C3"/>
          </w:tcPr>
          <w:p>
            <w:pPr>
              <w:pStyle w:val="TableParagraph"/>
              <w:ind w:left="0"/>
              <w:rPr>
                <w:rFonts w:ascii="Times New Roman"/>
                <w:sz w:val="24"/>
              </w:rPr>
            </w:pPr>
          </w:p>
        </w:tc>
        <w:tc>
          <w:tcPr>
            <w:tcW w:w="2660" w:type="dxa"/>
            <w:shd w:val="clear" w:color="auto" w:fill="FFFFFF"/>
          </w:tcPr>
          <w:p>
            <w:pPr>
              <w:pStyle w:val="TableParagraph"/>
              <w:spacing w:before="123"/>
              <w:ind w:left="74"/>
              <w:rPr>
                <w:sz w:val="20"/>
              </w:rPr>
            </w:pPr>
            <w:r>
              <w:rPr>
                <w:w w:val="120"/>
                <w:sz w:val="20"/>
              </w:rPr>
              <w:t>Financial</w:t>
            </w:r>
          </w:p>
        </w:tc>
        <w:tc>
          <w:tcPr>
            <w:tcW w:w="6463" w:type="dxa"/>
            <w:tcBorders>
              <w:right w:val="nil"/>
            </w:tcBorders>
            <w:shd w:val="clear" w:color="auto" w:fill="FFFFFF"/>
          </w:tcPr>
          <w:p>
            <w:pPr>
              <w:pStyle w:val="TableParagraph"/>
              <w:spacing w:before="123"/>
              <w:ind w:left="74"/>
              <w:rPr>
                <w:sz w:val="20"/>
              </w:rPr>
            </w:pPr>
            <w:r>
              <w:rPr>
                <w:w w:val="120"/>
                <w:sz w:val="20"/>
              </w:rPr>
              <w:t>The costs of the Assembly are included in the Assembly budget</w:t>
            </w:r>
          </w:p>
        </w:tc>
      </w:tr>
      <w:tr>
        <w:trPr>
          <w:trHeight w:val="680" w:hRule="atLeast"/>
        </w:trPr>
        <w:tc>
          <w:tcPr>
            <w:tcW w:w="317" w:type="dxa"/>
            <w:vMerge/>
            <w:tcBorders>
              <w:top w:val="nil"/>
              <w:left w:val="nil"/>
              <w:bottom w:val="nil"/>
            </w:tcBorders>
            <w:shd w:val="clear" w:color="auto" w:fill="D3E5C3"/>
          </w:tcPr>
          <w:p>
            <w:pPr>
              <w:rPr>
                <w:sz w:val="2"/>
                <w:szCs w:val="2"/>
              </w:rPr>
            </w:pPr>
          </w:p>
        </w:tc>
        <w:tc>
          <w:tcPr>
            <w:tcW w:w="2660" w:type="dxa"/>
            <w:shd w:val="clear" w:color="auto" w:fill="FFFFFF"/>
          </w:tcPr>
          <w:p>
            <w:pPr>
              <w:pStyle w:val="TableParagraph"/>
              <w:spacing w:line="242" w:lineRule="exact" w:before="123"/>
              <w:ind w:left="74"/>
              <w:rPr>
                <w:sz w:val="20"/>
              </w:rPr>
            </w:pPr>
            <w:r>
              <w:rPr>
                <w:w w:val="120"/>
                <w:sz w:val="20"/>
              </w:rPr>
              <w:t>External</w:t>
            </w:r>
          </w:p>
          <w:p>
            <w:pPr>
              <w:pStyle w:val="TableParagraph"/>
              <w:spacing w:line="242" w:lineRule="exact"/>
              <w:ind w:left="74"/>
              <w:rPr>
                <w:sz w:val="20"/>
              </w:rPr>
            </w:pPr>
            <w:r>
              <w:rPr>
                <w:w w:val="125"/>
                <w:sz w:val="20"/>
              </w:rPr>
              <w:t>(e.g. ecumenical)</w:t>
            </w:r>
          </w:p>
        </w:tc>
        <w:tc>
          <w:tcPr>
            <w:tcW w:w="6463" w:type="dxa"/>
            <w:tcBorders>
              <w:right w:val="nil"/>
            </w:tcBorders>
            <w:shd w:val="clear" w:color="auto" w:fill="FFFFFF"/>
          </w:tcPr>
          <w:p>
            <w:pPr>
              <w:pStyle w:val="TableParagraph"/>
              <w:spacing w:before="123"/>
              <w:ind w:left="74"/>
              <w:rPr>
                <w:sz w:val="20"/>
              </w:rPr>
            </w:pPr>
            <w:r>
              <w:rPr>
                <w:w w:val="120"/>
                <w:sz w:val="20"/>
              </w:rPr>
              <w:t>None</w:t>
            </w:r>
          </w:p>
        </w:tc>
      </w:tr>
      <w:tr>
        <w:trPr>
          <w:trHeight w:val="5934" w:hRule="atLeast"/>
        </w:trPr>
        <w:tc>
          <w:tcPr>
            <w:tcW w:w="9440" w:type="dxa"/>
            <w:gridSpan w:val="3"/>
            <w:tcBorders>
              <w:top w:val="nil"/>
              <w:left w:val="nil"/>
              <w:bottom w:val="nil"/>
              <w:right w:val="nil"/>
            </w:tcBorders>
            <w:shd w:val="clear" w:color="auto" w:fill="D3E5C3"/>
          </w:tcPr>
          <w:p>
            <w:pPr>
              <w:pStyle w:val="TableParagraph"/>
              <w:ind w:left="0"/>
              <w:rPr>
                <w:rFonts w:ascii="Stone Sans II ITC Std X Bd"/>
                <w:b/>
                <w:sz w:val="30"/>
              </w:rPr>
            </w:pPr>
          </w:p>
          <w:p>
            <w:pPr>
              <w:pStyle w:val="TableParagraph"/>
              <w:ind w:left="0"/>
              <w:rPr>
                <w:rFonts w:ascii="Stone Sans II ITC Std X Bd"/>
                <w:b/>
                <w:sz w:val="30"/>
              </w:rPr>
            </w:pPr>
          </w:p>
          <w:p>
            <w:pPr>
              <w:pStyle w:val="TableParagraph"/>
              <w:ind w:left="0"/>
              <w:rPr>
                <w:rFonts w:ascii="Stone Sans II ITC Std X Bd"/>
                <w:b/>
                <w:sz w:val="30"/>
              </w:rPr>
            </w:pPr>
          </w:p>
          <w:p>
            <w:pPr>
              <w:pStyle w:val="TableParagraph"/>
              <w:ind w:left="0"/>
              <w:rPr>
                <w:rFonts w:ascii="Stone Sans II ITC Std X Bd"/>
                <w:b/>
                <w:sz w:val="30"/>
              </w:rPr>
            </w:pPr>
          </w:p>
          <w:p>
            <w:pPr>
              <w:pStyle w:val="TableParagraph"/>
              <w:ind w:left="0"/>
              <w:rPr>
                <w:rFonts w:ascii="Stone Sans II ITC Std X Bd"/>
                <w:b/>
                <w:sz w:val="30"/>
              </w:rPr>
            </w:pPr>
          </w:p>
          <w:p>
            <w:pPr>
              <w:pStyle w:val="TableParagraph"/>
              <w:ind w:left="0"/>
              <w:rPr>
                <w:rFonts w:ascii="Stone Sans II ITC Std X Bd"/>
                <w:b/>
                <w:sz w:val="30"/>
              </w:rPr>
            </w:pPr>
          </w:p>
          <w:p>
            <w:pPr>
              <w:pStyle w:val="TableParagraph"/>
              <w:ind w:left="0"/>
              <w:rPr>
                <w:rFonts w:ascii="Stone Sans II ITC Std X Bd"/>
                <w:b/>
                <w:sz w:val="30"/>
              </w:rPr>
            </w:pPr>
          </w:p>
          <w:p>
            <w:pPr>
              <w:pStyle w:val="TableParagraph"/>
              <w:ind w:left="0"/>
              <w:rPr>
                <w:rFonts w:ascii="Stone Sans II ITC Std X Bd"/>
                <w:b/>
                <w:sz w:val="30"/>
              </w:rPr>
            </w:pPr>
          </w:p>
          <w:p>
            <w:pPr>
              <w:pStyle w:val="TableParagraph"/>
              <w:ind w:left="0"/>
              <w:rPr>
                <w:rFonts w:ascii="Stone Sans II ITC Std X Bd"/>
                <w:b/>
                <w:sz w:val="30"/>
              </w:rPr>
            </w:pPr>
          </w:p>
          <w:p>
            <w:pPr>
              <w:pStyle w:val="TableParagraph"/>
              <w:ind w:left="0"/>
              <w:rPr>
                <w:rFonts w:ascii="Stone Sans II ITC Std X Bd"/>
                <w:b/>
                <w:sz w:val="30"/>
              </w:rPr>
            </w:pPr>
          </w:p>
          <w:p>
            <w:pPr>
              <w:pStyle w:val="TableParagraph"/>
              <w:ind w:left="0"/>
              <w:rPr>
                <w:rFonts w:ascii="Stone Sans II ITC Std X Bd"/>
                <w:b/>
                <w:sz w:val="30"/>
              </w:rPr>
            </w:pPr>
          </w:p>
          <w:p>
            <w:pPr>
              <w:pStyle w:val="TableParagraph"/>
              <w:spacing w:before="10"/>
              <w:ind w:left="0"/>
              <w:rPr>
                <w:rFonts w:ascii="Stone Sans II ITC Std X Bd"/>
                <w:b/>
                <w:sz w:val="44"/>
              </w:rPr>
            </w:pPr>
          </w:p>
          <w:p>
            <w:pPr>
              <w:pStyle w:val="TableParagraph"/>
              <w:ind w:left="311"/>
              <w:rPr>
                <w:sz w:val="23"/>
              </w:rPr>
            </w:pPr>
            <w:r>
              <w:rPr>
                <w:rFonts w:ascii="Stone Sans II ITC Std X Bd" w:hAnsi="Stone Sans II ITC Std X Bd"/>
                <w:b/>
                <w:w w:val="110"/>
                <w:sz w:val="24"/>
              </w:rPr>
              <w:t>82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c>
      </w:tr>
    </w:tbl>
    <w:p>
      <w:pPr>
        <w:rPr>
          <w:sz w:val="2"/>
          <w:szCs w:val="2"/>
        </w:rPr>
      </w:pPr>
      <w:r>
        <w:rPr/>
        <w:pict>
          <v:line style="position:absolute;mso-position-horizontal-relative:page;mso-position-vertical-relative:page;z-index:251888640" from="595.275513pt,.000015pt" to="595.275513pt,841.890015pt" stroked="true" strokeweight=".001pt" strokecolor="#d3e5c3">
            <v:stroke dashstyle="solid"/>
            <w10:wrap type="none"/>
          </v:line>
        </w:pict>
      </w:r>
      <w:r>
        <w:rPr/>
        <w:pict>
          <v:rect style="position:absolute;margin-left:594.374023pt;margin-top:.000015pt;width:.901pt;height:841.89pt;mso-position-horizontal-relative:page;mso-position-vertical-relative:page;z-index:251889664" filled="true" fillcolor="#d3e5c3" stroked="false">
            <v:fill type="solid"/>
            <w10:wrap type="none"/>
          </v:rect>
        </w:pict>
      </w:r>
      <w:r>
        <w:rPr/>
        <w:drawing>
          <wp:anchor distT="0" distB="0" distL="0" distR="0" allowOverlap="1" layoutInCell="1" locked="0" behindDoc="0" simplePos="0" relativeHeight="251890688">
            <wp:simplePos x="0" y="0"/>
            <wp:positionH relativeFrom="page">
              <wp:posOffset>0</wp:posOffset>
            </wp:positionH>
            <wp:positionV relativeFrom="page">
              <wp:posOffset>0</wp:posOffset>
            </wp:positionV>
            <wp:extent cx="594067" cy="10692003"/>
            <wp:effectExtent l="0" t="0" r="0" b="0"/>
            <wp:wrapNone/>
            <wp:docPr id="151" name="image28.png"/>
            <wp:cNvGraphicFramePr>
              <a:graphicFrameLocks noChangeAspect="1"/>
            </wp:cNvGraphicFramePr>
            <a:graphic>
              <a:graphicData uri="http://schemas.openxmlformats.org/drawingml/2006/picture">
                <pic:pic>
                  <pic:nvPicPr>
                    <pic:cNvPr id="152" name="image28.png"/>
                    <pic:cNvPicPr/>
                  </pic:nvPicPr>
                  <pic:blipFill>
                    <a:blip r:embed="rId198"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243.3pt;mso-position-horizontal-relative:page;mso-position-vertical-relative:page;z-index:251891712" type="#_x0000_t202" filled="false" stroked="false">
            <v:textbox inset="0,0,0,0" style="layout-flow:vertical">
              <w:txbxContent>
                <w:p>
                  <w:pPr>
                    <w:spacing w:before="27"/>
                    <w:ind w:left="20" w:right="0" w:firstLine="0"/>
                    <w:jc w:val="left"/>
                    <w:rPr>
                      <w:sz w:val="39"/>
                    </w:rPr>
                  </w:pPr>
                  <w:r>
                    <w:rPr>
                      <w:color w:val="FFFFFF"/>
                      <w:w w:val="120"/>
                      <w:sz w:val="39"/>
                    </w:rPr>
                    <w:t>Assembly arrangements</w:t>
                  </w:r>
                </w:p>
              </w:txbxContent>
            </v:textbox>
            <w10:wrap type="none"/>
          </v:shape>
        </w:pict>
      </w:r>
    </w:p>
    <w:p>
      <w:pPr>
        <w:spacing w:after="0"/>
        <w:rPr>
          <w:sz w:val="2"/>
          <w:szCs w:val="2"/>
        </w:rPr>
        <w:sectPr>
          <w:headerReference w:type="even" r:id="rId195"/>
          <w:footerReference w:type="even" r:id="rId196"/>
          <w:pgSz w:w="11910" w:h="16840"/>
          <w:pgMar w:header="0" w:footer="0" w:top="0" w:bottom="0" w:left="0" w:right="0"/>
        </w:sectPr>
      </w:pPr>
    </w:p>
    <w:p>
      <w:pPr>
        <w:pStyle w:val="BodyText"/>
        <w:rPr>
          <w:rFonts w:ascii="Stone Sans II ITC Std X Bd"/>
          <w:b/>
        </w:rPr>
      </w:pPr>
      <w:r>
        <w:rPr/>
        <w:pict>
          <v:rect style="position:absolute;margin-left:0pt;margin-top:.000015pt;width:549.207pt;height:841.89pt;mso-position-horizontal-relative:page;mso-position-vertical-relative:page;z-index:-267383808" filled="true" fillcolor="#d3e5c3" stroked="false">
            <v:fill type="solid"/>
            <w10:wrap type="none"/>
          </v:rect>
        </w:pict>
      </w:r>
      <w:r>
        <w:rPr/>
        <w:drawing>
          <wp:anchor distT="0" distB="0" distL="0" distR="0" allowOverlap="1" layoutInCell="1" locked="0" behindDoc="0" simplePos="0" relativeHeight="251893760">
            <wp:simplePos x="0" y="0"/>
            <wp:positionH relativeFrom="page">
              <wp:posOffset>6974928</wp:posOffset>
            </wp:positionH>
            <wp:positionV relativeFrom="page">
              <wp:posOffset>0</wp:posOffset>
            </wp:positionV>
            <wp:extent cx="585063" cy="10692003"/>
            <wp:effectExtent l="0" t="0" r="0" b="0"/>
            <wp:wrapNone/>
            <wp:docPr id="153" name="image25.png"/>
            <wp:cNvGraphicFramePr>
              <a:graphicFrameLocks noChangeAspect="1"/>
            </wp:cNvGraphicFramePr>
            <a:graphic>
              <a:graphicData uri="http://schemas.openxmlformats.org/drawingml/2006/picture">
                <pic:pic>
                  <pic:nvPicPr>
                    <pic:cNvPr id="154" name="image25.png"/>
                    <pic:cNvPicPr/>
                  </pic:nvPicPr>
                  <pic:blipFill>
                    <a:blip r:embed="rId192" cstate="print"/>
                    <a:stretch>
                      <a:fillRect/>
                    </a:stretch>
                  </pic:blipFill>
                  <pic:spPr>
                    <a:xfrm>
                      <a:off x="0" y="0"/>
                      <a:ext cx="585063" cy="10692003"/>
                    </a:xfrm>
                    <a:prstGeom prst="rect">
                      <a:avLst/>
                    </a:prstGeom>
                  </pic:spPr>
                </pic:pic>
              </a:graphicData>
            </a:graphic>
          </wp:anchor>
        </w:drawing>
      </w:r>
    </w:p>
    <w:p>
      <w:pPr>
        <w:pStyle w:val="BodyText"/>
        <w:rPr>
          <w:rFonts w:ascii="Stone Sans II ITC Std X Bd"/>
          <w:b/>
        </w:rPr>
      </w:pPr>
    </w:p>
    <w:p>
      <w:pPr>
        <w:pStyle w:val="BodyText"/>
        <w:rPr>
          <w:rFonts w:ascii="Stone Sans II ITC Std X Bd"/>
          <w:b/>
        </w:rPr>
      </w:pPr>
    </w:p>
    <w:p>
      <w:pPr>
        <w:pStyle w:val="BodyText"/>
        <w:spacing w:before="11"/>
        <w:rPr>
          <w:rFonts w:ascii="Stone Sans II ITC Std X Bd"/>
          <w:b/>
          <w:sz w:val="19"/>
        </w:rPr>
      </w:pPr>
    </w:p>
    <w:p>
      <w:pPr>
        <w:spacing w:line="213" w:lineRule="auto" w:before="153"/>
        <w:ind w:left="1984" w:right="2557" w:firstLine="0"/>
        <w:jc w:val="left"/>
        <w:rPr>
          <w:rFonts w:ascii="Stone Sans II ITC Std X Bd" w:hAnsi="Stone Sans II ITC Std X Bd"/>
          <w:b/>
          <w:sz w:val="50"/>
        </w:rPr>
      </w:pPr>
      <w:r>
        <w:rPr/>
        <w:pict>
          <v:shape style="position:absolute;margin-left:554.141174pt;margin-top:-5.989334pt;width:25.9pt;height:267.8pt;mso-position-horizontal-relative:page;mso-position-vertical-relative:paragraph;z-index:251894784" type="#_x0000_t202" filled="false" stroked="false">
            <v:textbox inset="0,0,0,0" style="layout-flow:vertical">
              <w:txbxContent>
                <w:p>
                  <w:pPr>
                    <w:spacing w:before="27"/>
                    <w:ind w:left="20" w:right="0" w:firstLine="0"/>
                    <w:jc w:val="left"/>
                    <w:rPr>
                      <w:sz w:val="39"/>
                    </w:rPr>
                  </w:pPr>
                  <w:r>
                    <w:rPr>
                      <w:color w:val="FFFFFF"/>
                      <w:spacing w:val="3"/>
                      <w:w w:val="120"/>
                      <w:sz w:val="39"/>
                    </w:rPr>
                    <w:t>Children’s </w:t>
                  </w:r>
                  <w:r>
                    <w:rPr>
                      <w:color w:val="FFFFFF"/>
                      <w:spacing w:val="7"/>
                      <w:w w:val="120"/>
                      <w:sz w:val="39"/>
                    </w:rPr>
                    <w:t>and </w:t>
                  </w:r>
                  <w:r>
                    <w:rPr>
                      <w:color w:val="FFFFFF"/>
                      <w:spacing w:val="8"/>
                      <w:w w:val="120"/>
                      <w:sz w:val="39"/>
                    </w:rPr>
                    <w:t>youth</w:t>
                  </w:r>
                  <w:r>
                    <w:rPr>
                      <w:color w:val="FFFFFF"/>
                      <w:spacing w:val="-43"/>
                      <w:w w:val="120"/>
                      <w:sz w:val="39"/>
                    </w:rPr>
                    <w:t> </w:t>
                  </w:r>
                  <w:r>
                    <w:rPr>
                      <w:color w:val="FFFFFF"/>
                      <w:spacing w:val="7"/>
                      <w:w w:val="120"/>
                      <w:sz w:val="39"/>
                    </w:rPr>
                    <w:t>work</w:t>
                  </w:r>
                </w:p>
              </w:txbxContent>
            </v:textbox>
            <w10:wrap type="none"/>
          </v:shape>
        </w:pict>
      </w:r>
      <w:bookmarkStart w:name="_bookmark15" w:id="16"/>
      <w:bookmarkEnd w:id="16"/>
      <w:r>
        <w:rPr/>
      </w:r>
      <w:r>
        <w:rPr>
          <w:rFonts w:ascii="Stone Sans II ITC Std X Bd" w:hAnsi="Stone Sans II ITC Std X Bd"/>
          <w:b/>
          <w:color w:val="41A62B"/>
          <w:w w:val="110"/>
          <w:sz w:val="50"/>
        </w:rPr>
        <w:t>Children’s and youth work committee:</w:t>
      </w:r>
    </w:p>
    <w:p>
      <w:pPr>
        <w:spacing w:line="617" w:lineRule="exact" w:before="0"/>
        <w:ind w:left="1984" w:right="0" w:firstLine="0"/>
        <w:jc w:val="left"/>
        <w:rPr>
          <w:rFonts w:ascii="Stone Sans II ITC Std X Bd"/>
          <w:b/>
          <w:sz w:val="50"/>
        </w:rPr>
      </w:pPr>
      <w:r>
        <w:rPr>
          <w:rFonts w:ascii="Stone Sans II ITC Std X Bd"/>
          <w:b/>
          <w:w w:val="110"/>
          <w:sz w:val="50"/>
        </w:rPr>
        <w:t>Mental health</w:t>
      </w:r>
    </w:p>
    <w:p>
      <w:pPr>
        <w:pStyle w:val="BodyText"/>
        <w:spacing w:before="361" w:after="27"/>
        <w:ind w:left="1984"/>
      </w:pPr>
      <w:r>
        <w:rPr>
          <w:w w:val="120"/>
        </w:rPr>
        <w:t>Basic Information</w:t>
      </w:r>
    </w:p>
    <w:tbl>
      <w:tblPr>
        <w:tblW w:w="0" w:type="auto"/>
        <w:jc w:val="left"/>
        <w:tblInd w:w="19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335"/>
      </w:tblGrid>
      <w:tr>
        <w:trPr>
          <w:trHeight w:val="920" w:hRule="atLeast"/>
        </w:trPr>
        <w:tc>
          <w:tcPr>
            <w:tcW w:w="2660" w:type="dxa"/>
            <w:shd w:val="clear" w:color="auto" w:fill="FFFFFF"/>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335" w:type="dxa"/>
            <w:tcBorders>
              <w:right w:val="nil"/>
            </w:tcBorders>
            <w:shd w:val="clear" w:color="auto" w:fill="FFFFFF"/>
          </w:tcPr>
          <w:p>
            <w:pPr>
              <w:pStyle w:val="TableParagraph"/>
              <w:spacing w:line="235" w:lineRule="auto" w:before="145"/>
              <w:ind w:right="2956"/>
              <w:rPr>
                <w:sz w:val="20"/>
              </w:rPr>
            </w:pPr>
            <w:r>
              <w:rPr>
                <w:w w:val="120"/>
                <w:sz w:val="20"/>
              </w:rPr>
              <w:t>Karen Morrison </w:t>
            </w:r>
            <w:hyperlink r:id="rId201">
              <w:r>
                <w:rPr>
                  <w:w w:val="120"/>
                  <w:sz w:val="20"/>
                </w:rPr>
                <w:t>Karen.morrison@urc.org.uk</w:t>
              </w:r>
            </w:hyperlink>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Action required</w:t>
            </w:r>
          </w:p>
        </w:tc>
        <w:tc>
          <w:tcPr>
            <w:tcW w:w="6335" w:type="dxa"/>
            <w:tcBorders>
              <w:right w:val="nil"/>
            </w:tcBorders>
            <w:shd w:val="clear" w:color="auto" w:fill="FFFFFF"/>
          </w:tcPr>
          <w:p>
            <w:pPr>
              <w:pStyle w:val="TableParagraph"/>
              <w:spacing w:before="141"/>
              <w:rPr>
                <w:sz w:val="20"/>
              </w:rPr>
            </w:pPr>
            <w:r>
              <w:rPr>
                <w:w w:val="120"/>
                <w:sz w:val="20"/>
              </w:rPr>
              <w:t>Decision</w:t>
            </w:r>
          </w:p>
        </w:tc>
      </w:tr>
      <w:tr>
        <w:trPr>
          <w:trHeight w:val="428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Draft resolution(s)</w:t>
            </w:r>
          </w:p>
        </w:tc>
        <w:tc>
          <w:tcPr>
            <w:tcW w:w="6335" w:type="dxa"/>
            <w:tcBorders>
              <w:right w:val="nil"/>
            </w:tcBorders>
            <w:shd w:val="clear" w:color="auto" w:fill="FFFFFF"/>
          </w:tcPr>
          <w:p>
            <w:pPr>
              <w:pStyle w:val="TableParagraph"/>
              <w:numPr>
                <w:ilvl w:val="0"/>
                <w:numId w:val="47"/>
              </w:numPr>
              <w:tabs>
                <w:tab w:pos="760" w:val="left" w:leader="none"/>
                <w:tab w:pos="761" w:val="left" w:leader="none"/>
              </w:tabs>
              <w:spacing w:line="213" w:lineRule="auto" w:before="151" w:after="0"/>
              <w:ind w:left="760" w:right="365" w:hanging="681"/>
              <w:jc w:val="left"/>
              <w:rPr>
                <w:rFonts w:ascii="Stone Sans II ITC Std Bk"/>
                <w:b/>
                <w:sz w:val="20"/>
              </w:rPr>
            </w:pPr>
            <w:r>
              <w:rPr>
                <w:rFonts w:ascii="Stone Sans II ITC Std Bk"/>
                <w:b/>
                <w:w w:val="110"/>
                <w:sz w:val="20"/>
              </w:rPr>
              <w:t>General Assembly commits the United Reformed Church to raising awareness of mental ill health issues and challenging the stigma of mental ill health, and asks the education and learning committee to ensure the adequate provision of training for those responsible for pastoral care, including ministers, in appropriate responses to mental health</w:t>
            </w:r>
            <w:r>
              <w:rPr>
                <w:rFonts w:ascii="Stone Sans II ITC Std Bk"/>
                <w:b/>
                <w:spacing w:val="-1"/>
                <w:w w:val="110"/>
                <w:sz w:val="20"/>
              </w:rPr>
              <w:t> </w:t>
            </w:r>
            <w:r>
              <w:rPr>
                <w:rFonts w:ascii="Stone Sans II ITC Std Bk"/>
                <w:b/>
                <w:w w:val="110"/>
                <w:sz w:val="20"/>
              </w:rPr>
              <w:t>issues.</w:t>
            </w:r>
          </w:p>
          <w:p>
            <w:pPr>
              <w:pStyle w:val="TableParagraph"/>
              <w:spacing w:before="2"/>
              <w:ind w:left="0"/>
              <w:rPr>
                <w:sz w:val="19"/>
              </w:rPr>
            </w:pPr>
          </w:p>
          <w:p>
            <w:pPr>
              <w:pStyle w:val="TableParagraph"/>
              <w:numPr>
                <w:ilvl w:val="0"/>
                <w:numId w:val="47"/>
              </w:numPr>
              <w:tabs>
                <w:tab w:pos="760" w:val="left" w:leader="none"/>
                <w:tab w:pos="761" w:val="left" w:leader="none"/>
              </w:tabs>
              <w:spacing w:line="213" w:lineRule="auto" w:before="1" w:after="0"/>
              <w:ind w:left="760" w:right="204" w:hanging="681"/>
              <w:jc w:val="left"/>
              <w:rPr>
                <w:rFonts w:ascii="Stone Sans II ITC Std Bk"/>
                <w:b/>
                <w:sz w:val="20"/>
              </w:rPr>
            </w:pPr>
            <w:r>
              <w:rPr>
                <w:rFonts w:ascii="Stone Sans II ITC Std Bk"/>
                <w:b/>
                <w:w w:val="110"/>
                <w:sz w:val="20"/>
              </w:rPr>
              <w:t>Assembly calls on synods and local churches to follow the lead of the National Synod of Scotland by committing themselves to work towards ending the stigma of mental ill health and to make links with agencies that provide support and training appropriate to their specific contexts and</w:t>
            </w:r>
            <w:r>
              <w:rPr>
                <w:rFonts w:ascii="Stone Sans II ITC Std Bk"/>
                <w:b/>
                <w:spacing w:val="-1"/>
                <w:w w:val="110"/>
                <w:sz w:val="20"/>
              </w:rPr>
              <w:t> </w:t>
            </w:r>
            <w:r>
              <w:rPr>
                <w:rFonts w:ascii="Stone Sans II ITC Std Bk"/>
                <w:b/>
                <w:w w:val="110"/>
                <w:sz w:val="20"/>
              </w:rPr>
              <w:t>localities.</w:t>
            </w:r>
          </w:p>
        </w:tc>
      </w:tr>
    </w:tbl>
    <w:p>
      <w:pPr>
        <w:pStyle w:val="BodyText"/>
        <w:rPr>
          <w:sz w:val="24"/>
        </w:rPr>
      </w:pPr>
    </w:p>
    <w:p>
      <w:pPr>
        <w:pStyle w:val="BodyText"/>
        <w:spacing w:before="156" w:after="27"/>
        <w:ind w:left="1984"/>
      </w:pPr>
      <w:r>
        <w:rPr>
          <w:w w:val="120"/>
        </w:rPr>
        <w:t>Summary of Content</w:t>
      </w:r>
    </w:p>
    <w:tbl>
      <w:tblPr>
        <w:tblW w:w="0" w:type="auto"/>
        <w:jc w:val="left"/>
        <w:tblInd w:w="19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335"/>
      </w:tblGrid>
      <w:tr>
        <w:trPr>
          <w:trHeight w:val="116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Subject and aim(s)</w:t>
            </w:r>
          </w:p>
        </w:tc>
        <w:tc>
          <w:tcPr>
            <w:tcW w:w="6335" w:type="dxa"/>
            <w:tcBorders>
              <w:right w:val="nil"/>
            </w:tcBorders>
            <w:shd w:val="clear" w:color="auto" w:fill="FFFFFF"/>
          </w:tcPr>
          <w:p>
            <w:pPr>
              <w:pStyle w:val="TableParagraph"/>
              <w:spacing w:line="235" w:lineRule="auto" w:before="145"/>
              <w:ind w:right="594"/>
              <w:rPr>
                <w:sz w:val="20"/>
              </w:rPr>
            </w:pPr>
            <w:r>
              <w:rPr>
                <w:w w:val="120"/>
                <w:sz w:val="20"/>
              </w:rPr>
              <w:t>The paper gives an overview of how the committee is currently implementing its strategic development matrix. It contains a resolution from the URC Youth Assembly regarding mental health awareness.</w:t>
            </w:r>
          </w:p>
        </w:tc>
      </w:tr>
      <w:tr>
        <w:trPr>
          <w:trHeight w:val="116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Main points</w:t>
            </w:r>
          </w:p>
        </w:tc>
        <w:tc>
          <w:tcPr>
            <w:tcW w:w="6335" w:type="dxa"/>
            <w:tcBorders>
              <w:right w:val="nil"/>
            </w:tcBorders>
            <w:shd w:val="clear" w:color="auto" w:fill="FFFFFF"/>
          </w:tcPr>
          <w:p>
            <w:pPr>
              <w:pStyle w:val="TableParagraph"/>
              <w:spacing w:line="235" w:lineRule="auto" w:before="145"/>
              <w:ind w:right="594"/>
              <w:rPr>
                <w:sz w:val="20"/>
              </w:rPr>
            </w:pPr>
            <w:r>
              <w:rPr>
                <w:w w:val="120"/>
                <w:sz w:val="20"/>
              </w:rPr>
              <w:t>The strategic matrix is being delivered through the use   of integrated themes, a comprehensive review of existing work and research projects. Work is proposed on church membership and the structure and operations of</w:t>
            </w:r>
            <w:r>
              <w:rPr>
                <w:spacing w:val="19"/>
                <w:w w:val="120"/>
                <w:sz w:val="20"/>
              </w:rPr>
              <w:t> </w:t>
            </w:r>
            <w:r>
              <w:rPr>
                <w:spacing w:val="-3"/>
                <w:w w:val="120"/>
                <w:sz w:val="20"/>
              </w:rPr>
              <w:t>FURY.</w:t>
            </w:r>
          </w:p>
        </w:tc>
      </w:tr>
      <w:tr>
        <w:trPr>
          <w:trHeight w:val="680" w:hRule="atLeast"/>
        </w:trPr>
        <w:tc>
          <w:tcPr>
            <w:tcW w:w="2660" w:type="dxa"/>
            <w:shd w:val="clear" w:color="auto" w:fill="FFFFFF"/>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335" w:type="dxa"/>
            <w:tcBorders>
              <w:right w:val="nil"/>
            </w:tcBorders>
            <w:shd w:val="clear" w:color="auto" w:fill="FFFFFF"/>
          </w:tcPr>
          <w:p>
            <w:pPr>
              <w:pStyle w:val="TableParagraph"/>
              <w:spacing w:before="141"/>
              <w:rPr>
                <w:sz w:val="20"/>
              </w:rPr>
            </w:pPr>
            <w:r>
              <w:rPr>
                <w:w w:val="120"/>
                <w:sz w:val="20"/>
              </w:rPr>
              <w:t>None</w:t>
            </w:r>
          </w:p>
        </w:tc>
      </w:tr>
      <w:tr>
        <w:trPr>
          <w:trHeight w:val="680" w:hRule="atLeast"/>
        </w:trPr>
        <w:tc>
          <w:tcPr>
            <w:tcW w:w="2660" w:type="dxa"/>
            <w:shd w:val="clear" w:color="auto" w:fill="FFFFFF"/>
          </w:tcPr>
          <w:p>
            <w:pPr>
              <w:pStyle w:val="TableParagraph"/>
              <w:spacing w:line="213" w:lineRule="auto" w:before="151"/>
              <w:ind w:right="104"/>
              <w:rPr>
                <w:rFonts w:ascii="Stone Sans II ITC Std Bk"/>
                <w:b/>
                <w:sz w:val="20"/>
              </w:rPr>
            </w:pPr>
            <w:r>
              <w:rPr>
                <w:rFonts w:ascii="Stone Sans II ITC Std Bk"/>
                <w:b/>
                <w:w w:val="110"/>
                <w:sz w:val="20"/>
              </w:rPr>
              <w:t>Consultation has taken place with...</w:t>
            </w:r>
          </w:p>
        </w:tc>
        <w:tc>
          <w:tcPr>
            <w:tcW w:w="6335" w:type="dxa"/>
            <w:tcBorders>
              <w:right w:val="nil"/>
            </w:tcBorders>
            <w:shd w:val="clear" w:color="auto" w:fill="FFFFFF"/>
          </w:tcPr>
          <w:p>
            <w:pPr>
              <w:pStyle w:val="TableParagraph"/>
              <w:spacing w:before="141"/>
              <w:rPr>
                <w:sz w:val="20"/>
              </w:rPr>
            </w:pPr>
            <w:r>
              <w:rPr>
                <w:w w:val="120"/>
                <w:sz w:val="20"/>
              </w:rPr>
              <w:t>Wide consultation within the review.</w:t>
            </w:r>
          </w:p>
        </w:tc>
      </w:tr>
    </w:tbl>
    <w:p>
      <w:pPr>
        <w:pStyle w:val="BodyText"/>
        <w:rPr>
          <w:sz w:val="24"/>
        </w:rPr>
      </w:pPr>
    </w:p>
    <w:p>
      <w:pPr>
        <w:pStyle w:val="BodyText"/>
        <w:spacing w:before="156" w:after="27"/>
        <w:ind w:left="1984"/>
      </w:pPr>
      <w:r>
        <w:rPr>
          <w:w w:val="120"/>
        </w:rPr>
        <w:t>Summary of Impact</w:t>
      </w:r>
    </w:p>
    <w:tbl>
      <w:tblPr>
        <w:tblW w:w="0" w:type="auto"/>
        <w:jc w:val="left"/>
        <w:tblInd w:w="19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335"/>
      </w:tblGrid>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335" w:type="dxa"/>
            <w:tcBorders>
              <w:right w:val="nil"/>
            </w:tcBorders>
            <w:shd w:val="clear" w:color="auto" w:fill="FFFFFF"/>
          </w:tcPr>
          <w:p>
            <w:pPr>
              <w:pStyle w:val="TableParagraph"/>
              <w:spacing w:before="141"/>
              <w:rPr>
                <w:sz w:val="20"/>
              </w:rPr>
            </w:pPr>
            <w:r>
              <w:rPr>
                <w:w w:val="120"/>
                <w:sz w:val="20"/>
              </w:rPr>
              <w:t>Not assessed</w:t>
            </w:r>
          </w:p>
        </w:tc>
      </w:tr>
      <w:tr>
        <w:trPr>
          <w:trHeight w:val="68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335" w:type="dxa"/>
            <w:tcBorders>
              <w:right w:val="nil"/>
            </w:tcBorders>
            <w:shd w:val="clear" w:color="auto" w:fill="FFFFFF"/>
          </w:tcPr>
          <w:p>
            <w:pPr>
              <w:pStyle w:val="TableParagraph"/>
              <w:spacing w:line="235" w:lineRule="auto" w:before="145"/>
              <w:ind w:right="216"/>
              <w:rPr>
                <w:sz w:val="20"/>
              </w:rPr>
            </w:pPr>
            <w:r>
              <w:rPr>
                <w:w w:val="120"/>
                <w:sz w:val="20"/>
              </w:rPr>
              <w:t>Partnership will be appropriate with both Christian and secular agencies in addressing mental health concerns.</w:t>
            </w:r>
          </w:p>
        </w:tc>
      </w:tr>
    </w:tbl>
    <w:p>
      <w:pPr>
        <w:pStyle w:val="BodyText"/>
        <w:spacing w:before="3"/>
        <w:rPr>
          <w:sz w:val="23"/>
        </w:rPr>
      </w:pPr>
    </w:p>
    <w:p>
      <w:pPr>
        <w:pStyle w:val="Heading8"/>
        <w:spacing w:before="0"/>
        <w:ind w:left="4510"/>
        <w:rPr>
          <w:rFonts w:ascii="Stone Sans II ITC Std X Bd" w:hAnsi="Stone Sans II ITC Std X Bd"/>
          <w:b/>
          <w:sz w:val="24"/>
        </w:rPr>
      </w:pP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2014 </w:t>
      </w:r>
      <w:r>
        <w:rPr>
          <w:rFonts w:ascii="Symbol" w:hAnsi="Symbol"/>
          <w:color w:val="7EAABF"/>
          <w:w w:val="110"/>
        </w:rPr>
        <w:t></w:t>
      </w:r>
      <w:r>
        <w:rPr>
          <w:rFonts w:ascii="Times New Roman" w:hAnsi="Times New Roman"/>
          <w:color w:val="7EAABF"/>
          <w:spacing w:val="51"/>
          <w:w w:val="110"/>
        </w:rPr>
        <w:t> </w:t>
      </w:r>
      <w:r>
        <w:rPr>
          <w:rFonts w:ascii="Stone Sans II ITC Std X Bd" w:hAnsi="Stone Sans II ITC Std X Bd"/>
          <w:b/>
          <w:w w:val="110"/>
          <w:sz w:val="24"/>
        </w:rPr>
        <w:t>83</w:t>
      </w:r>
    </w:p>
    <w:p>
      <w:pPr>
        <w:spacing w:after="0"/>
        <w:rPr>
          <w:rFonts w:ascii="Stone Sans II ITC Std X Bd" w:hAnsi="Stone Sans II ITC Std X Bd"/>
          <w:sz w:val="24"/>
        </w:rPr>
        <w:sectPr>
          <w:headerReference w:type="default" r:id="rId199"/>
          <w:footerReference w:type="default" r:id="rId200"/>
          <w:pgSz w:w="11910" w:h="16840"/>
          <w:pgMar w:header="0" w:footer="0" w:top="0" w:bottom="0" w:left="0" w:right="0"/>
        </w:sectPr>
      </w:pPr>
    </w:p>
    <w:p>
      <w:pPr>
        <w:pStyle w:val="BodyText"/>
        <w:rPr>
          <w:rFonts w:ascii="Stone Sans II ITC Std X Bd"/>
          <w:b/>
        </w:rPr>
      </w:pPr>
      <w:r>
        <w:rPr/>
        <w:drawing>
          <wp:anchor distT="0" distB="0" distL="0" distR="0" allowOverlap="1" layoutInCell="1" locked="0" behindDoc="0" simplePos="0" relativeHeight="251895808">
            <wp:simplePos x="0" y="0"/>
            <wp:positionH relativeFrom="page">
              <wp:posOffset>0</wp:posOffset>
            </wp:positionH>
            <wp:positionV relativeFrom="page">
              <wp:posOffset>0</wp:posOffset>
            </wp:positionV>
            <wp:extent cx="594067" cy="10692003"/>
            <wp:effectExtent l="0" t="0" r="0" b="0"/>
            <wp:wrapNone/>
            <wp:docPr id="155" name="image28.png"/>
            <wp:cNvGraphicFramePr>
              <a:graphicFrameLocks noChangeAspect="1"/>
            </wp:cNvGraphicFramePr>
            <a:graphic>
              <a:graphicData uri="http://schemas.openxmlformats.org/drawingml/2006/picture">
                <pic:pic>
                  <pic:nvPicPr>
                    <pic:cNvPr id="156" name="image28.png"/>
                    <pic:cNvPicPr/>
                  </pic:nvPicPr>
                  <pic:blipFill>
                    <a:blip r:embed="rId198" cstate="print"/>
                    <a:stretch>
                      <a:fillRect/>
                    </a:stretch>
                  </pic:blipFill>
                  <pic:spPr>
                    <a:xfrm>
                      <a:off x="0" y="0"/>
                      <a:ext cx="594067" cy="10692003"/>
                    </a:xfrm>
                    <a:prstGeom prst="rect">
                      <a:avLst/>
                    </a:prstGeom>
                  </pic:spPr>
                </pic:pic>
              </a:graphicData>
            </a:graphic>
          </wp:anchor>
        </w:drawing>
      </w:r>
    </w:p>
    <w:p>
      <w:pPr>
        <w:pStyle w:val="BodyText"/>
        <w:spacing w:before="7"/>
        <w:rPr>
          <w:rFonts w:ascii="Stone Sans II ITC Std X Bd"/>
          <w:b/>
          <w:sz w:val="17"/>
        </w:rPr>
      </w:pPr>
    </w:p>
    <w:p>
      <w:pPr>
        <w:pStyle w:val="Heading5"/>
        <w:spacing w:before="107"/>
      </w:pPr>
      <w:r>
        <w:rPr/>
        <w:pict>
          <v:shape style="position:absolute;margin-left:20.519100pt;margin-top:22.643946pt;width:25.9pt;height:267.8pt;mso-position-horizontal-relative:page;mso-position-vertical-relative:paragraph;z-index:251896832" type="#_x0000_t202" filled="false" stroked="false">
            <v:textbox inset="0,0,0,0" style="layout-flow:vertical">
              <w:txbxContent>
                <w:p>
                  <w:pPr>
                    <w:spacing w:before="27"/>
                    <w:ind w:left="20" w:right="0" w:firstLine="0"/>
                    <w:jc w:val="left"/>
                    <w:rPr>
                      <w:sz w:val="39"/>
                    </w:rPr>
                  </w:pPr>
                  <w:r>
                    <w:rPr>
                      <w:color w:val="FFFFFF"/>
                      <w:spacing w:val="3"/>
                      <w:w w:val="120"/>
                      <w:sz w:val="39"/>
                    </w:rPr>
                    <w:t>Children’s </w:t>
                  </w:r>
                  <w:r>
                    <w:rPr>
                      <w:color w:val="FFFFFF"/>
                      <w:spacing w:val="7"/>
                      <w:w w:val="120"/>
                      <w:sz w:val="39"/>
                    </w:rPr>
                    <w:t>and </w:t>
                  </w:r>
                  <w:r>
                    <w:rPr>
                      <w:color w:val="FFFFFF"/>
                      <w:spacing w:val="8"/>
                      <w:w w:val="120"/>
                      <w:sz w:val="39"/>
                    </w:rPr>
                    <w:t>youth</w:t>
                  </w:r>
                  <w:r>
                    <w:rPr>
                      <w:color w:val="FFFFFF"/>
                      <w:spacing w:val="-43"/>
                      <w:w w:val="120"/>
                      <w:sz w:val="39"/>
                    </w:rPr>
                    <w:t> </w:t>
                  </w:r>
                  <w:r>
                    <w:rPr>
                      <w:color w:val="FFFFFF"/>
                      <w:spacing w:val="7"/>
                      <w:w w:val="120"/>
                      <w:sz w:val="39"/>
                    </w:rPr>
                    <w:t>work</w:t>
                  </w:r>
                </w:p>
              </w:txbxContent>
            </v:textbox>
            <w10:wrap type="none"/>
          </v:shape>
        </w:pict>
      </w:r>
      <w:bookmarkStart w:name="_TOC_250010" w:id="17"/>
      <w:bookmarkEnd w:id="17"/>
      <w:r>
        <w:rPr>
          <w:color w:val="7EAABF"/>
          <w:w w:val="115"/>
        </w:rPr>
        <w:t>Children’s and youth work</w:t>
      </w:r>
    </w:p>
    <w:p>
      <w:pPr>
        <w:pStyle w:val="BodyText"/>
        <w:spacing w:before="8"/>
        <w:rPr>
          <w:sz w:val="24"/>
        </w:rPr>
      </w:pPr>
    </w:p>
    <w:p>
      <w:pPr>
        <w:spacing w:line="213" w:lineRule="auto" w:before="0"/>
        <w:ind w:left="1247" w:right="2004" w:firstLine="0"/>
        <w:jc w:val="left"/>
        <w:rPr>
          <w:rFonts w:ascii="Stone Sans II ITC Std X Bd" w:hAnsi="Stone Sans II ITC Std X Bd"/>
          <w:b/>
          <w:sz w:val="50"/>
        </w:rPr>
      </w:pPr>
      <w:r>
        <w:rPr>
          <w:rFonts w:ascii="Stone Sans II ITC Std X Bd" w:hAnsi="Stone Sans II ITC Std X Bd"/>
          <w:b/>
          <w:spacing w:val="-9"/>
          <w:w w:val="110"/>
          <w:sz w:val="50"/>
        </w:rPr>
        <w:t>Children’s </w:t>
      </w:r>
      <w:r>
        <w:rPr>
          <w:rFonts w:ascii="Stone Sans II ITC Std X Bd" w:hAnsi="Stone Sans II ITC Std X Bd"/>
          <w:b/>
          <w:spacing w:val="-4"/>
          <w:w w:val="110"/>
          <w:sz w:val="50"/>
        </w:rPr>
        <w:t>and </w:t>
      </w:r>
      <w:r>
        <w:rPr>
          <w:rFonts w:ascii="Stone Sans II ITC Std X Bd" w:hAnsi="Stone Sans II ITC Std X Bd"/>
          <w:b/>
          <w:spacing w:val="-6"/>
          <w:w w:val="110"/>
          <w:sz w:val="50"/>
        </w:rPr>
        <w:t>youth work </w:t>
      </w:r>
      <w:r>
        <w:rPr>
          <w:rFonts w:ascii="Stone Sans II ITC Std X Bd" w:hAnsi="Stone Sans II ITC Std X Bd"/>
          <w:b/>
          <w:spacing w:val="-5"/>
          <w:w w:val="110"/>
          <w:sz w:val="50"/>
        </w:rPr>
        <w:t>committee </w:t>
      </w:r>
      <w:r>
        <w:rPr>
          <w:rFonts w:ascii="Stone Sans II ITC Std X Bd" w:hAnsi="Stone Sans II ITC Std X Bd"/>
          <w:b/>
          <w:w w:val="110"/>
          <w:sz w:val="50"/>
        </w:rPr>
        <w:t>– </w:t>
      </w:r>
      <w:r>
        <w:rPr>
          <w:rFonts w:ascii="Stone Sans II ITC Std X Bd" w:hAnsi="Stone Sans II ITC Std X Bd"/>
          <w:b/>
          <w:spacing w:val="-4"/>
          <w:w w:val="110"/>
          <w:sz w:val="50"/>
        </w:rPr>
        <w:t>the</w:t>
      </w:r>
      <w:r>
        <w:rPr>
          <w:rFonts w:ascii="Stone Sans II ITC Std X Bd" w:hAnsi="Stone Sans II ITC Std X Bd"/>
          <w:b/>
          <w:spacing w:val="51"/>
          <w:w w:val="110"/>
          <w:sz w:val="50"/>
        </w:rPr>
        <w:t> </w:t>
      </w:r>
      <w:r>
        <w:rPr>
          <w:rFonts w:ascii="Stone Sans II ITC Std X Bd" w:hAnsi="Stone Sans II ITC Std X Bd"/>
          <w:b/>
          <w:spacing w:val="-5"/>
          <w:w w:val="110"/>
          <w:sz w:val="50"/>
        </w:rPr>
        <w:t>future</w:t>
      </w:r>
    </w:p>
    <w:p>
      <w:pPr>
        <w:pStyle w:val="ListParagraph"/>
        <w:numPr>
          <w:ilvl w:val="0"/>
          <w:numId w:val="48"/>
        </w:numPr>
        <w:tabs>
          <w:tab w:pos="1927" w:val="left" w:leader="none"/>
          <w:tab w:pos="1928" w:val="left" w:leader="none"/>
        </w:tabs>
        <w:spacing w:line="240" w:lineRule="auto" w:before="354" w:after="0"/>
        <w:ind w:left="1927" w:right="0" w:hanging="681"/>
        <w:jc w:val="left"/>
        <w:rPr>
          <w:rFonts w:ascii="Stone Sans II ITC Std Bk"/>
          <w:b/>
          <w:sz w:val="29"/>
        </w:rPr>
      </w:pPr>
      <w:r>
        <w:rPr>
          <w:rFonts w:ascii="Stone Sans II ITC Std Bk"/>
          <w:b/>
          <w:spacing w:val="5"/>
          <w:w w:val="110"/>
          <w:sz w:val="29"/>
        </w:rPr>
        <w:t>Overview</w:t>
      </w:r>
    </w:p>
    <w:p>
      <w:pPr>
        <w:pStyle w:val="BodyText"/>
        <w:spacing w:line="235" w:lineRule="auto" w:before="69"/>
        <w:ind w:left="1247" w:right="1982"/>
      </w:pPr>
      <w:r>
        <w:rPr>
          <w:w w:val="120"/>
        </w:rPr>
        <w:t>The development of </w:t>
      </w:r>
      <w:r>
        <w:rPr>
          <w:spacing w:val="-3"/>
          <w:w w:val="120"/>
        </w:rPr>
        <w:t>children’s </w:t>
      </w:r>
      <w:r>
        <w:rPr>
          <w:w w:val="120"/>
        </w:rPr>
        <w:t>and youth work for the five years </w:t>
      </w:r>
      <w:r>
        <w:rPr>
          <w:spacing w:val="-8"/>
          <w:w w:val="120"/>
        </w:rPr>
        <w:t>2013 </w:t>
      </w:r>
      <w:r>
        <w:rPr>
          <w:w w:val="120"/>
        </w:rPr>
        <w:t>to </w:t>
      </w:r>
      <w:r>
        <w:rPr>
          <w:spacing w:val="-6"/>
          <w:w w:val="120"/>
        </w:rPr>
        <w:t>2018 </w:t>
      </w:r>
      <w:r>
        <w:rPr>
          <w:w w:val="120"/>
        </w:rPr>
        <w:t>is referenced to a strategy which identifies the key priorities for each age group </w:t>
      </w:r>
      <w:r>
        <w:rPr>
          <w:spacing w:val="-3"/>
          <w:w w:val="120"/>
        </w:rPr>
        <w:t>(aged    </w:t>
      </w:r>
      <w:r>
        <w:rPr>
          <w:w w:val="120"/>
        </w:rPr>
        <w:t>four and under, ages five to </w:t>
      </w:r>
      <w:r>
        <w:rPr>
          <w:spacing w:val="-5"/>
          <w:w w:val="120"/>
        </w:rPr>
        <w:t>10, </w:t>
      </w:r>
      <w:r>
        <w:rPr>
          <w:w w:val="120"/>
        </w:rPr>
        <w:t>ages </w:t>
      </w:r>
      <w:r>
        <w:rPr>
          <w:spacing w:val="-12"/>
          <w:w w:val="120"/>
        </w:rPr>
        <w:t>11 </w:t>
      </w:r>
      <w:r>
        <w:rPr>
          <w:w w:val="120"/>
        </w:rPr>
        <w:t>to </w:t>
      </w:r>
      <w:r>
        <w:rPr>
          <w:spacing w:val="-6"/>
          <w:w w:val="120"/>
        </w:rPr>
        <w:t>16, </w:t>
      </w:r>
      <w:r>
        <w:rPr>
          <w:w w:val="120"/>
        </w:rPr>
        <w:t>ages </w:t>
      </w:r>
      <w:r>
        <w:rPr>
          <w:spacing w:val="-12"/>
          <w:w w:val="120"/>
        </w:rPr>
        <w:t>17 </w:t>
      </w:r>
      <w:r>
        <w:rPr>
          <w:w w:val="120"/>
        </w:rPr>
        <w:t>to </w:t>
      </w:r>
      <w:r>
        <w:rPr>
          <w:spacing w:val="-4"/>
          <w:w w:val="120"/>
        </w:rPr>
        <w:t>21 </w:t>
      </w:r>
      <w:r>
        <w:rPr>
          <w:w w:val="120"/>
        </w:rPr>
        <w:t>and ages 22 to 25) with regard to needs, support, information and resourcing of programme events, and allocates responsibility in each area. </w:t>
      </w:r>
      <w:r>
        <w:rPr>
          <w:spacing w:val="3"/>
          <w:w w:val="120"/>
        </w:rPr>
        <w:t>As </w:t>
      </w:r>
      <w:r>
        <w:rPr>
          <w:w w:val="120"/>
        </w:rPr>
        <w:t>our primary tool for strategy development this ‘matrix’</w:t>
      </w:r>
      <w:r>
        <w:rPr>
          <w:spacing w:val="8"/>
          <w:w w:val="120"/>
        </w:rPr>
        <w:t> </w:t>
      </w:r>
      <w:r>
        <w:rPr>
          <w:w w:val="120"/>
        </w:rPr>
        <w:t>guides</w:t>
      </w:r>
      <w:r>
        <w:rPr>
          <w:spacing w:val="8"/>
          <w:w w:val="120"/>
        </w:rPr>
        <w:t> </w:t>
      </w:r>
      <w:r>
        <w:rPr>
          <w:w w:val="120"/>
        </w:rPr>
        <w:t>our</w:t>
      </w:r>
      <w:r>
        <w:rPr>
          <w:spacing w:val="9"/>
          <w:w w:val="120"/>
        </w:rPr>
        <w:t> </w:t>
      </w:r>
      <w:r>
        <w:rPr>
          <w:w w:val="120"/>
        </w:rPr>
        <w:t>discussions</w:t>
      </w:r>
      <w:r>
        <w:rPr>
          <w:spacing w:val="8"/>
          <w:w w:val="120"/>
        </w:rPr>
        <w:t> </w:t>
      </w:r>
      <w:r>
        <w:rPr>
          <w:w w:val="120"/>
        </w:rPr>
        <w:t>and</w:t>
      </w:r>
      <w:r>
        <w:rPr>
          <w:spacing w:val="8"/>
          <w:w w:val="120"/>
        </w:rPr>
        <w:t> </w:t>
      </w:r>
      <w:r>
        <w:rPr>
          <w:w w:val="120"/>
        </w:rPr>
        <w:t>enables</w:t>
      </w:r>
      <w:r>
        <w:rPr>
          <w:spacing w:val="9"/>
          <w:w w:val="120"/>
        </w:rPr>
        <w:t> </w:t>
      </w:r>
      <w:r>
        <w:rPr>
          <w:w w:val="120"/>
        </w:rPr>
        <w:t>us</w:t>
      </w:r>
      <w:r>
        <w:rPr>
          <w:spacing w:val="8"/>
          <w:w w:val="120"/>
        </w:rPr>
        <w:t> </w:t>
      </w:r>
      <w:r>
        <w:rPr>
          <w:w w:val="120"/>
        </w:rPr>
        <w:t>to</w:t>
      </w:r>
      <w:r>
        <w:rPr>
          <w:spacing w:val="8"/>
          <w:w w:val="120"/>
        </w:rPr>
        <w:t> </w:t>
      </w:r>
      <w:r>
        <w:rPr>
          <w:w w:val="120"/>
        </w:rPr>
        <w:t>bring</w:t>
      </w:r>
      <w:r>
        <w:rPr>
          <w:spacing w:val="9"/>
          <w:w w:val="120"/>
        </w:rPr>
        <w:t> </w:t>
      </w:r>
      <w:r>
        <w:rPr>
          <w:w w:val="120"/>
        </w:rPr>
        <w:t>consistency</w:t>
      </w:r>
      <w:r>
        <w:rPr>
          <w:spacing w:val="8"/>
          <w:w w:val="120"/>
        </w:rPr>
        <w:t> </w:t>
      </w:r>
      <w:r>
        <w:rPr>
          <w:w w:val="120"/>
        </w:rPr>
        <w:t>to</w:t>
      </w:r>
      <w:r>
        <w:rPr>
          <w:spacing w:val="8"/>
          <w:w w:val="120"/>
        </w:rPr>
        <w:t> </w:t>
      </w:r>
      <w:r>
        <w:rPr>
          <w:w w:val="120"/>
        </w:rPr>
        <w:t>forward</w:t>
      </w:r>
      <w:r>
        <w:rPr>
          <w:spacing w:val="9"/>
          <w:w w:val="120"/>
        </w:rPr>
        <w:t> </w:t>
      </w:r>
      <w:r>
        <w:rPr>
          <w:w w:val="120"/>
        </w:rPr>
        <w:t>planning.</w:t>
      </w:r>
    </w:p>
    <w:p>
      <w:pPr>
        <w:pStyle w:val="BodyText"/>
        <w:spacing w:before="9"/>
        <w:rPr>
          <w:sz w:val="17"/>
        </w:rPr>
      </w:pPr>
    </w:p>
    <w:p>
      <w:pPr>
        <w:pStyle w:val="ListParagraph"/>
        <w:numPr>
          <w:ilvl w:val="0"/>
          <w:numId w:val="48"/>
        </w:numPr>
        <w:tabs>
          <w:tab w:pos="1927" w:val="left" w:leader="none"/>
          <w:tab w:pos="1928" w:val="left" w:leader="none"/>
        </w:tabs>
        <w:spacing w:line="240" w:lineRule="auto" w:before="0" w:after="0"/>
        <w:ind w:left="1927" w:right="0" w:hanging="681"/>
        <w:jc w:val="left"/>
        <w:rPr>
          <w:rFonts w:ascii="Stone Sans II ITC Std Bk"/>
          <w:b/>
          <w:sz w:val="29"/>
        </w:rPr>
      </w:pPr>
      <w:r>
        <w:rPr>
          <w:rFonts w:ascii="Stone Sans II ITC Std Bk"/>
          <w:b/>
          <w:spacing w:val="3"/>
          <w:w w:val="110"/>
          <w:sz w:val="29"/>
        </w:rPr>
        <w:t>Delivering </w:t>
      </w:r>
      <w:r>
        <w:rPr>
          <w:rFonts w:ascii="Stone Sans II ITC Std Bk"/>
          <w:b/>
          <w:spacing w:val="2"/>
          <w:w w:val="110"/>
          <w:sz w:val="29"/>
        </w:rPr>
        <w:t>the</w:t>
      </w:r>
      <w:r>
        <w:rPr>
          <w:rFonts w:ascii="Stone Sans II ITC Std Bk"/>
          <w:b/>
          <w:spacing w:val="22"/>
          <w:w w:val="110"/>
          <w:sz w:val="29"/>
        </w:rPr>
        <w:t> </w:t>
      </w:r>
      <w:r>
        <w:rPr>
          <w:rFonts w:ascii="Stone Sans II ITC Std Bk"/>
          <w:b/>
          <w:spacing w:val="3"/>
          <w:w w:val="110"/>
          <w:sz w:val="29"/>
        </w:rPr>
        <w:t>matrix</w:t>
      </w:r>
    </w:p>
    <w:p>
      <w:pPr>
        <w:pStyle w:val="Heading9"/>
        <w:numPr>
          <w:ilvl w:val="1"/>
          <w:numId w:val="48"/>
        </w:numPr>
        <w:tabs>
          <w:tab w:pos="1927" w:val="left" w:leader="none"/>
          <w:tab w:pos="1928" w:val="left" w:leader="none"/>
        </w:tabs>
        <w:spacing w:line="261" w:lineRule="exact" w:before="53" w:after="0"/>
        <w:ind w:left="1927" w:right="0" w:hanging="681"/>
        <w:jc w:val="left"/>
      </w:pPr>
      <w:r>
        <w:rPr>
          <w:w w:val="110"/>
        </w:rPr>
        <w:t>Integrated</w:t>
      </w:r>
      <w:r>
        <w:rPr>
          <w:spacing w:val="-1"/>
          <w:w w:val="110"/>
        </w:rPr>
        <w:t> </w:t>
      </w:r>
      <w:r>
        <w:rPr>
          <w:w w:val="110"/>
        </w:rPr>
        <w:t>theme</w:t>
      </w:r>
    </w:p>
    <w:p>
      <w:pPr>
        <w:pStyle w:val="BodyText"/>
        <w:spacing w:line="235" w:lineRule="auto"/>
        <w:ind w:left="1247" w:right="2060"/>
      </w:pPr>
      <w:r>
        <w:rPr>
          <w:w w:val="120"/>
        </w:rPr>
        <w:t>We have adopted an integrated theme approach for future work. This </w:t>
      </w:r>
      <w:r>
        <w:rPr>
          <w:spacing w:val="-4"/>
          <w:w w:val="120"/>
        </w:rPr>
        <w:t>year, </w:t>
      </w:r>
      <w:r>
        <w:rPr>
          <w:w w:val="120"/>
        </w:rPr>
        <w:t>the theme  of Lost and Found was used for </w:t>
      </w:r>
      <w:r>
        <w:rPr>
          <w:spacing w:val="-3"/>
          <w:w w:val="120"/>
        </w:rPr>
        <w:t>Youth </w:t>
      </w:r>
      <w:r>
        <w:rPr>
          <w:w w:val="120"/>
        </w:rPr>
        <w:t>Assembly, the Pilots worship material, the Pilots Voyagers and Navigators event and the synod youth representatives gathering, and will be used for other events. This initiative will be moved forward by means of a five-to-six- year programme of themes which, where possible, will link together. A first step will be to fix a theme for the </w:t>
      </w:r>
      <w:r>
        <w:rPr>
          <w:spacing w:val="-7"/>
          <w:w w:val="120"/>
        </w:rPr>
        <w:t>2015 </w:t>
      </w:r>
      <w:r>
        <w:rPr>
          <w:spacing w:val="-3"/>
          <w:w w:val="120"/>
        </w:rPr>
        <w:t>Youth </w:t>
      </w:r>
      <w:r>
        <w:rPr>
          <w:w w:val="120"/>
        </w:rPr>
        <w:t>Assembly so that a keynote speaker can be</w:t>
      </w:r>
      <w:r>
        <w:rPr>
          <w:spacing w:val="23"/>
          <w:w w:val="120"/>
        </w:rPr>
        <w:t> </w:t>
      </w:r>
      <w:r>
        <w:rPr>
          <w:w w:val="120"/>
        </w:rPr>
        <w:t>secured.</w:t>
      </w:r>
    </w:p>
    <w:p>
      <w:pPr>
        <w:pStyle w:val="BodyText"/>
        <w:spacing w:line="235" w:lineRule="auto"/>
        <w:ind w:left="1247" w:right="2004"/>
      </w:pPr>
      <w:r>
        <w:rPr>
          <w:w w:val="120"/>
        </w:rPr>
        <w:t>The FURY advisory board and Pilots management committee will consider possibilities and there will be consultation with local churches with regard to future themes. It is our hope that the wider Church will choose to follow this approach. This will help to deliver our planned objectives of equipping children’s and youth workers (both employed and voluntary) and developing a greater sense of belonging to the wider Church.</w:t>
      </w:r>
    </w:p>
    <w:p>
      <w:pPr>
        <w:pStyle w:val="BodyText"/>
        <w:spacing w:before="7"/>
        <w:rPr>
          <w:sz w:val="18"/>
        </w:rPr>
      </w:pPr>
    </w:p>
    <w:p>
      <w:pPr>
        <w:pStyle w:val="Heading9"/>
        <w:numPr>
          <w:ilvl w:val="1"/>
          <w:numId w:val="48"/>
        </w:numPr>
        <w:tabs>
          <w:tab w:pos="1927" w:val="left" w:leader="none"/>
          <w:tab w:pos="1928" w:val="left" w:leader="none"/>
        </w:tabs>
        <w:spacing w:line="261" w:lineRule="exact" w:before="0" w:after="0"/>
        <w:ind w:left="1927" w:right="0" w:hanging="681"/>
        <w:jc w:val="left"/>
      </w:pPr>
      <w:r>
        <w:rPr>
          <w:w w:val="110"/>
        </w:rPr>
        <w:t>Review of children’s and youth</w:t>
      </w:r>
      <w:r>
        <w:rPr>
          <w:spacing w:val="-3"/>
          <w:w w:val="110"/>
        </w:rPr>
        <w:t> </w:t>
      </w:r>
      <w:r>
        <w:rPr>
          <w:w w:val="110"/>
        </w:rPr>
        <w:t>work</w:t>
      </w:r>
    </w:p>
    <w:p>
      <w:pPr>
        <w:pStyle w:val="BodyText"/>
        <w:spacing w:line="235" w:lineRule="auto"/>
        <w:ind w:left="1247" w:right="1992"/>
      </w:pPr>
      <w:r>
        <w:rPr>
          <w:w w:val="120"/>
        </w:rPr>
        <w:t>The work undertaken on behalf of the committee is currently being reviewed in order   to inform our future planning more effectively. The review process focuses on gathering primary data from a sample of local churches in each synod. Individual churches are contacted by members of the committee. Initial contact by email, which includes a brief explanation of the process, is followed up by a pre-arranged telephone call using a set  of starter questions to ensure consistency. Having discussed ways to move the review forward, the review group realised that the process needed to be less a review of existing work as a set of isolated projects than a consultation about how an integrated theme</w:t>
      </w:r>
      <w:r>
        <w:rPr>
          <w:spacing w:val="6"/>
          <w:w w:val="120"/>
        </w:rPr>
        <w:t> </w:t>
      </w:r>
      <w:r>
        <w:rPr>
          <w:w w:val="120"/>
        </w:rPr>
        <w:t>approach</w:t>
      </w:r>
      <w:r>
        <w:rPr>
          <w:spacing w:val="6"/>
          <w:w w:val="120"/>
        </w:rPr>
        <w:t> </w:t>
      </w:r>
      <w:r>
        <w:rPr>
          <w:w w:val="120"/>
        </w:rPr>
        <w:t>would</w:t>
      </w:r>
      <w:r>
        <w:rPr>
          <w:spacing w:val="6"/>
          <w:w w:val="120"/>
        </w:rPr>
        <w:t> </w:t>
      </w:r>
      <w:r>
        <w:rPr>
          <w:w w:val="120"/>
        </w:rPr>
        <w:t>support</w:t>
      </w:r>
      <w:r>
        <w:rPr>
          <w:spacing w:val="7"/>
          <w:w w:val="120"/>
        </w:rPr>
        <w:t> </w:t>
      </w:r>
      <w:r>
        <w:rPr>
          <w:w w:val="120"/>
        </w:rPr>
        <w:t>existing</w:t>
      </w:r>
      <w:r>
        <w:rPr>
          <w:spacing w:val="6"/>
          <w:w w:val="120"/>
        </w:rPr>
        <w:t> </w:t>
      </w:r>
      <w:r>
        <w:rPr>
          <w:w w:val="120"/>
        </w:rPr>
        <w:t>work</w:t>
      </w:r>
      <w:r>
        <w:rPr>
          <w:spacing w:val="6"/>
          <w:w w:val="120"/>
        </w:rPr>
        <w:t> </w:t>
      </w:r>
      <w:r>
        <w:rPr>
          <w:w w:val="120"/>
        </w:rPr>
        <w:t>at</w:t>
      </w:r>
      <w:r>
        <w:rPr>
          <w:spacing w:val="7"/>
          <w:w w:val="120"/>
        </w:rPr>
        <w:t> </w:t>
      </w:r>
      <w:r>
        <w:rPr>
          <w:w w:val="120"/>
        </w:rPr>
        <w:t>local,</w:t>
      </w:r>
      <w:r>
        <w:rPr>
          <w:spacing w:val="6"/>
          <w:w w:val="120"/>
        </w:rPr>
        <w:t> </w:t>
      </w:r>
      <w:r>
        <w:rPr>
          <w:w w:val="120"/>
        </w:rPr>
        <w:t>synod</w:t>
      </w:r>
      <w:r>
        <w:rPr>
          <w:spacing w:val="6"/>
          <w:w w:val="120"/>
        </w:rPr>
        <w:t> </w:t>
      </w:r>
      <w:r>
        <w:rPr>
          <w:w w:val="120"/>
        </w:rPr>
        <w:t>and</w:t>
      </w:r>
      <w:r>
        <w:rPr>
          <w:spacing w:val="7"/>
          <w:w w:val="120"/>
        </w:rPr>
        <w:t> </w:t>
      </w:r>
      <w:r>
        <w:rPr>
          <w:w w:val="120"/>
        </w:rPr>
        <w:t>Assembly</w:t>
      </w:r>
      <w:r>
        <w:rPr>
          <w:spacing w:val="6"/>
          <w:w w:val="120"/>
        </w:rPr>
        <w:t> </w:t>
      </w:r>
      <w:r>
        <w:rPr>
          <w:w w:val="120"/>
        </w:rPr>
        <w:t>levels.</w:t>
      </w:r>
    </w:p>
    <w:p>
      <w:pPr>
        <w:pStyle w:val="BodyText"/>
        <w:spacing w:line="235" w:lineRule="auto" w:before="1"/>
        <w:ind w:left="1247" w:right="2203"/>
      </w:pPr>
      <w:r>
        <w:rPr>
          <w:w w:val="120"/>
        </w:rPr>
        <w:t>The questions used, therefore, include an opportunity for the local church to share good news stories of </w:t>
      </w:r>
      <w:r>
        <w:rPr>
          <w:spacing w:val="-3"/>
          <w:w w:val="120"/>
        </w:rPr>
        <w:t>children’s </w:t>
      </w:r>
      <w:r>
        <w:rPr>
          <w:w w:val="120"/>
        </w:rPr>
        <w:t>and youth work as well as prompting a response to the integrated theme approach that we have adopted. This method ensures that we are in conversation with local churches about their hopes and needs for children and young people. Responses have been positive, with those undertaking the primary research reporting that local churches were encouraged that an interest was being taken in  their voice and needs. Contributions will also be enabled through social media and    the </w:t>
      </w:r>
      <w:r>
        <w:rPr>
          <w:spacing w:val="-3"/>
          <w:w w:val="120"/>
        </w:rPr>
        <w:t>children’s </w:t>
      </w:r>
      <w:r>
        <w:rPr>
          <w:w w:val="120"/>
        </w:rPr>
        <w:t>and youth work webpage. This review will help us deliver our planned objective of recognising the needs of children and young</w:t>
      </w:r>
      <w:r>
        <w:rPr>
          <w:spacing w:val="40"/>
          <w:w w:val="120"/>
        </w:rPr>
        <w:t> </w:t>
      </w:r>
      <w:r>
        <w:rPr>
          <w:w w:val="120"/>
        </w:rPr>
        <w:t>people.</w:t>
      </w:r>
    </w:p>
    <w:p>
      <w:pPr>
        <w:pStyle w:val="BodyText"/>
        <w:spacing w:before="11"/>
        <w:rPr>
          <w:sz w:val="18"/>
        </w:rPr>
      </w:pPr>
    </w:p>
    <w:p>
      <w:pPr>
        <w:pStyle w:val="Heading9"/>
        <w:numPr>
          <w:ilvl w:val="1"/>
          <w:numId w:val="48"/>
        </w:numPr>
        <w:tabs>
          <w:tab w:pos="1927" w:val="left" w:leader="none"/>
          <w:tab w:pos="1928" w:val="left" w:leader="none"/>
        </w:tabs>
        <w:spacing w:line="261" w:lineRule="exact" w:before="0" w:after="0"/>
        <w:ind w:left="1927" w:right="0" w:hanging="681"/>
        <w:jc w:val="left"/>
      </w:pPr>
      <w:r>
        <w:rPr>
          <w:w w:val="110"/>
        </w:rPr>
        <w:t>Children’s and youth development officer (CYDO)</w:t>
      </w:r>
      <w:r>
        <w:rPr>
          <w:spacing w:val="-4"/>
          <w:w w:val="110"/>
        </w:rPr>
        <w:t> </w:t>
      </w:r>
      <w:r>
        <w:rPr>
          <w:w w:val="110"/>
        </w:rPr>
        <w:t>research</w:t>
      </w:r>
    </w:p>
    <w:p>
      <w:pPr>
        <w:pStyle w:val="BodyText"/>
        <w:spacing w:line="235" w:lineRule="auto"/>
        <w:ind w:left="1247" w:right="2004"/>
      </w:pPr>
      <w:r>
        <w:rPr>
          <w:w w:val="120"/>
        </w:rPr>
        <w:t>Each of our CYDOs is working on specific research papers in support of some of the key priorities from the matrix; their findings are presented and considered at our committee meetings where they inform our thinking in relation to a range of planned objectives.</w:t>
      </w:r>
    </w:p>
    <w:p>
      <w:pPr>
        <w:pStyle w:val="BodyText"/>
        <w:spacing w:line="235" w:lineRule="auto"/>
        <w:ind w:left="1247" w:right="2004"/>
      </w:pPr>
      <w:r>
        <w:rPr>
          <w:w w:val="120"/>
        </w:rPr>
        <w:t>The areas of research being considered over a period of time are: Faith development (in each age group identified on the matrix), play, discipline and boundaries, relationship- building, children in poverty, the needs of 17 to 25-year-old young people, children’s participation, youth participation, Christian faith in uniformed organisations, media usage as a tool, social media as a tool, engagement in community life, outreach</w:t>
      </w:r>
    </w:p>
    <w:p>
      <w:pPr>
        <w:spacing w:after="0" w:line="235" w:lineRule="auto"/>
        <w:sectPr>
          <w:headerReference w:type="even" r:id="rId202"/>
          <w:footerReference w:type="even" r:id="rId203"/>
          <w:footerReference w:type="default" r:id="rId204"/>
          <w:pgSz w:w="11910" w:h="16840"/>
          <w:pgMar w:header="0" w:footer="647" w:top="0" w:bottom="840" w:left="0" w:right="0"/>
          <w:pgNumType w:start="84"/>
        </w:sectPr>
      </w:pPr>
    </w:p>
    <w:p>
      <w:pPr>
        <w:pStyle w:val="BodyText"/>
      </w:pPr>
      <w:r>
        <w:rPr/>
        <w:drawing>
          <wp:anchor distT="0" distB="0" distL="0" distR="0" allowOverlap="1" layoutInCell="1" locked="0" behindDoc="0" simplePos="0" relativeHeight="251897856">
            <wp:simplePos x="0" y="0"/>
            <wp:positionH relativeFrom="page">
              <wp:posOffset>6974928</wp:posOffset>
            </wp:positionH>
            <wp:positionV relativeFrom="page">
              <wp:posOffset>0</wp:posOffset>
            </wp:positionV>
            <wp:extent cx="585063" cy="10692003"/>
            <wp:effectExtent l="0" t="0" r="0" b="0"/>
            <wp:wrapNone/>
            <wp:docPr id="157" name="image25.png"/>
            <wp:cNvGraphicFramePr>
              <a:graphicFrameLocks noChangeAspect="1"/>
            </wp:cNvGraphicFramePr>
            <a:graphic>
              <a:graphicData uri="http://schemas.openxmlformats.org/drawingml/2006/picture">
                <pic:pic>
                  <pic:nvPicPr>
                    <pic:cNvPr id="158" name="image25.png"/>
                    <pic:cNvPicPr/>
                  </pic:nvPicPr>
                  <pic:blipFill>
                    <a:blip r:embed="rId192"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7443" w:right="0" w:firstLine="0"/>
        <w:jc w:val="left"/>
        <w:rPr>
          <w:sz w:val="26"/>
        </w:rPr>
      </w:pPr>
      <w:r>
        <w:rPr/>
        <w:pict>
          <v:shape style="position:absolute;margin-left:554.141174pt;margin-top:22.593945pt;width:25.9pt;height:267.8pt;mso-position-horizontal-relative:page;mso-position-vertical-relative:paragraph;z-index:251898880" type="#_x0000_t202" filled="false" stroked="false">
            <v:textbox inset="0,0,0,0" style="layout-flow:vertical">
              <w:txbxContent>
                <w:p>
                  <w:pPr>
                    <w:spacing w:before="27"/>
                    <w:ind w:left="20" w:right="0" w:firstLine="0"/>
                    <w:jc w:val="left"/>
                    <w:rPr>
                      <w:sz w:val="39"/>
                    </w:rPr>
                  </w:pPr>
                  <w:r>
                    <w:rPr>
                      <w:color w:val="FFFFFF"/>
                      <w:spacing w:val="3"/>
                      <w:w w:val="120"/>
                      <w:sz w:val="39"/>
                    </w:rPr>
                    <w:t>Children’s </w:t>
                  </w:r>
                  <w:r>
                    <w:rPr>
                      <w:color w:val="FFFFFF"/>
                      <w:spacing w:val="7"/>
                      <w:w w:val="120"/>
                      <w:sz w:val="39"/>
                    </w:rPr>
                    <w:t>and </w:t>
                  </w:r>
                  <w:r>
                    <w:rPr>
                      <w:color w:val="FFFFFF"/>
                      <w:spacing w:val="8"/>
                      <w:w w:val="120"/>
                      <w:sz w:val="39"/>
                    </w:rPr>
                    <w:t>youth</w:t>
                  </w:r>
                  <w:r>
                    <w:rPr>
                      <w:color w:val="FFFFFF"/>
                      <w:spacing w:val="-43"/>
                      <w:w w:val="120"/>
                      <w:sz w:val="39"/>
                    </w:rPr>
                    <w:t> </w:t>
                  </w:r>
                  <w:r>
                    <w:rPr>
                      <w:color w:val="FFFFFF"/>
                      <w:spacing w:val="7"/>
                      <w:w w:val="120"/>
                      <w:sz w:val="39"/>
                    </w:rPr>
                    <w:t>work</w:t>
                  </w:r>
                </w:p>
              </w:txbxContent>
            </v:textbox>
            <w10:wrap type="none"/>
          </v:shape>
        </w:pict>
      </w:r>
      <w:r>
        <w:rPr>
          <w:color w:val="7EAABF"/>
          <w:w w:val="115"/>
          <w:sz w:val="26"/>
        </w:rPr>
        <w:t>Children’s and youth work</w:t>
      </w:r>
    </w:p>
    <w:p>
      <w:pPr>
        <w:pStyle w:val="BodyText"/>
        <w:spacing w:line="235" w:lineRule="auto" w:before="222"/>
        <w:ind w:left="1984" w:right="1701"/>
      </w:pPr>
      <w:r>
        <w:rPr>
          <w:w w:val="120"/>
        </w:rPr>
        <w:t>tools (for example Messy Church), creative visual arts, having a voice, and church membership. The papers produced so far have been focused and will form the basis of fuller publications including articles in </w:t>
      </w:r>
      <w:r>
        <w:rPr>
          <w:i/>
          <w:w w:val="120"/>
        </w:rPr>
        <w:t>Reform</w:t>
      </w:r>
      <w:r>
        <w:rPr>
          <w:w w:val="120"/>
        </w:rPr>
        <w:t>.</w:t>
      </w:r>
    </w:p>
    <w:p>
      <w:pPr>
        <w:pStyle w:val="BodyText"/>
        <w:spacing w:before="6"/>
        <w:rPr>
          <w:sz w:val="18"/>
        </w:rPr>
      </w:pPr>
    </w:p>
    <w:p>
      <w:pPr>
        <w:pStyle w:val="Heading9"/>
        <w:numPr>
          <w:ilvl w:val="1"/>
          <w:numId w:val="48"/>
        </w:numPr>
        <w:tabs>
          <w:tab w:pos="2664" w:val="left" w:leader="none"/>
          <w:tab w:pos="2665" w:val="left" w:leader="none"/>
        </w:tabs>
        <w:spacing w:line="261" w:lineRule="exact" w:before="0" w:after="0"/>
        <w:ind w:left="2664" w:right="0" w:hanging="681"/>
        <w:jc w:val="left"/>
      </w:pPr>
      <w:r>
        <w:rPr>
          <w:w w:val="110"/>
        </w:rPr>
        <w:t>Church</w:t>
      </w:r>
      <w:r>
        <w:rPr>
          <w:spacing w:val="-1"/>
          <w:w w:val="110"/>
        </w:rPr>
        <w:t> </w:t>
      </w:r>
      <w:r>
        <w:rPr>
          <w:w w:val="110"/>
        </w:rPr>
        <w:t>membership</w:t>
      </w:r>
    </w:p>
    <w:p>
      <w:pPr>
        <w:pStyle w:val="BodyText"/>
        <w:spacing w:line="235" w:lineRule="auto"/>
        <w:ind w:left="1984" w:right="1820"/>
      </w:pPr>
      <w:r>
        <w:rPr>
          <w:w w:val="120"/>
        </w:rPr>
        <w:t>Church membership has been identified in the matrix as an area to explore. After initial discussions in February, we will be considering the research papers being written and will liaise with other General Assembly committees that are also discussing church membership, significantly the faith and order committee.</w:t>
      </w:r>
    </w:p>
    <w:p>
      <w:pPr>
        <w:pStyle w:val="BodyText"/>
        <w:spacing w:line="235" w:lineRule="auto"/>
        <w:ind w:left="1984" w:right="1352"/>
      </w:pPr>
      <w:r>
        <w:rPr>
          <w:spacing w:val="2"/>
          <w:w w:val="120"/>
        </w:rPr>
        <w:t>Questions </w:t>
      </w:r>
      <w:r>
        <w:rPr>
          <w:w w:val="120"/>
        </w:rPr>
        <w:t>under consideration include: </w:t>
      </w:r>
      <w:r>
        <w:rPr>
          <w:spacing w:val="2"/>
          <w:w w:val="120"/>
        </w:rPr>
        <w:t>What </w:t>
      </w:r>
      <w:r>
        <w:rPr>
          <w:w w:val="120"/>
        </w:rPr>
        <w:t>is </w:t>
      </w:r>
      <w:r>
        <w:rPr>
          <w:spacing w:val="2"/>
          <w:w w:val="120"/>
        </w:rPr>
        <w:t>membership </w:t>
      </w:r>
      <w:r>
        <w:rPr>
          <w:spacing w:val="-3"/>
          <w:w w:val="120"/>
        </w:rPr>
        <w:t>for? </w:t>
      </w:r>
      <w:r>
        <w:rPr>
          <w:spacing w:val="3"/>
          <w:w w:val="120"/>
        </w:rPr>
        <w:t>Who </w:t>
      </w:r>
      <w:r>
        <w:rPr>
          <w:w w:val="120"/>
        </w:rPr>
        <w:t>is </w:t>
      </w:r>
      <w:r>
        <w:rPr>
          <w:spacing w:val="2"/>
          <w:w w:val="120"/>
        </w:rPr>
        <w:t>membership </w:t>
      </w:r>
      <w:r>
        <w:rPr>
          <w:spacing w:val="-3"/>
          <w:w w:val="120"/>
        </w:rPr>
        <w:t>for? </w:t>
      </w:r>
      <w:r>
        <w:rPr>
          <w:spacing w:val="2"/>
          <w:w w:val="120"/>
        </w:rPr>
        <w:t>When </w:t>
      </w:r>
      <w:r>
        <w:rPr>
          <w:w w:val="120"/>
        </w:rPr>
        <w:t>is </w:t>
      </w:r>
      <w:r>
        <w:rPr>
          <w:spacing w:val="2"/>
          <w:w w:val="120"/>
        </w:rPr>
        <w:t>membership </w:t>
      </w:r>
      <w:r>
        <w:rPr>
          <w:w w:val="120"/>
        </w:rPr>
        <w:t>appropriate? and, Why do </w:t>
      </w:r>
      <w:r>
        <w:rPr>
          <w:spacing w:val="2"/>
          <w:w w:val="120"/>
        </w:rPr>
        <w:t>people </w:t>
      </w:r>
      <w:r>
        <w:rPr>
          <w:w w:val="120"/>
        </w:rPr>
        <w:t>become</w:t>
      </w:r>
      <w:r>
        <w:rPr>
          <w:spacing w:val="51"/>
          <w:w w:val="120"/>
        </w:rPr>
        <w:t> </w:t>
      </w:r>
      <w:r>
        <w:rPr>
          <w:w w:val="120"/>
        </w:rPr>
        <w:t>members?</w:t>
      </w:r>
    </w:p>
    <w:p>
      <w:pPr>
        <w:pStyle w:val="BodyText"/>
        <w:spacing w:line="235" w:lineRule="auto"/>
        <w:ind w:left="1984" w:right="1414"/>
      </w:pPr>
      <w:r>
        <w:rPr>
          <w:spacing w:val="2"/>
          <w:w w:val="120"/>
        </w:rPr>
        <w:t>These </w:t>
      </w:r>
      <w:r>
        <w:rPr>
          <w:w w:val="120"/>
        </w:rPr>
        <w:t>discussions have </w:t>
      </w:r>
      <w:r>
        <w:rPr>
          <w:spacing w:val="2"/>
          <w:w w:val="120"/>
        </w:rPr>
        <w:t>particular </w:t>
      </w:r>
      <w:r>
        <w:rPr>
          <w:w w:val="120"/>
        </w:rPr>
        <w:t>relevance to the needs of young </w:t>
      </w:r>
      <w:r>
        <w:rPr>
          <w:spacing w:val="2"/>
          <w:w w:val="120"/>
        </w:rPr>
        <w:t>people </w:t>
      </w:r>
      <w:r>
        <w:rPr>
          <w:w w:val="120"/>
        </w:rPr>
        <w:t>moving for </w:t>
      </w:r>
      <w:r>
        <w:rPr>
          <w:spacing w:val="2"/>
          <w:w w:val="120"/>
        </w:rPr>
        <w:t>study </w:t>
      </w:r>
      <w:r>
        <w:rPr>
          <w:w w:val="120"/>
        </w:rPr>
        <w:t>or </w:t>
      </w:r>
      <w:r>
        <w:rPr>
          <w:spacing w:val="2"/>
          <w:w w:val="120"/>
        </w:rPr>
        <w:t>work; </w:t>
      </w:r>
      <w:r>
        <w:rPr>
          <w:w w:val="120"/>
        </w:rPr>
        <w:t>they will also </w:t>
      </w:r>
      <w:r>
        <w:rPr>
          <w:spacing w:val="3"/>
          <w:w w:val="120"/>
        </w:rPr>
        <w:t>support </w:t>
      </w:r>
      <w:r>
        <w:rPr>
          <w:w w:val="120"/>
        </w:rPr>
        <w:t>our </w:t>
      </w:r>
      <w:r>
        <w:rPr>
          <w:spacing w:val="2"/>
          <w:w w:val="120"/>
        </w:rPr>
        <w:t>objectives </w:t>
      </w:r>
      <w:r>
        <w:rPr>
          <w:w w:val="120"/>
        </w:rPr>
        <w:t>to enhance the voice of children and young </w:t>
      </w:r>
      <w:r>
        <w:rPr>
          <w:spacing w:val="2"/>
          <w:w w:val="120"/>
        </w:rPr>
        <w:t>people, </w:t>
      </w:r>
      <w:r>
        <w:rPr>
          <w:w w:val="120"/>
        </w:rPr>
        <w:t>help them to discover their </w:t>
      </w:r>
      <w:r>
        <w:rPr>
          <w:spacing w:val="4"/>
          <w:w w:val="120"/>
        </w:rPr>
        <w:t>gifts </w:t>
      </w:r>
      <w:r>
        <w:rPr>
          <w:w w:val="120"/>
        </w:rPr>
        <w:t>and develop a sense of </w:t>
      </w:r>
      <w:r>
        <w:rPr>
          <w:spacing w:val="2"/>
          <w:w w:val="120"/>
        </w:rPr>
        <w:t>belonging   </w:t>
      </w:r>
      <w:r>
        <w:rPr>
          <w:w w:val="120"/>
        </w:rPr>
        <w:t>to the wider</w:t>
      </w:r>
      <w:r>
        <w:rPr>
          <w:spacing w:val="19"/>
          <w:w w:val="120"/>
        </w:rPr>
        <w:t> </w:t>
      </w:r>
      <w:r>
        <w:rPr>
          <w:w w:val="120"/>
        </w:rPr>
        <w:t>Church.</w:t>
      </w:r>
    </w:p>
    <w:p>
      <w:pPr>
        <w:pStyle w:val="BodyText"/>
        <w:spacing w:before="4"/>
      </w:pPr>
    </w:p>
    <w:p>
      <w:pPr>
        <w:pStyle w:val="Heading9"/>
        <w:numPr>
          <w:ilvl w:val="1"/>
          <w:numId w:val="48"/>
        </w:numPr>
        <w:tabs>
          <w:tab w:pos="2664" w:val="left" w:leader="none"/>
          <w:tab w:pos="2665" w:val="left" w:leader="none"/>
        </w:tabs>
        <w:spacing w:line="213" w:lineRule="auto" w:before="0" w:after="0"/>
        <w:ind w:left="1984" w:right="1761" w:firstLine="0"/>
        <w:jc w:val="left"/>
      </w:pPr>
      <w:r>
        <w:rPr>
          <w:w w:val="110"/>
        </w:rPr>
        <w:t>Structure and guidelines for the Fellowship of United Reformed Youth (FURY)</w:t>
      </w:r>
    </w:p>
    <w:p>
      <w:pPr>
        <w:pStyle w:val="BodyText"/>
        <w:spacing w:line="235" w:lineRule="auto"/>
        <w:ind w:left="1984" w:right="1414"/>
      </w:pPr>
      <w:r>
        <w:rPr>
          <w:w w:val="120"/>
        </w:rPr>
        <w:t>It is eight years since the current structures and operational guidelines for FURY were introduced. </w:t>
      </w:r>
      <w:r>
        <w:rPr>
          <w:spacing w:val="3"/>
          <w:w w:val="120"/>
        </w:rPr>
        <w:t>As </w:t>
      </w:r>
      <w:r>
        <w:rPr>
          <w:spacing w:val="2"/>
          <w:w w:val="120"/>
        </w:rPr>
        <w:t>part </w:t>
      </w:r>
      <w:r>
        <w:rPr>
          <w:w w:val="120"/>
        </w:rPr>
        <w:t>of the restructuring process of existing programmes, work will begin in June to review and, where necessary, rewrite these documents. A small group will work closely with both the FURY advisory board and the </w:t>
      </w:r>
      <w:r>
        <w:rPr>
          <w:spacing w:val="-3"/>
          <w:w w:val="120"/>
        </w:rPr>
        <w:t>children’s </w:t>
      </w:r>
      <w:r>
        <w:rPr>
          <w:w w:val="120"/>
        </w:rPr>
        <w:t>and youth work committee with a view to introducing a phased implementation programme at </w:t>
      </w:r>
      <w:r>
        <w:rPr>
          <w:spacing w:val="-3"/>
          <w:w w:val="120"/>
        </w:rPr>
        <w:t>Youth </w:t>
      </w:r>
      <w:r>
        <w:rPr>
          <w:w w:val="120"/>
        </w:rPr>
        <w:t>Assembly</w:t>
      </w:r>
      <w:r>
        <w:rPr>
          <w:spacing w:val="2"/>
          <w:w w:val="120"/>
        </w:rPr>
        <w:t> </w:t>
      </w:r>
      <w:r>
        <w:rPr>
          <w:spacing w:val="-7"/>
          <w:w w:val="120"/>
        </w:rPr>
        <w:t>2015.</w:t>
      </w:r>
    </w:p>
    <w:p>
      <w:pPr>
        <w:pStyle w:val="BodyText"/>
        <w:spacing w:before="1"/>
        <w:rPr>
          <w:sz w:val="18"/>
        </w:rPr>
      </w:pPr>
    </w:p>
    <w:p>
      <w:pPr>
        <w:pStyle w:val="Heading9"/>
        <w:numPr>
          <w:ilvl w:val="1"/>
          <w:numId w:val="48"/>
        </w:numPr>
        <w:tabs>
          <w:tab w:pos="2664" w:val="left" w:leader="none"/>
          <w:tab w:pos="2665" w:val="left" w:leader="none"/>
        </w:tabs>
        <w:spacing w:line="261" w:lineRule="exact" w:before="0" w:after="0"/>
        <w:ind w:left="2664" w:right="0" w:hanging="681"/>
        <w:jc w:val="left"/>
      </w:pPr>
      <w:r>
        <w:rPr>
          <w:w w:val="110"/>
        </w:rPr>
        <w:t>Synod</w:t>
      </w:r>
      <w:r>
        <w:rPr>
          <w:spacing w:val="-1"/>
          <w:w w:val="110"/>
        </w:rPr>
        <w:t> </w:t>
      </w:r>
      <w:r>
        <w:rPr>
          <w:w w:val="110"/>
        </w:rPr>
        <w:t>links</w:t>
      </w:r>
    </w:p>
    <w:p>
      <w:pPr>
        <w:pStyle w:val="BodyText"/>
        <w:spacing w:line="235" w:lineRule="auto"/>
        <w:ind w:left="1984" w:right="1606"/>
      </w:pPr>
      <w:r>
        <w:rPr>
          <w:w w:val="120"/>
        </w:rPr>
        <w:t>In order to foster closer links with synods, each committee member will be assigned to a synod; their priorities will be to make contact with the </w:t>
      </w:r>
      <w:r>
        <w:rPr>
          <w:spacing w:val="-3"/>
          <w:w w:val="120"/>
        </w:rPr>
        <w:t>children’s </w:t>
      </w:r>
      <w:r>
        <w:rPr>
          <w:w w:val="120"/>
        </w:rPr>
        <w:t>and youth work committee </w:t>
      </w:r>
      <w:r>
        <w:rPr>
          <w:spacing w:val="-5"/>
          <w:w w:val="120"/>
        </w:rPr>
        <w:t>(and </w:t>
      </w:r>
      <w:r>
        <w:rPr>
          <w:w w:val="120"/>
        </w:rPr>
        <w:t>other appropriate contacts) in their allocated synod and feed their findings into our</w:t>
      </w:r>
      <w:r>
        <w:rPr>
          <w:spacing w:val="6"/>
          <w:w w:val="120"/>
        </w:rPr>
        <w:t> </w:t>
      </w:r>
      <w:r>
        <w:rPr>
          <w:w w:val="120"/>
        </w:rPr>
        <w:t>discussions.</w:t>
      </w:r>
    </w:p>
    <w:p>
      <w:pPr>
        <w:pStyle w:val="BodyText"/>
        <w:spacing w:before="1"/>
        <w:rPr>
          <w:sz w:val="18"/>
        </w:rPr>
      </w:pPr>
    </w:p>
    <w:p>
      <w:pPr>
        <w:pStyle w:val="Heading9"/>
        <w:numPr>
          <w:ilvl w:val="1"/>
          <w:numId w:val="48"/>
        </w:numPr>
        <w:tabs>
          <w:tab w:pos="2664" w:val="left" w:leader="none"/>
          <w:tab w:pos="2665" w:val="left" w:leader="none"/>
        </w:tabs>
        <w:spacing w:line="261" w:lineRule="exact" w:before="1" w:after="0"/>
        <w:ind w:left="2664" w:right="0" w:hanging="681"/>
        <w:jc w:val="left"/>
      </w:pPr>
      <w:r>
        <w:rPr>
          <w:w w:val="110"/>
        </w:rPr>
        <w:t>Materials and</w:t>
      </w:r>
      <w:r>
        <w:rPr>
          <w:spacing w:val="-1"/>
          <w:w w:val="110"/>
        </w:rPr>
        <w:t> </w:t>
      </w:r>
      <w:r>
        <w:rPr>
          <w:w w:val="110"/>
        </w:rPr>
        <w:t>publications</w:t>
      </w:r>
    </w:p>
    <w:p>
      <w:pPr>
        <w:pStyle w:val="BodyText"/>
        <w:spacing w:line="235" w:lineRule="auto"/>
        <w:ind w:left="1984" w:right="1284"/>
      </w:pPr>
      <w:r>
        <w:rPr>
          <w:w w:val="120"/>
        </w:rPr>
        <w:t>A range of publications and other materials continue to be produced. These include theological booklets – some of which, in the future, will be informed by the research projects. Pilots produces a range of materials which are readily adaptable to use by other groups and will support the Pilots programme and engage with the annual    theme where possible. The </w:t>
      </w:r>
      <w:r>
        <w:rPr>
          <w:spacing w:val="-3"/>
          <w:w w:val="120"/>
        </w:rPr>
        <w:t>children’s </w:t>
      </w:r>
      <w:r>
        <w:rPr>
          <w:w w:val="120"/>
        </w:rPr>
        <w:t>and youth work website includes material intended to support and deliver the matrix objectives. An e-newsletter is also produced and sent to those who have signed up for it. A series of film clips have been produced   in each synod giving a voice to children. These will be shown at General Assembly and will be made available for use in other</w:t>
      </w:r>
      <w:r>
        <w:rPr>
          <w:spacing w:val="15"/>
          <w:w w:val="120"/>
        </w:rPr>
        <w:t> </w:t>
      </w:r>
      <w:r>
        <w:rPr>
          <w:w w:val="120"/>
        </w:rPr>
        <w:t>contexts.</w:t>
      </w:r>
    </w:p>
    <w:p>
      <w:pPr>
        <w:pStyle w:val="BodyText"/>
        <w:spacing w:before="10"/>
        <w:rPr>
          <w:sz w:val="21"/>
        </w:rPr>
      </w:pPr>
    </w:p>
    <w:p>
      <w:pPr>
        <w:pStyle w:val="Heading4"/>
        <w:numPr>
          <w:ilvl w:val="0"/>
          <w:numId w:val="48"/>
        </w:numPr>
        <w:tabs>
          <w:tab w:pos="2664" w:val="left" w:leader="none"/>
          <w:tab w:pos="2665" w:val="left" w:leader="none"/>
        </w:tabs>
        <w:spacing w:line="196" w:lineRule="auto" w:before="0" w:after="0"/>
        <w:ind w:left="2664" w:right="2295" w:hanging="681"/>
        <w:jc w:val="left"/>
      </w:pPr>
      <w:r>
        <w:rPr>
          <w:spacing w:val="3"/>
          <w:w w:val="110"/>
        </w:rPr>
        <w:t>Proposal from </w:t>
      </w:r>
      <w:r>
        <w:rPr>
          <w:spacing w:val="2"/>
          <w:w w:val="110"/>
        </w:rPr>
        <w:t>the </w:t>
      </w:r>
      <w:r>
        <w:rPr>
          <w:spacing w:val="3"/>
          <w:w w:val="110"/>
        </w:rPr>
        <w:t>United </w:t>
      </w:r>
      <w:r>
        <w:rPr>
          <w:spacing w:val="4"/>
          <w:w w:val="110"/>
        </w:rPr>
        <w:t>Reformed </w:t>
      </w:r>
      <w:r>
        <w:rPr>
          <w:spacing w:val="3"/>
          <w:w w:val="110"/>
        </w:rPr>
        <w:t>Church </w:t>
      </w:r>
      <w:r>
        <w:rPr>
          <w:w w:val="110"/>
        </w:rPr>
        <w:t>Youth </w:t>
      </w:r>
      <w:r>
        <w:rPr>
          <w:spacing w:val="4"/>
          <w:w w:val="110"/>
        </w:rPr>
        <w:t>Assembly </w:t>
      </w:r>
      <w:r>
        <w:rPr>
          <w:spacing w:val="3"/>
          <w:w w:val="110"/>
        </w:rPr>
        <w:t>for </w:t>
      </w:r>
      <w:r>
        <w:rPr>
          <w:spacing w:val="4"/>
          <w:w w:val="110"/>
        </w:rPr>
        <w:t>action </w:t>
      </w:r>
      <w:r>
        <w:rPr>
          <w:spacing w:val="2"/>
          <w:w w:val="110"/>
        </w:rPr>
        <w:t>on </w:t>
      </w:r>
      <w:r>
        <w:rPr>
          <w:spacing w:val="3"/>
          <w:w w:val="110"/>
        </w:rPr>
        <w:t>tackling</w:t>
      </w:r>
      <w:r>
        <w:rPr>
          <w:spacing w:val="86"/>
          <w:w w:val="110"/>
        </w:rPr>
        <w:t> </w:t>
      </w:r>
      <w:r>
        <w:rPr>
          <w:spacing w:val="2"/>
          <w:w w:val="110"/>
        </w:rPr>
        <w:t>the</w:t>
      </w:r>
    </w:p>
    <w:p>
      <w:pPr>
        <w:spacing w:line="336" w:lineRule="exact" w:before="0"/>
        <w:ind w:left="2664" w:right="0" w:firstLine="0"/>
        <w:jc w:val="left"/>
        <w:rPr>
          <w:rFonts w:ascii="Stone Sans II ITC Std Bk"/>
          <w:b/>
          <w:sz w:val="29"/>
        </w:rPr>
      </w:pPr>
      <w:r>
        <w:rPr>
          <w:rFonts w:ascii="Stone Sans II ITC Std Bk"/>
          <w:b/>
          <w:w w:val="110"/>
          <w:sz w:val="29"/>
        </w:rPr>
        <w:t>stigma of mental ill health</w:t>
      </w:r>
    </w:p>
    <w:p>
      <w:pPr>
        <w:pStyle w:val="Heading9"/>
        <w:spacing w:before="53"/>
        <w:ind w:left="1984" w:firstLine="0"/>
      </w:pPr>
      <w:r>
        <w:rPr>
          <w:w w:val="110"/>
        </w:rPr>
        <w:t>Background</w:t>
      </w:r>
    </w:p>
    <w:p>
      <w:pPr>
        <w:pStyle w:val="ListParagraph"/>
        <w:numPr>
          <w:ilvl w:val="1"/>
          <w:numId w:val="48"/>
        </w:numPr>
        <w:tabs>
          <w:tab w:pos="2664" w:val="left" w:leader="none"/>
          <w:tab w:pos="2665" w:val="left" w:leader="none"/>
        </w:tabs>
        <w:spacing w:line="235" w:lineRule="auto" w:before="0" w:after="0"/>
        <w:ind w:left="1984" w:right="1427" w:firstLine="0"/>
        <w:jc w:val="left"/>
        <w:rPr>
          <w:sz w:val="20"/>
        </w:rPr>
      </w:pPr>
      <w:r>
        <w:rPr>
          <w:w w:val="120"/>
          <w:sz w:val="20"/>
        </w:rPr>
        <w:t>There are many staggering </w:t>
      </w:r>
      <w:r>
        <w:rPr>
          <w:spacing w:val="2"/>
          <w:w w:val="120"/>
          <w:sz w:val="20"/>
        </w:rPr>
        <w:t>facts </w:t>
      </w:r>
      <w:r>
        <w:rPr>
          <w:w w:val="120"/>
          <w:sz w:val="20"/>
        </w:rPr>
        <w:t>surrounding mental ill health, especially  among young people. Nearly 80,000 children and young people in the UK suffer from severe depression; three children in every classroom suffer from a diagnosable mental health condition (</w:t>
      </w:r>
      <w:hyperlink r:id="rId206">
        <w:r>
          <w:rPr>
            <w:w w:val="120"/>
            <w:sz w:val="20"/>
          </w:rPr>
          <w:t>http://www.youngminds.org.uk/about/whats_the_problem), </w:t>
        </w:r>
      </w:hyperlink>
      <w:r>
        <w:rPr>
          <w:w w:val="120"/>
          <w:sz w:val="20"/>
        </w:rPr>
        <w:t>and the leading cause of death among men under </w:t>
      </w:r>
      <w:r>
        <w:rPr>
          <w:spacing w:val="-3"/>
          <w:w w:val="120"/>
          <w:sz w:val="20"/>
        </w:rPr>
        <w:t>49 </w:t>
      </w:r>
      <w:r>
        <w:rPr>
          <w:w w:val="120"/>
          <w:sz w:val="20"/>
        </w:rPr>
        <w:t>is no longer </w:t>
      </w:r>
      <w:r>
        <w:rPr>
          <w:spacing w:val="-3"/>
          <w:w w:val="120"/>
          <w:sz w:val="20"/>
        </w:rPr>
        <w:t>cancer, </w:t>
      </w:r>
      <w:r>
        <w:rPr>
          <w:w w:val="120"/>
          <w:sz w:val="20"/>
        </w:rPr>
        <w:t>stroke or heart disease, but suicide. None of these </w:t>
      </w:r>
      <w:r>
        <w:rPr>
          <w:spacing w:val="2"/>
          <w:w w:val="120"/>
          <w:sz w:val="20"/>
        </w:rPr>
        <w:t>facts </w:t>
      </w:r>
      <w:r>
        <w:rPr>
          <w:spacing w:val="-3"/>
          <w:w w:val="120"/>
          <w:sz w:val="20"/>
        </w:rPr>
        <w:t>however, </w:t>
      </w:r>
      <w:r>
        <w:rPr>
          <w:w w:val="120"/>
          <w:sz w:val="20"/>
        </w:rPr>
        <w:t>adequately communicate the </w:t>
      </w:r>
      <w:r>
        <w:rPr>
          <w:spacing w:val="-3"/>
          <w:w w:val="120"/>
          <w:sz w:val="20"/>
        </w:rPr>
        <w:t>fear, </w:t>
      </w:r>
      <w:r>
        <w:rPr>
          <w:w w:val="120"/>
          <w:sz w:val="20"/>
        </w:rPr>
        <w:t>hurt, frustration and anger caused by the stigma which has long surrounded mental    ill health – a </w:t>
      </w:r>
      <w:r>
        <w:rPr>
          <w:spacing w:val="2"/>
          <w:w w:val="120"/>
          <w:sz w:val="20"/>
        </w:rPr>
        <w:t>fact </w:t>
      </w:r>
      <w:r>
        <w:rPr>
          <w:w w:val="120"/>
          <w:sz w:val="20"/>
        </w:rPr>
        <w:t>which, above all others, prompted members of the United Reformed Church</w:t>
      </w:r>
      <w:r>
        <w:rPr>
          <w:spacing w:val="10"/>
          <w:w w:val="120"/>
          <w:sz w:val="20"/>
        </w:rPr>
        <w:t> </w:t>
      </w:r>
      <w:r>
        <w:rPr>
          <w:spacing w:val="-3"/>
          <w:w w:val="120"/>
          <w:sz w:val="20"/>
        </w:rPr>
        <w:t>Youth</w:t>
      </w:r>
      <w:r>
        <w:rPr>
          <w:spacing w:val="11"/>
          <w:w w:val="120"/>
          <w:sz w:val="20"/>
        </w:rPr>
        <w:t> </w:t>
      </w:r>
      <w:r>
        <w:rPr>
          <w:w w:val="120"/>
          <w:sz w:val="20"/>
        </w:rPr>
        <w:t>Assembly,</w:t>
      </w:r>
      <w:r>
        <w:rPr>
          <w:spacing w:val="10"/>
          <w:w w:val="120"/>
          <w:sz w:val="20"/>
        </w:rPr>
        <w:t> </w:t>
      </w:r>
      <w:r>
        <w:rPr>
          <w:w w:val="120"/>
          <w:sz w:val="20"/>
        </w:rPr>
        <w:t>in</w:t>
      </w:r>
      <w:r>
        <w:rPr>
          <w:spacing w:val="11"/>
          <w:w w:val="120"/>
          <w:sz w:val="20"/>
        </w:rPr>
        <w:t> </w:t>
      </w:r>
      <w:r>
        <w:rPr>
          <w:spacing w:val="-7"/>
          <w:w w:val="120"/>
          <w:sz w:val="20"/>
        </w:rPr>
        <w:t>2012,</w:t>
      </w:r>
      <w:r>
        <w:rPr>
          <w:spacing w:val="10"/>
          <w:w w:val="120"/>
          <w:sz w:val="20"/>
        </w:rPr>
        <w:t> </w:t>
      </w:r>
      <w:r>
        <w:rPr>
          <w:w w:val="120"/>
          <w:sz w:val="20"/>
        </w:rPr>
        <w:t>to</w:t>
      </w:r>
      <w:r>
        <w:rPr>
          <w:spacing w:val="11"/>
          <w:w w:val="120"/>
          <w:sz w:val="20"/>
        </w:rPr>
        <w:t> </w:t>
      </w:r>
      <w:r>
        <w:rPr>
          <w:w w:val="120"/>
          <w:sz w:val="20"/>
        </w:rPr>
        <w:t>bring</w:t>
      </w:r>
      <w:r>
        <w:rPr>
          <w:spacing w:val="10"/>
          <w:w w:val="120"/>
          <w:sz w:val="20"/>
        </w:rPr>
        <w:t> </w:t>
      </w:r>
      <w:r>
        <w:rPr>
          <w:w w:val="120"/>
          <w:sz w:val="20"/>
        </w:rPr>
        <w:t>forward</w:t>
      </w:r>
      <w:r>
        <w:rPr>
          <w:spacing w:val="11"/>
          <w:w w:val="120"/>
          <w:sz w:val="20"/>
        </w:rPr>
        <w:t> </w:t>
      </w:r>
      <w:r>
        <w:rPr>
          <w:w w:val="120"/>
          <w:sz w:val="20"/>
        </w:rPr>
        <w:t>a</w:t>
      </w:r>
      <w:r>
        <w:rPr>
          <w:spacing w:val="11"/>
          <w:w w:val="120"/>
          <w:sz w:val="20"/>
        </w:rPr>
        <w:t> </w:t>
      </w:r>
      <w:r>
        <w:rPr>
          <w:w w:val="120"/>
          <w:sz w:val="20"/>
        </w:rPr>
        <w:t>resolution</w:t>
      </w:r>
      <w:r>
        <w:rPr>
          <w:spacing w:val="10"/>
          <w:w w:val="120"/>
          <w:sz w:val="20"/>
        </w:rPr>
        <w:t> </w:t>
      </w:r>
      <w:r>
        <w:rPr>
          <w:w w:val="120"/>
          <w:sz w:val="20"/>
        </w:rPr>
        <w:t>calling</w:t>
      </w:r>
      <w:r>
        <w:rPr>
          <w:spacing w:val="11"/>
          <w:w w:val="120"/>
          <w:sz w:val="20"/>
        </w:rPr>
        <w:t> </w:t>
      </w:r>
      <w:r>
        <w:rPr>
          <w:w w:val="120"/>
          <w:sz w:val="20"/>
        </w:rPr>
        <w:t>for</w:t>
      </w:r>
      <w:r>
        <w:rPr>
          <w:spacing w:val="10"/>
          <w:w w:val="120"/>
          <w:sz w:val="20"/>
        </w:rPr>
        <w:t> </w:t>
      </w:r>
      <w:r>
        <w:rPr>
          <w:w w:val="120"/>
          <w:sz w:val="20"/>
        </w:rPr>
        <w:t>support,</w:t>
      </w:r>
      <w:r>
        <w:rPr>
          <w:spacing w:val="11"/>
          <w:w w:val="120"/>
          <w:sz w:val="20"/>
        </w:rPr>
        <w:t> </w:t>
      </w:r>
      <w:r>
        <w:rPr>
          <w:w w:val="120"/>
          <w:sz w:val="20"/>
        </w:rPr>
        <w:t>on</w:t>
      </w:r>
    </w:p>
    <w:p>
      <w:pPr>
        <w:pStyle w:val="BodyText"/>
        <w:spacing w:line="235" w:lineRule="auto" w:before="1"/>
        <w:ind w:left="1984" w:right="1352"/>
      </w:pPr>
      <w:r>
        <w:rPr>
          <w:w w:val="120"/>
        </w:rPr>
        <w:t>the part of FURY, for the Young Minds Charity, joining the struggle to tackle this stigma along with associated issues and concerns.</w:t>
      </w:r>
    </w:p>
    <w:p>
      <w:pPr>
        <w:spacing w:after="0" w:line="235" w:lineRule="auto"/>
        <w:sectPr>
          <w:headerReference w:type="default" r:id="rId205"/>
          <w:pgSz w:w="11910" w:h="16840"/>
          <w:pgMar w:header="0" w:footer="647" w:top="0" w:bottom="840" w:left="0" w:right="0"/>
        </w:sectPr>
      </w:pPr>
    </w:p>
    <w:p>
      <w:pPr>
        <w:pStyle w:val="BodyText"/>
      </w:pPr>
      <w:r>
        <w:rPr/>
        <w:drawing>
          <wp:anchor distT="0" distB="0" distL="0" distR="0" allowOverlap="1" layoutInCell="1" locked="0" behindDoc="0" simplePos="0" relativeHeight="251899904">
            <wp:simplePos x="0" y="0"/>
            <wp:positionH relativeFrom="page">
              <wp:posOffset>0</wp:posOffset>
            </wp:positionH>
            <wp:positionV relativeFrom="page">
              <wp:posOffset>0</wp:posOffset>
            </wp:positionV>
            <wp:extent cx="594067" cy="10692003"/>
            <wp:effectExtent l="0" t="0" r="0" b="0"/>
            <wp:wrapNone/>
            <wp:docPr id="159" name="image28.png"/>
            <wp:cNvGraphicFramePr>
              <a:graphicFrameLocks noChangeAspect="1"/>
            </wp:cNvGraphicFramePr>
            <a:graphic>
              <a:graphicData uri="http://schemas.openxmlformats.org/drawingml/2006/picture">
                <pic:pic>
                  <pic:nvPicPr>
                    <pic:cNvPr id="160" name="image28.png"/>
                    <pic:cNvPicPr/>
                  </pic:nvPicPr>
                  <pic:blipFill>
                    <a:blip r:embed="rId198"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spacing w:before="106"/>
        <w:ind w:left="1247" w:right="0" w:firstLine="0"/>
        <w:jc w:val="left"/>
        <w:rPr>
          <w:sz w:val="26"/>
        </w:rPr>
      </w:pPr>
      <w:r>
        <w:rPr/>
        <w:pict>
          <v:shape style="position:absolute;margin-left:20.519100pt;margin-top:22.593945pt;width:25.9pt;height:267.8pt;mso-position-horizontal-relative:page;mso-position-vertical-relative:paragraph;z-index:251900928" type="#_x0000_t202" filled="false" stroked="false">
            <v:textbox inset="0,0,0,0" style="layout-flow:vertical">
              <w:txbxContent>
                <w:p>
                  <w:pPr>
                    <w:spacing w:before="27"/>
                    <w:ind w:left="20" w:right="0" w:firstLine="0"/>
                    <w:jc w:val="left"/>
                    <w:rPr>
                      <w:sz w:val="39"/>
                    </w:rPr>
                  </w:pPr>
                  <w:r>
                    <w:rPr>
                      <w:color w:val="FFFFFF"/>
                      <w:spacing w:val="3"/>
                      <w:w w:val="120"/>
                      <w:sz w:val="39"/>
                    </w:rPr>
                    <w:t>Children’s </w:t>
                  </w:r>
                  <w:r>
                    <w:rPr>
                      <w:color w:val="FFFFFF"/>
                      <w:spacing w:val="7"/>
                      <w:w w:val="120"/>
                      <w:sz w:val="39"/>
                    </w:rPr>
                    <w:t>and </w:t>
                  </w:r>
                  <w:r>
                    <w:rPr>
                      <w:color w:val="FFFFFF"/>
                      <w:spacing w:val="8"/>
                      <w:w w:val="120"/>
                      <w:sz w:val="39"/>
                    </w:rPr>
                    <w:t>youth</w:t>
                  </w:r>
                  <w:r>
                    <w:rPr>
                      <w:color w:val="FFFFFF"/>
                      <w:spacing w:val="-43"/>
                      <w:w w:val="120"/>
                      <w:sz w:val="39"/>
                    </w:rPr>
                    <w:t> </w:t>
                  </w:r>
                  <w:r>
                    <w:rPr>
                      <w:color w:val="FFFFFF"/>
                      <w:spacing w:val="7"/>
                      <w:w w:val="120"/>
                      <w:sz w:val="39"/>
                    </w:rPr>
                    <w:t>work</w:t>
                  </w:r>
                </w:p>
              </w:txbxContent>
            </v:textbox>
            <w10:wrap type="none"/>
          </v:shape>
        </w:pict>
      </w:r>
      <w:r>
        <w:rPr>
          <w:color w:val="7EAABF"/>
          <w:w w:val="115"/>
          <w:sz w:val="26"/>
        </w:rPr>
        <w:t>Children’s and youth work</w:t>
      </w:r>
    </w:p>
    <w:p>
      <w:pPr>
        <w:pStyle w:val="ListParagraph"/>
        <w:numPr>
          <w:ilvl w:val="1"/>
          <w:numId w:val="48"/>
        </w:numPr>
        <w:tabs>
          <w:tab w:pos="1927" w:val="left" w:leader="none"/>
          <w:tab w:pos="1928" w:val="left" w:leader="none"/>
        </w:tabs>
        <w:spacing w:line="235" w:lineRule="auto" w:before="222" w:after="0"/>
        <w:ind w:left="1247" w:right="2106" w:firstLine="0"/>
        <w:jc w:val="left"/>
        <w:rPr>
          <w:sz w:val="20"/>
        </w:rPr>
      </w:pPr>
      <w:r>
        <w:rPr>
          <w:w w:val="120"/>
          <w:sz w:val="20"/>
        </w:rPr>
        <w:t>This resolution received the full backing of </w:t>
      </w:r>
      <w:r>
        <w:rPr>
          <w:spacing w:val="-3"/>
          <w:w w:val="120"/>
          <w:sz w:val="20"/>
        </w:rPr>
        <w:t>Youth </w:t>
      </w:r>
      <w:r>
        <w:rPr>
          <w:w w:val="120"/>
          <w:sz w:val="20"/>
        </w:rPr>
        <w:t>Assembly and has seen an increased awareness amongst its membership concerning mental ill health as well as the examination of a number of resources and materials for raising awareness. </w:t>
      </w:r>
      <w:r>
        <w:rPr>
          <w:spacing w:val="-3"/>
          <w:w w:val="120"/>
          <w:sz w:val="20"/>
        </w:rPr>
        <w:t>Young </w:t>
      </w:r>
      <w:r>
        <w:rPr>
          <w:w w:val="120"/>
          <w:sz w:val="20"/>
        </w:rPr>
        <w:t>people serving on FURY advisory board </w:t>
      </w:r>
      <w:r>
        <w:rPr>
          <w:spacing w:val="-4"/>
          <w:w w:val="120"/>
          <w:sz w:val="20"/>
        </w:rPr>
        <w:t>(FAB) </w:t>
      </w:r>
      <w:r>
        <w:rPr>
          <w:w w:val="120"/>
          <w:sz w:val="20"/>
        </w:rPr>
        <w:t>during the </w:t>
      </w:r>
      <w:r>
        <w:rPr>
          <w:spacing w:val="-7"/>
          <w:w w:val="120"/>
          <w:sz w:val="20"/>
        </w:rPr>
        <w:t>2012 </w:t>
      </w:r>
      <w:r>
        <w:rPr>
          <w:w w:val="120"/>
          <w:sz w:val="20"/>
        </w:rPr>
        <w:t>session, as well as other young people around the country, raised money for </w:t>
      </w:r>
      <w:r>
        <w:rPr>
          <w:spacing w:val="-3"/>
          <w:w w:val="120"/>
          <w:sz w:val="20"/>
        </w:rPr>
        <w:t>Young </w:t>
      </w:r>
      <w:r>
        <w:rPr>
          <w:w w:val="120"/>
          <w:sz w:val="20"/>
        </w:rPr>
        <w:t>Minds. It was clear through their response that </w:t>
      </w:r>
      <w:r>
        <w:rPr>
          <w:spacing w:val="-3"/>
          <w:w w:val="120"/>
          <w:sz w:val="20"/>
        </w:rPr>
        <w:t>Youth </w:t>
      </w:r>
      <w:r>
        <w:rPr>
          <w:w w:val="120"/>
          <w:sz w:val="20"/>
        </w:rPr>
        <w:t>Assembly members felt strongly about this</w:t>
      </w:r>
      <w:r>
        <w:rPr>
          <w:spacing w:val="20"/>
          <w:w w:val="120"/>
          <w:sz w:val="20"/>
        </w:rPr>
        <w:t> </w:t>
      </w:r>
      <w:r>
        <w:rPr>
          <w:w w:val="120"/>
          <w:sz w:val="20"/>
        </w:rPr>
        <w:t>issue.</w:t>
      </w:r>
    </w:p>
    <w:p>
      <w:pPr>
        <w:pStyle w:val="BodyText"/>
      </w:pPr>
    </w:p>
    <w:p>
      <w:pPr>
        <w:pStyle w:val="ListParagraph"/>
        <w:numPr>
          <w:ilvl w:val="1"/>
          <w:numId w:val="48"/>
        </w:numPr>
        <w:tabs>
          <w:tab w:pos="1928" w:val="left" w:leader="none"/>
        </w:tabs>
        <w:spacing w:line="235" w:lineRule="auto" w:before="0" w:after="0"/>
        <w:ind w:left="1247" w:right="2522" w:firstLine="0"/>
        <w:jc w:val="both"/>
        <w:rPr>
          <w:sz w:val="20"/>
        </w:rPr>
      </w:pPr>
      <w:r>
        <w:rPr>
          <w:w w:val="120"/>
          <w:sz w:val="20"/>
        </w:rPr>
        <w:t>By </w:t>
      </w:r>
      <w:r>
        <w:rPr>
          <w:spacing w:val="-7"/>
          <w:w w:val="120"/>
          <w:sz w:val="20"/>
        </w:rPr>
        <w:t>2013, </w:t>
      </w:r>
      <w:r>
        <w:rPr>
          <w:spacing w:val="-3"/>
          <w:w w:val="120"/>
          <w:sz w:val="20"/>
        </w:rPr>
        <w:t>however, </w:t>
      </w:r>
      <w:r>
        <w:rPr>
          <w:w w:val="120"/>
          <w:sz w:val="20"/>
        </w:rPr>
        <w:t>it was felt by FAB that, with the issue still a sensitive topic in many of the lives of </w:t>
      </w:r>
      <w:r>
        <w:rPr>
          <w:spacing w:val="-3"/>
          <w:w w:val="120"/>
          <w:sz w:val="20"/>
        </w:rPr>
        <w:t>Youth </w:t>
      </w:r>
      <w:r>
        <w:rPr>
          <w:w w:val="120"/>
          <w:sz w:val="20"/>
        </w:rPr>
        <w:t>Assembly’s membership, further action was required, not only from </w:t>
      </w:r>
      <w:r>
        <w:rPr>
          <w:spacing w:val="-3"/>
          <w:w w:val="120"/>
          <w:sz w:val="20"/>
        </w:rPr>
        <w:t>Youth </w:t>
      </w:r>
      <w:r>
        <w:rPr>
          <w:w w:val="120"/>
          <w:sz w:val="20"/>
        </w:rPr>
        <w:t>Assembly or FAB, but the also the wider</w:t>
      </w:r>
      <w:r>
        <w:rPr>
          <w:spacing w:val="36"/>
          <w:w w:val="120"/>
          <w:sz w:val="20"/>
        </w:rPr>
        <w:t> </w:t>
      </w:r>
      <w:r>
        <w:rPr>
          <w:w w:val="120"/>
          <w:sz w:val="20"/>
        </w:rPr>
        <w:t>denomination.</w:t>
      </w:r>
    </w:p>
    <w:p>
      <w:pPr>
        <w:pStyle w:val="BodyText"/>
        <w:spacing w:before="10"/>
        <w:rPr>
          <w:sz w:val="19"/>
        </w:rPr>
      </w:pPr>
    </w:p>
    <w:p>
      <w:pPr>
        <w:pStyle w:val="ListParagraph"/>
        <w:numPr>
          <w:ilvl w:val="1"/>
          <w:numId w:val="48"/>
        </w:numPr>
        <w:tabs>
          <w:tab w:pos="1927" w:val="left" w:leader="none"/>
          <w:tab w:pos="1928" w:val="left" w:leader="none"/>
        </w:tabs>
        <w:spacing w:line="235" w:lineRule="auto" w:before="0" w:after="0"/>
        <w:ind w:left="1247" w:right="2034" w:firstLine="0"/>
        <w:jc w:val="left"/>
        <w:rPr>
          <w:sz w:val="20"/>
        </w:rPr>
      </w:pPr>
      <w:r>
        <w:rPr>
          <w:w w:val="120"/>
          <w:sz w:val="20"/>
        </w:rPr>
        <w:t>A resolution was consequently brought by FAB to </w:t>
      </w:r>
      <w:r>
        <w:rPr>
          <w:spacing w:val="-3"/>
          <w:w w:val="120"/>
          <w:sz w:val="20"/>
        </w:rPr>
        <w:t>Youth </w:t>
      </w:r>
      <w:r>
        <w:rPr>
          <w:w w:val="120"/>
          <w:sz w:val="20"/>
        </w:rPr>
        <w:t>Assembly in January </w:t>
      </w:r>
      <w:r>
        <w:rPr>
          <w:spacing w:val="-7"/>
          <w:w w:val="120"/>
          <w:sz w:val="20"/>
        </w:rPr>
        <w:t>2014 </w:t>
      </w:r>
      <w:r>
        <w:rPr>
          <w:w w:val="120"/>
          <w:sz w:val="20"/>
        </w:rPr>
        <w:t>calling for the General Assembly to act on these issues. Following some personal accounts from young people dealing with mental ill health,  delivered  publicly,  and buzz group conversations about personal experiences in a more intimate </w:t>
      </w:r>
      <w:r>
        <w:rPr>
          <w:spacing w:val="-4"/>
          <w:w w:val="120"/>
          <w:sz w:val="20"/>
        </w:rPr>
        <w:t>way, </w:t>
      </w:r>
      <w:r>
        <w:rPr>
          <w:spacing w:val="-3"/>
          <w:w w:val="120"/>
          <w:sz w:val="20"/>
        </w:rPr>
        <w:t>Youth </w:t>
      </w:r>
      <w:r>
        <w:rPr>
          <w:w w:val="120"/>
          <w:sz w:val="20"/>
        </w:rPr>
        <w:t>Assembly passed the resolution by consensus without further discussion. Such an immediate and heartfelt consensus on a sensitive issue is as much a rarity for </w:t>
      </w:r>
      <w:r>
        <w:rPr>
          <w:spacing w:val="-3"/>
          <w:w w:val="120"/>
          <w:sz w:val="20"/>
        </w:rPr>
        <w:t>Youth </w:t>
      </w:r>
      <w:r>
        <w:rPr>
          <w:w w:val="120"/>
          <w:sz w:val="20"/>
        </w:rPr>
        <w:t>Assembly as it is for all other groups in Church life. This should leave General Assembly in no doubt, then, with regards to the passion and sincerity with which </w:t>
      </w:r>
      <w:r>
        <w:rPr>
          <w:spacing w:val="-3"/>
          <w:w w:val="120"/>
          <w:sz w:val="20"/>
        </w:rPr>
        <w:t>Youth </w:t>
      </w:r>
      <w:r>
        <w:rPr>
          <w:w w:val="120"/>
          <w:sz w:val="20"/>
        </w:rPr>
        <w:t>Assembly makes the proposal of the following resolution to General</w:t>
      </w:r>
      <w:r>
        <w:rPr>
          <w:spacing w:val="18"/>
          <w:w w:val="120"/>
          <w:sz w:val="20"/>
        </w:rPr>
        <w:t> </w:t>
      </w:r>
      <w:r>
        <w:rPr>
          <w:w w:val="120"/>
          <w:sz w:val="20"/>
        </w:rPr>
        <w:t>Assembly.</w:t>
      </w:r>
    </w:p>
    <w:p>
      <w:pPr>
        <w:pStyle w:val="BodyText"/>
        <w:spacing w:before="11"/>
        <w:rPr>
          <w:sz w:val="18"/>
        </w:rPr>
      </w:pPr>
    </w:p>
    <w:p>
      <w:pPr>
        <w:pStyle w:val="Heading9"/>
        <w:ind w:left="1247" w:firstLine="0"/>
        <w:rPr>
          <w:rFonts w:ascii="Stone Sans II ITC Std X Bd"/>
          <w:b/>
        </w:rPr>
      </w:pPr>
      <w:r>
        <w:rPr>
          <w:rFonts w:ascii="Stone Sans II ITC Std X Bd"/>
          <w:b/>
          <w:w w:val="110"/>
        </w:rPr>
        <w:t>Education and training of pastoral care providers</w:t>
      </w:r>
    </w:p>
    <w:p>
      <w:pPr>
        <w:pStyle w:val="ListParagraph"/>
        <w:numPr>
          <w:ilvl w:val="1"/>
          <w:numId w:val="48"/>
        </w:numPr>
        <w:tabs>
          <w:tab w:pos="1927" w:val="left" w:leader="none"/>
          <w:tab w:pos="1928" w:val="left" w:leader="none"/>
        </w:tabs>
        <w:spacing w:line="235" w:lineRule="auto" w:before="0" w:after="0"/>
        <w:ind w:left="1247" w:right="2148" w:firstLine="0"/>
        <w:jc w:val="left"/>
        <w:rPr>
          <w:sz w:val="20"/>
        </w:rPr>
      </w:pPr>
      <w:r>
        <w:rPr>
          <w:w w:val="120"/>
          <w:sz w:val="20"/>
        </w:rPr>
        <w:t>Pastoral care provision is a core element of Christian ministry. It is through this discipline that personal, emotional and spiritual care is given to ensure that individuals can feel secure and comfortable in sharing their most difficult and painful issues, including mental ill health. It is also true to say that many offering pastoral care</w:t>
      </w:r>
      <w:r>
        <w:rPr>
          <w:spacing w:val="6"/>
          <w:w w:val="120"/>
          <w:sz w:val="20"/>
        </w:rPr>
        <w:t> </w:t>
      </w:r>
      <w:r>
        <w:rPr>
          <w:w w:val="120"/>
          <w:sz w:val="20"/>
        </w:rPr>
        <w:t>as</w:t>
      </w:r>
    </w:p>
    <w:p>
      <w:pPr>
        <w:pStyle w:val="BodyText"/>
        <w:spacing w:line="235" w:lineRule="auto"/>
        <w:ind w:left="1247" w:right="2167"/>
      </w:pPr>
      <w:r>
        <w:rPr>
          <w:w w:val="120"/>
        </w:rPr>
        <w:t>part of their ministry hold positions of influence and authority within local church communities and within the wider Church. It is of the utmost importance, then, that those providing pastoral care as part of their service within the URC be given ample opportunity to learn and develop the knowledge and skills necessary to deal with people facing issues relating to mental ill health as well as the stigma surrounding it.</w:t>
      </w:r>
    </w:p>
    <w:p>
      <w:pPr>
        <w:pStyle w:val="BodyText"/>
        <w:spacing w:before="9"/>
        <w:rPr>
          <w:sz w:val="19"/>
        </w:rPr>
      </w:pPr>
    </w:p>
    <w:p>
      <w:pPr>
        <w:pStyle w:val="ListParagraph"/>
        <w:numPr>
          <w:ilvl w:val="1"/>
          <w:numId w:val="48"/>
        </w:numPr>
        <w:tabs>
          <w:tab w:pos="1927" w:val="left" w:leader="none"/>
          <w:tab w:pos="1928" w:val="left" w:leader="none"/>
        </w:tabs>
        <w:spacing w:line="235" w:lineRule="auto" w:before="0" w:after="0"/>
        <w:ind w:left="1247" w:right="2637" w:firstLine="0"/>
        <w:jc w:val="left"/>
        <w:rPr>
          <w:sz w:val="20"/>
        </w:rPr>
      </w:pPr>
      <w:r>
        <w:rPr>
          <w:w w:val="120"/>
          <w:sz w:val="20"/>
        </w:rPr>
        <w:t>A proposal is made, therefore, that the education and learning committee, best placed to deal with issues of education and training within the URC, considers the way in which pastoral care providers are trained in this regard, hoping that any improvements or changes which may be required might be highlighted and</w:t>
      </w:r>
      <w:r>
        <w:rPr>
          <w:spacing w:val="5"/>
          <w:w w:val="120"/>
          <w:sz w:val="20"/>
        </w:rPr>
        <w:t> </w:t>
      </w:r>
      <w:r>
        <w:rPr>
          <w:w w:val="120"/>
          <w:sz w:val="20"/>
        </w:rPr>
        <w:t>implemented.</w:t>
      </w:r>
    </w:p>
    <w:p>
      <w:pPr>
        <w:pStyle w:val="BodyText"/>
        <w:spacing w:before="8"/>
        <w:rPr>
          <w:sz w:val="18"/>
        </w:rPr>
      </w:pPr>
    </w:p>
    <w:p>
      <w:pPr>
        <w:pStyle w:val="Heading9"/>
        <w:ind w:left="1247" w:firstLine="0"/>
        <w:rPr>
          <w:rFonts w:ascii="Stone Sans II ITC Std X Bd"/>
          <w:b/>
        </w:rPr>
      </w:pPr>
      <w:r>
        <w:rPr>
          <w:rFonts w:ascii="Stone Sans II ITC Std X Bd"/>
          <w:b/>
          <w:w w:val="110"/>
        </w:rPr>
        <w:t>Local church and synod support</w:t>
      </w:r>
    </w:p>
    <w:p>
      <w:pPr>
        <w:pStyle w:val="ListParagraph"/>
        <w:numPr>
          <w:ilvl w:val="1"/>
          <w:numId w:val="48"/>
        </w:numPr>
        <w:tabs>
          <w:tab w:pos="1927" w:val="left" w:leader="none"/>
          <w:tab w:pos="1928" w:val="left" w:leader="none"/>
        </w:tabs>
        <w:spacing w:line="235" w:lineRule="auto" w:before="0" w:after="0"/>
        <w:ind w:left="1247" w:right="2074" w:firstLine="0"/>
        <w:jc w:val="left"/>
        <w:rPr>
          <w:sz w:val="20"/>
        </w:rPr>
      </w:pPr>
      <w:r>
        <w:rPr>
          <w:w w:val="120"/>
          <w:sz w:val="20"/>
        </w:rPr>
        <w:t>Denominational action is vital. However, in terms of having an effect on the lives of people facing such issues in local communities, the consequences of such wider action are limited. It is crucial then, that synods and local churches be willing to join in this struggle by supporting agencies who can assist them in raising awareness in their communities as well as equip them to tackle the stigma of mental ill health and related issues head-on in their</w:t>
      </w:r>
      <w:r>
        <w:rPr>
          <w:spacing w:val="7"/>
          <w:w w:val="120"/>
          <w:sz w:val="20"/>
        </w:rPr>
        <w:t> </w:t>
      </w:r>
      <w:r>
        <w:rPr>
          <w:w w:val="120"/>
          <w:sz w:val="20"/>
        </w:rPr>
        <w:t>context.</w:t>
      </w:r>
    </w:p>
    <w:p>
      <w:pPr>
        <w:pStyle w:val="BodyText"/>
        <w:spacing w:before="7"/>
        <w:rPr>
          <w:sz w:val="19"/>
        </w:rPr>
      </w:pPr>
    </w:p>
    <w:p>
      <w:pPr>
        <w:pStyle w:val="ListParagraph"/>
        <w:numPr>
          <w:ilvl w:val="1"/>
          <w:numId w:val="48"/>
        </w:numPr>
        <w:tabs>
          <w:tab w:pos="1927" w:val="left" w:leader="none"/>
          <w:tab w:pos="1928" w:val="left" w:leader="none"/>
        </w:tabs>
        <w:spacing w:line="235" w:lineRule="auto" w:before="0" w:after="0"/>
        <w:ind w:left="1247" w:right="2717" w:firstLine="0"/>
        <w:jc w:val="left"/>
        <w:rPr>
          <w:sz w:val="20"/>
        </w:rPr>
      </w:pPr>
      <w:r>
        <w:rPr>
          <w:w w:val="120"/>
          <w:sz w:val="20"/>
        </w:rPr>
        <w:t>Campaigns such as </w:t>
      </w:r>
      <w:r>
        <w:rPr>
          <w:i/>
          <w:w w:val="120"/>
          <w:sz w:val="20"/>
        </w:rPr>
        <w:t>See </w:t>
      </w:r>
      <w:r>
        <w:rPr>
          <w:i/>
          <w:spacing w:val="-3"/>
          <w:w w:val="120"/>
          <w:sz w:val="20"/>
        </w:rPr>
        <w:t>Me</w:t>
      </w:r>
      <w:r>
        <w:rPr>
          <w:spacing w:val="-3"/>
          <w:w w:val="120"/>
          <w:sz w:val="20"/>
        </w:rPr>
        <w:t>, </w:t>
      </w:r>
      <w:r>
        <w:rPr>
          <w:w w:val="120"/>
          <w:sz w:val="20"/>
        </w:rPr>
        <w:t>in Scotland, and </w:t>
      </w:r>
      <w:r>
        <w:rPr>
          <w:i/>
          <w:w w:val="120"/>
          <w:sz w:val="20"/>
        </w:rPr>
        <w:t>Time to Change</w:t>
      </w:r>
      <w:r>
        <w:rPr>
          <w:w w:val="120"/>
          <w:sz w:val="20"/>
        </w:rPr>
        <w:t>, in England, for</w:t>
      </w:r>
      <w:r>
        <w:rPr>
          <w:spacing w:val="12"/>
          <w:w w:val="120"/>
          <w:sz w:val="20"/>
        </w:rPr>
        <w:t> </w:t>
      </w:r>
      <w:r>
        <w:rPr>
          <w:w w:val="120"/>
          <w:sz w:val="20"/>
        </w:rPr>
        <w:t>example,</w:t>
      </w:r>
      <w:r>
        <w:rPr>
          <w:spacing w:val="11"/>
          <w:w w:val="120"/>
          <w:sz w:val="20"/>
        </w:rPr>
        <w:t> </w:t>
      </w:r>
      <w:r>
        <w:rPr>
          <w:w w:val="120"/>
          <w:sz w:val="20"/>
        </w:rPr>
        <w:t>require</w:t>
      </w:r>
      <w:r>
        <w:rPr>
          <w:spacing w:val="12"/>
          <w:w w:val="120"/>
          <w:sz w:val="20"/>
        </w:rPr>
        <w:t> </w:t>
      </w:r>
      <w:r>
        <w:rPr>
          <w:w w:val="120"/>
          <w:sz w:val="20"/>
        </w:rPr>
        <w:t>local</w:t>
      </w:r>
      <w:r>
        <w:rPr>
          <w:spacing w:val="12"/>
          <w:w w:val="120"/>
          <w:sz w:val="20"/>
        </w:rPr>
        <w:t> </w:t>
      </w:r>
      <w:r>
        <w:rPr>
          <w:w w:val="120"/>
          <w:sz w:val="20"/>
        </w:rPr>
        <w:t>groups,</w:t>
      </w:r>
      <w:r>
        <w:rPr>
          <w:spacing w:val="12"/>
          <w:w w:val="120"/>
          <w:sz w:val="20"/>
        </w:rPr>
        <w:t> </w:t>
      </w:r>
      <w:r>
        <w:rPr>
          <w:w w:val="120"/>
          <w:sz w:val="20"/>
        </w:rPr>
        <w:t>including</w:t>
      </w:r>
      <w:r>
        <w:rPr>
          <w:spacing w:val="12"/>
          <w:w w:val="120"/>
          <w:sz w:val="20"/>
        </w:rPr>
        <w:t> </w:t>
      </w:r>
      <w:r>
        <w:rPr>
          <w:w w:val="120"/>
          <w:sz w:val="20"/>
        </w:rPr>
        <w:t>churches,</w:t>
      </w:r>
      <w:r>
        <w:rPr>
          <w:spacing w:val="12"/>
          <w:w w:val="120"/>
          <w:sz w:val="20"/>
        </w:rPr>
        <w:t> </w:t>
      </w:r>
      <w:r>
        <w:rPr>
          <w:w w:val="120"/>
          <w:sz w:val="20"/>
        </w:rPr>
        <w:t>not</w:t>
      </w:r>
      <w:r>
        <w:rPr>
          <w:spacing w:val="12"/>
          <w:w w:val="120"/>
          <w:sz w:val="20"/>
        </w:rPr>
        <w:t> </w:t>
      </w:r>
      <w:r>
        <w:rPr>
          <w:w w:val="120"/>
          <w:sz w:val="20"/>
        </w:rPr>
        <w:t>only</w:t>
      </w:r>
      <w:r>
        <w:rPr>
          <w:spacing w:val="12"/>
          <w:w w:val="120"/>
          <w:sz w:val="20"/>
        </w:rPr>
        <w:t> </w:t>
      </w:r>
      <w:r>
        <w:rPr>
          <w:w w:val="120"/>
          <w:sz w:val="20"/>
        </w:rPr>
        <w:t>to</w:t>
      </w:r>
      <w:r>
        <w:rPr>
          <w:spacing w:val="12"/>
          <w:w w:val="120"/>
          <w:sz w:val="20"/>
        </w:rPr>
        <w:t> </w:t>
      </w:r>
      <w:r>
        <w:rPr>
          <w:w w:val="120"/>
          <w:sz w:val="20"/>
        </w:rPr>
        <w:t>publicly</w:t>
      </w:r>
      <w:r>
        <w:rPr>
          <w:spacing w:val="12"/>
          <w:w w:val="120"/>
          <w:sz w:val="20"/>
        </w:rPr>
        <w:t> </w:t>
      </w:r>
      <w:r>
        <w:rPr>
          <w:w w:val="120"/>
          <w:sz w:val="20"/>
        </w:rPr>
        <w:t>sign</w:t>
      </w:r>
      <w:r>
        <w:rPr>
          <w:spacing w:val="12"/>
          <w:w w:val="120"/>
          <w:sz w:val="20"/>
        </w:rPr>
        <w:t> </w:t>
      </w:r>
      <w:r>
        <w:rPr>
          <w:w w:val="120"/>
          <w:sz w:val="20"/>
        </w:rPr>
        <w:t>a</w:t>
      </w:r>
    </w:p>
    <w:p>
      <w:pPr>
        <w:pStyle w:val="BodyText"/>
        <w:spacing w:line="235" w:lineRule="auto" w:before="2"/>
        <w:ind w:left="1247" w:right="2012"/>
      </w:pPr>
      <w:r>
        <w:rPr>
          <w:w w:val="120"/>
        </w:rPr>
        <w:t>declaration against the stigma of mental ill health, but also to pledge practical action.    In Lanarkshire, the United Reformed Churches and 200 other faith communities have signed the </w:t>
      </w:r>
      <w:r>
        <w:rPr>
          <w:i/>
          <w:w w:val="120"/>
        </w:rPr>
        <w:t>See Me </w:t>
      </w:r>
      <w:r>
        <w:rPr>
          <w:w w:val="120"/>
        </w:rPr>
        <w:t>pledge, as has the National Synod of Scotland. Some might pledge to hold events to raise awareness in their community, others to put up posters, others to host support groups, the possibilities are endless. The point is that action, rather than just words, is secured. Everyone has a role to play in tackling the stigma of mental ill health. And yes, that means</w:t>
      </w:r>
      <w:r>
        <w:rPr>
          <w:spacing w:val="8"/>
          <w:w w:val="120"/>
        </w:rPr>
        <w:t> </w:t>
      </w:r>
      <w:r>
        <w:rPr>
          <w:w w:val="120"/>
        </w:rPr>
        <w:t>you!</w:t>
      </w:r>
    </w:p>
    <w:p>
      <w:pPr>
        <w:spacing w:after="0" w:line="235" w:lineRule="auto"/>
        <w:sectPr>
          <w:headerReference w:type="even" r:id="rId207"/>
          <w:footerReference w:type="even" r:id="rId208"/>
          <w:footerReference w:type="default" r:id="rId209"/>
          <w:pgSz w:w="11910" w:h="16840"/>
          <w:pgMar w:header="0" w:footer="647" w:top="0" w:bottom="840" w:left="0" w:right="0"/>
          <w:pgNumType w:start="86"/>
        </w:sectPr>
      </w:pPr>
    </w:p>
    <w:p>
      <w:pPr>
        <w:pStyle w:val="BodyText"/>
      </w:pPr>
      <w:r>
        <w:rPr/>
        <w:drawing>
          <wp:anchor distT="0" distB="0" distL="0" distR="0" allowOverlap="1" layoutInCell="1" locked="0" behindDoc="0" simplePos="0" relativeHeight="251901952">
            <wp:simplePos x="0" y="0"/>
            <wp:positionH relativeFrom="page">
              <wp:posOffset>6974928</wp:posOffset>
            </wp:positionH>
            <wp:positionV relativeFrom="page">
              <wp:posOffset>0</wp:posOffset>
            </wp:positionV>
            <wp:extent cx="585063" cy="10692003"/>
            <wp:effectExtent l="0" t="0" r="0" b="0"/>
            <wp:wrapNone/>
            <wp:docPr id="161" name="image25.png"/>
            <wp:cNvGraphicFramePr>
              <a:graphicFrameLocks noChangeAspect="1"/>
            </wp:cNvGraphicFramePr>
            <a:graphic>
              <a:graphicData uri="http://schemas.openxmlformats.org/drawingml/2006/picture">
                <pic:pic>
                  <pic:nvPicPr>
                    <pic:cNvPr id="162" name="image25.png"/>
                    <pic:cNvPicPr/>
                  </pic:nvPicPr>
                  <pic:blipFill>
                    <a:blip r:embed="rId192"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pStyle w:val="Heading5"/>
        <w:ind w:left="7443"/>
      </w:pPr>
      <w:r>
        <w:rPr/>
        <w:pict>
          <v:shape style="position:absolute;margin-left:554.141174pt;margin-top:22.593945pt;width:25.9pt;height:267.8pt;mso-position-horizontal-relative:page;mso-position-vertical-relative:paragraph;z-index:251902976" type="#_x0000_t202" filled="false" stroked="false">
            <v:textbox inset="0,0,0,0" style="layout-flow:vertical">
              <w:txbxContent>
                <w:p>
                  <w:pPr>
                    <w:spacing w:before="27"/>
                    <w:ind w:left="20" w:right="0" w:firstLine="0"/>
                    <w:jc w:val="left"/>
                    <w:rPr>
                      <w:sz w:val="39"/>
                    </w:rPr>
                  </w:pPr>
                  <w:r>
                    <w:rPr>
                      <w:color w:val="FFFFFF"/>
                      <w:spacing w:val="3"/>
                      <w:w w:val="120"/>
                      <w:sz w:val="39"/>
                    </w:rPr>
                    <w:t>Children’s </w:t>
                  </w:r>
                  <w:r>
                    <w:rPr>
                      <w:color w:val="FFFFFF"/>
                      <w:spacing w:val="7"/>
                      <w:w w:val="120"/>
                      <w:sz w:val="39"/>
                    </w:rPr>
                    <w:t>and </w:t>
                  </w:r>
                  <w:r>
                    <w:rPr>
                      <w:color w:val="FFFFFF"/>
                      <w:spacing w:val="8"/>
                      <w:w w:val="120"/>
                      <w:sz w:val="39"/>
                    </w:rPr>
                    <w:t>youth</w:t>
                  </w:r>
                  <w:r>
                    <w:rPr>
                      <w:color w:val="FFFFFF"/>
                      <w:spacing w:val="-43"/>
                      <w:w w:val="120"/>
                      <w:sz w:val="39"/>
                    </w:rPr>
                    <w:t> </w:t>
                  </w:r>
                  <w:r>
                    <w:rPr>
                      <w:color w:val="FFFFFF"/>
                      <w:spacing w:val="7"/>
                      <w:w w:val="120"/>
                      <w:sz w:val="39"/>
                    </w:rPr>
                    <w:t>work</w:t>
                  </w:r>
                </w:p>
              </w:txbxContent>
            </v:textbox>
            <w10:wrap type="none"/>
          </v:shape>
        </w:pict>
      </w:r>
      <w:r>
        <w:rPr>
          <w:color w:val="7EAABF"/>
          <w:w w:val="115"/>
        </w:rPr>
        <w:t>Children’s and youth work</w:t>
      </w:r>
    </w:p>
    <w:p>
      <w:pPr>
        <w:pStyle w:val="ListParagraph"/>
        <w:numPr>
          <w:ilvl w:val="1"/>
          <w:numId w:val="48"/>
        </w:numPr>
        <w:tabs>
          <w:tab w:pos="2664" w:val="left" w:leader="none"/>
          <w:tab w:pos="2665" w:val="left" w:leader="none"/>
        </w:tabs>
        <w:spacing w:line="235" w:lineRule="auto" w:before="222" w:after="0"/>
        <w:ind w:left="1984" w:right="1424" w:firstLine="0"/>
        <w:jc w:val="left"/>
        <w:rPr>
          <w:sz w:val="20"/>
        </w:rPr>
      </w:pPr>
      <w:r>
        <w:rPr>
          <w:w w:val="120"/>
          <w:sz w:val="20"/>
        </w:rPr>
        <w:t>In URC </w:t>
      </w:r>
      <w:r>
        <w:rPr>
          <w:spacing w:val="2"/>
          <w:w w:val="120"/>
          <w:sz w:val="20"/>
        </w:rPr>
        <w:t>tradition, </w:t>
      </w:r>
      <w:r>
        <w:rPr>
          <w:w w:val="120"/>
          <w:sz w:val="20"/>
        </w:rPr>
        <w:t>it is neither the place of Youth </w:t>
      </w:r>
      <w:r>
        <w:rPr>
          <w:spacing w:val="2"/>
          <w:w w:val="120"/>
          <w:sz w:val="20"/>
        </w:rPr>
        <w:t>Assembly </w:t>
      </w:r>
      <w:r>
        <w:rPr>
          <w:w w:val="120"/>
          <w:sz w:val="20"/>
        </w:rPr>
        <w:t>or </w:t>
      </w:r>
      <w:r>
        <w:rPr>
          <w:spacing w:val="2"/>
          <w:w w:val="120"/>
          <w:sz w:val="20"/>
        </w:rPr>
        <w:t>General   Assembly </w:t>
      </w:r>
      <w:r>
        <w:rPr>
          <w:w w:val="120"/>
          <w:sz w:val="20"/>
        </w:rPr>
        <w:t>to </w:t>
      </w:r>
      <w:r>
        <w:rPr>
          <w:spacing w:val="3"/>
          <w:w w:val="120"/>
          <w:sz w:val="20"/>
        </w:rPr>
        <w:t>instruct </w:t>
      </w:r>
      <w:r>
        <w:rPr>
          <w:spacing w:val="2"/>
          <w:w w:val="120"/>
          <w:sz w:val="20"/>
        </w:rPr>
        <w:t>local </w:t>
      </w:r>
      <w:r>
        <w:rPr>
          <w:w w:val="120"/>
          <w:sz w:val="20"/>
        </w:rPr>
        <w:t>churches on the </w:t>
      </w:r>
      <w:r>
        <w:rPr>
          <w:spacing w:val="3"/>
          <w:w w:val="120"/>
          <w:sz w:val="20"/>
        </w:rPr>
        <w:t>best </w:t>
      </w:r>
      <w:r>
        <w:rPr>
          <w:w w:val="120"/>
          <w:sz w:val="20"/>
        </w:rPr>
        <w:t>way to </w:t>
      </w:r>
      <w:r>
        <w:rPr>
          <w:spacing w:val="3"/>
          <w:w w:val="120"/>
          <w:sz w:val="20"/>
        </w:rPr>
        <w:t>serve </w:t>
      </w:r>
      <w:r>
        <w:rPr>
          <w:spacing w:val="2"/>
          <w:w w:val="120"/>
          <w:sz w:val="20"/>
        </w:rPr>
        <w:t>God </w:t>
      </w:r>
      <w:r>
        <w:rPr>
          <w:w w:val="120"/>
          <w:sz w:val="20"/>
        </w:rPr>
        <w:t>in their own  locality. Only they, and </w:t>
      </w:r>
      <w:r>
        <w:rPr>
          <w:spacing w:val="2"/>
          <w:w w:val="120"/>
          <w:sz w:val="20"/>
        </w:rPr>
        <w:t>God, </w:t>
      </w:r>
      <w:r>
        <w:rPr>
          <w:w w:val="120"/>
          <w:sz w:val="20"/>
        </w:rPr>
        <w:t>can </w:t>
      </w:r>
      <w:r>
        <w:rPr>
          <w:spacing w:val="2"/>
          <w:w w:val="120"/>
          <w:sz w:val="20"/>
        </w:rPr>
        <w:t>truly </w:t>
      </w:r>
      <w:r>
        <w:rPr>
          <w:w w:val="120"/>
          <w:sz w:val="20"/>
        </w:rPr>
        <w:t>work this out. It is the </w:t>
      </w:r>
      <w:r>
        <w:rPr>
          <w:spacing w:val="2"/>
          <w:w w:val="120"/>
          <w:sz w:val="20"/>
        </w:rPr>
        <w:t>duty </w:t>
      </w:r>
      <w:r>
        <w:rPr>
          <w:w w:val="120"/>
          <w:sz w:val="20"/>
        </w:rPr>
        <w:t>of wider Church councils and </w:t>
      </w:r>
      <w:r>
        <w:rPr>
          <w:spacing w:val="2"/>
          <w:w w:val="120"/>
          <w:sz w:val="20"/>
        </w:rPr>
        <w:t>Assemblies, </w:t>
      </w:r>
      <w:r>
        <w:rPr>
          <w:w w:val="120"/>
          <w:sz w:val="20"/>
        </w:rPr>
        <w:t>however, to lead the way in encouraging  and  </w:t>
      </w:r>
      <w:r>
        <w:rPr>
          <w:spacing w:val="2"/>
          <w:w w:val="120"/>
          <w:sz w:val="20"/>
        </w:rPr>
        <w:t>equipping local </w:t>
      </w:r>
      <w:r>
        <w:rPr>
          <w:w w:val="120"/>
          <w:sz w:val="20"/>
        </w:rPr>
        <w:t>churches to </w:t>
      </w:r>
      <w:r>
        <w:rPr>
          <w:spacing w:val="3"/>
          <w:w w:val="120"/>
          <w:sz w:val="20"/>
        </w:rPr>
        <w:t>act </w:t>
      </w:r>
      <w:r>
        <w:rPr>
          <w:w w:val="120"/>
          <w:sz w:val="20"/>
        </w:rPr>
        <w:t>on </w:t>
      </w:r>
      <w:r>
        <w:rPr>
          <w:spacing w:val="2"/>
          <w:w w:val="120"/>
          <w:sz w:val="20"/>
        </w:rPr>
        <w:t>societal </w:t>
      </w:r>
      <w:r>
        <w:rPr>
          <w:w w:val="120"/>
          <w:sz w:val="20"/>
        </w:rPr>
        <w:t>issues in ways which are appropriate for their </w:t>
      </w:r>
      <w:r>
        <w:rPr>
          <w:spacing w:val="2"/>
          <w:w w:val="120"/>
          <w:sz w:val="20"/>
        </w:rPr>
        <w:t>localities. The </w:t>
      </w:r>
      <w:r>
        <w:rPr>
          <w:spacing w:val="3"/>
          <w:w w:val="120"/>
          <w:sz w:val="20"/>
        </w:rPr>
        <w:t>request, </w:t>
      </w:r>
      <w:r>
        <w:rPr>
          <w:w w:val="120"/>
          <w:sz w:val="20"/>
        </w:rPr>
        <w:t>then, is for </w:t>
      </w:r>
      <w:r>
        <w:rPr>
          <w:spacing w:val="2"/>
          <w:w w:val="120"/>
          <w:sz w:val="20"/>
        </w:rPr>
        <w:t>local </w:t>
      </w:r>
      <w:r>
        <w:rPr>
          <w:w w:val="120"/>
          <w:sz w:val="20"/>
        </w:rPr>
        <w:t>churches and </w:t>
      </w:r>
      <w:r>
        <w:rPr>
          <w:spacing w:val="2"/>
          <w:w w:val="120"/>
          <w:sz w:val="20"/>
        </w:rPr>
        <w:t>synods </w:t>
      </w:r>
      <w:r>
        <w:rPr>
          <w:w w:val="120"/>
          <w:sz w:val="20"/>
        </w:rPr>
        <w:t>to show that they are aware of the </w:t>
      </w:r>
      <w:r>
        <w:rPr>
          <w:spacing w:val="2"/>
          <w:w w:val="120"/>
          <w:sz w:val="20"/>
        </w:rPr>
        <w:t>importance </w:t>
      </w:r>
      <w:r>
        <w:rPr>
          <w:w w:val="120"/>
          <w:sz w:val="20"/>
        </w:rPr>
        <w:t>of </w:t>
      </w:r>
      <w:r>
        <w:rPr>
          <w:spacing w:val="2"/>
          <w:w w:val="120"/>
          <w:sz w:val="20"/>
        </w:rPr>
        <w:t>these </w:t>
      </w:r>
      <w:r>
        <w:rPr>
          <w:w w:val="120"/>
          <w:sz w:val="20"/>
        </w:rPr>
        <w:t>issues and think </w:t>
      </w:r>
      <w:r>
        <w:rPr>
          <w:spacing w:val="2"/>
          <w:w w:val="120"/>
          <w:sz w:val="20"/>
        </w:rPr>
        <w:t>carefully about </w:t>
      </w:r>
      <w:r>
        <w:rPr>
          <w:w w:val="120"/>
          <w:sz w:val="20"/>
        </w:rPr>
        <w:t>how they can </w:t>
      </w:r>
      <w:r>
        <w:rPr>
          <w:spacing w:val="3"/>
          <w:w w:val="120"/>
          <w:sz w:val="20"/>
        </w:rPr>
        <w:t>act   </w:t>
      </w:r>
      <w:r>
        <w:rPr>
          <w:w w:val="120"/>
          <w:sz w:val="20"/>
        </w:rPr>
        <w:t>in their </w:t>
      </w:r>
      <w:r>
        <w:rPr>
          <w:spacing w:val="2"/>
          <w:w w:val="120"/>
          <w:sz w:val="20"/>
        </w:rPr>
        <w:t>local </w:t>
      </w:r>
      <w:r>
        <w:rPr>
          <w:w w:val="120"/>
          <w:sz w:val="20"/>
        </w:rPr>
        <w:t>context to ease the </w:t>
      </w:r>
      <w:r>
        <w:rPr>
          <w:spacing w:val="2"/>
          <w:w w:val="120"/>
          <w:sz w:val="20"/>
        </w:rPr>
        <w:t>suffering </w:t>
      </w:r>
      <w:r>
        <w:rPr>
          <w:w w:val="120"/>
          <w:sz w:val="20"/>
        </w:rPr>
        <w:t>and pain caused by the </w:t>
      </w:r>
      <w:r>
        <w:rPr>
          <w:spacing w:val="2"/>
          <w:w w:val="120"/>
          <w:sz w:val="20"/>
        </w:rPr>
        <w:t>horror </w:t>
      </w:r>
      <w:r>
        <w:rPr>
          <w:w w:val="120"/>
          <w:sz w:val="20"/>
        </w:rPr>
        <w:t>that is the </w:t>
      </w:r>
      <w:r>
        <w:rPr>
          <w:spacing w:val="2"/>
          <w:w w:val="120"/>
          <w:sz w:val="20"/>
        </w:rPr>
        <w:t>stigma </w:t>
      </w:r>
      <w:r>
        <w:rPr>
          <w:w w:val="120"/>
          <w:sz w:val="20"/>
        </w:rPr>
        <w:t>of mental ill health. </w:t>
      </w:r>
      <w:r>
        <w:rPr>
          <w:spacing w:val="2"/>
          <w:w w:val="120"/>
          <w:sz w:val="20"/>
        </w:rPr>
        <w:t>Therefore, </w:t>
      </w:r>
      <w:r>
        <w:rPr>
          <w:w w:val="120"/>
          <w:sz w:val="20"/>
        </w:rPr>
        <w:t>the </w:t>
      </w:r>
      <w:r>
        <w:rPr>
          <w:spacing w:val="2"/>
          <w:w w:val="120"/>
          <w:sz w:val="20"/>
        </w:rPr>
        <w:t>resolution </w:t>
      </w:r>
      <w:r>
        <w:rPr>
          <w:w w:val="120"/>
          <w:sz w:val="20"/>
        </w:rPr>
        <w:t>is </w:t>
      </w:r>
      <w:r>
        <w:rPr>
          <w:spacing w:val="2"/>
          <w:w w:val="120"/>
          <w:sz w:val="20"/>
        </w:rPr>
        <w:t>offered </w:t>
      </w:r>
      <w:r>
        <w:rPr>
          <w:w w:val="120"/>
          <w:sz w:val="20"/>
        </w:rPr>
        <w:t>for the discussion and approval of </w:t>
      </w:r>
      <w:r>
        <w:rPr>
          <w:spacing w:val="2"/>
          <w:w w:val="120"/>
          <w:sz w:val="20"/>
        </w:rPr>
        <w:t>General</w:t>
      </w:r>
      <w:r>
        <w:rPr>
          <w:spacing w:val="19"/>
          <w:w w:val="120"/>
          <w:sz w:val="20"/>
        </w:rPr>
        <w:t> </w:t>
      </w:r>
      <w:r>
        <w:rPr>
          <w:w w:val="120"/>
          <w:sz w:val="20"/>
        </w:rPr>
        <w:t>Assembly.</w:t>
      </w:r>
    </w:p>
    <w:p>
      <w:pPr>
        <w:spacing w:after="0" w:line="235" w:lineRule="auto"/>
        <w:jc w:val="left"/>
        <w:rPr>
          <w:sz w:val="20"/>
        </w:rPr>
        <w:sectPr>
          <w:headerReference w:type="default" r:id="rId210"/>
          <w:pgSz w:w="11910" w:h="16840"/>
          <w:pgMar w:header="0" w:footer="647" w:top="0" w:bottom="840" w:left="0" w:right="0"/>
        </w:sectPr>
      </w:pPr>
    </w:p>
    <w:p>
      <w:pPr>
        <w:pStyle w:val="BodyText"/>
      </w:pPr>
      <w:r>
        <w:rPr/>
        <w:pict>
          <v:rect style="position:absolute;margin-left:594.374023pt;margin-top:.000015pt;width:.901pt;height:841.89pt;mso-position-horizontal-relative:page;mso-position-vertical-relative:page;z-index:251904000" filled="true" fillcolor="#d3e5c3" stroked="false">
            <v:fill type="solid"/>
            <w10:wrap type="none"/>
          </v:rect>
        </w:pict>
      </w:r>
      <w:r>
        <w:rPr/>
        <w:pict>
          <v:group style="position:absolute;margin-left:0pt;margin-top:.000015pt;width:518.75pt;height:841.9pt;mso-position-horizontal-relative:page;mso-position-vertical-relative:page;z-index:-267371520" coordorigin="0,0" coordsize="10375,16838">
            <v:rect style="position:absolute;left:935;top:0;width:9440;height:16838" filled="true" fillcolor="#d3e5c3" stroked="false">
              <v:fill type="solid"/>
            </v:rect>
            <v:shape style="position:absolute;left:0;top:0;width:936;height:16838" type="#_x0000_t75" stroked="false">
              <v:imagedata r:id="rId198" o:title=""/>
            </v:shape>
            <w10:wrap type="none"/>
          </v:group>
        </w:pict>
      </w:r>
    </w:p>
    <w:p>
      <w:pPr>
        <w:pStyle w:val="BodyText"/>
      </w:pPr>
    </w:p>
    <w:p>
      <w:pPr>
        <w:pStyle w:val="BodyText"/>
      </w:pPr>
    </w:p>
    <w:p>
      <w:pPr>
        <w:pStyle w:val="BodyText"/>
        <w:spacing w:before="5"/>
        <w:rPr>
          <w:sz w:val="28"/>
        </w:rPr>
      </w:pPr>
    </w:p>
    <w:p>
      <w:pPr>
        <w:pStyle w:val="Heading2"/>
        <w:spacing w:line="213" w:lineRule="auto"/>
        <w:rPr>
          <w:b/>
        </w:rPr>
      </w:pPr>
      <w:r>
        <w:rPr/>
        <w:pict>
          <v:shape style="position:absolute;margin-left:20.519100pt;margin-top:-5.989334pt;width:25.9pt;height:308.850pt;mso-position-horizontal-relative:page;mso-position-vertical-relative:paragraph;z-index:251909120" type="#_x0000_t202" filled="false" stroked="false">
            <v:textbox inset="0,0,0,0" style="layout-flow:vertical">
              <w:txbxContent>
                <w:p>
                  <w:pPr>
                    <w:spacing w:before="27"/>
                    <w:ind w:left="20" w:right="0" w:firstLine="0"/>
                    <w:jc w:val="left"/>
                    <w:rPr>
                      <w:sz w:val="39"/>
                    </w:rPr>
                  </w:pPr>
                  <w:r>
                    <w:rPr>
                      <w:color w:val="FFFFFF"/>
                      <w:w w:val="120"/>
                      <w:sz w:val="39"/>
                    </w:rPr>
                    <w:t>Communications and editorial</w:t>
                  </w:r>
                </w:p>
              </w:txbxContent>
            </v:textbox>
            <w10:wrap type="none"/>
          </v:shape>
        </w:pict>
      </w:r>
      <w:bookmarkStart w:name="_bookmark16" w:id="18"/>
      <w:bookmarkEnd w:id="18"/>
      <w:r>
        <w:rPr>
          <w:b w:val="0"/>
        </w:rPr>
      </w:r>
      <w:r>
        <w:rPr>
          <w:b/>
          <w:color w:val="41A62B"/>
          <w:w w:val="110"/>
        </w:rPr>
        <w:t>Communications and editorial Committee:</w:t>
      </w:r>
    </w:p>
    <w:p>
      <w:pPr>
        <w:spacing w:line="213" w:lineRule="auto" w:before="0"/>
        <w:ind w:left="1247" w:right="0" w:firstLine="0"/>
        <w:jc w:val="left"/>
        <w:rPr>
          <w:rFonts w:ascii="Stone Sans II ITC Std X Bd"/>
          <w:b/>
          <w:sz w:val="50"/>
        </w:rPr>
      </w:pPr>
      <w:r>
        <w:rPr>
          <w:rFonts w:ascii="Stone Sans II ITC Std X Bd"/>
          <w:b/>
          <w:w w:val="110"/>
          <w:sz w:val="50"/>
        </w:rPr>
        <w:t>Communications and editorial departmental review</w:t>
      </w:r>
    </w:p>
    <w:p>
      <w:pPr>
        <w:pStyle w:val="BodyText"/>
        <w:spacing w:before="375" w:after="27"/>
        <w:ind w:left="1247"/>
      </w:pPr>
      <w:r>
        <w:rPr/>
        <w:pict>
          <v:shape style="position:absolute;margin-left:62.612003pt;margin-top:32.521370pt;width:462.1pt;height:91.55pt;mso-position-horizontal-relative:page;mso-position-vertical-relative:paragraph;z-index:-267370496" coordorigin="1252,650" coordsize="9242,1831" path="m10494,650l3912,650,1252,650,1252,2481,3912,2481,10494,2481,10494,650e" filled="true" fillcolor="#ffffff" stroked="false">
            <v:path arrowok="t"/>
            <v:fill type="solid"/>
            <w10:wrap type="none"/>
          </v:shape>
        </w:pict>
      </w:r>
      <w:r>
        <w:rPr>
          <w:w w:val="120"/>
        </w:rPr>
        <w:t>Basic Information</w:t>
      </w:r>
    </w:p>
    <w:tbl>
      <w:tblPr>
        <w:tblW w:w="0" w:type="auto"/>
        <w:jc w:val="left"/>
        <w:tblInd w:w="1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pPr>
              <w:pStyle w:val="TableParagraph"/>
              <w:spacing w:line="235" w:lineRule="auto" w:before="145"/>
              <w:ind w:right="2341"/>
              <w:rPr>
                <w:sz w:val="20"/>
              </w:rPr>
            </w:pPr>
            <w:r>
              <w:rPr>
                <w:w w:val="120"/>
                <w:sz w:val="20"/>
              </w:rPr>
              <w:t>John Humphreys </w:t>
            </w:r>
            <w:hyperlink r:id="rId213">
              <w:r>
                <w:rPr>
                  <w:w w:val="120"/>
                  <w:sz w:val="20"/>
                </w:rPr>
                <w:t>jhumphreys@urcscotland.org.uk</w:t>
              </w:r>
            </w:hyperlink>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Action required</w:t>
            </w:r>
          </w:p>
        </w:tc>
        <w:tc>
          <w:tcPr>
            <w:tcW w:w="6582" w:type="dxa"/>
            <w:shd w:val="clear" w:color="auto" w:fill="FFFFFF"/>
          </w:tcPr>
          <w:p>
            <w:pPr>
              <w:pStyle w:val="TableParagraph"/>
              <w:spacing w:before="141"/>
              <w:rPr>
                <w:sz w:val="20"/>
              </w:rPr>
            </w:pPr>
            <w:r>
              <w:rPr>
                <w:w w:val="120"/>
                <w:sz w:val="20"/>
              </w:rPr>
              <w:t>None – information only</w:t>
            </w:r>
          </w:p>
        </w:tc>
      </w:tr>
      <w:tr>
        <w:trPr>
          <w:trHeight w:val="68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Draft resolution(s)</w:t>
            </w:r>
          </w:p>
        </w:tc>
        <w:tc>
          <w:tcPr>
            <w:tcW w:w="6582" w:type="dxa"/>
            <w:shd w:val="clear" w:color="auto" w:fill="FFFFFF"/>
          </w:tcPr>
          <w:p>
            <w:pPr>
              <w:pStyle w:val="TableParagraph"/>
              <w:spacing w:before="128"/>
              <w:rPr>
                <w:rFonts w:ascii="Stone Sans II ITC Std Bk"/>
                <w:b/>
                <w:sz w:val="20"/>
              </w:rPr>
            </w:pPr>
            <w:r>
              <w:rPr>
                <w:rFonts w:ascii="Stone Sans II ITC Std Bk"/>
                <w:b/>
                <w:w w:val="110"/>
                <w:sz w:val="20"/>
              </w:rPr>
              <w:t>None</w:t>
            </w:r>
          </w:p>
        </w:tc>
      </w:tr>
    </w:tbl>
    <w:p>
      <w:pPr>
        <w:pStyle w:val="BodyText"/>
        <w:rPr>
          <w:sz w:val="24"/>
        </w:rPr>
      </w:pPr>
    </w:p>
    <w:p>
      <w:pPr>
        <w:pStyle w:val="BodyText"/>
        <w:spacing w:before="156" w:after="27"/>
        <w:ind w:left="1247"/>
      </w:pPr>
      <w:r>
        <w:rPr/>
        <w:pict>
          <v:shape style="position:absolute;margin-left:62.612003pt;margin-top:21.571665pt;width:462.1pt;height:150.050pt;mso-position-horizontal-relative:page;mso-position-vertical-relative:paragraph;z-index:-267369472" coordorigin="1252,431" coordsize="9242,3001" path="m10494,431l3912,431,1252,431,1252,3432,3912,3432,10494,3432,10494,431e" filled="true" fillcolor="#ffffff" stroked="false">
            <v:path arrowok="t"/>
            <v:fill type="solid"/>
            <w10:wrap type="none"/>
          </v:shape>
        </w:pict>
      </w:r>
      <w:r>
        <w:rPr>
          <w:w w:val="120"/>
        </w:rPr>
        <w:t>Summary of Content</w:t>
      </w:r>
    </w:p>
    <w:tbl>
      <w:tblPr>
        <w:tblW w:w="0" w:type="auto"/>
        <w:jc w:val="left"/>
        <w:tblInd w:w="1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Subject and aim(s)</w:t>
            </w:r>
          </w:p>
        </w:tc>
        <w:tc>
          <w:tcPr>
            <w:tcW w:w="6582" w:type="dxa"/>
            <w:shd w:val="clear" w:color="auto" w:fill="FFFFFF"/>
          </w:tcPr>
          <w:p>
            <w:pPr>
              <w:pStyle w:val="TableParagraph"/>
              <w:spacing w:line="235" w:lineRule="auto" w:before="145"/>
              <w:ind w:right="223"/>
              <w:rPr>
                <w:sz w:val="20"/>
              </w:rPr>
            </w:pPr>
            <w:r>
              <w:rPr>
                <w:w w:val="120"/>
                <w:sz w:val="20"/>
              </w:rPr>
              <w:t>To provide Assembly with an update on the ongoing review of the communications and editorial department</w:t>
            </w:r>
          </w:p>
        </w:tc>
      </w:tr>
      <w:tr>
        <w:trPr>
          <w:trHeight w:val="92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Main points</w:t>
            </w:r>
          </w:p>
        </w:tc>
        <w:tc>
          <w:tcPr>
            <w:tcW w:w="6582" w:type="dxa"/>
            <w:shd w:val="clear" w:color="auto" w:fill="FFFFFF"/>
          </w:tcPr>
          <w:p>
            <w:pPr>
              <w:pStyle w:val="TableParagraph"/>
              <w:spacing w:line="235" w:lineRule="auto" w:before="145"/>
              <w:ind w:right="223"/>
              <w:rPr>
                <w:sz w:val="20"/>
              </w:rPr>
            </w:pPr>
            <w:r>
              <w:rPr>
                <w:w w:val="120"/>
                <w:sz w:val="20"/>
              </w:rPr>
              <w:t>To outline the purpose of the review and highlight the developing work of the department, even during a period of uncertainty and change</w:t>
            </w:r>
          </w:p>
        </w:tc>
      </w:tr>
      <w:tr>
        <w:trPr>
          <w:trHeight w:val="680" w:hRule="atLeast"/>
        </w:trPr>
        <w:tc>
          <w:tcPr>
            <w:tcW w:w="2660" w:type="dxa"/>
            <w:shd w:val="clear" w:color="auto" w:fill="FFFFFF"/>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582" w:type="dxa"/>
            <w:shd w:val="clear" w:color="auto" w:fill="FFFFFF"/>
          </w:tcPr>
          <w:p>
            <w:pPr>
              <w:pStyle w:val="TableParagraph"/>
              <w:spacing w:before="141"/>
              <w:rPr>
                <w:sz w:val="20"/>
              </w:rPr>
            </w:pPr>
            <w:r>
              <w:rPr>
                <w:w w:val="120"/>
                <w:sz w:val="20"/>
              </w:rPr>
              <w:t>None</w:t>
            </w:r>
          </w:p>
        </w:tc>
      </w:tr>
      <w:tr>
        <w:trPr>
          <w:trHeight w:val="680" w:hRule="atLeast"/>
        </w:trPr>
        <w:tc>
          <w:tcPr>
            <w:tcW w:w="2660" w:type="dxa"/>
            <w:shd w:val="clear" w:color="auto" w:fill="FFFFFF"/>
          </w:tcPr>
          <w:p>
            <w:pPr>
              <w:pStyle w:val="TableParagraph"/>
              <w:spacing w:line="213" w:lineRule="auto" w:before="151"/>
              <w:ind w:right="104"/>
              <w:rPr>
                <w:rFonts w:ascii="Stone Sans II ITC Std Bk"/>
                <w:b/>
                <w:sz w:val="20"/>
              </w:rPr>
            </w:pPr>
            <w:r>
              <w:rPr>
                <w:rFonts w:ascii="Stone Sans II ITC Std Bk"/>
                <w:b/>
                <w:w w:val="110"/>
                <w:sz w:val="20"/>
              </w:rPr>
              <w:t>Consultation has taken place with...</w:t>
            </w:r>
          </w:p>
        </w:tc>
        <w:tc>
          <w:tcPr>
            <w:tcW w:w="6582" w:type="dxa"/>
            <w:shd w:val="clear" w:color="auto" w:fill="FFFFFF"/>
          </w:tcPr>
          <w:p>
            <w:pPr>
              <w:pStyle w:val="TableParagraph"/>
              <w:spacing w:line="235" w:lineRule="auto" w:before="145"/>
              <w:ind w:right="223"/>
              <w:rPr>
                <w:sz w:val="20"/>
              </w:rPr>
            </w:pPr>
            <w:r>
              <w:rPr>
                <w:w w:val="120"/>
                <w:sz w:val="20"/>
              </w:rPr>
              <w:t>The communications and editorial committee, questionnaires and group discussions at March 2014 Mission Council</w:t>
            </w:r>
          </w:p>
        </w:tc>
      </w:tr>
    </w:tbl>
    <w:p>
      <w:pPr>
        <w:pStyle w:val="BodyText"/>
        <w:rPr>
          <w:sz w:val="24"/>
        </w:rPr>
      </w:pPr>
    </w:p>
    <w:p>
      <w:pPr>
        <w:pStyle w:val="BodyText"/>
        <w:spacing w:before="156" w:after="27"/>
        <w:ind w:left="1247"/>
      </w:pPr>
      <w:r>
        <w:rPr/>
        <w:pict>
          <v:shape style="position:absolute;margin-left:62.612003pt;margin-top:21.57127pt;width:462.1pt;height:69.05pt;mso-position-horizontal-relative:page;mso-position-vertical-relative:paragraph;z-index:-267368448" coordorigin="1252,431" coordsize="9242,1381" path="m10494,431l3912,431,1252,431,1252,1812,3912,1812,10494,1812,10494,431e" filled="true" fillcolor="#ffffff" stroked="false">
            <v:path arrowok="t"/>
            <v:fill type="solid"/>
            <w10:wrap type="none"/>
          </v:shape>
        </w:pict>
      </w:r>
      <w:r>
        <w:rPr>
          <w:w w:val="120"/>
        </w:rPr>
        <w:t>Summary of Impact</w:t>
      </w:r>
    </w:p>
    <w:tbl>
      <w:tblPr>
        <w:tblW w:w="0" w:type="auto"/>
        <w:jc w:val="left"/>
        <w:tblInd w:w="1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582" w:type="dxa"/>
            <w:shd w:val="clear" w:color="auto" w:fill="FFFFFF"/>
          </w:tcPr>
          <w:p>
            <w:pPr>
              <w:pStyle w:val="TableParagraph"/>
              <w:spacing w:line="235" w:lineRule="auto" w:before="145"/>
              <w:ind w:right="223"/>
              <w:rPr>
                <w:sz w:val="20"/>
              </w:rPr>
            </w:pPr>
            <w:r>
              <w:rPr>
                <w:w w:val="120"/>
                <w:sz w:val="20"/>
              </w:rPr>
              <w:t>None attached to this paper, but the review itself could have financial implications</w:t>
            </w:r>
          </w:p>
        </w:tc>
      </w:tr>
      <w:tr>
        <w:trPr>
          <w:trHeight w:val="68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582" w:type="dxa"/>
            <w:shd w:val="clear" w:color="auto" w:fill="FFFFFF"/>
          </w:tcPr>
          <w:p>
            <w:pPr>
              <w:pStyle w:val="TableParagraph"/>
              <w:spacing w:before="141"/>
              <w:rPr>
                <w:sz w:val="20"/>
              </w:rPr>
            </w:pPr>
            <w:r>
              <w:rPr>
                <w:w w:val="120"/>
                <w:sz w:val="20"/>
              </w:rPr>
              <w:t>None attached to this paper.</w:t>
            </w:r>
          </w:p>
        </w:tc>
      </w:tr>
    </w:tbl>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Heading8"/>
        <w:spacing w:before="196"/>
        <w:ind w:left="1247"/>
      </w:pPr>
      <w:r>
        <w:rPr>
          <w:rFonts w:ascii="Stone Sans II ITC Std X Bd" w:hAnsi="Stone Sans II ITC Std X Bd"/>
          <w:b/>
          <w:w w:val="110"/>
          <w:sz w:val="24"/>
        </w:rPr>
        <w:t>88 </w:t>
      </w:r>
      <w:r>
        <w:rPr>
          <w:rFonts w:ascii="Symbol" w:hAnsi="Symbol"/>
          <w:color w:val="7EAABF"/>
          <w:w w:val="110"/>
        </w:rPr>
        <w:t></w:t>
      </w:r>
      <w:r>
        <w:rPr>
          <w:rFonts w:ascii="Times New Roman" w:hAnsi="Times New Roman"/>
          <w:color w:val="7EAABF"/>
          <w:w w:val="110"/>
        </w:rPr>
        <w:t> </w:t>
      </w: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2014</w:t>
      </w:r>
    </w:p>
    <w:p>
      <w:pPr>
        <w:spacing w:after="0"/>
        <w:sectPr>
          <w:headerReference w:type="even" r:id="rId211"/>
          <w:footerReference w:type="even" r:id="rId212"/>
          <w:pgSz w:w="11910" w:h="16840"/>
          <w:pgMar w:header="0" w:footer="0" w:top="0" w:bottom="0" w:left="0" w:right="0"/>
        </w:sectPr>
      </w:pPr>
    </w:p>
    <w:p>
      <w:pPr>
        <w:pStyle w:val="BodyText"/>
      </w:pPr>
      <w:r>
        <w:rPr/>
        <w:drawing>
          <wp:anchor distT="0" distB="0" distL="0" distR="0" allowOverlap="1" layoutInCell="1" locked="0" behindDoc="0" simplePos="0" relativeHeight="251910144">
            <wp:simplePos x="0" y="0"/>
            <wp:positionH relativeFrom="page">
              <wp:posOffset>6974928</wp:posOffset>
            </wp:positionH>
            <wp:positionV relativeFrom="page">
              <wp:posOffset>0</wp:posOffset>
            </wp:positionV>
            <wp:extent cx="585063" cy="10692003"/>
            <wp:effectExtent l="0" t="0" r="0" b="0"/>
            <wp:wrapNone/>
            <wp:docPr id="163" name="image25.png"/>
            <wp:cNvGraphicFramePr>
              <a:graphicFrameLocks noChangeAspect="1"/>
            </wp:cNvGraphicFramePr>
            <a:graphic>
              <a:graphicData uri="http://schemas.openxmlformats.org/drawingml/2006/picture">
                <pic:pic>
                  <pic:nvPicPr>
                    <pic:cNvPr id="164" name="image25.png"/>
                    <pic:cNvPicPr/>
                  </pic:nvPicPr>
                  <pic:blipFill>
                    <a:blip r:embed="rId192"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pStyle w:val="Heading5"/>
        <w:ind w:left="6949"/>
      </w:pPr>
      <w:r>
        <w:rPr/>
        <w:pict>
          <v:shape style="position:absolute;margin-left:554.141174pt;margin-top:22.593945pt;width:25.9pt;height:308.850pt;mso-position-horizontal-relative:page;mso-position-vertical-relative:paragraph;z-index:251911168" type="#_x0000_t202" filled="false" stroked="false">
            <v:textbox inset="0,0,0,0" style="layout-flow:vertical">
              <w:txbxContent>
                <w:p>
                  <w:pPr>
                    <w:spacing w:before="27"/>
                    <w:ind w:left="20" w:right="0" w:firstLine="0"/>
                    <w:jc w:val="left"/>
                    <w:rPr>
                      <w:sz w:val="39"/>
                    </w:rPr>
                  </w:pPr>
                  <w:r>
                    <w:rPr>
                      <w:color w:val="FFFFFF"/>
                      <w:w w:val="120"/>
                      <w:sz w:val="39"/>
                    </w:rPr>
                    <w:t>Communications and editorial</w:t>
                  </w:r>
                </w:p>
              </w:txbxContent>
            </v:textbox>
            <w10:wrap type="none"/>
          </v:shape>
        </w:pict>
      </w:r>
      <w:bookmarkStart w:name="_TOC_250009" w:id="19"/>
      <w:bookmarkEnd w:id="19"/>
      <w:r>
        <w:rPr>
          <w:color w:val="7EAABF"/>
          <w:w w:val="115"/>
        </w:rPr>
        <w:t>Communications and editorial</w:t>
      </w:r>
    </w:p>
    <w:p>
      <w:pPr>
        <w:pStyle w:val="BodyText"/>
        <w:spacing w:before="8"/>
        <w:rPr>
          <w:sz w:val="24"/>
        </w:rPr>
      </w:pPr>
    </w:p>
    <w:p>
      <w:pPr>
        <w:spacing w:line="213" w:lineRule="auto" w:before="1"/>
        <w:ind w:left="1984" w:right="0" w:firstLine="0"/>
        <w:jc w:val="left"/>
        <w:rPr>
          <w:rFonts w:ascii="Stone Sans II ITC Std X Bd"/>
          <w:b/>
          <w:sz w:val="50"/>
        </w:rPr>
      </w:pPr>
      <w:r>
        <w:rPr>
          <w:rFonts w:ascii="Stone Sans II ITC Std X Bd"/>
          <w:b/>
          <w:w w:val="110"/>
          <w:sz w:val="50"/>
        </w:rPr>
        <w:t>Communications and editorial departmental review</w:t>
      </w:r>
    </w:p>
    <w:p>
      <w:pPr>
        <w:pStyle w:val="ListParagraph"/>
        <w:numPr>
          <w:ilvl w:val="0"/>
          <w:numId w:val="49"/>
        </w:numPr>
        <w:tabs>
          <w:tab w:pos="2704" w:val="left" w:leader="none"/>
          <w:tab w:pos="2705" w:val="left" w:leader="none"/>
        </w:tabs>
        <w:spacing w:line="235" w:lineRule="auto" w:before="381" w:after="0"/>
        <w:ind w:left="1984" w:right="1419" w:firstLine="0"/>
        <w:jc w:val="left"/>
        <w:rPr>
          <w:sz w:val="20"/>
        </w:rPr>
      </w:pPr>
      <w:r>
        <w:rPr>
          <w:w w:val="120"/>
          <w:sz w:val="20"/>
        </w:rPr>
        <w:t>The communications and editorial department is in the throes of reviewing the range of activities of the department. ‘Throes’ because this is not without pain; it is challenging to prepare for the next period in an ever-changing social context. Central to the review is the need to serve the United Reformed Church efficiently and cost- effectively in the short-to-medium-term, both in its ‘internal communications’ and in communicating the United Reformed </w:t>
      </w:r>
      <w:r>
        <w:rPr>
          <w:spacing w:val="-3"/>
          <w:w w:val="120"/>
          <w:sz w:val="20"/>
        </w:rPr>
        <w:t>Church’s </w:t>
      </w:r>
      <w:r>
        <w:rPr>
          <w:spacing w:val="2"/>
          <w:w w:val="120"/>
          <w:sz w:val="20"/>
        </w:rPr>
        <w:t>part </w:t>
      </w:r>
      <w:r>
        <w:rPr>
          <w:w w:val="120"/>
          <w:sz w:val="20"/>
        </w:rPr>
        <w:t>in the mission of God to external audiences, including the</w:t>
      </w:r>
      <w:r>
        <w:rPr>
          <w:spacing w:val="8"/>
          <w:w w:val="120"/>
          <w:sz w:val="20"/>
        </w:rPr>
        <w:t> </w:t>
      </w:r>
      <w:r>
        <w:rPr>
          <w:w w:val="120"/>
          <w:sz w:val="20"/>
        </w:rPr>
        <w:t>unchurched.</w:t>
      </w:r>
    </w:p>
    <w:p>
      <w:pPr>
        <w:pStyle w:val="BodyText"/>
        <w:spacing w:before="1"/>
      </w:pPr>
    </w:p>
    <w:p>
      <w:pPr>
        <w:pStyle w:val="ListParagraph"/>
        <w:numPr>
          <w:ilvl w:val="0"/>
          <w:numId w:val="49"/>
        </w:numPr>
        <w:tabs>
          <w:tab w:pos="2664" w:val="left" w:leader="none"/>
          <w:tab w:pos="2665" w:val="left" w:leader="none"/>
        </w:tabs>
        <w:spacing w:line="235" w:lineRule="auto" w:before="0" w:after="0"/>
        <w:ind w:left="1984" w:right="1443" w:firstLine="0"/>
        <w:jc w:val="left"/>
        <w:rPr>
          <w:sz w:val="20"/>
        </w:rPr>
      </w:pPr>
      <w:r>
        <w:rPr>
          <w:w w:val="120"/>
          <w:sz w:val="20"/>
        </w:rPr>
        <w:t>The review started in January </w:t>
      </w:r>
      <w:r>
        <w:rPr>
          <w:spacing w:val="-7"/>
          <w:w w:val="120"/>
          <w:sz w:val="20"/>
        </w:rPr>
        <w:t>2014 </w:t>
      </w:r>
      <w:r>
        <w:rPr>
          <w:w w:val="120"/>
          <w:sz w:val="20"/>
        </w:rPr>
        <w:t>and, at the time of writing (March </w:t>
      </w:r>
      <w:r>
        <w:rPr>
          <w:spacing w:val="-8"/>
          <w:w w:val="120"/>
          <w:sz w:val="20"/>
        </w:rPr>
        <w:t>2014), </w:t>
      </w:r>
      <w:r>
        <w:rPr>
          <w:w w:val="120"/>
          <w:sz w:val="20"/>
        </w:rPr>
        <w:t>is progressing. It is envisaged that the committee will </w:t>
      </w:r>
      <w:r>
        <w:rPr>
          <w:spacing w:val="2"/>
          <w:w w:val="120"/>
          <w:sz w:val="20"/>
        </w:rPr>
        <w:t>report </w:t>
      </w:r>
      <w:r>
        <w:rPr>
          <w:w w:val="120"/>
          <w:sz w:val="20"/>
        </w:rPr>
        <w:t>to the November meeting of Mission Council and, if necessary, bring resolutions to that meeting, with the aim of implementing changes in</w:t>
      </w:r>
      <w:r>
        <w:rPr>
          <w:spacing w:val="8"/>
          <w:w w:val="120"/>
          <w:sz w:val="20"/>
        </w:rPr>
        <w:t> </w:t>
      </w:r>
      <w:r>
        <w:rPr>
          <w:spacing w:val="-7"/>
          <w:w w:val="120"/>
          <w:sz w:val="20"/>
        </w:rPr>
        <w:t>2015.</w:t>
      </w:r>
    </w:p>
    <w:p>
      <w:pPr>
        <w:pStyle w:val="BodyText"/>
        <w:spacing w:before="11"/>
        <w:rPr>
          <w:sz w:val="19"/>
        </w:rPr>
      </w:pPr>
    </w:p>
    <w:p>
      <w:pPr>
        <w:pStyle w:val="ListParagraph"/>
        <w:numPr>
          <w:ilvl w:val="0"/>
          <w:numId w:val="49"/>
        </w:numPr>
        <w:tabs>
          <w:tab w:pos="2664" w:val="left" w:leader="none"/>
          <w:tab w:pos="2665" w:val="left" w:leader="none"/>
        </w:tabs>
        <w:spacing w:line="235" w:lineRule="auto" w:before="1" w:after="0"/>
        <w:ind w:left="1984" w:right="1559" w:firstLine="0"/>
        <w:jc w:val="left"/>
        <w:rPr>
          <w:sz w:val="20"/>
        </w:rPr>
      </w:pPr>
      <w:r>
        <w:rPr>
          <w:w w:val="120"/>
          <w:sz w:val="20"/>
        </w:rPr>
        <w:t>The department’s work continues – and is developing – despite the questions posed by the</w:t>
      </w:r>
      <w:r>
        <w:rPr>
          <w:spacing w:val="6"/>
          <w:w w:val="120"/>
          <w:sz w:val="20"/>
        </w:rPr>
        <w:t> </w:t>
      </w:r>
      <w:r>
        <w:rPr>
          <w:w w:val="120"/>
          <w:sz w:val="20"/>
        </w:rPr>
        <w:t>review.</w:t>
      </w:r>
    </w:p>
    <w:p>
      <w:pPr>
        <w:pStyle w:val="BodyText"/>
        <w:spacing w:before="9"/>
        <w:rPr>
          <w:sz w:val="19"/>
        </w:rPr>
      </w:pPr>
    </w:p>
    <w:p>
      <w:pPr>
        <w:pStyle w:val="ListParagraph"/>
        <w:numPr>
          <w:ilvl w:val="1"/>
          <w:numId w:val="49"/>
        </w:numPr>
        <w:tabs>
          <w:tab w:pos="2664" w:val="left" w:leader="none"/>
          <w:tab w:pos="2665" w:val="left" w:leader="none"/>
        </w:tabs>
        <w:spacing w:line="235" w:lineRule="auto" w:before="0" w:after="0"/>
        <w:ind w:left="1984" w:right="1541" w:firstLine="0"/>
        <w:jc w:val="left"/>
        <w:rPr>
          <w:sz w:val="20"/>
        </w:rPr>
      </w:pPr>
      <w:r>
        <w:rPr>
          <w:i/>
          <w:w w:val="120"/>
          <w:sz w:val="20"/>
        </w:rPr>
        <w:t>Reform </w:t>
      </w:r>
      <w:r>
        <w:rPr>
          <w:w w:val="120"/>
          <w:sz w:val="20"/>
        </w:rPr>
        <w:t>continues to be published and is intriguing many as a confident interface between the United Reformed Church and the ever-changing, yet isolating, society in which we</w:t>
      </w:r>
      <w:r>
        <w:rPr>
          <w:spacing w:val="8"/>
          <w:w w:val="120"/>
          <w:sz w:val="20"/>
        </w:rPr>
        <w:t> </w:t>
      </w:r>
      <w:r>
        <w:rPr>
          <w:w w:val="120"/>
          <w:sz w:val="20"/>
        </w:rPr>
        <w:t>operate.</w:t>
      </w:r>
    </w:p>
    <w:p>
      <w:pPr>
        <w:pStyle w:val="BodyText"/>
        <w:spacing w:before="10"/>
        <w:rPr>
          <w:sz w:val="19"/>
        </w:rPr>
      </w:pPr>
    </w:p>
    <w:p>
      <w:pPr>
        <w:pStyle w:val="ListParagraph"/>
        <w:numPr>
          <w:ilvl w:val="1"/>
          <w:numId w:val="49"/>
        </w:numPr>
        <w:tabs>
          <w:tab w:pos="2664" w:val="left" w:leader="none"/>
          <w:tab w:pos="2665" w:val="left" w:leader="none"/>
        </w:tabs>
        <w:spacing w:line="235" w:lineRule="auto" w:before="0" w:after="0"/>
        <w:ind w:left="1984" w:right="2273" w:firstLine="0"/>
        <w:jc w:val="left"/>
        <w:rPr>
          <w:sz w:val="20"/>
        </w:rPr>
      </w:pPr>
      <w:r>
        <w:rPr>
          <w:w w:val="120"/>
          <w:sz w:val="20"/>
        </w:rPr>
        <w:t>The press office seeks to promote the United Reformed Church and continues to respond to the necessary instances that demand some degree of reputation</w:t>
      </w:r>
      <w:r>
        <w:rPr>
          <w:spacing w:val="2"/>
          <w:w w:val="120"/>
          <w:sz w:val="20"/>
        </w:rPr>
        <w:t> </w:t>
      </w:r>
      <w:r>
        <w:rPr>
          <w:w w:val="120"/>
          <w:sz w:val="20"/>
        </w:rPr>
        <w:t>management.</w:t>
      </w:r>
    </w:p>
    <w:p>
      <w:pPr>
        <w:pStyle w:val="BodyText"/>
        <w:spacing w:before="10"/>
        <w:rPr>
          <w:sz w:val="19"/>
        </w:rPr>
      </w:pPr>
    </w:p>
    <w:p>
      <w:pPr>
        <w:pStyle w:val="ListParagraph"/>
        <w:numPr>
          <w:ilvl w:val="1"/>
          <w:numId w:val="49"/>
        </w:numPr>
        <w:tabs>
          <w:tab w:pos="2664" w:val="left" w:leader="none"/>
          <w:tab w:pos="2665" w:val="left" w:leader="none"/>
        </w:tabs>
        <w:spacing w:line="235" w:lineRule="auto" w:before="1" w:after="0"/>
        <w:ind w:left="1984" w:right="1477" w:firstLine="0"/>
        <w:jc w:val="left"/>
        <w:rPr>
          <w:sz w:val="20"/>
        </w:rPr>
      </w:pPr>
      <w:r>
        <w:rPr>
          <w:w w:val="120"/>
          <w:sz w:val="20"/>
        </w:rPr>
        <w:t>The interim director of communications and the press office are working with other Church House departments to produce a United Reformed Church social media policy. We aim to have this work completed by</w:t>
      </w:r>
      <w:r>
        <w:rPr>
          <w:spacing w:val="17"/>
          <w:w w:val="120"/>
          <w:sz w:val="20"/>
        </w:rPr>
        <w:t> </w:t>
      </w:r>
      <w:r>
        <w:rPr>
          <w:w w:val="120"/>
          <w:sz w:val="20"/>
        </w:rPr>
        <w:t>Assembly.</w:t>
      </w:r>
    </w:p>
    <w:p>
      <w:pPr>
        <w:pStyle w:val="BodyText"/>
        <w:spacing w:before="10"/>
        <w:rPr>
          <w:sz w:val="19"/>
        </w:rPr>
      </w:pPr>
    </w:p>
    <w:p>
      <w:pPr>
        <w:pStyle w:val="ListParagraph"/>
        <w:numPr>
          <w:ilvl w:val="1"/>
          <w:numId w:val="49"/>
        </w:numPr>
        <w:tabs>
          <w:tab w:pos="2664" w:val="left" w:leader="none"/>
          <w:tab w:pos="2665" w:val="left" w:leader="none"/>
        </w:tabs>
        <w:spacing w:line="235" w:lineRule="auto" w:before="0" w:after="0"/>
        <w:ind w:left="1984" w:right="1846" w:firstLine="0"/>
        <w:jc w:val="left"/>
        <w:rPr>
          <w:sz w:val="20"/>
        </w:rPr>
      </w:pPr>
      <w:r>
        <w:rPr>
          <w:w w:val="120"/>
          <w:sz w:val="20"/>
        </w:rPr>
        <w:t>The media training being rolled out throughout the synods (funded by the Legacy Fund) is an integral </w:t>
      </w:r>
      <w:r>
        <w:rPr>
          <w:spacing w:val="2"/>
          <w:w w:val="120"/>
          <w:sz w:val="20"/>
        </w:rPr>
        <w:t>part </w:t>
      </w:r>
      <w:r>
        <w:rPr>
          <w:w w:val="120"/>
          <w:sz w:val="20"/>
        </w:rPr>
        <w:t>of the immediate future, with a current focus on developing and delivering social media</w:t>
      </w:r>
      <w:r>
        <w:rPr>
          <w:spacing w:val="17"/>
          <w:w w:val="120"/>
          <w:sz w:val="20"/>
        </w:rPr>
        <w:t> </w:t>
      </w:r>
      <w:r>
        <w:rPr>
          <w:w w:val="120"/>
          <w:sz w:val="20"/>
        </w:rPr>
        <w:t>training.</w:t>
      </w:r>
    </w:p>
    <w:p>
      <w:pPr>
        <w:pStyle w:val="BodyText"/>
        <w:spacing w:before="10"/>
        <w:rPr>
          <w:sz w:val="19"/>
        </w:rPr>
      </w:pPr>
    </w:p>
    <w:p>
      <w:pPr>
        <w:pStyle w:val="ListParagraph"/>
        <w:numPr>
          <w:ilvl w:val="1"/>
          <w:numId w:val="49"/>
        </w:numPr>
        <w:tabs>
          <w:tab w:pos="2664" w:val="left" w:leader="none"/>
          <w:tab w:pos="2665" w:val="left" w:leader="none"/>
        </w:tabs>
        <w:spacing w:line="235" w:lineRule="auto" w:before="0" w:after="0"/>
        <w:ind w:left="1984" w:right="1452" w:firstLine="0"/>
        <w:jc w:val="left"/>
        <w:rPr>
          <w:sz w:val="20"/>
        </w:rPr>
      </w:pPr>
      <w:r>
        <w:rPr>
          <w:w w:val="120"/>
          <w:sz w:val="20"/>
        </w:rPr>
        <w:t>The development of the main URC website continues, including the upgrading of the online</w:t>
      </w:r>
      <w:r>
        <w:rPr>
          <w:spacing w:val="5"/>
          <w:w w:val="120"/>
          <w:sz w:val="20"/>
        </w:rPr>
        <w:t> </w:t>
      </w:r>
      <w:r>
        <w:rPr>
          <w:w w:val="120"/>
          <w:sz w:val="20"/>
        </w:rPr>
        <w:t>store.</w:t>
      </w:r>
    </w:p>
    <w:p>
      <w:pPr>
        <w:pStyle w:val="BodyText"/>
        <w:spacing w:before="10"/>
        <w:rPr>
          <w:sz w:val="19"/>
        </w:rPr>
      </w:pPr>
    </w:p>
    <w:p>
      <w:pPr>
        <w:pStyle w:val="ListParagraph"/>
        <w:numPr>
          <w:ilvl w:val="1"/>
          <w:numId w:val="49"/>
        </w:numPr>
        <w:tabs>
          <w:tab w:pos="2664" w:val="left" w:leader="none"/>
          <w:tab w:pos="2665" w:val="left" w:leader="none"/>
        </w:tabs>
        <w:spacing w:line="235" w:lineRule="auto" w:before="0" w:after="0"/>
        <w:ind w:left="1984" w:right="1611" w:firstLine="0"/>
        <w:jc w:val="left"/>
        <w:rPr>
          <w:sz w:val="20"/>
        </w:rPr>
      </w:pPr>
      <w:r>
        <w:rPr>
          <w:w w:val="120"/>
          <w:sz w:val="20"/>
        </w:rPr>
        <w:t>The work on the online directory (Yearbook) is ongoing and a denomination- wide consultation on the future of the print version of the Yearbook is planned to enable a decision at the May </w:t>
      </w:r>
      <w:r>
        <w:rPr>
          <w:spacing w:val="-7"/>
          <w:w w:val="120"/>
          <w:sz w:val="20"/>
        </w:rPr>
        <w:t>2015 </w:t>
      </w:r>
      <w:r>
        <w:rPr>
          <w:w w:val="120"/>
          <w:sz w:val="20"/>
        </w:rPr>
        <w:t>Mission Council</w:t>
      </w:r>
      <w:r>
        <w:rPr>
          <w:spacing w:val="32"/>
          <w:w w:val="120"/>
          <w:sz w:val="20"/>
        </w:rPr>
        <w:t> </w:t>
      </w:r>
      <w:r>
        <w:rPr>
          <w:w w:val="120"/>
          <w:sz w:val="20"/>
        </w:rPr>
        <w:t>meeting.</w:t>
      </w:r>
    </w:p>
    <w:p>
      <w:pPr>
        <w:pStyle w:val="BodyText"/>
        <w:spacing w:before="10"/>
        <w:rPr>
          <w:sz w:val="19"/>
        </w:rPr>
      </w:pPr>
    </w:p>
    <w:p>
      <w:pPr>
        <w:pStyle w:val="ListParagraph"/>
        <w:numPr>
          <w:ilvl w:val="1"/>
          <w:numId w:val="49"/>
        </w:numPr>
        <w:tabs>
          <w:tab w:pos="2664" w:val="left" w:leader="none"/>
          <w:tab w:pos="2665" w:val="left" w:leader="none"/>
        </w:tabs>
        <w:spacing w:line="235" w:lineRule="auto" w:before="0" w:after="0"/>
        <w:ind w:left="1984" w:right="1778" w:firstLine="0"/>
        <w:jc w:val="left"/>
        <w:rPr>
          <w:sz w:val="20"/>
        </w:rPr>
      </w:pPr>
      <w:r>
        <w:rPr>
          <w:w w:val="120"/>
          <w:sz w:val="20"/>
        </w:rPr>
        <w:t>The department continues to promote and work with other departments of the Assembly; current initiatives being developed at the time of writing</w:t>
      </w:r>
      <w:r>
        <w:rPr>
          <w:spacing w:val="36"/>
          <w:w w:val="120"/>
          <w:sz w:val="20"/>
        </w:rPr>
        <w:t> </w:t>
      </w:r>
      <w:r>
        <w:rPr>
          <w:w w:val="120"/>
          <w:sz w:val="20"/>
        </w:rPr>
        <w:t>are:</w:t>
      </w:r>
    </w:p>
    <w:p>
      <w:pPr>
        <w:pStyle w:val="BodyText"/>
        <w:spacing w:before="9"/>
        <w:rPr>
          <w:sz w:val="19"/>
        </w:rPr>
      </w:pPr>
    </w:p>
    <w:p>
      <w:pPr>
        <w:pStyle w:val="ListParagraph"/>
        <w:numPr>
          <w:ilvl w:val="2"/>
          <w:numId w:val="49"/>
        </w:numPr>
        <w:tabs>
          <w:tab w:pos="2664" w:val="left" w:leader="none"/>
          <w:tab w:pos="2665" w:val="left" w:leader="none"/>
        </w:tabs>
        <w:spacing w:line="235" w:lineRule="auto" w:before="1" w:after="0"/>
        <w:ind w:left="1984" w:right="1871" w:firstLine="0"/>
        <w:jc w:val="left"/>
        <w:rPr>
          <w:sz w:val="20"/>
        </w:rPr>
      </w:pPr>
      <w:r>
        <w:rPr>
          <w:w w:val="120"/>
          <w:sz w:val="20"/>
        </w:rPr>
        <w:t>The poppy planting project for Holy Week, in partnership with the Mission department.</w:t>
      </w:r>
    </w:p>
    <w:p>
      <w:pPr>
        <w:pStyle w:val="BodyText"/>
        <w:spacing w:before="9"/>
        <w:rPr>
          <w:sz w:val="19"/>
        </w:rPr>
      </w:pPr>
    </w:p>
    <w:p>
      <w:pPr>
        <w:pStyle w:val="ListParagraph"/>
        <w:numPr>
          <w:ilvl w:val="2"/>
          <w:numId w:val="49"/>
        </w:numPr>
        <w:tabs>
          <w:tab w:pos="2664" w:val="left" w:leader="none"/>
          <w:tab w:pos="2665" w:val="left" w:leader="none"/>
        </w:tabs>
        <w:spacing w:line="235" w:lineRule="auto" w:before="0" w:after="0"/>
        <w:ind w:left="1984" w:right="1693" w:firstLine="0"/>
        <w:jc w:val="left"/>
        <w:rPr>
          <w:sz w:val="20"/>
        </w:rPr>
      </w:pPr>
      <w:r>
        <w:rPr>
          <w:w w:val="120"/>
          <w:sz w:val="20"/>
        </w:rPr>
        <w:t>Providing media training for all ordinands, in partnership with the education and learning</w:t>
      </w:r>
      <w:r>
        <w:rPr>
          <w:spacing w:val="4"/>
          <w:w w:val="120"/>
          <w:sz w:val="20"/>
        </w:rPr>
        <w:t> </w:t>
      </w:r>
      <w:r>
        <w:rPr>
          <w:w w:val="120"/>
          <w:sz w:val="20"/>
        </w:rPr>
        <w:t>committee.</w:t>
      </w:r>
    </w:p>
    <w:p>
      <w:pPr>
        <w:pStyle w:val="BodyText"/>
        <w:spacing w:before="10"/>
        <w:rPr>
          <w:sz w:val="19"/>
        </w:rPr>
      </w:pPr>
    </w:p>
    <w:p>
      <w:pPr>
        <w:pStyle w:val="ListParagraph"/>
        <w:numPr>
          <w:ilvl w:val="0"/>
          <w:numId w:val="49"/>
        </w:numPr>
        <w:tabs>
          <w:tab w:pos="2664" w:val="left" w:leader="none"/>
          <w:tab w:pos="2665" w:val="left" w:leader="none"/>
        </w:tabs>
        <w:spacing w:line="235" w:lineRule="auto" w:before="0" w:after="0"/>
        <w:ind w:left="1984" w:right="1295" w:firstLine="0"/>
        <w:jc w:val="left"/>
        <w:rPr>
          <w:sz w:val="20"/>
        </w:rPr>
      </w:pPr>
      <w:r>
        <w:rPr>
          <w:spacing w:val="2"/>
          <w:w w:val="120"/>
          <w:sz w:val="20"/>
        </w:rPr>
        <w:t>The </w:t>
      </w:r>
      <w:r>
        <w:rPr>
          <w:w w:val="120"/>
          <w:sz w:val="20"/>
        </w:rPr>
        <w:t>committee, with senior staff, is focusing on developing a </w:t>
      </w:r>
      <w:r>
        <w:rPr>
          <w:spacing w:val="2"/>
          <w:w w:val="120"/>
          <w:sz w:val="20"/>
        </w:rPr>
        <w:t>visionary </w:t>
      </w:r>
      <w:r>
        <w:rPr>
          <w:w w:val="120"/>
          <w:sz w:val="20"/>
        </w:rPr>
        <w:t>and  </w:t>
      </w:r>
      <w:r>
        <w:rPr>
          <w:spacing w:val="2"/>
          <w:w w:val="120"/>
          <w:sz w:val="20"/>
        </w:rPr>
        <w:t>viable </w:t>
      </w:r>
      <w:r>
        <w:rPr>
          <w:w w:val="120"/>
          <w:sz w:val="20"/>
        </w:rPr>
        <w:t>communications </w:t>
      </w:r>
      <w:r>
        <w:rPr>
          <w:spacing w:val="2"/>
          <w:w w:val="120"/>
          <w:sz w:val="20"/>
        </w:rPr>
        <w:t>strategy </w:t>
      </w:r>
      <w:r>
        <w:rPr>
          <w:w w:val="120"/>
          <w:sz w:val="20"/>
        </w:rPr>
        <w:t>for the </w:t>
      </w:r>
      <w:r>
        <w:rPr>
          <w:spacing w:val="2"/>
          <w:w w:val="120"/>
          <w:sz w:val="20"/>
        </w:rPr>
        <w:t>denomination. The </w:t>
      </w:r>
      <w:r>
        <w:rPr>
          <w:w w:val="120"/>
          <w:sz w:val="20"/>
        </w:rPr>
        <w:t>challenge; demand and </w:t>
      </w:r>
      <w:r>
        <w:rPr>
          <w:spacing w:val="2"/>
          <w:w w:val="120"/>
          <w:sz w:val="20"/>
        </w:rPr>
        <w:t>expectations </w:t>
      </w:r>
      <w:r>
        <w:rPr>
          <w:w w:val="120"/>
          <w:sz w:val="20"/>
        </w:rPr>
        <w:t>are ever increasing – but the </w:t>
      </w:r>
      <w:r>
        <w:rPr>
          <w:spacing w:val="2"/>
          <w:w w:val="120"/>
          <w:sz w:val="20"/>
        </w:rPr>
        <w:t>budget </w:t>
      </w:r>
      <w:r>
        <w:rPr>
          <w:w w:val="120"/>
          <w:sz w:val="20"/>
        </w:rPr>
        <w:t>is not, and, in future years, is likely   to fall further. </w:t>
      </w:r>
      <w:r>
        <w:rPr>
          <w:spacing w:val="2"/>
          <w:w w:val="120"/>
          <w:sz w:val="20"/>
        </w:rPr>
        <w:t>The strategic </w:t>
      </w:r>
      <w:r>
        <w:rPr>
          <w:w w:val="120"/>
          <w:sz w:val="20"/>
        </w:rPr>
        <w:t>dilemma is simple: </w:t>
      </w:r>
      <w:r>
        <w:rPr>
          <w:spacing w:val="2"/>
          <w:w w:val="120"/>
          <w:sz w:val="20"/>
        </w:rPr>
        <w:t>Where </w:t>
      </w:r>
      <w:r>
        <w:rPr>
          <w:w w:val="120"/>
          <w:sz w:val="20"/>
        </w:rPr>
        <w:t>to put limited resources for </w:t>
      </w:r>
      <w:r>
        <w:rPr>
          <w:spacing w:val="2"/>
          <w:w w:val="120"/>
          <w:sz w:val="20"/>
        </w:rPr>
        <w:t>maximum,</w:t>
      </w:r>
      <w:r>
        <w:rPr>
          <w:spacing w:val="13"/>
          <w:w w:val="120"/>
          <w:sz w:val="20"/>
        </w:rPr>
        <w:t> </w:t>
      </w:r>
      <w:r>
        <w:rPr>
          <w:w w:val="120"/>
          <w:sz w:val="20"/>
        </w:rPr>
        <w:t>targeted,</w:t>
      </w:r>
      <w:r>
        <w:rPr>
          <w:spacing w:val="13"/>
          <w:w w:val="120"/>
          <w:sz w:val="20"/>
        </w:rPr>
        <w:t> </w:t>
      </w:r>
      <w:r>
        <w:rPr>
          <w:w w:val="120"/>
          <w:sz w:val="20"/>
        </w:rPr>
        <w:t>return?</w:t>
      </w:r>
      <w:r>
        <w:rPr>
          <w:spacing w:val="14"/>
          <w:w w:val="120"/>
          <w:sz w:val="20"/>
        </w:rPr>
        <w:t> </w:t>
      </w:r>
      <w:r>
        <w:rPr>
          <w:w w:val="120"/>
          <w:sz w:val="20"/>
        </w:rPr>
        <w:t>We</w:t>
      </w:r>
      <w:r>
        <w:rPr>
          <w:spacing w:val="13"/>
          <w:w w:val="120"/>
          <w:sz w:val="20"/>
        </w:rPr>
        <w:t> </w:t>
      </w:r>
      <w:r>
        <w:rPr>
          <w:w w:val="120"/>
          <w:sz w:val="20"/>
        </w:rPr>
        <w:t>have</w:t>
      </w:r>
      <w:r>
        <w:rPr>
          <w:spacing w:val="14"/>
          <w:w w:val="120"/>
          <w:sz w:val="20"/>
        </w:rPr>
        <w:t> </w:t>
      </w:r>
      <w:r>
        <w:rPr>
          <w:w w:val="120"/>
          <w:sz w:val="20"/>
        </w:rPr>
        <w:t>things</w:t>
      </w:r>
      <w:r>
        <w:rPr>
          <w:spacing w:val="13"/>
          <w:w w:val="120"/>
          <w:sz w:val="20"/>
        </w:rPr>
        <w:t> </w:t>
      </w:r>
      <w:r>
        <w:rPr>
          <w:w w:val="120"/>
          <w:sz w:val="20"/>
        </w:rPr>
        <w:t>we</w:t>
      </w:r>
      <w:r>
        <w:rPr>
          <w:spacing w:val="13"/>
          <w:w w:val="120"/>
          <w:sz w:val="20"/>
        </w:rPr>
        <w:t> </w:t>
      </w:r>
      <w:r>
        <w:rPr>
          <w:w w:val="120"/>
          <w:sz w:val="20"/>
        </w:rPr>
        <w:t>have</w:t>
      </w:r>
      <w:r>
        <w:rPr>
          <w:spacing w:val="14"/>
          <w:w w:val="120"/>
          <w:sz w:val="20"/>
        </w:rPr>
        <w:t> </w:t>
      </w:r>
      <w:r>
        <w:rPr>
          <w:w w:val="120"/>
          <w:sz w:val="20"/>
        </w:rPr>
        <w:t>to</w:t>
      </w:r>
      <w:r>
        <w:rPr>
          <w:spacing w:val="13"/>
          <w:w w:val="120"/>
          <w:sz w:val="20"/>
        </w:rPr>
        <w:t> </w:t>
      </w:r>
      <w:r>
        <w:rPr>
          <w:w w:val="120"/>
          <w:sz w:val="20"/>
        </w:rPr>
        <w:t>do</w:t>
      </w:r>
      <w:r>
        <w:rPr>
          <w:spacing w:val="14"/>
          <w:w w:val="120"/>
          <w:sz w:val="20"/>
        </w:rPr>
        <w:t> </w:t>
      </w:r>
      <w:r>
        <w:rPr>
          <w:spacing w:val="-3"/>
          <w:w w:val="120"/>
          <w:sz w:val="20"/>
        </w:rPr>
        <w:t>(e.g.</w:t>
      </w:r>
      <w:r>
        <w:rPr>
          <w:spacing w:val="13"/>
          <w:w w:val="120"/>
          <w:sz w:val="20"/>
        </w:rPr>
        <w:t> </w:t>
      </w:r>
      <w:r>
        <w:rPr>
          <w:spacing w:val="2"/>
          <w:w w:val="120"/>
          <w:sz w:val="20"/>
        </w:rPr>
        <w:t>staffing</w:t>
      </w:r>
      <w:r>
        <w:rPr>
          <w:spacing w:val="13"/>
          <w:w w:val="120"/>
          <w:sz w:val="20"/>
        </w:rPr>
        <w:t> </w:t>
      </w:r>
      <w:r>
        <w:rPr>
          <w:w w:val="120"/>
          <w:sz w:val="20"/>
        </w:rPr>
        <w:t>a</w:t>
      </w:r>
      <w:r>
        <w:rPr>
          <w:spacing w:val="14"/>
          <w:w w:val="120"/>
          <w:sz w:val="20"/>
        </w:rPr>
        <w:t> </w:t>
      </w:r>
      <w:r>
        <w:rPr>
          <w:spacing w:val="2"/>
          <w:w w:val="120"/>
          <w:sz w:val="20"/>
        </w:rPr>
        <w:t>functioning</w:t>
      </w:r>
    </w:p>
    <w:p>
      <w:pPr>
        <w:spacing w:after="0" w:line="235" w:lineRule="auto"/>
        <w:jc w:val="left"/>
        <w:rPr>
          <w:sz w:val="20"/>
        </w:rPr>
        <w:sectPr>
          <w:headerReference w:type="default" r:id="rId214"/>
          <w:footerReference w:type="default" r:id="rId215"/>
          <w:footerReference w:type="even" r:id="rId216"/>
          <w:pgSz w:w="11910" w:h="16840"/>
          <w:pgMar w:header="0" w:footer="647" w:top="0" w:bottom="840" w:left="0" w:right="0"/>
          <w:pgNumType w:start="89"/>
        </w:sectPr>
      </w:pPr>
    </w:p>
    <w:p>
      <w:pPr>
        <w:pStyle w:val="BodyText"/>
      </w:pPr>
      <w:r>
        <w:rPr/>
        <w:drawing>
          <wp:anchor distT="0" distB="0" distL="0" distR="0" allowOverlap="1" layoutInCell="1" locked="0" behindDoc="0" simplePos="0" relativeHeight="251912192">
            <wp:simplePos x="0" y="0"/>
            <wp:positionH relativeFrom="page">
              <wp:posOffset>0</wp:posOffset>
            </wp:positionH>
            <wp:positionV relativeFrom="page">
              <wp:posOffset>0</wp:posOffset>
            </wp:positionV>
            <wp:extent cx="594067" cy="10692003"/>
            <wp:effectExtent l="0" t="0" r="0" b="0"/>
            <wp:wrapNone/>
            <wp:docPr id="165" name="image28.png"/>
            <wp:cNvGraphicFramePr>
              <a:graphicFrameLocks noChangeAspect="1"/>
            </wp:cNvGraphicFramePr>
            <a:graphic>
              <a:graphicData uri="http://schemas.openxmlformats.org/drawingml/2006/picture">
                <pic:pic>
                  <pic:nvPicPr>
                    <pic:cNvPr id="166" name="image28.png"/>
                    <pic:cNvPicPr/>
                  </pic:nvPicPr>
                  <pic:blipFill>
                    <a:blip r:embed="rId198" cstate="print"/>
                    <a:stretch>
                      <a:fillRect/>
                    </a:stretch>
                  </pic:blipFill>
                  <pic:spPr>
                    <a:xfrm>
                      <a:off x="0" y="0"/>
                      <a:ext cx="594067" cy="10692003"/>
                    </a:xfrm>
                    <a:prstGeom prst="rect">
                      <a:avLst/>
                    </a:prstGeom>
                  </pic:spPr>
                </pic:pic>
              </a:graphicData>
            </a:graphic>
          </wp:anchor>
        </w:drawing>
      </w:r>
      <w:r>
        <w:rPr/>
        <w:pict>
          <v:line style="position:absolute;mso-position-horizontal-relative:page;mso-position-vertical-relative:page;z-index:251913216" from="595.275513pt,.000015pt" to="595.275513pt,841.890015pt" stroked="true" strokeweight=".001pt" strokecolor="#d3e5c3">
            <v:stroke dashstyle="solid"/>
            <w10:wrap type="none"/>
          </v:line>
        </w:pict>
      </w:r>
    </w:p>
    <w:p>
      <w:pPr>
        <w:pStyle w:val="BodyText"/>
        <w:spacing w:before="7"/>
        <w:rPr>
          <w:sz w:val="21"/>
        </w:rPr>
      </w:pPr>
    </w:p>
    <w:p>
      <w:pPr>
        <w:spacing w:before="106"/>
        <w:ind w:left="1247" w:right="0" w:firstLine="0"/>
        <w:jc w:val="left"/>
        <w:rPr>
          <w:sz w:val="26"/>
        </w:rPr>
      </w:pPr>
      <w:r>
        <w:rPr/>
        <w:pict>
          <v:shape style="position:absolute;margin-left:20.519100pt;margin-top:22.593945pt;width:25.9pt;height:308.850pt;mso-position-horizontal-relative:page;mso-position-vertical-relative:paragraph;z-index:251914240" type="#_x0000_t202" filled="false" stroked="false">
            <v:textbox inset="0,0,0,0" style="layout-flow:vertical">
              <w:txbxContent>
                <w:p>
                  <w:pPr>
                    <w:spacing w:before="27"/>
                    <w:ind w:left="20" w:right="0" w:firstLine="0"/>
                    <w:jc w:val="left"/>
                    <w:rPr>
                      <w:sz w:val="39"/>
                    </w:rPr>
                  </w:pPr>
                  <w:r>
                    <w:rPr>
                      <w:color w:val="FFFFFF"/>
                      <w:w w:val="120"/>
                      <w:sz w:val="39"/>
                    </w:rPr>
                    <w:t>Communications and editorial</w:t>
                  </w:r>
                </w:p>
              </w:txbxContent>
            </v:textbox>
            <w10:wrap type="none"/>
          </v:shape>
        </w:pict>
      </w:r>
      <w:r>
        <w:rPr>
          <w:color w:val="7EAABF"/>
          <w:w w:val="115"/>
          <w:sz w:val="26"/>
        </w:rPr>
        <w:t>Communications and editorial</w:t>
      </w:r>
    </w:p>
    <w:p>
      <w:pPr>
        <w:pStyle w:val="BodyText"/>
        <w:spacing w:line="235" w:lineRule="auto" w:before="222"/>
        <w:ind w:left="1247" w:right="2256"/>
      </w:pPr>
      <w:r>
        <w:rPr>
          <w:spacing w:val="2"/>
          <w:w w:val="120"/>
        </w:rPr>
        <w:t>press </w:t>
      </w:r>
      <w:r>
        <w:rPr>
          <w:w w:val="120"/>
        </w:rPr>
        <w:t>office that can promote </w:t>
      </w:r>
      <w:r>
        <w:rPr>
          <w:spacing w:val="3"/>
          <w:w w:val="120"/>
        </w:rPr>
        <w:t>good </w:t>
      </w:r>
      <w:r>
        <w:rPr>
          <w:w w:val="120"/>
        </w:rPr>
        <w:t>news and minimise bad, and a </w:t>
      </w:r>
      <w:r>
        <w:rPr>
          <w:spacing w:val="2"/>
          <w:w w:val="120"/>
        </w:rPr>
        <w:t>graphics department </w:t>
      </w:r>
      <w:r>
        <w:rPr>
          <w:w w:val="120"/>
        </w:rPr>
        <w:t>that can produce Mission Council and </w:t>
      </w:r>
      <w:r>
        <w:rPr>
          <w:spacing w:val="2"/>
          <w:w w:val="120"/>
        </w:rPr>
        <w:t>General Assembly papers, </w:t>
      </w:r>
      <w:r>
        <w:rPr>
          <w:w w:val="120"/>
        </w:rPr>
        <w:t>the Yearbook and also meet the extensive print needs of the central </w:t>
      </w:r>
      <w:r>
        <w:rPr>
          <w:spacing w:val="2"/>
          <w:w w:val="120"/>
        </w:rPr>
        <w:t>secretariat </w:t>
      </w:r>
      <w:r>
        <w:rPr>
          <w:w w:val="120"/>
        </w:rPr>
        <w:t>and other Church House departments) and things we like to do (like produce </w:t>
      </w:r>
      <w:r>
        <w:rPr>
          <w:spacing w:val="3"/>
          <w:w w:val="120"/>
        </w:rPr>
        <w:t>books </w:t>
      </w:r>
      <w:r>
        <w:rPr>
          <w:w w:val="120"/>
        </w:rPr>
        <w:t>that sell    well </w:t>
      </w:r>
      <w:r>
        <w:rPr>
          <w:spacing w:val="-3"/>
          <w:w w:val="120"/>
        </w:rPr>
        <w:t>(!) </w:t>
      </w:r>
      <w:r>
        <w:rPr>
          <w:w w:val="120"/>
        </w:rPr>
        <w:t>and publish</w:t>
      </w:r>
      <w:r>
        <w:rPr>
          <w:spacing w:val="27"/>
          <w:w w:val="120"/>
        </w:rPr>
        <w:t> </w:t>
      </w:r>
      <w:r>
        <w:rPr>
          <w:i/>
          <w:w w:val="120"/>
        </w:rPr>
        <w:t>Reform</w:t>
      </w:r>
      <w:r>
        <w:rPr>
          <w:w w:val="120"/>
        </w:rPr>
        <w:t>).</w:t>
      </w:r>
    </w:p>
    <w:p>
      <w:pPr>
        <w:pStyle w:val="BodyText"/>
        <w:spacing w:before="11"/>
        <w:rPr>
          <w:sz w:val="19"/>
        </w:rPr>
      </w:pPr>
    </w:p>
    <w:p>
      <w:pPr>
        <w:pStyle w:val="ListParagraph"/>
        <w:numPr>
          <w:ilvl w:val="0"/>
          <w:numId w:val="49"/>
        </w:numPr>
        <w:tabs>
          <w:tab w:pos="1927" w:val="left" w:leader="none"/>
          <w:tab w:pos="1928" w:val="left" w:leader="none"/>
        </w:tabs>
        <w:spacing w:line="235" w:lineRule="auto" w:before="0" w:after="0"/>
        <w:ind w:left="1247" w:right="2206" w:firstLine="0"/>
        <w:jc w:val="left"/>
        <w:rPr>
          <w:sz w:val="20"/>
        </w:rPr>
      </w:pPr>
      <w:r>
        <w:rPr>
          <w:spacing w:val="3"/>
          <w:w w:val="120"/>
          <w:sz w:val="20"/>
        </w:rPr>
        <w:t>As </w:t>
      </w:r>
      <w:r>
        <w:rPr>
          <w:spacing w:val="2"/>
          <w:w w:val="120"/>
          <w:sz w:val="20"/>
        </w:rPr>
        <w:t>part </w:t>
      </w:r>
      <w:r>
        <w:rPr>
          <w:w w:val="120"/>
          <w:sz w:val="20"/>
        </w:rPr>
        <w:t>of the review, the committee will speak to departmental staff and</w:t>
      </w:r>
      <w:r>
        <w:rPr>
          <w:spacing w:val="-36"/>
          <w:w w:val="120"/>
          <w:sz w:val="20"/>
        </w:rPr>
        <w:t> </w:t>
      </w:r>
      <w:r>
        <w:rPr>
          <w:w w:val="120"/>
          <w:sz w:val="20"/>
        </w:rPr>
        <w:t>listen to views from across the denomination. This process began with the circulation of individual and group questionnaires at the March </w:t>
      </w:r>
      <w:r>
        <w:rPr>
          <w:spacing w:val="-7"/>
          <w:w w:val="120"/>
          <w:sz w:val="20"/>
        </w:rPr>
        <w:t>2014 </w:t>
      </w:r>
      <w:r>
        <w:rPr>
          <w:w w:val="120"/>
          <w:sz w:val="20"/>
        </w:rPr>
        <w:t>meeting of Mission Council. Individuals were asked about the press office, </w:t>
      </w:r>
      <w:r>
        <w:rPr>
          <w:i/>
          <w:w w:val="120"/>
          <w:sz w:val="20"/>
        </w:rPr>
        <w:t>Reform </w:t>
      </w:r>
      <w:r>
        <w:rPr>
          <w:w w:val="120"/>
          <w:sz w:val="20"/>
        </w:rPr>
        <w:t>and the publications office, and small groups were asked the following, broader,</w:t>
      </w:r>
      <w:r>
        <w:rPr>
          <w:spacing w:val="16"/>
          <w:w w:val="120"/>
          <w:sz w:val="20"/>
        </w:rPr>
        <w:t> </w:t>
      </w:r>
      <w:r>
        <w:rPr>
          <w:w w:val="120"/>
          <w:sz w:val="20"/>
        </w:rPr>
        <w:t>questions:</w:t>
      </w:r>
    </w:p>
    <w:p>
      <w:pPr>
        <w:pStyle w:val="BodyText"/>
      </w:pPr>
    </w:p>
    <w:p>
      <w:pPr>
        <w:pStyle w:val="ListParagraph"/>
        <w:numPr>
          <w:ilvl w:val="0"/>
          <w:numId w:val="50"/>
        </w:numPr>
        <w:tabs>
          <w:tab w:pos="1927" w:val="left" w:leader="none"/>
          <w:tab w:pos="1928" w:val="left" w:leader="none"/>
        </w:tabs>
        <w:spacing w:line="235" w:lineRule="auto" w:before="0" w:after="0"/>
        <w:ind w:left="1927" w:right="2287" w:hanging="681"/>
        <w:jc w:val="left"/>
        <w:rPr>
          <w:sz w:val="20"/>
        </w:rPr>
      </w:pPr>
      <w:r>
        <w:rPr>
          <w:w w:val="120"/>
          <w:sz w:val="20"/>
        </w:rPr>
        <w:t>In what ways can the United Reformed Church be helped to communicate the Gospel</w:t>
      </w:r>
      <w:r>
        <w:rPr>
          <w:spacing w:val="1"/>
          <w:w w:val="120"/>
          <w:sz w:val="20"/>
        </w:rPr>
        <w:t> </w:t>
      </w:r>
      <w:r>
        <w:rPr>
          <w:w w:val="120"/>
          <w:sz w:val="20"/>
        </w:rPr>
        <w:t>better?</w:t>
      </w:r>
    </w:p>
    <w:p>
      <w:pPr>
        <w:pStyle w:val="ListParagraph"/>
        <w:numPr>
          <w:ilvl w:val="0"/>
          <w:numId w:val="50"/>
        </w:numPr>
        <w:tabs>
          <w:tab w:pos="1927" w:val="left" w:leader="none"/>
          <w:tab w:pos="1928" w:val="left" w:leader="none"/>
        </w:tabs>
        <w:spacing w:line="240" w:lineRule="exact" w:before="0" w:after="0"/>
        <w:ind w:left="1927" w:right="0" w:hanging="681"/>
        <w:jc w:val="left"/>
        <w:rPr>
          <w:sz w:val="20"/>
        </w:rPr>
      </w:pPr>
      <w:r>
        <w:rPr>
          <w:w w:val="120"/>
          <w:sz w:val="20"/>
        </w:rPr>
        <w:t>And, in what ways could the communications department help with</w:t>
      </w:r>
      <w:r>
        <w:rPr>
          <w:spacing w:val="24"/>
          <w:w w:val="120"/>
          <w:sz w:val="20"/>
        </w:rPr>
        <w:t> </w:t>
      </w:r>
      <w:r>
        <w:rPr>
          <w:w w:val="120"/>
          <w:sz w:val="20"/>
        </w:rPr>
        <w:t>that?</w:t>
      </w:r>
    </w:p>
    <w:p>
      <w:pPr>
        <w:pStyle w:val="ListParagraph"/>
        <w:numPr>
          <w:ilvl w:val="0"/>
          <w:numId w:val="50"/>
        </w:numPr>
        <w:tabs>
          <w:tab w:pos="1927" w:val="left" w:leader="none"/>
          <w:tab w:pos="1928" w:val="left" w:leader="none"/>
        </w:tabs>
        <w:spacing w:line="240" w:lineRule="exact" w:before="0" w:after="0"/>
        <w:ind w:left="1927" w:right="0" w:hanging="681"/>
        <w:jc w:val="left"/>
        <w:rPr>
          <w:sz w:val="20"/>
        </w:rPr>
      </w:pPr>
      <w:r>
        <w:rPr>
          <w:w w:val="120"/>
          <w:sz w:val="20"/>
        </w:rPr>
        <w:t>How might the communications department better promote the</w:t>
      </w:r>
      <w:r>
        <w:rPr>
          <w:spacing w:val="23"/>
          <w:w w:val="120"/>
          <w:sz w:val="20"/>
        </w:rPr>
        <w:t> </w:t>
      </w:r>
      <w:r>
        <w:rPr>
          <w:w w:val="120"/>
          <w:sz w:val="20"/>
        </w:rPr>
        <w:t>denomination?</w:t>
      </w:r>
    </w:p>
    <w:p>
      <w:pPr>
        <w:pStyle w:val="ListParagraph"/>
        <w:numPr>
          <w:ilvl w:val="0"/>
          <w:numId w:val="50"/>
        </w:numPr>
        <w:tabs>
          <w:tab w:pos="1927" w:val="left" w:leader="none"/>
          <w:tab w:pos="1928" w:val="left" w:leader="none"/>
        </w:tabs>
        <w:spacing w:line="235" w:lineRule="auto" w:before="2" w:after="0"/>
        <w:ind w:left="1927" w:right="2096" w:hanging="681"/>
        <w:jc w:val="left"/>
        <w:rPr>
          <w:sz w:val="20"/>
        </w:rPr>
      </w:pPr>
      <w:r>
        <w:rPr>
          <w:w w:val="120"/>
          <w:sz w:val="20"/>
        </w:rPr>
        <w:t>Thinking more generally, what do you/your church/your synod most want/need from the communications</w:t>
      </w:r>
      <w:r>
        <w:rPr>
          <w:spacing w:val="5"/>
          <w:w w:val="120"/>
          <w:sz w:val="20"/>
        </w:rPr>
        <w:t> </w:t>
      </w:r>
      <w:r>
        <w:rPr>
          <w:w w:val="120"/>
          <w:sz w:val="20"/>
        </w:rPr>
        <w:t>department?</w:t>
      </w:r>
    </w:p>
    <w:p>
      <w:pPr>
        <w:pStyle w:val="ListParagraph"/>
        <w:numPr>
          <w:ilvl w:val="0"/>
          <w:numId w:val="50"/>
        </w:numPr>
        <w:tabs>
          <w:tab w:pos="1927" w:val="left" w:leader="none"/>
          <w:tab w:pos="1928" w:val="left" w:leader="none"/>
        </w:tabs>
        <w:spacing w:line="235" w:lineRule="auto" w:before="1" w:after="0"/>
        <w:ind w:left="1927" w:right="2287" w:hanging="681"/>
        <w:jc w:val="left"/>
        <w:rPr>
          <w:sz w:val="20"/>
        </w:rPr>
      </w:pPr>
      <w:r>
        <w:rPr>
          <w:w w:val="120"/>
          <w:sz w:val="20"/>
        </w:rPr>
        <w:t>What do you think of the current work of the department (bearing in mind that the work of the department covers several distinct areas: The press office, the graphics office, </w:t>
      </w:r>
      <w:r>
        <w:rPr>
          <w:i/>
          <w:w w:val="120"/>
          <w:sz w:val="20"/>
        </w:rPr>
        <w:t>Reform, </w:t>
      </w:r>
      <w:r>
        <w:rPr>
          <w:w w:val="120"/>
          <w:sz w:val="20"/>
        </w:rPr>
        <w:t>the publications office, the despatch area and the </w:t>
      </w:r>
      <w:r>
        <w:rPr>
          <w:spacing w:val="-3"/>
          <w:w w:val="120"/>
          <w:sz w:val="20"/>
        </w:rPr>
        <w:t>database)?</w:t>
      </w:r>
    </w:p>
    <w:p>
      <w:pPr>
        <w:pStyle w:val="ListParagraph"/>
        <w:numPr>
          <w:ilvl w:val="0"/>
          <w:numId w:val="50"/>
        </w:numPr>
        <w:tabs>
          <w:tab w:pos="1927" w:val="left" w:leader="none"/>
          <w:tab w:pos="1928" w:val="left" w:leader="none"/>
        </w:tabs>
        <w:spacing w:line="241" w:lineRule="exact" w:before="0" w:after="0"/>
        <w:ind w:left="1927" w:right="0" w:hanging="681"/>
        <w:jc w:val="left"/>
        <w:rPr>
          <w:sz w:val="20"/>
        </w:rPr>
      </w:pPr>
      <w:r>
        <w:rPr>
          <w:w w:val="120"/>
          <w:sz w:val="20"/>
        </w:rPr>
        <w:t>In what ways do you think the department could develop its</w:t>
      </w:r>
      <w:r>
        <w:rPr>
          <w:spacing w:val="26"/>
          <w:w w:val="120"/>
          <w:sz w:val="20"/>
        </w:rPr>
        <w:t> </w:t>
      </w:r>
      <w:r>
        <w:rPr>
          <w:w w:val="120"/>
          <w:sz w:val="20"/>
        </w:rPr>
        <w:t>work?</w:t>
      </w:r>
    </w:p>
    <w:p>
      <w:pPr>
        <w:pStyle w:val="ListParagraph"/>
        <w:numPr>
          <w:ilvl w:val="0"/>
          <w:numId w:val="50"/>
        </w:numPr>
        <w:tabs>
          <w:tab w:pos="1927" w:val="left" w:leader="none"/>
          <w:tab w:pos="1928" w:val="left" w:leader="none"/>
        </w:tabs>
        <w:spacing w:line="235" w:lineRule="auto" w:before="2" w:after="0"/>
        <w:ind w:left="1927" w:right="2100" w:hanging="681"/>
        <w:jc w:val="left"/>
        <w:rPr>
          <w:sz w:val="20"/>
        </w:rPr>
      </w:pPr>
      <w:r>
        <w:rPr>
          <w:w w:val="120"/>
          <w:sz w:val="20"/>
        </w:rPr>
        <w:t>The communications committee has committed to producing print versions of the Yearbook in </w:t>
      </w:r>
      <w:r>
        <w:rPr>
          <w:spacing w:val="-7"/>
          <w:w w:val="120"/>
          <w:sz w:val="20"/>
        </w:rPr>
        <w:t>2014 </w:t>
      </w:r>
      <w:r>
        <w:rPr>
          <w:w w:val="120"/>
          <w:sz w:val="20"/>
        </w:rPr>
        <w:t>and </w:t>
      </w:r>
      <w:r>
        <w:rPr>
          <w:spacing w:val="-7"/>
          <w:w w:val="120"/>
          <w:sz w:val="20"/>
        </w:rPr>
        <w:t>2015. </w:t>
      </w:r>
      <w:r>
        <w:rPr>
          <w:w w:val="120"/>
          <w:sz w:val="20"/>
        </w:rPr>
        <w:t>We are consulting widely on this. What are your thoughts on this</w:t>
      </w:r>
      <w:r>
        <w:rPr>
          <w:spacing w:val="5"/>
          <w:w w:val="120"/>
          <w:sz w:val="20"/>
        </w:rPr>
        <w:t> </w:t>
      </w:r>
      <w:r>
        <w:rPr>
          <w:spacing w:val="-3"/>
          <w:w w:val="120"/>
          <w:sz w:val="20"/>
        </w:rPr>
        <w:t>matter?</w:t>
      </w:r>
    </w:p>
    <w:p>
      <w:pPr>
        <w:pStyle w:val="BodyText"/>
        <w:spacing w:before="10"/>
        <w:rPr>
          <w:sz w:val="19"/>
        </w:rPr>
      </w:pPr>
    </w:p>
    <w:p>
      <w:pPr>
        <w:pStyle w:val="ListParagraph"/>
        <w:numPr>
          <w:ilvl w:val="0"/>
          <w:numId w:val="49"/>
        </w:numPr>
        <w:tabs>
          <w:tab w:pos="1927" w:val="left" w:leader="none"/>
          <w:tab w:pos="1928" w:val="left" w:leader="none"/>
        </w:tabs>
        <w:spacing w:line="235" w:lineRule="auto" w:before="0" w:after="0"/>
        <w:ind w:left="1247" w:right="2108" w:firstLine="0"/>
        <w:jc w:val="left"/>
        <w:rPr>
          <w:sz w:val="20"/>
        </w:rPr>
      </w:pPr>
      <w:r>
        <w:rPr>
          <w:w w:val="120"/>
          <w:sz w:val="20"/>
        </w:rPr>
        <w:t>Whilst the larger </w:t>
      </w:r>
      <w:r>
        <w:rPr>
          <w:spacing w:val="2"/>
          <w:w w:val="120"/>
          <w:sz w:val="20"/>
        </w:rPr>
        <w:t>part </w:t>
      </w:r>
      <w:r>
        <w:rPr>
          <w:w w:val="120"/>
          <w:sz w:val="20"/>
        </w:rPr>
        <w:t>of the department’s staff will be very busy providing the necessary</w:t>
      </w:r>
      <w:r>
        <w:rPr>
          <w:spacing w:val="6"/>
          <w:w w:val="120"/>
          <w:sz w:val="20"/>
        </w:rPr>
        <w:t> </w:t>
      </w:r>
      <w:r>
        <w:rPr>
          <w:w w:val="120"/>
          <w:sz w:val="20"/>
        </w:rPr>
        <w:t>support</w:t>
      </w:r>
      <w:r>
        <w:rPr>
          <w:spacing w:val="7"/>
          <w:w w:val="120"/>
          <w:sz w:val="20"/>
        </w:rPr>
        <w:t> </w:t>
      </w:r>
      <w:r>
        <w:rPr>
          <w:w w:val="120"/>
          <w:sz w:val="20"/>
        </w:rPr>
        <w:t>for</w:t>
      </w:r>
      <w:r>
        <w:rPr>
          <w:spacing w:val="7"/>
          <w:w w:val="120"/>
          <w:sz w:val="20"/>
        </w:rPr>
        <w:t> </w:t>
      </w:r>
      <w:r>
        <w:rPr>
          <w:w w:val="120"/>
          <w:sz w:val="20"/>
        </w:rPr>
        <w:t>the</w:t>
      </w:r>
      <w:r>
        <w:rPr>
          <w:spacing w:val="7"/>
          <w:w w:val="120"/>
          <w:sz w:val="20"/>
        </w:rPr>
        <w:t> </w:t>
      </w:r>
      <w:r>
        <w:rPr>
          <w:w w:val="120"/>
          <w:sz w:val="20"/>
        </w:rPr>
        <w:t>smooth</w:t>
      </w:r>
      <w:r>
        <w:rPr>
          <w:spacing w:val="7"/>
          <w:w w:val="120"/>
          <w:sz w:val="20"/>
        </w:rPr>
        <w:t> </w:t>
      </w:r>
      <w:r>
        <w:rPr>
          <w:w w:val="120"/>
          <w:sz w:val="20"/>
        </w:rPr>
        <w:t>running</w:t>
      </w:r>
      <w:r>
        <w:rPr>
          <w:spacing w:val="7"/>
          <w:w w:val="120"/>
          <w:sz w:val="20"/>
        </w:rPr>
        <w:t> </w:t>
      </w:r>
      <w:r>
        <w:rPr>
          <w:w w:val="120"/>
          <w:sz w:val="20"/>
        </w:rPr>
        <w:t>of</w:t>
      </w:r>
      <w:r>
        <w:rPr>
          <w:spacing w:val="7"/>
          <w:w w:val="120"/>
          <w:sz w:val="20"/>
        </w:rPr>
        <w:t> </w:t>
      </w:r>
      <w:r>
        <w:rPr>
          <w:w w:val="120"/>
          <w:sz w:val="20"/>
        </w:rPr>
        <w:t>the</w:t>
      </w:r>
      <w:r>
        <w:rPr>
          <w:spacing w:val="7"/>
          <w:w w:val="120"/>
          <w:sz w:val="20"/>
        </w:rPr>
        <w:t> </w:t>
      </w:r>
      <w:r>
        <w:rPr>
          <w:w w:val="120"/>
          <w:sz w:val="20"/>
        </w:rPr>
        <w:t>proceedings</w:t>
      </w:r>
      <w:r>
        <w:rPr>
          <w:spacing w:val="7"/>
          <w:w w:val="120"/>
          <w:sz w:val="20"/>
        </w:rPr>
        <w:t> </w:t>
      </w:r>
      <w:r>
        <w:rPr>
          <w:w w:val="120"/>
          <w:sz w:val="20"/>
        </w:rPr>
        <w:t>of</w:t>
      </w:r>
      <w:r>
        <w:rPr>
          <w:spacing w:val="7"/>
          <w:w w:val="120"/>
          <w:sz w:val="20"/>
        </w:rPr>
        <w:t> </w:t>
      </w:r>
      <w:r>
        <w:rPr>
          <w:w w:val="120"/>
          <w:sz w:val="20"/>
        </w:rPr>
        <w:t>the</w:t>
      </w:r>
      <w:r>
        <w:rPr>
          <w:spacing w:val="7"/>
          <w:w w:val="120"/>
          <w:sz w:val="20"/>
        </w:rPr>
        <w:t> </w:t>
      </w:r>
      <w:r>
        <w:rPr>
          <w:w w:val="120"/>
          <w:sz w:val="20"/>
        </w:rPr>
        <w:t>General</w:t>
      </w:r>
      <w:r>
        <w:rPr>
          <w:spacing w:val="7"/>
          <w:w w:val="120"/>
          <w:sz w:val="20"/>
        </w:rPr>
        <w:t> </w:t>
      </w:r>
      <w:r>
        <w:rPr>
          <w:w w:val="120"/>
          <w:sz w:val="20"/>
        </w:rPr>
        <w:t>Assembly</w:t>
      </w:r>
    </w:p>
    <w:p>
      <w:pPr>
        <w:pStyle w:val="ListParagraph"/>
        <w:numPr>
          <w:ilvl w:val="0"/>
          <w:numId w:val="45"/>
        </w:numPr>
        <w:tabs>
          <w:tab w:pos="1432" w:val="left" w:leader="none"/>
        </w:tabs>
        <w:spacing w:line="235" w:lineRule="auto" w:before="2" w:after="0"/>
        <w:ind w:left="1247" w:right="2424" w:firstLine="0"/>
        <w:jc w:val="left"/>
        <w:rPr>
          <w:sz w:val="20"/>
        </w:rPr>
      </w:pPr>
      <w:r>
        <w:rPr>
          <w:w w:val="120"/>
          <w:sz w:val="20"/>
        </w:rPr>
        <w:t>and communicating debates and discussions far beyond Cardiff – the staff and committee members look forward to further insights from the Assembly in the time allotted to discussion of the department’s work in the past and the</w:t>
      </w:r>
      <w:r>
        <w:rPr>
          <w:spacing w:val="15"/>
          <w:w w:val="120"/>
          <w:sz w:val="20"/>
        </w:rPr>
        <w:t> </w:t>
      </w:r>
      <w:r>
        <w:rPr>
          <w:w w:val="120"/>
          <w:sz w:val="20"/>
        </w:rPr>
        <w:t>future.</w:t>
      </w:r>
    </w:p>
    <w:p>
      <w:pPr>
        <w:spacing w:after="0" w:line="235" w:lineRule="auto"/>
        <w:jc w:val="left"/>
        <w:rPr>
          <w:sz w:val="20"/>
        </w:rPr>
        <w:sectPr>
          <w:headerReference w:type="even" r:id="rId217"/>
          <w:pgSz w:w="11910" w:h="16840"/>
          <w:pgMar w:header="0" w:footer="647" w:top="0" w:bottom="840" w:left="0" w:right="0"/>
        </w:sectPr>
      </w:pPr>
    </w:p>
    <w:p>
      <w:pPr>
        <w:pStyle w:val="BodyText"/>
      </w:pPr>
      <w:r>
        <w:rPr/>
        <w:pict>
          <v:rect style="position:absolute;margin-left:0pt;margin-top:.000015pt;width:549.207pt;height:841.89pt;mso-position-horizontal-relative:page;mso-position-vertical-relative:page;z-index:-267361280" filled="true" fillcolor="#d3e5c3" stroked="false">
            <v:fill type="solid"/>
            <w10:wrap type="none"/>
          </v:rect>
        </w:pict>
      </w:r>
      <w:r>
        <w:rPr/>
        <w:drawing>
          <wp:anchor distT="0" distB="0" distL="0" distR="0" allowOverlap="1" layoutInCell="1" locked="0" behindDoc="0" simplePos="0" relativeHeight="251916288">
            <wp:simplePos x="0" y="0"/>
            <wp:positionH relativeFrom="page">
              <wp:posOffset>6974928</wp:posOffset>
            </wp:positionH>
            <wp:positionV relativeFrom="page">
              <wp:posOffset>0</wp:posOffset>
            </wp:positionV>
            <wp:extent cx="585063" cy="10692003"/>
            <wp:effectExtent l="0" t="0" r="0" b="0"/>
            <wp:wrapNone/>
            <wp:docPr id="167" name="image25.png"/>
            <wp:cNvGraphicFramePr>
              <a:graphicFrameLocks noChangeAspect="1"/>
            </wp:cNvGraphicFramePr>
            <a:graphic>
              <a:graphicData uri="http://schemas.openxmlformats.org/drawingml/2006/picture">
                <pic:pic>
                  <pic:nvPicPr>
                    <pic:cNvPr id="168" name="image25.png"/>
                    <pic:cNvPicPr/>
                  </pic:nvPicPr>
                  <pic:blipFill>
                    <a:blip r:embed="rId192"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5"/>
        <w:rPr>
          <w:sz w:val="28"/>
        </w:rPr>
      </w:pPr>
    </w:p>
    <w:p>
      <w:pPr>
        <w:pStyle w:val="Heading2"/>
        <w:spacing w:line="213" w:lineRule="auto"/>
        <w:ind w:left="1984" w:right="2004"/>
        <w:rPr>
          <w:b/>
        </w:rPr>
      </w:pPr>
      <w:r>
        <w:rPr/>
        <w:pict>
          <v:shape style="position:absolute;margin-left:554.141174pt;margin-top:-5.989334pt;width:25.9pt;height:327.95pt;mso-position-horizontal-relative:page;mso-position-vertical-relative:paragraph;z-index:251917312" type="#_x0000_t202" filled="false" stroked="false">
            <v:textbox inset="0,0,0,0" style="layout-flow:vertical">
              <w:txbxContent>
                <w:p>
                  <w:pPr>
                    <w:spacing w:before="27"/>
                    <w:ind w:left="20" w:right="0" w:firstLine="0"/>
                    <w:jc w:val="left"/>
                    <w:rPr>
                      <w:sz w:val="39"/>
                    </w:rPr>
                  </w:pPr>
                  <w:r>
                    <w:rPr>
                      <w:color w:val="FFFFFF"/>
                      <w:w w:val="120"/>
                      <w:sz w:val="39"/>
                    </w:rPr>
                    <w:t>Reshaping EM1 student support</w:t>
                  </w:r>
                </w:p>
              </w:txbxContent>
            </v:textbox>
            <w10:wrap type="none"/>
          </v:shape>
        </w:pict>
      </w:r>
      <w:bookmarkStart w:name="_bookmark17" w:id="20"/>
      <w:bookmarkEnd w:id="20"/>
      <w:r>
        <w:rPr>
          <w:b w:val="0"/>
        </w:rPr>
      </w:r>
      <w:r>
        <w:rPr>
          <w:b/>
          <w:color w:val="41A62B"/>
          <w:w w:val="110"/>
        </w:rPr>
        <w:t>Education and learning committee:</w:t>
      </w:r>
    </w:p>
    <w:p>
      <w:pPr>
        <w:pStyle w:val="Heading3"/>
        <w:spacing w:line="220" w:lineRule="auto"/>
        <w:ind w:left="1984" w:right="1316"/>
        <w:rPr>
          <w:b/>
        </w:rPr>
      </w:pPr>
      <w:r>
        <w:rPr>
          <w:b/>
          <w:spacing w:val="-5"/>
          <w:w w:val="115"/>
        </w:rPr>
        <w:t>Ministerial </w:t>
      </w:r>
      <w:r>
        <w:rPr>
          <w:b/>
          <w:spacing w:val="-4"/>
          <w:w w:val="115"/>
        </w:rPr>
        <w:t>green </w:t>
      </w:r>
      <w:r>
        <w:rPr>
          <w:b/>
          <w:spacing w:val="-3"/>
          <w:w w:val="115"/>
        </w:rPr>
        <w:t>shoots </w:t>
      </w:r>
      <w:r>
        <w:rPr>
          <w:b/>
          <w:spacing w:val="-5"/>
          <w:w w:val="115"/>
        </w:rPr>
        <w:t>fund: Reshaping</w:t>
      </w:r>
      <w:r>
        <w:rPr>
          <w:b/>
          <w:spacing w:val="-61"/>
          <w:w w:val="115"/>
        </w:rPr>
        <w:t> </w:t>
      </w:r>
      <w:r>
        <w:rPr>
          <w:b/>
          <w:spacing w:val="-7"/>
          <w:w w:val="115"/>
        </w:rPr>
        <w:t>EM1</w:t>
      </w:r>
      <w:r>
        <w:rPr>
          <w:b/>
          <w:spacing w:val="-60"/>
          <w:w w:val="115"/>
        </w:rPr>
        <w:t> </w:t>
      </w:r>
      <w:r>
        <w:rPr>
          <w:b/>
          <w:spacing w:val="-5"/>
          <w:w w:val="115"/>
        </w:rPr>
        <w:t>student</w:t>
      </w:r>
      <w:r>
        <w:rPr>
          <w:b/>
          <w:spacing w:val="-60"/>
          <w:w w:val="115"/>
        </w:rPr>
        <w:t> </w:t>
      </w:r>
      <w:r>
        <w:rPr>
          <w:b/>
          <w:w w:val="115"/>
        </w:rPr>
        <w:t>support</w:t>
      </w:r>
    </w:p>
    <w:p>
      <w:pPr>
        <w:pStyle w:val="BodyText"/>
        <w:spacing w:before="384" w:after="27"/>
        <w:ind w:left="1984"/>
      </w:pPr>
      <w:r>
        <w:rPr>
          <w:w w:val="120"/>
        </w:rPr>
        <w:t>Basic Information</w:t>
      </w:r>
    </w:p>
    <w:tbl>
      <w:tblPr>
        <w:tblW w:w="0" w:type="auto"/>
        <w:jc w:val="left"/>
        <w:tblInd w:w="19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335"/>
      </w:tblGrid>
      <w:tr>
        <w:trPr>
          <w:trHeight w:val="680" w:hRule="atLeast"/>
        </w:trPr>
        <w:tc>
          <w:tcPr>
            <w:tcW w:w="2660" w:type="dxa"/>
            <w:shd w:val="clear" w:color="auto" w:fill="FFFFFF"/>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335" w:type="dxa"/>
            <w:tcBorders>
              <w:right w:val="nil"/>
            </w:tcBorders>
            <w:shd w:val="clear" w:color="auto" w:fill="FFFFFF"/>
          </w:tcPr>
          <w:p>
            <w:pPr>
              <w:pStyle w:val="TableParagraph"/>
              <w:spacing w:line="235" w:lineRule="auto" w:before="145"/>
              <w:ind w:right="2956"/>
              <w:rPr>
                <w:sz w:val="20"/>
              </w:rPr>
            </w:pPr>
            <w:r>
              <w:rPr>
                <w:w w:val="120"/>
                <w:sz w:val="20"/>
              </w:rPr>
              <w:t>Fiona Thomas </w:t>
            </w:r>
            <w:hyperlink r:id="rId220">
              <w:r>
                <w:rPr>
                  <w:w w:val="115"/>
                  <w:sz w:val="20"/>
                </w:rPr>
                <w:t>fiona.thomas@urc.org.uk</w:t>
              </w:r>
            </w:hyperlink>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Action required</w:t>
            </w:r>
          </w:p>
        </w:tc>
        <w:tc>
          <w:tcPr>
            <w:tcW w:w="6335" w:type="dxa"/>
            <w:tcBorders>
              <w:right w:val="nil"/>
            </w:tcBorders>
            <w:shd w:val="clear" w:color="auto" w:fill="FFFFFF"/>
          </w:tcPr>
          <w:p>
            <w:pPr>
              <w:pStyle w:val="TableParagraph"/>
              <w:spacing w:before="141"/>
              <w:rPr>
                <w:sz w:val="20"/>
              </w:rPr>
            </w:pPr>
            <w:r>
              <w:rPr>
                <w:w w:val="120"/>
                <w:sz w:val="20"/>
              </w:rPr>
              <w:t>Decision</w:t>
            </w:r>
          </w:p>
        </w:tc>
      </w:tr>
      <w:tr>
        <w:trPr>
          <w:trHeight w:val="16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Draft resolution(s)</w:t>
            </w:r>
          </w:p>
        </w:tc>
        <w:tc>
          <w:tcPr>
            <w:tcW w:w="6335" w:type="dxa"/>
            <w:tcBorders>
              <w:right w:val="nil"/>
            </w:tcBorders>
            <w:shd w:val="clear" w:color="auto" w:fill="FFFFFF"/>
          </w:tcPr>
          <w:p>
            <w:pPr>
              <w:pStyle w:val="TableParagraph"/>
              <w:spacing w:line="213" w:lineRule="auto" w:before="151"/>
              <w:ind w:right="216"/>
              <w:rPr>
                <w:rFonts w:ascii="Stone Sans II ITC Std Bk"/>
                <w:b/>
                <w:sz w:val="20"/>
              </w:rPr>
            </w:pPr>
            <w:r>
              <w:rPr>
                <w:rFonts w:ascii="Stone Sans II ITC Std Bk"/>
                <w:b/>
                <w:w w:val="110"/>
                <w:sz w:val="20"/>
              </w:rPr>
              <w:t>General Assembly endorses the development of a ministerial green shoots fund for education for ministry phase one (EM1) students according to the provisions outlined on pages 92 to 94. This will be applicable to new students starting EM1 in September 2015.</w:t>
            </w:r>
          </w:p>
        </w:tc>
      </w:tr>
    </w:tbl>
    <w:p>
      <w:pPr>
        <w:pStyle w:val="BodyText"/>
        <w:rPr>
          <w:sz w:val="24"/>
        </w:rPr>
      </w:pPr>
    </w:p>
    <w:p>
      <w:pPr>
        <w:pStyle w:val="BodyText"/>
        <w:spacing w:before="156" w:after="27"/>
        <w:ind w:left="1984"/>
      </w:pPr>
      <w:r>
        <w:rPr>
          <w:w w:val="120"/>
        </w:rPr>
        <w:t>Summary of Content</w:t>
      </w:r>
    </w:p>
    <w:tbl>
      <w:tblPr>
        <w:tblW w:w="0" w:type="auto"/>
        <w:jc w:val="left"/>
        <w:tblInd w:w="19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335"/>
      </w:tblGrid>
      <w:tr>
        <w:trPr>
          <w:trHeight w:val="92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Subject and aim(s)</w:t>
            </w:r>
          </w:p>
        </w:tc>
        <w:tc>
          <w:tcPr>
            <w:tcW w:w="6335" w:type="dxa"/>
            <w:tcBorders>
              <w:right w:val="nil"/>
            </w:tcBorders>
            <w:shd w:val="clear" w:color="auto" w:fill="FFFFFF"/>
          </w:tcPr>
          <w:p>
            <w:pPr>
              <w:pStyle w:val="TableParagraph"/>
              <w:spacing w:line="235" w:lineRule="auto" w:before="145"/>
              <w:rPr>
                <w:sz w:val="20"/>
              </w:rPr>
            </w:pPr>
            <w:r>
              <w:rPr>
                <w:w w:val="120"/>
                <w:sz w:val="20"/>
              </w:rPr>
              <w:t>To reformulate the existing ministerial training fund and to provide support to EM1 students through a new scheme of assessed grants.</w:t>
            </w:r>
          </w:p>
        </w:tc>
      </w:tr>
      <w:tr>
        <w:trPr>
          <w:trHeight w:val="116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Main points</w:t>
            </w:r>
          </w:p>
        </w:tc>
        <w:tc>
          <w:tcPr>
            <w:tcW w:w="6335" w:type="dxa"/>
            <w:tcBorders>
              <w:right w:val="nil"/>
            </w:tcBorders>
            <w:shd w:val="clear" w:color="auto" w:fill="FFFFFF"/>
          </w:tcPr>
          <w:p>
            <w:pPr>
              <w:pStyle w:val="TableParagraph"/>
              <w:spacing w:line="235" w:lineRule="auto" w:before="145"/>
              <w:ind w:right="216"/>
              <w:rPr>
                <w:sz w:val="20"/>
              </w:rPr>
            </w:pPr>
            <w:r>
              <w:rPr>
                <w:w w:val="120"/>
                <w:sz w:val="20"/>
              </w:rPr>
              <w:t>Serious inadequacies in the current system will be addressed, resulting in fairer treatment of individuals and greater stability in a significant area of the United</w:t>
            </w:r>
            <w:r>
              <w:rPr>
                <w:spacing w:val="9"/>
                <w:w w:val="120"/>
                <w:sz w:val="20"/>
              </w:rPr>
              <w:t> </w:t>
            </w:r>
            <w:r>
              <w:rPr>
                <w:w w:val="120"/>
                <w:sz w:val="20"/>
              </w:rPr>
              <w:t>Reformed</w:t>
            </w:r>
          </w:p>
          <w:p>
            <w:pPr>
              <w:pStyle w:val="TableParagraph"/>
              <w:spacing w:line="243" w:lineRule="exact"/>
              <w:rPr>
                <w:sz w:val="20"/>
              </w:rPr>
            </w:pPr>
            <w:r>
              <w:rPr>
                <w:w w:val="125"/>
                <w:sz w:val="20"/>
              </w:rPr>
              <w:t>Church’s budget.</w:t>
            </w:r>
          </w:p>
        </w:tc>
      </w:tr>
      <w:tr>
        <w:trPr>
          <w:trHeight w:val="680" w:hRule="atLeast"/>
        </w:trPr>
        <w:tc>
          <w:tcPr>
            <w:tcW w:w="2660" w:type="dxa"/>
            <w:shd w:val="clear" w:color="auto" w:fill="FFFFFF"/>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335" w:type="dxa"/>
            <w:tcBorders>
              <w:right w:val="nil"/>
            </w:tcBorders>
            <w:shd w:val="clear" w:color="auto" w:fill="FFFFFF"/>
          </w:tcPr>
          <w:p>
            <w:pPr>
              <w:pStyle w:val="TableParagraph"/>
              <w:spacing w:before="141"/>
              <w:rPr>
                <w:sz w:val="20"/>
              </w:rPr>
            </w:pPr>
            <w:r>
              <w:rPr>
                <w:w w:val="120"/>
                <w:sz w:val="20"/>
              </w:rPr>
              <w:t>Papers H, H1 and H2 for Mission Council May 2013</w:t>
            </w:r>
          </w:p>
        </w:tc>
      </w:tr>
      <w:tr>
        <w:trPr>
          <w:trHeight w:val="1160" w:hRule="atLeast"/>
        </w:trPr>
        <w:tc>
          <w:tcPr>
            <w:tcW w:w="2660" w:type="dxa"/>
            <w:shd w:val="clear" w:color="auto" w:fill="FFFFFF"/>
          </w:tcPr>
          <w:p>
            <w:pPr>
              <w:pStyle w:val="TableParagraph"/>
              <w:spacing w:line="213" w:lineRule="auto" w:before="151"/>
              <w:ind w:right="104"/>
              <w:rPr>
                <w:rFonts w:ascii="Stone Sans II ITC Std Bk"/>
                <w:b/>
                <w:sz w:val="20"/>
              </w:rPr>
            </w:pPr>
            <w:r>
              <w:rPr>
                <w:rFonts w:ascii="Stone Sans II ITC Std Bk"/>
                <w:b/>
                <w:w w:val="110"/>
                <w:sz w:val="20"/>
              </w:rPr>
              <w:t>Consultation has taken place with...</w:t>
            </w:r>
          </w:p>
        </w:tc>
        <w:tc>
          <w:tcPr>
            <w:tcW w:w="6335" w:type="dxa"/>
            <w:tcBorders>
              <w:right w:val="nil"/>
            </w:tcBorders>
            <w:shd w:val="clear" w:color="auto" w:fill="FFFFFF"/>
          </w:tcPr>
          <w:p>
            <w:pPr>
              <w:pStyle w:val="TableParagraph"/>
              <w:spacing w:line="235" w:lineRule="auto" w:before="145"/>
              <w:ind w:right="363"/>
              <w:rPr>
                <w:sz w:val="20"/>
              </w:rPr>
            </w:pPr>
            <w:r>
              <w:rPr>
                <w:w w:val="120"/>
                <w:sz w:val="20"/>
              </w:rPr>
              <w:t>Resource centres for learning, United Reformed Church treasurer, relevant task groups established by the education and learning finance sub-committee, Mission Council in  May</w:t>
            </w:r>
            <w:r>
              <w:rPr>
                <w:spacing w:val="2"/>
                <w:w w:val="120"/>
                <w:sz w:val="20"/>
              </w:rPr>
              <w:t> </w:t>
            </w:r>
            <w:r>
              <w:rPr>
                <w:spacing w:val="-13"/>
                <w:w w:val="120"/>
                <w:sz w:val="20"/>
              </w:rPr>
              <w:t>2013</w:t>
            </w:r>
          </w:p>
        </w:tc>
      </w:tr>
    </w:tbl>
    <w:p>
      <w:pPr>
        <w:pStyle w:val="BodyText"/>
        <w:rPr>
          <w:sz w:val="24"/>
        </w:rPr>
      </w:pPr>
    </w:p>
    <w:p>
      <w:pPr>
        <w:pStyle w:val="BodyText"/>
        <w:spacing w:before="156" w:after="27"/>
        <w:ind w:left="1984"/>
      </w:pPr>
      <w:r>
        <w:rPr>
          <w:w w:val="120"/>
        </w:rPr>
        <w:t>Summary of Impact</w:t>
      </w:r>
    </w:p>
    <w:tbl>
      <w:tblPr>
        <w:tblW w:w="0" w:type="auto"/>
        <w:jc w:val="left"/>
        <w:tblInd w:w="19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335"/>
      </w:tblGrid>
      <w:tr>
        <w:trPr>
          <w:trHeight w:val="116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335" w:type="dxa"/>
            <w:tcBorders>
              <w:right w:val="nil"/>
            </w:tcBorders>
            <w:shd w:val="clear" w:color="auto" w:fill="FFFFFF"/>
          </w:tcPr>
          <w:p>
            <w:pPr>
              <w:pStyle w:val="TableParagraph"/>
              <w:spacing w:line="235" w:lineRule="auto" w:before="145"/>
              <w:ind w:right="216"/>
              <w:rPr>
                <w:sz w:val="20"/>
              </w:rPr>
            </w:pPr>
            <w:r>
              <w:rPr>
                <w:w w:val="120"/>
                <w:sz w:val="20"/>
              </w:rPr>
              <w:t>Synods and sending churches will be asked to consider the level of financial support which they can offer to the fund when a ministerial candidate endorsed by them is accepted for training.</w:t>
            </w:r>
          </w:p>
        </w:tc>
      </w:tr>
      <w:tr>
        <w:trPr>
          <w:trHeight w:val="68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335" w:type="dxa"/>
            <w:tcBorders>
              <w:right w:val="nil"/>
            </w:tcBorders>
            <w:shd w:val="clear" w:color="auto" w:fill="FFFFFF"/>
          </w:tcPr>
          <w:p>
            <w:pPr>
              <w:pStyle w:val="TableParagraph"/>
              <w:spacing w:before="141"/>
              <w:rPr>
                <w:sz w:val="20"/>
              </w:rPr>
            </w:pPr>
            <w:r>
              <w:rPr>
                <w:w w:val="120"/>
                <w:sz w:val="20"/>
              </w:rPr>
              <w:t>Other denominations find themselves addressing similar issues.</w:t>
            </w:r>
          </w:p>
        </w:tc>
      </w:tr>
    </w:tbl>
    <w:p>
      <w:pPr>
        <w:pStyle w:val="BodyText"/>
        <w:rPr>
          <w:sz w:val="24"/>
        </w:rPr>
      </w:pPr>
    </w:p>
    <w:p>
      <w:pPr>
        <w:pStyle w:val="BodyText"/>
        <w:rPr>
          <w:sz w:val="24"/>
        </w:rPr>
      </w:pPr>
    </w:p>
    <w:p>
      <w:pPr>
        <w:pStyle w:val="BodyText"/>
        <w:rPr>
          <w:sz w:val="24"/>
        </w:rPr>
      </w:pPr>
    </w:p>
    <w:p>
      <w:pPr>
        <w:pStyle w:val="BodyText"/>
        <w:rPr>
          <w:sz w:val="24"/>
        </w:rPr>
      </w:pPr>
    </w:p>
    <w:p>
      <w:pPr>
        <w:pStyle w:val="BodyText"/>
        <w:spacing w:before="5"/>
        <w:rPr>
          <w:sz w:val="35"/>
        </w:rPr>
      </w:pPr>
    </w:p>
    <w:p>
      <w:pPr>
        <w:pStyle w:val="Heading8"/>
        <w:spacing w:before="0"/>
        <w:ind w:left="4510"/>
        <w:rPr>
          <w:rFonts w:ascii="Stone Sans II ITC Std X Bd" w:hAnsi="Stone Sans II ITC Std X Bd"/>
          <w:b/>
          <w:sz w:val="24"/>
        </w:rPr>
      </w:pP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2014 </w:t>
      </w:r>
      <w:r>
        <w:rPr>
          <w:rFonts w:ascii="Symbol" w:hAnsi="Symbol"/>
          <w:color w:val="7EAABF"/>
          <w:w w:val="110"/>
        </w:rPr>
        <w:t></w:t>
      </w:r>
      <w:r>
        <w:rPr>
          <w:rFonts w:ascii="Times New Roman" w:hAnsi="Times New Roman"/>
          <w:color w:val="7EAABF"/>
          <w:spacing w:val="51"/>
          <w:w w:val="110"/>
        </w:rPr>
        <w:t> </w:t>
      </w:r>
      <w:r>
        <w:rPr>
          <w:rFonts w:ascii="Stone Sans II ITC Std X Bd" w:hAnsi="Stone Sans II ITC Std X Bd"/>
          <w:b/>
          <w:w w:val="110"/>
          <w:sz w:val="24"/>
        </w:rPr>
        <w:t>91</w:t>
      </w:r>
    </w:p>
    <w:p>
      <w:pPr>
        <w:spacing w:after="0"/>
        <w:rPr>
          <w:rFonts w:ascii="Stone Sans II ITC Std X Bd" w:hAnsi="Stone Sans II ITC Std X Bd"/>
          <w:sz w:val="24"/>
        </w:rPr>
        <w:sectPr>
          <w:headerReference w:type="default" r:id="rId218"/>
          <w:footerReference w:type="default" r:id="rId219"/>
          <w:pgSz w:w="11910" w:h="16840"/>
          <w:pgMar w:header="0" w:footer="0" w:top="0" w:bottom="0" w:left="0" w:right="0"/>
        </w:sectPr>
      </w:pPr>
    </w:p>
    <w:p>
      <w:pPr>
        <w:pStyle w:val="BodyText"/>
        <w:rPr>
          <w:rFonts w:ascii="Stone Sans II ITC Std X Bd"/>
          <w:b/>
        </w:rPr>
      </w:pPr>
      <w:r>
        <w:rPr/>
        <w:drawing>
          <wp:anchor distT="0" distB="0" distL="0" distR="0" allowOverlap="1" layoutInCell="1" locked="0" behindDoc="0" simplePos="0" relativeHeight="251918336">
            <wp:simplePos x="0" y="0"/>
            <wp:positionH relativeFrom="page">
              <wp:posOffset>0</wp:posOffset>
            </wp:positionH>
            <wp:positionV relativeFrom="page">
              <wp:posOffset>0</wp:posOffset>
            </wp:positionV>
            <wp:extent cx="594067" cy="10692003"/>
            <wp:effectExtent l="0" t="0" r="0" b="0"/>
            <wp:wrapNone/>
            <wp:docPr id="169" name="image28.png"/>
            <wp:cNvGraphicFramePr>
              <a:graphicFrameLocks noChangeAspect="1"/>
            </wp:cNvGraphicFramePr>
            <a:graphic>
              <a:graphicData uri="http://schemas.openxmlformats.org/drawingml/2006/picture">
                <pic:pic>
                  <pic:nvPicPr>
                    <pic:cNvPr id="170" name="image28.png"/>
                    <pic:cNvPicPr/>
                  </pic:nvPicPr>
                  <pic:blipFill>
                    <a:blip r:embed="rId198" cstate="print"/>
                    <a:stretch>
                      <a:fillRect/>
                    </a:stretch>
                  </pic:blipFill>
                  <pic:spPr>
                    <a:xfrm>
                      <a:off x="0" y="0"/>
                      <a:ext cx="594067" cy="10692003"/>
                    </a:xfrm>
                    <a:prstGeom prst="rect">
                      <a:avLst/>
                    </a:prstGeom>
                  </pic:spPr>
                </pic:pic>
              </a:graphicData>
            </a:graphic>
          </wp:anchor>
        </w:drawing>
      </w:r>
    </w:p>
    <w:p>
      <w:pPr>
        <w:pStyle w:val="BodyText"/>
        <w:spacing w:before="7"/>
        <w:rPr>
          <w:rFonts w:ascii="Stone Sans II ITC Std X Bd"/>
          <w:b/>
          <w:sz w:val="17"/>
        </w:rPr>
      </w:pPr>
    </w:p>
    <w:p>
      <w:pPr>
        <w:pStyle w:val="Heading5"/>
        <w:spacing w:before="107"/>
      </w:pPr>
      <w:r>
        <w:rPr/>
        <w:pict>
          <v:shape style="position:absolute;margin-left:20.519100pt;margin-top:22.643946pt;width:25.9pt;height:327.95pt;mso-position-horizontal-relative:page;mso-position-vertical-relative:paragraph;z-index:251919360" type="#_x0000_t202" filled="false" stroked="false">
            <v:textbox inset="0,0,0,0" style="layout-flow:vertical">
              <w:txbxContent>
                <w:p>
                  <w:pPr>
                    <w:spacing w:before="27"/>
                    <w:ind w:left="20" w:right="0" w:firstLine="0"/>
                    <w:jc w:val="left"/>
                    <w:rPr>
                      <w:sz w:val="39"/>
                    </w:rPr>
                  </w:pPr>
                  <w:r>
                    <w:rPr>
                      <w:color w:val="FFFFFF"/>
                      <w:w w:val="120"/>
                      <w:sz w:val="39"/>
                    </w:rPr>
                    <w:t>Reshaping EM1 student support</w:t>
                  </w:r>
                </w:p>
              </w:txbxContent>
            </v:textbox>
            <w10:wrap type="none"/>
          </v:shape>
        </w:pict>
      </w:r>
      <w:bookmarkStart w:name="_TOC_250008" w:id="21"/>
      <w:bookmarkEnd w:id="21"/>
      <w:r>
        <w:rPr>
          <w:color w:val="7EAABF"/>
          <w:w w:val="115"/>
        </w:rPr>
        <w:t>Education and learning</w:t>
      </w:r>
    </w:p>
    <w:p>
      <w:pPr>
        <w:spacing w:line="648" w:lineRule="exact" w:before="245"/>
        <w:ind w:left="1247" w:right="0" w:firstLine="0"/>
        <w:jc w:val="left"/>
        <w:rPr>
          <w:rFonts w:ascii="Stone Sans II ITC Std X Bd"/>
          <w:b/>
          <w:sz w:val="50"/>
        </w:rPr>
      </w:pPr>
      <w:r>
        <w:rPr>
          <w:rFonts w:ascii="Stone Sans II ITC Std X Bd"/>
          <w:b/>
          <w:w w:val="110"/>
          <w:sz w:val="50"/>
        </w:rPr>
        <w:t>Ministerial green shoots fund:</w:t>
      </w:r>
    </w:p>
    <w:p>
      <w:pPr>
        <w:spacing w:line="621" w:lineRule="exact" w:before="0"/>
        <w:ind w:left="1247" w:right="0" w:firstLine="0"/>
        <w:jc w:val="left"/>
        <w:rPr>
          <w:rFonts w:ascii="Stone Sans II ITC Std X Bd"/>
          <w:b/>
          <w:sz w:val="48"/>
        </w:rPr>
      </w:pPr>
      <w:r>
        <w:rPr>
          <w:rFonts w:ascii="Stone Sans II ITC Std X Bd"/>
          <w:b/>
          <w:w w:val="115"/>
          <w:sz w:val="48"/>
        </w:rPr>
        <w:t>Reshaping EM1 student support</w:t>
      </w:r>
    </w:p>
    <w:p>
      <w:pPr>
        <w:pStyle w:val="ListParagraph"/>
        <w:numPr>
          <w:ilvl w:val="0"/>
          <w:numId w:val="51"/>
        </w:numPr>
        <w:tabs>
          <w:tab w:pos="1927" w:val="left" w:leader="none"/>
          <w:tab w:pos="1928" w:val="left" w:leader="none"/>
        </w:tabs>
        <w:spacing w:line="240" w:lineRule="auto" w:before="344" w:after="0"/>
        <w:ind w:left="1927" w:right="0" w:hanging="681"/>
        <w:jc w:val="left"/>
        <w:rPr>
          <w:rFonts w:ascii="Stone Sans II ITC Std Bk"/>
          <w:b/>
          <w:sz w:val="29"/>
        </w:rPr>
      </w:pPr>
      <w:r>
        <w:rPr>
          <w:rFonts w:ascii="Stone Sans II ITC Std Bk"/>
          <w:b/>
          <w:spacing w:val="4"/>
          <w:w w:val="110"/>
          <w:sz w:val="29"/>
        </w:rPr>
        <w:t>The </w:t>
      </w:r>
      <w:r>
        <w:rPr>
          <w:rFonts w:ascii="Stone Sans II ITC Std Bk"/>
          <w:b/>
          <w:spacing w:val="3"/>
          <w:w w:val="110"/>
          <w:sz w:val="29"/>
        </w:rPr>
        <w:t>current</w:t>
      </w:r>
      <w:r>
        <w:rPr>
          <w:rFonts w:ascii="Stone Sans II ITC Std Bk"/>
          <w:b/>
          <w:spacing w:val="21"/>
          <w:w w:val="110"/>
          <w:sz w:val="29"/>
        </w:rPr>
        <w:t> </w:t>
      </w:r>
      <w:r>
        <w:rPr>
          <w:rFonts w:ascii="Stone Sans II ITC Std Bk"/>
          <w:b/>
          <w:spacing w:val="3"/>
          <w:w w:val="110"/>
          <w:sz w:val="29"/>
        </w:rPr>
        <w:t>situation</w:t>
      </w:r>
    </w:p>
    <w:p>
      <w:pPr>
        <w:pStyle w:val="ListParagraph"/>
        <w:numPr>
          <w:ilvl w:val="1"/>
          <w:numId w:val="51"/>
        </w:numPr>
        <w:tabs>
          <w:tab w:pos="1927" w:val="left" w:leader="none"/>
          <w:tab w:pos="1928" w:val="left" w:leader="none"/>
        </w:tabs>
        <w:spacing w:line="235" w:lineRule="auto" w:before="69" w:after="0"/>
        <w:ind w:left="1247" w:right="1989" w:firstLine="0"/>
        <w:jc w:val="left"/>
        <w:rPr>
          <w:sz w:val="20"/>
        </w:rPr>
      </w:pPr>
      <w:r>
        <w:rPr>
          <w:w w:val="120"/>
          <w:sz w:val="20"/>
        </w:rPr>
        <w:t>The United Reformed Church trains candidates for the ministry of Word and sacraments and church related community work. Their initial training leading to ordination/commissioning is called education for ministry phase one </w:t>
      </w:r>
      <w:r>
        <w:rPr>
          <w:spacing w:val="-7"/>
          <w:w w:val="120"/>
          <w:sz w:val="20"/>
        </w:rPr>
        <w:t>(EM1) </w:t>
      </w:r>
      <w:r>
        <w:rPr>
          <w:w w:val="120"/>
          <w:sz w:val="20"/>
        </w:rPr>
        <w:t>and it takes place at one of three resource centres for learning: </w:t>
      </w:r>
      <w:r>
        <w:rPr>
          <w:spacing w:val="2"/>
          <w:w w:val="120"/>
          <w:sz w:val="20"/>
        </w:rPr>
        <w:t>Northern </w:t>
      </w:r>
      <w:r>
        <w:rPr>
          <w:w w:val="120"/>
          <w:sz w:val="20"/>
        </w:rPr>
        <w:t>College, Manchester; the Scottish College; and Westminster College, Cambridge.  Their  training  typically  lasts two to four years. The Church covers academic fees for every candidate who is offered a place for </w:t>
      </w:r>
      <w:r>
        <w:rPr>
          <w:spacing w:val="-3"/>
          <w:w w:val="120"/>
          <w:sz w:val="20"/>
        </w:rPr>
        <w:t>EM1 </w:t>
      </w:r>
      <w:r>
        <w:rPr>
          <w:w w:val="120"/>
          <w:sz w:val="20"/>
        </w:rPr>
        <w:t>with a resource centre for learning. In addition, every candidate is eligible to apply for financial assistance towards their maintenance and support. For part-time students this is based on reimbursement of their expenses. Full-time students may  apply for a core grant, with additional allowances for</w:t>
      </w:r>
      <w:r>
        <w:rPr>
          <w:spacing w:val="25"/>
          <w:w w:val="120"/>
          <w:sz w:val="20"/>
        </w:rPr>
        <w:t> </w:t>
      </w:r>
      <w:r>
        <w:rPr>
          <w:w w:val="120"/>
          <w:sz w:val="20"/>
        </w:rPr>
        <w:t>dependents.</w:t>
      </w:r>
    </w:p>
    <w:p>
      <w:pPr>
        <w:pStyle w:val="BodyText"/>
        <w:spacing w:before="3"/>
      </w:pPr>
    </w:p>
    <w:p>
      <w:pPr>
        <w:pStyle w:val="ListParagraph"/>
        <w:numPr>
          <w:ilvl w:val="1"/>
          <w:numId w:val="51"/>
        </w:numPr>
        <w:tabs>
          <w:tab w:pos="1927" w:val="left" w:leader="none"/>
          <w:tab w:pos="1928" w:val="left" w:leader="none"/>
        </w:tabs>
        <w:spacing w:line="235" w:lineRule="auto" w:before="0" w:after="0"/>
        <w:ind w:left="1247" w:right="2374" w:firstLine="0"/>
        <w:jc w:val="left"/>
        <w:rPr>
          <w:sz w:val="20"/>
        </w:rPr>
      </w:pPr>
      <w:r>
        <w:rPr>
          <w:w w:val="120"/>
          <w:sz w:val="20"/>
        </w:rPr>
        <w:t>The education and learning committee is seeking General Assembly’s endorsement for developing a different way of providing support to students which will address the following current</w:t>
      </w:r>
      <w:r>
        <w:rPr>
          <w:spacing w:val="12"/>
          <w:w w:val="120"/>
          <w:sz w:val="20"/>
        </w:rPr>
        <w:t> </w:t>
      </w:r>
      <w:r>
        <w:rPr>
          <w:w w:val="120"/>
          <w:sz w:val="20"/>
        </w:rPr>
        <w:t>problems:</w:t>
      </w:r>
    </w:p>
    <w:p>
      <w:pPr>
        <w:pStyle w:val="BodyText"/>
        <w:spacing w:before="10"/>
        <w:rPr>
          <w:sz w:val="19"/>
        </w:rPr>
      </w:pPr>
    </w:p>
    <w:p>
      <w:pPr>
        <w:pStyle w:val="ListParagraph"/>
        <w:numPr>
          <w:ilvl w:val="2"/>
          <w:numId w:val="51"/>
        </w:numPr>
        <w:tabs>
          <w:tab w:pos="1927" w:val="left" w:leader="none"/>
          <w:tab w:pos="1928" w:val="left" w:leader="none"/>
        </w:tabs>
        <w:spacing w:line="235" w:lineRule="auto" w:before="1" w:after="0"/>
        <w:ind w:left="1247" w:right="2406" w:firstLine="0"/>
        <w:jc w:val="left"/>
        <w:rPr>
          <w:sz w:val="20"/>
        </w:rPr>
      </w:pPr>
      <w:r>
        <w:rPr>
          <w:w w:val="120"/>
          <w:sz w:val="20"/>
        </w:rPr>
        <w:t>The current system does not fully take into account the variations in personal circumstances of individual students. Careful study of the current disbursements strongly suggests that in some cases the committee is being over generous with students, whilst others are struggling to make ends</w:t>
      </w:r>
      <w:r>
        <w:rPr>
          <w:spacing w:val="20"/>
          <w:w w:val="120"/>
          <w:sz w:val="20"/>
        </w:rPr>
        <w:t> </w:t>
      </w:r>
      <w:r>
        <w:rPr>
          <w:w w:val="120"/>
          <w:sz w:val="20"/>
        </w:rPr>
        <w:t>meet.</w:t>
      </w:r>
    </w:p>
    <w:p>
      <w:pPr>
        <w:pStyle w:val="BodyText"/>
        <w:spacing w:before="10"/>
        <w:rPr>
          <w:sz w:val="19"/>
        </w:rPr>
      </w:pPr>
    </w:p>
    <w:p>
      <w:pPr>
        <w:pStyle w:val="ListParagraph"/>
        <w:numPr>
          <w:ilvl w:val="2"/>
          <w:numId w:val="51"/>
        </w:numPr>
        <w:tabs>
          <w:tab w:pos="1928" w:val="left" w:leader="none"/>
        </w:tabs>
        <w:spacing w:line="235" w:lineRule="auto" w:before="1" w:after="0"/>
        <w:ind w:left="1247" w:right="2014" w:firstLine="0"/>
        <w:jc w:val="left"/>
        <w:rPr>
          <w:sz w:val="20"/>
        </w:rPr>
      </w:pPr>
      <w:r>
        <w:rPr>
          <w:w w:val="120"/>
          <w:sz w:val="20"/>
        </w:rPr>
        <w:t>There are some hidden subsidies in the system. The resource centres for learning and the education and learning committee have agreed that it is desirable to eliminate these so that the people and institutions concerned know the true costs. Where additional support is needed by people, it should be evident and</w:t>
      </w:r>
      <w:r>
        <w:rPr>
          <w:spacing w:val="6"/>
          <w:w w:val="120"/>
          <w:sz w:val="20"/>
        </w:rPr>
        <w:t> </w:t>
      </w:r>
      <w:r>
        <w:rPr>
          <w:w w:val="120"/>
          <w:sz w:val="20"/>
        </w:rPr>
        <w:t>agreed.</w:t>
      </w:r>
    </w:p>
    <w:p>
      <w:pPr>
        <w:pStyle w:val="BodyText"/>
        <w:spacing w:before="10"/>
        <w:rPr>
          <w:sz w:val="19"/>
        </w:rPr>
      </w:pPr>
    </w:p>
    <w:p>
      <w:pPr>
        <w:pStyle w:val="ListParagraph"/>
        <w:numPr>
          <w:ilvl w:val="2"/>
          <w:numId w:val="51"/>
        </w:numPr>
        <w:tabs>
          <w:tab w:pos="1928" w:val="left" w:leader="none"/>
        </w:tabs>
        <w:spacing w:line="235" w:lineRule="auto" w:before="1" w:after="0"/>
        <w:ind w:left="1247" w:right="2073" w:firstLine="0"/>
        <w:jc w:val="left"/>
        <w:rPr>
          <w:sz w:val="20"/>
        </w:rPr>
      </w:pPr>
      <w:r>
        <w:rPr>
          <w:w w:val="120"/>
          <w:sz w:val="20"/>
        </w:rPr>
        <w:t>Out of the total education and learning budget of </w:t>
      </w:r>
      <w:r>
        <w:rPr>
          <w:spacing w:val="-4"/>
          <w:w w:val="120"/>
          <w:sz w:val="20"/>
        </w:rPr>
        <w:t>£1.6m </w:t>
      </w:r>
      <w:r>
        <w:rPr>
          <w:w w:val="120"/>
          <w:sz w:val="20"/>
        </w:rPr>
        <w:t>per annum, </w:t>
      </w:r>
      <w:r>
        <w:rPr>
          <w:spacing w:val="-3"/>
          <w:w w:val="120"/>
          <w:sz w:val="20"/>
        </w:rPr>
        <w:t>EM1 </w:t>
      </w:r>
      <w:r>
        <w:rPr>
          <w:w w:val="120"/>
          <w:sz w:val="20"/>
        </w:rPr>
        <w:t>is the largest single element. The committee has not wished to limit the number of students by financial constraints. Therefore, under our current system, the actual expenditure is determined by student numbers and family circumstances. The education and learning committee’s budget for student maintenance and support in the financial year to December </w:t>
      </w:r>
      <w:r>
        <w:rPr>
          <w:spacing w:val="-8"/>
          <w:w w:val="120"/>
          <w:sz w:val="20"/>
        </w:rPr>
        <w:t>2013 </w:t>
      </w:r>
      <w:r>
        <w:rPr>
          <w:w w:val="120"/>
          <w:sz w:val="20"/>
        </w:rPr>
        <w:t>was £496,000. The actual cost was </w:t>
      </w:r>
      <w:r>
        <w:rPr>
          <w:spacing w:val="-3"/>
          <w:w w:val="120"/>
          <w:sz w:val="20"/>
        </w:rPr>
        <w:t>£564,635 </w:t>
      </w:r>
      <w:r>
        <w:rPr>
          <w:w w:val="120"/>
          <w:sz w:val="20"/>
        </w:rPr>
        <w:t>– nearly </w:t>
      </w:r>
      <w:r>
        <w:rPr>
          <w:spacing w:val="-3"/>
          <w:w w:val="120"/>
          <w:sz w:val="20"/>
        </w:rPr>
        <w:t>£69,000 </w:t>
      </w:r>
      <w:r>
        <w:rPr>
          <w:w w:val="120"/>
          <w:sz w:val="20"/>
        </w:rPr>
        <w:t>higher than</w:t>
      </w:r>
      <w:r>
        <w:rPr>
          <w:spacing w:val="1"/>
          <w:w w:val="120"/>
          <w:sz w:val="20"/>
        </w:rPr>
        <w:t> </w:t>
      </w:r>
      <w:r>
        <w:rPr>
          <w:w w:val="120"/>
          <w:sz w:val="20"/>
        </w:rPr>
        <w:t>anticipated.</w:t>
      </w:r>
    </w:p>
    <w:p>
      <w:pPr>
        <w:pStyle w:val="BodyText"/>
        <w:spacing w:before="9"/>
        <w:rPr>
          <w:sz w:val="17"/>
        </w:rPr>
      </w:pPr>
    </w:p>
    <w:p>
      <w:pPr>
        <w:pStyle w:val="ListParagraph"/>
        <w:numPr>
          <w:ilvl w:val="0"/>
          <w:numId w:val="51"/>
        </w:numPr>
        <w:tabs>
          <w:tab w:pos="1927" w:val="left" w:leader="none"/>
          <w:tab w:pos="1928" w:val="left" w:leader="none"/>
        </w:tabs>
        <w:spacing w:line="240" w:lineRule="auto" w:before="1" w:after="0"/>
        <w:ind w:left="1927" w:right="0" w:hanging="681"/>
        <w:jc w:val="left"/>
        <w:rPr>
          <w:rFonts w:ascii="Stone Sans II ITC Std Bk"/>
          <w:b/>
          <w:sz w:val="29"/>
        </w:rPr>
      </w:pPr>
      <w:r>
        <w:rPr>
          <w:rFonts w:ascii="Stone Sans II ITC Std Bk"/>
          <w:b/>
          <w:spacing w:val="4"/>
          <w:w w:val="110"/>
          <w:sz w:val="29"/>
        </w:rPr>
        <w:t>The</w:t>
      </w:r>
      <w:r>
        <w:rPr>
          <w:rFonts w:ascii="Stone Sans II ITC Std Bk"/>
          <w:b/>
          <w:spacing w:val="12"/>
          <w:w w:val="110"/>
          <w:sz w:val="29"/>
        </w:rPr>
        <w:t> </w:t>
      </w:r>
      <w:r>
        <w:rPr>
          <w:rFonts w:ascii="Stone Sans II ITC Std Bk"/>
          <w:b/>
          <w:spacing w:val="4"/>
          <w:w w:val="110"/>
          <w:sz w:val="29"/>
        </w:rPr>
        <w:t>proposal</w:t>
      </w:r>
    </w:p>
    <w:p>
      <w:pPr>
        <w:pStyle w:val="ListParagraph"/>
        <w:numPr>
          <w:ilvl w:val="1"/>
          <w:numId w:val="51"/>
        </w:numPr>
        <w:tabs>
          <w:tab w:pos="1927" w:val="left" w:leader="none"/>
          <w:tab w:pos="1928" w:val="left" w:leader="none"/>
        </w:tabs>
        <w:spacing w:line="235" w:lineRule="auto" w:before="69" w:after="0"/>
        <w:ind w:left="1247" w:right="2245" w:firstLine="0"/>
        <w:jc w:val="left"/>
        <w:rPr>
          <w:sz w:val="20"/>
        </w:rPr>
      </w:pPr>
      <w:r>
        <w:rPr>
          <w:spacing w:val="3"/>
          <w:w w:val="120"/>
          <w:sz w:val="20"/>
        </w:rPr>
        <w:t>As </w:t>
      </w:r>
      <w:r>
        <w:rPr>
          <w:w w:val="120"/>
          <w:sz w:val="20"/>
        </w:rPr>
        <w:t>discussed at General Assembly </w:t>
      </w:r>
      <w:r>
        <w:rPr>
          <w:spacing w:val="-7"/>
          <w:w w:val="120"/>
          <w:sz w:val="20"/>
        </w:rPr>
        <w:t>2012, </w:t>
      </w:r>
      <w:r>
        <w:rPr>
          <w:w w:val="120"/>
          <w:sz w:val="20"/>
        </w:rPr>
        <w:t>the </w:t>
      </w:r>
      <w:r>
        <w:rPr>
          <w:spacing w:val="-3"/>
          <w:w w:val="120"/>
          <w:sz w:val="20"/>
        </w:rPr>
        <w:t>Church’s  </w:t>
      </w:r>
      <w:r>
        <w:rPr>
          <w:w w:val="120"/>
          <w:sz w:val="20"/>
        </w:rPr>
        <w:t>income  is  decreasing due to a fall in giving to the ministry and mission fund. The education and learning committee must devise ways to deliver its programmes with a reduced budget in order to meet the budget constraints agreed by Assembly. It is therefore proposed</w:t>
      </w:r>
      <w:r>
        <w:rPr>
          <w:spacing w:val="5"/>
          <w:w w:val="120"/>
          <w:sz w:val="20"/>
        </w:rPr>
        <w:t> </w:t>
      </w:r>
      <w:r>
        <w:rPr>
          <w:w w:val="120"/>
          <w:sz w:val="20"/>
        </w:rPr>
        <w:t>to</w:t>
      </w:r>
    </w:p>
    <w:p>
      <w:pPr>
        <w:pStyle w:val="BodyText"/>
        <w:spacing w:line="235" w:lineRule="auto" w:before="3"/>
        <w:ind w:left="1247" w:right="2030"/>
      </w:pPr>
      <w:r>
        <w:rPr>
          <w:w w:val="120"/>
        </w:rPr>
        <w:t>reformulate the existing ministerial training fund and to provide grants to EM1 students through a new scheme of assessed grants. Annual funding from the education and learning budget will be augmented from additional sources. The scheme will be known as the ministerial green shoots fund and it will apply to all new students. Existing students will continue to receive maintenance and support through the current scheme throughout their EM1 period.</w:t>
      </w:r>
    </w:p>
    <w:p>
      <w:pPr>
        <w:pStyle w:val="BodyText"/>
      </w:pPr>
    </w:p>
    <w:p>
      <w:pPr>
        <w:pStyle w:val="ListParagraph"/>
        <w:numPr>
          <w:ilvl w:val="1"/>
          <w:numId w:val="51"/>
        </w:numPr>
        <w:tabs>
          <w:tab w:pos="1927" w:val="left" w:leader="none"/>
          <w:tab w:pos="1928" w:val="left" w:leader="none"/>
        </w:tabs>
        <w:spacing w:line="235" w:lineRule="auto" w:before="0" w:after="0"/>
        <w:ind w:left="1247" w:right="2104" w:firstLine="0"/>
        <w:jc w:val="left"/>
        <w:rPr>
          <w:sz w:val="20"/>
        </w:rPr>
      </w:pPr>
      <w:r>
        <w:rPr>
          <w:w w:val="120"/>
          <w:sz w:val="20"/>
        </w:rPr>
        <w:t>Figure 1 shows a pictorial representation of the proposal, and further details are given</w:t>
      </w:r>
      <w:r>
        <w:rPr>
          <w:spacing w:val="2"/>
          <w:w w:val="120"/>
          <w:sz w:val="20"/>
        </w:rPr>
        <w:t> </w:t>
      </w:r>
      <w:r>
        <w:rPr>
          <w:w w:val="120"/>
          <w:sz w:val="20"/>
        </w:rPr>
        <w:t>below:</w:t>
      </w:r>
    </w:p>
    <w:p>
      <w:pPr>
        <w:spacing w:after="0" w:line="235" w:lineRule="auto"/>
        <w:jc w:val="left"/>
        <w:rPr>
          <w:sz w:val="20"/>
        </w:rPr>
        <w:sectPr>
          <w:headerReference w:type="even" r:id="rId221"/>
          <w:footerReference w:type="even" r:id="rId222"/>
          <w:pgSz w:w="11910" w:h="16840"/>
          <w:pgMar w:header="0" w:footer="647" w:top="0" w:bottom="840" w:left="0" w:right="0"/>
          <w:pgNumType w:start="92"/>
        </w:sectPr>
      </w:pPr>
    </w:p>
    <w:p>
      <w:pPr>
        <w:pStyle w:val="BodyText"/>
      </w:pPr>
      <w:r>
        <w:rPr/>
        <w:drawing>
          <wp:anchor distT="0" distB="0" distL="0" distR="0" allowOverlap="1" layoutInCell="1" locked="0" behindDoc="0" simplePos="0" relativeHeight="251921408">
            <wp:simplePos x="0" y="0"/>
            <wp:positionH relativeFrom="page">
              <wp:posOffset>6974928</wp:posOffset>
            </wp:positionH>
            <wp:positionV relativeFrom="page">
              <wp:posOffset>0</wp:posOffset>
            </wp:positionV>
            <wp:extent cx="585063" cy="10692003"/>
            <wp:effectExtent l="0" t="0" r="0" b="0"/>
            <wp:wrapNone/>
            <wp:docPr id="171" name="image25.png"/>
            <wp:cNvGraphicFramePr>
              <a:graphicFrameLocks noChangeAspect="1"/>
            </wp:cNvGraphicFramePr>
            <a:graphic>
              <a:graphicData uri="http://schemas.openxmlformats.org/drawingml/2006/picture">
                <pic:pic>
                  <pic:nvPicPr>
                    <pic:cNvPr id="172" name="image25.png"/>
                    <pic:cNvPicPr/>
                  </pic:nvPicPr>
                  <pic:blipFill>
                    <a:blip r:embed="rId192"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pStyle w:val="Heading5"/>
        <w:ind w:left="7814"/>
      </w:pPr>
      <w:r>
        <w:rPr>
          <w:color w:val="7EAABF"/>
          <w:w w:val="115"/>
        </w:rPr>
        <w:t>Education and learning</w:t>
      </w:r>
    </w:p>
    <w:p>
      <w:pPr>
        <w:pStyle w:val="BodyText"/>
        <w:spacing w:before="11"/>
        <w:rPr>
          <w:sz w:val="28"/>
        </w:rPr>
      </w:pPr>
    </w:p>
    <w:p>
      <w:pPr>
        <w:spacing w:before="92"/>
        <w:ind w:left="1984" w:right="0" w:firstLine="0"/>
        <w:jc w:val="left"/>
        <w:rPr>
          <w:rFonts w:ascii="Stone Sans II ITC Std Bk"/>
          <w:b/>
          <w:sz w:val="20"/>
        </w:rPr>
      </w:pPr>
      <w:r>
        <w:rPr/>
        <w:pict>
          <v:shape style="position:absolute;margin-left:554.141174pt;margin-top:-16.218079pt;width:25.9pt;height:327.95pt;mso-position-horizontal-relative:page;mso-position-vertical-relative:paragraph;z-index:251922432" type="#_x0000_t202" filled="false" stroked="false">
            <v:textbox inset="0,0,0,0" style="layout-flow:vertical">
              <w:txbxContent>
                <w:p>
                  <w:pPr>
                    <w:spacing w:before="27"/>
                    <w:ind w:left="20" w:right="0" w:firstLine="0"/>
                    <w:jc w:val="left"/>
                    <w:rPr>
                      <w:sz w:val="39"/>
                    </w:rPr>
                  </w:pPr>
                  <w:r>
                    <w:rPr>
                      <w:color w:val="FFFFFF"/>
                      <w:w w:val="120"/>
                      <w:sz w:val="39"/>
                    </w:rPr>
                    <w:t>Reshaping EM1 student support</w:t>
                  </w:r>
                </w:p>
              </w:txbxContent>
            </v:textbox>
            <w10:wrap type="none"/>
          </v:shape>
        </w:pict>
      </w:r>
      <w:r>
        <w:rPr>
          <w:rFonts w:ascii="Stone Sans II ITC Std Bk"/>
          <w:b/>
          <w:color w:val="7EAABF"/>
          <w:w w:val="110"/>
          <w:sz w:val="20"/>
        </w:rPr>
        <w:t>Figure 1: Future EM1 student support</w:t>
      </w:r>
    </w:p>
    <w:p>
      <w:pPr>
        <w:pStyle w:val="BodyText"/>
        <w:spacing w:before="5"/>
        <w:rPr>
          <w:rFonts w:ascii="Stone Sans II ITC Std Bk"/>
          <w:b/>
          <w:sz w:val="26"/>
        </w:rPr>
      </w:pPr>
      <w:r>
        <w:rPr/>
        <w:drawing>
          <wp:anchor distT="0" distB="0" distL="0" distR="0" allowOverlap="1" layoutInCell="1" locked="0" behindDoc="0" simplePos="0" relativeHeight="256">
            <wp:simplePos x="0" y="0"/>
            <wp:positionH relativeFrom="page">
              <wp:posOffset>1239926</wp:posOffset>
            </wp:positionH>
            <wp:positionV relativeFrom="paragraph">
              <wp:posOffset>251365</wp:posOffset>
            </wp:positionV>
            <wp:extent cx="5152891" cy="5324094"/>
            <wp:effectExtent l="0" t="0" r="0" b="0"/>
            <wp:wrapTopAndBottom/>
            <wp:docPr id="173" name="image29.png"/>
            <wp:cNvGraphicFramePr>
              <a:graphicFrameLocks noChangeAspect="1"/>
            </wp:cNvGraphicFramePr>
            <a:graphic>
              <a:graphicData uri="http://schemas.openxmlformats.org/drawingml/2006/picture">
                <pic:pic>
                  <pic:nvPicPr>
                    <pic:cNvPr id="174" name="image29.png"/>
                    <pic:cNvPicPr/>
                  </pic:nvPicPr>
                  <pic:blipFill>
                    <a:blip r:embed="rId225" cstate="print"/>
                    <a:stretch>
                      <a:fillRect/>
                    </a:stretch>
                  </pic:blipFill>
                  <pic:spPr>
                    <a:xfrm>
                      <a:off x="0" y="0"/>
                      <a:ext cx="5152891" cy="5324094"/>
                    </a:xfrm>
                    <a:prstGeom prst="rect">
                      <a:avLst/>
                    </a:prstGeom>
                  </pic:spPr>
                </pic:pic>
              </a:graphicData>
            </a:graphic>
          </wp:anchor>
        </w:drawing>
      </w:r>
    </w:p>
    <w:p>
      <w:pPr>
        <w:pStyle w:val="BodyText"/>
        <w:rPr>
          <w:rFonts w:ascii="Stone Sans II ITC Std Bk"/>
          <w:b/>
          <w:sz w:val="24"/>
        </w:rPr>
      </w:pPr>
    </w:p>
    <w:p>
      <w:pPr>
        <w:pStyle w:val="ListParagraph"/>
        <w:numPr>
          <w:ilvl w:val="2"/>
          <w:numId w:val="51"/>
        </w:numPr>
        <w:tabs>
          <w:tab w:pos="2665" w:val="left" w:leader="none"/>
        </w:tabs>
        <w:spacing w:line="235" w:lineRule="auto" w:before="213" w:after="0"/>
        <w:ind w:left="1984" w:right="1326" w:firstLine="0"/>
        <w:jc w:val="left"/>
        <w:rPr>
          <w:sz w:val="20"/>
        </w:rPr>
      </w:pPr>
      <w:r>
        <w:rPr>
          <w:w w:val="120"/>
          <w:sz w:val="20"/>
        </w:rPr>
        <w:t>The majority of the education and learning budget comes from the ministry and mission fund. However, education and learning also has access to a capital fund, the ministerial training fund, which consists mainly of the proceeds from sales of former training colleges, and income from this fund has also been used to fund </w:t>
      </w:r>
      <w:r>
        <w:rPr>
          <w:spacing w:val="-6"/>
          <w:w w:val="120"/>
          <w:sz w:val="20"/>
        </w:rPr>
        <w:t>EM1. </w:t>
      </w:r>
      <w:r>
        <w:rPr>
          <w:w w:val="120"/>
          <w:sz w:val="20"/>
        </w:rPr>
        <w:t>The URC Trust has agreed that a </w:t>
      </w:r>
      <w:r>
        <w:rPr>
          <w:spacing w:val="2"/>
          <w:w w:val="120"/>
          <w:sz w:val="20"/>
        </w:rPr>
        <w:t>one-off </w:t>
      </w:r>
      <w:r>
        <w:rPr>
          <w:w w:val="120"/>
          <w:sz w:val="20"/>
        </w:rPr>
        <w:t>transfer of £300,000 may be made from this fund</w:t>
      </w:r>
      <w:r>
        <w:rPr>
          <w:spacing w:val="10"/>
          <w:w w:val="120"/>
          <w:sz w:val="20"/>
        </w:rPr>
        <w:t> </w:t>
      </w:r>
      <w:r>
        <w:rPr>
          <w:w w:val="120"/>
          <w:sz w:val="20"/>
        </w:rPr>
        <w:t>to</w:t>
      </w:r>
    </w:p>
    <w:p>
      <w:pPr>
        <w:pStyle w:val="BodyText"/>
        <w:spacing w:line="235" w:lineRule="auto" w:before="3"/>
        <w:ind w:left="1984" w:right="1352"/>
      </w:pPr>
      <w:r>
        <w:rPr>
          <w:w w:val="120"/>
        </w:rPr>
        <w:t>the new ministerial green shoots fund as start-up funding. This first injection of income will ensure that the scheme will be fully funded for the first few years, as it becomes established. The ministerial green shoots fund will become available to students who start EM1 in the academic year 2015/16.</w:t>
      </w:r>
    </w:p>
    <w:p>
      <w:pPr>
        <w:pStyle w:val="BodyText"/>
        <w:spacing w:before="11"/>
        <w:rPr>
          <w:sz w:val="19"/>
        </w:rPr>
      </w:pPr>
    </w:p>
    <w:p>
      <w:pPr>
        <w:pStyle w:val="ListParagraph"/>
        <w:numPr>
          <w:ilvl w:val="2"/>
          <w:numId w:val="51"/>
        </w:numPr>
        <w:tabs>
          <w:tab w:pos="2665" w:val="left" w:leader="none"/>
        </w:tabs>
        <w:spacing w:line="235" w:lineRule="auto" w:before="0" w:after="0"/>
        <w:ind w:left="1984" w:right="1594" w:firstLine="0"/>
        <w:jc w:val="left"/>
        <w:rPr>
          <w:sz w:val="20"/>
        </w:rPr>
      </w:pPr>
      <w:r>
        <w:rPr>
          <w:spacing w:val="2"/>
          <w:w w:val="120"/>
          <w:sz w:val="20"/>
        </w:rPr>
        <w:t>The </w:t>
      </w:r>
      <w:r>
        <w:rPr>
          <w:w w:val="120"/>
          <w:sz w:val="20"/>
        </w:rPr>
        <w:t>second </w:t>
      </w:r>
      <w:r>
        <w:rPr>
          <w:spacing w:val="2"/>
          <w:w w:val="120"/>
          <w:sz w:val="20"/>
        </w:rPr>
        <w:t>tranche </w:t>
      </w:r>
      <w:r>
        <w:rPr>
          <w:w w:val="120"/>
          <w:sz w:val="20"/>
        </w:rPr>
        <w:t>of input to the new </w:t>
      </w:r>
      <w:r>
        <w:rPr>
          <w:spacing w:val="2"/>
          <w:w w:val="120"/>
          <w:sz w:val="20"/>
        </w:rPr>
        <w:t>fund </w:t>
      </w:r>
      <w:r>
        <w:rPr>
          <w:w w:val="120"/>
          <w:sz w:val="20"/>
        </w:rPr>
        <w:t>will be </w:t>
      </w:r>
      <w:r>
        <w:rPr>
          <w:spacing w:val="2"/>
          <w:w w:val="120"/>
          <w:sz w:val="20"/>
        </w:rPr>
        <w:t>from </w:t>
      </w:r>
      <w:r>
        <w:rPr>
          <w:w w:val="120"/>
          <w:sz w:val="20"/>
        </w:rPr>
        <w:t>the money which </w:t>
      </w:r>
      <w:r>
        <w:rPr>
          <w:spacing w:val="2"/>
          <w:w w:val="120"/>
          <w:sz w:val="20"/>
        </w:rPr>
        <w:t>education </w:t>
      </w:r>
      <w:r>
        <w:rPr>
          <w:w w:val="120"/>
          <w:sz w:val="20"/>
        </w:rPr>
        <w:t>and </w:t>
      </w:r>
      <w:r>
        <w:rPr>
          <w:spacing w:val="2"/>
          <w:w w:val="120"/>
          <w:sz w:val="20"/>
        </w:rPr>
        <w:t>learning </w:t>
      </w:r>
      <w:r>
        <w:rPr>
          <w:w w:val="120"/>
          <w:sz w:val="20"/>
        </w:rPr>
        <w:t>receives </w:t>
      </w:r>
      <w:r>
        <w:rPr>
          <w:spacing w:val="2"/>
          <w:w w:val="120"/>
          <w:sz w:val="20"/>
        </w:rPr>
        <w:t>from </w:t>
      </w:r>
      <w:r>
        <w:rPr>
          <w:w w:val="120"/>
          <w:sz w:val="20"/>
        </w:rPr>
        <w:t>the </w:t>
      </w:r>
      <w:r>
        <w:rPr>
          <w:spacing w:val="3"/>
          <w:w w:val="120"/>
          <w:sz w:val="20"/>
        </w:rPr>
        <w:t>ministry </w:t>
      </w:r>
      <w:r>
        <w:rPr>
          <w:w w:val="120"/>
          <w:sz w:val="20"/>
        </w:rPr>
        <w:t>and mission fund. It is </w:t>
      </w:r>
      <w:r>
        <w:rPr>
          <w:spacing w:val="2"/>
          <w:w w:val="120"/>
          <w:sz w:val="20"/>
        </w:rPr>
        <w:t>planned </w:t>
      </w:r>
      <w:r>
        <w:rPr>
          <w:w w:val="120"/>
          <w:sz w:val="20"/>
        </w:rPr>
        <w:t>that money </w:t>
      </w:r>
      <w:r>
        <w:rPr>
          <w:spacing w:val="3"/>
          <w:w w:val="120"/>
          <w:sz w:val="20"/>
        </w:rPr>
        <w:t>transferred </w:t>
      </w:r>
      <w:r>
        <w:rPr>
          <w:spacing w:val="2"/>
          <w:w w:val="120"/>
          <w:sz w:val="20"/>
        </w:rPr>
        <w:t>from </w:t>
      </w:r>
      <w:r>
        <w:rPr>
          <w:w w:val="120"/>
          <w:sz w:val="20"/>
        </w:rPr>
        <w:t>relevant </w:t>
      </w:r>
      <w:r>
        <w:rPr>
          <w:spacing w:val="2"/>
          <w:w w:val="120"/>
          <w:sz w:val="20"/>
        </w:rPr>
        <w:t>budget </w:t>
      </w:r>
      <w:r>
        <w:rPr>
          <w:w w:val="120"/>
          <w:sz w:val="20"/>
        </w:rPr>
        <w:t>lines in the </w:t>
      </w:r>
      <w:r>
        <w:rPr>
          <w:spacing w:val="2"/>
          <w:w w:val="120"/>
          <w:sz w:val="20"/>
        </w:rPr>
        <w:t>education </w:t>
      </w:r>
      <w:r>
        <w:rPr>
          <w:w w:val="120"/>
          <w:sz w:val="20"/>
        </w:rPr>
        <w:t>and </w:t>
      </w:r>
      <w:r>
        <w:rPr>
          <w:spacing w:val="2"/>
          <w:w w:val="120"/>
          <w:sz w:val="20"/>
        </w:rPr>
        <w:t>learning budget </w:t>
      </w:r>
      <w:r>
        <w:rPr>
          <w:w w:val="120"/>
          <w:sz w:val="20"/>
        </w:rPr>
        <w:t>will eventually reach a level of £420,000 </w:t>
      </w:r>
      <w:r>
        <w:rPr>
          <w:spacing w:val="2"/>
          <w:w w:val="120"/>
          <w:sz w:val="20"/>
        </w:rPr>
        <w:t>per </w:t>
      </w:r>
      <w:r>
        <w:rPr>
          <w:w w:val="120"/>
          <w:sz w:val="20"/>
        </w:rPr>
        <w:t>annum (excluding inflation).  This is seen as a </w:t>
      </w:r>
      <w:r>
        <w:rPr>
          <w:spacing w:val="2"/>
          <w:w w:val="120"/>
          <w:sz w:val="20"/>
        </w:rPr>
        <w:t>sustainable </w:t>
      </w:r>
      <w:r>
        <w:rPr>
          <w:w w:val="120"/>
          <w:sz w:val="20"/>
        </w:rPr>
        <w:t>level </w:t>
      </w:r>
      <w:r>
        <w:rPr>
          <w:spacing w:val="2"/>
          <w:w w:val="120"/>
          <w:sz w:val="20"/>
        </w:rPr>
        <w:t>alongside </w:t>
      </w:r>
      <w:r>
        <w:rPr>
          <w:w w:val="120"/>
          <w:sz w:val="20"/>
        </w:rPr>
        <w:t>the committee’s other </w:t>
      </w:r>
      <w:r>
        <w:rPr>
          <w:spacing w:val="2"/>
          <w:w w:val="120"/>
          <w:sz w:val="20"/>
        </w:rPr>
        <w:t>budget commitments. </w:t>
      </w:r>
      <w:r>
        <w:rPr>
          <w:w w:val="120"/>
          <w:sz w:val="20"/>
        </w:rPr>
        <w:t>In the early years of the new scheme, the amount of the </w:t>
      </w:r>
      <w:r>
        <w:rPr>
          <w:spacing w:val="2"/>
          <w:w w:val="120"/>
          <w:sz w:val="20"/>
        </w:rPr>
        <w:t>education </w:t>
      </w:r>
      <w:r>
        <w:rPr>
          <w:w w:val="120"/>
          <w:sz w:val="20"/>
        </w:rPr>
        <w:t>and </w:t>
      </w:r>
      <w:r>
        <w:rPr>
          <w:spacing w:val="2"/>
          <w:w w:val="120"/>
          <w:sz w:val="20"/>
        </w:rPr>
        <w:t>learning budget </w:t>
      </w:r>
      <w:r>
        <w:rPr>
          <w:w w:val="120"/>
          <w:sz w:val="20"/>
        </w:rPr>
        <w:t>allocated will be based on the </w:t>
      </w:r>
      <w:r>
        <w:rPr>
          <w:spacing w:val="3"/>
          <w:w w:val="120"/>
          <w:sz w:val="20"/>
        </w:rPr>
        <w:t>proportion </w:t>
      </w:r>
      <w:r>
        <w:rPr>
          <w:w w:val="120"/>
          <w:sz w:val="20"/>
        </w:rPr>
        <w:t>of the total </w:t>
      </w:r>
      <w:r>
        <w:rPr>
          <w:spacing w:val="2"/>
          <w:w w:val="120"/>
          <w:sz w:val="20"/>
        </w:rPr>
        <w:t>student numbers </w:t>
      </w:r>
      <w:r>
        <w:rPr>
          <w:w w:val="120"/>
          <w:sz w:val="20"/>
        </w:rPr>
        <w:t>being </w:t>
      </w:r>
      <w:r>
        <w:rPr>
          <w:spacing w:val="2"/>
          <w:w w:val="120"/>
          <w:sz w:val="20"/>
        </w:rPr>
        <w:t>supported </w:t>
      </w:r>
      <w:r>
        <w:rPr>
          <w:w w:val="120"/>
          <w:sz w:val="20"/>
        </w:rPr>
        <w:t>by the</w:t>
      </w:r>
      <w:r>
        <w:rPr>
          <w:spacing w:val="32"/>
          <w:w w:val="120"/>
          <w:sz w:val="20"/>
        </w:rPr>
        <w:t> </w:t>
      </w:r>
      <w:r>
        <w:rPr>
          <w:w w:val="120"/>
          <w:sz w:val="20"/>
        </w:rPr>
        <w:t>scheme.</w:t>
      </w:r>
    </w:p>
    <w:p>
      <w:pPr>
        <w:pStyle w:val="BodyText"/>
      </w:pPr>
    </w:p>
    <w:p>
      <w:pPr>
        <w:pStyle w:val="BodyText"/>
        <w:spacing w:before="5"/>
        <w:rPr>
          <w:sz w:val="26"/>
        </w:rPr>
      </w:pPr>
    </w:p>
    <w:p>
      <w:pPr>
        <w:spacing w:before="97"/>
        <w:ind w:left="451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spacing w:val="51"/>
          <w:w w:val="110"/>
          <w:sz w:val="23"/>
        </w:rPr>
        <w:t> </w:t>
      </w:r>
      <w:r>
        <w:rPr>
          <w:rFonts w:ascii="Stone Sans II ITC Std X Bd" w:hAnsi="Stone Sans II ITC Std X Bd"/>
          <w:b/>
          <w:w w:val="110"/>
          <w:sz w:val="24"/>
        </w:rPr>
        <w:t>93</w:t>
      </w:r>
    </w:p>
    <w:p>
      <w:pPr>
        <w:spacing w:after="0"/>
        <w:jc w:val="left"/>
        <w:rPr>
          <w:rFonts w:ascii="Stone Sans II ITC Std X Bd" w:hAnsi="Stone Sans II ITC Std X Bd"/>
          <w:sz w:val="24"/>
        </w:rPr>
        <w:sectPr>
          <w:headerReference w:type="default" r:id="rId223"/>
          <w:footerReference w:type="default" r:id="rId224"/>
          <w:pgSz w:w="11910" w:h="16840"/>
          <w:pgMar w:header="0" w:footer="0" w:top="0" w:bottom="0" w:left="0" w:right="0"/>
        </w:sectPr>
      </w:pPr>
    </w:p>
    <w:p>
      <w:pPr>
        <w:pStyle w:val="BodyText"/>
        <w:rPr>
          <w:rFonts w:ascii="Stone Sans II ITC Std X Bd"/>
          <w:b/>
        </w:rPr>
      </w:pPr>
      <w:r>
        <w:rPr/>
        <w:drawing>
          <wp:anchor distT="0" distB="0" distL="0" distR="0" allowOverlap="1" layoutInCell="1" locked="0" behindDoc="0" simplePos="0" relativeHeight="251923456">
            <wp:simplePos x="0" y="0"/>
            <wp:positionH relativeFrom="page">
              <wp:posOffset>0</wp:posOffset>
            </wp:positionH>
            <wp:positionV relativeFrom="page">
              <wp:posOffset>0</wp:posOffset>
            </wp:positionV>
            <wp:extent cx="594067" cy="10692003"/>
            <wp:effectExtent l="0" t="0" r="0" b="0"/>
            <wp:wrapNone/>
            <wp:docPr id="175" name="image28.png"/>
            <wp:cNvGraphicFramePr>
              <a:graphicFrameLocks noChangeAspect="1"/>
            </wp:cNvGraphicFramePr>
            <a:graphic>
              <a:graphicData uri="http://schemas.openxmlformats.org/drawingml/2006/picture">
                <pic:pic>
                  <pic:nvPicPr>
                    <pic:cNvPr id="176" name="image28.png"/>
                    <pic:cNvPicPr/>
                  </pic:nvPicPr>
                  <pic:blipFill>
                    <a:blip r:embed="rId198" cstate="print"/>
                    <a:stretch>
                      <a:fillRect/>
                    </a:stretch>
                  </pic:blipFill>
                  <pic:spPr>
                    <a:xfrm>
                      <a:off x="0" y="0"/>
                      <a:ext cx="594067" cy="10692003"/>
                    </a:xfrm>
                    <a:prstGeom prst="rect">
                      <a:avLst/>
                    </a:prstGeom>
                  </pic:spPr>
                </pic:pic>
              </a:graphicData>
            </a:graphic>
          </wp:anchor>
        </w:drawing>
      </w:r>
    </w:p>
    <w:p>
      <w:pPr>
        <w:pStyle w:val="BodyText"/>
        <w:spacing w:before="7"/>
        <w:rPr>
          <w:rFonts w:ascii="Stone Sans II ITC Std X Bd"/>
          <w:b/>
          <w:sz w:val="17"/>
        </w:rPr>
      </w:pPr>
    </w:p>
    <w:p>
      <w:pPr>
        <w:spacing w:before="107"/>
        <w:ind w:left="1247" w:right="0" w:firstLine="0"/>
        <w:jc w:val="left"/>
        <w:rPr>
          <w:sz w:val="26"/>
        </w:rPr>
      </w:pPr>
      <w:r>
        <w:rPr/>
        <w:pict>
          <v:shape style="position:absolute;margin-left:20.519100pt;margin-top:22.643946pt;width:25.9pt;height:327.95pt;mso-position-horizontal-relative:page;mso-position-vertical-relative:paragraph;z-index:251924480" type="#_x0000_t202" filled="false" stroked="false">
            <v:textbox inset="0,0,0,0" style="layout-flow:vertical">
              <w:txbxContent>
                <w:p>
                  <w:pPr>
                    <w:spacing w:before="27"/>
                    <w:ind w:left="20" w:right="0" w:firstLine="0"/>
                    <w:jc w:val="left"/>
                    <w:rPr>
                      <w:sz w:val="39"/>
                    </w:rPr>
                  </w:pPr>
                  <w:r>
                    <w:rPr>
                      <w:color w:val="FFFFFF"/>
                      <w:w w:val="120"/>
                      <w:sz w:val="39"/>
                    </w:rPr>
                    <w:t>Reshaping EM1 student support</w:t>
                  </w:r>
                </w:p>
              </w:txbxContent>
            </v:textbox>
            <w10:wrap type="none"/>
          </v:shape>
        </w:pict>
      </w:r>
      <w:r>
        <w:rPr>
          <w:color w:val="7EAABF"/>
          <w:w w:val="115"/>
          <w:sz w:val="26"/>
        </w:rPr>
        <w:t>Education and learning</w:t>
      </w:r>
    </w:p>
    <w:p>
      <w:pPr>
        <w:pStyle w:val="ListParagraph"/>
        <w:numPr>
          <w:ilvl w:val="2"/>
          <w:numId w:val="51"/>
        </w:numPr>
        <w:tabs>
          <w:tab w:pos="1928" w:val="left" w:leader="none"/>
        </w:tabs>
        <w:spacing w:line="235" w:lineRule="auto" w:before="221" w:after="0"/>
        <w:ind w:left="1247" w:right="1987" w:firstLine="0"/>
        <w:jc w:val="left"/>
        <w:rPr>
          <w:sz w:val="20"/>
        </w:rPr>
      </w:pPr>
      <w:r>
        <w:rPr>
          <w:w w:val="120"/>
          <w:sz w:val="20"/>
        </w:rPr>
        <w:t>The third tranche of income to the new fund will come from local sources, such  as synods and sending churches, who will be encouraged to see that their responsibility for supporting a student does not end when the candidating process is complete and </w:t>
      </w:r>
      <w:r>
        <w:rPr>
          <w:spacing w:val="-3"/>
          <w:w w:val="120"/>
          <w:sz w:val="20"/>
        </w:rPr>
        <w:t>EM1 </w:t>
      </w:r>
      <w:r>
        <w:rPr>
          <w:spacing w:val="2"/>
          <w:w w:val="120"/>
          <w:sz w:val="20"/>
        </w:rPr>
        <w:t>starts. </w:t>
      </w:r>
      <w:r>
        <w:rPr>
          <w:w w:val="120"/>
          <w:sz w:val="20"/>
        </w:rPr>
        <w:t>While this is a significant shift in policy, it is the only way the committee can see to provide the resources required to sustain an open door policy to all candidates accepted for</w:t>
      </w:r>
      <w:r>
        <w:rPr>
          <w:spacing w:val="4"/>
          <w:w w:val="120"/>
          <w:sz w:val="20"/>
        </w:rPr>
        <w:t> </w:t>
      </w:r>
      <w:r>
        <w:rPr>
          <w:w w:val="120"/>
          <w:sz w:val="20"/>
        </w:rPr>
        <w:t>training.</w:t>
      </w:r>
    </w:p>
    <w:p>
      <w:pPr>
        <w:pStyle w:val="BodyText"/>
      </w:pPr>
    </w:p>
    <w:p>
      <w:pPr>
        <w:pStyle w:val="ListParagraph"/>
        <w:numPr>
          <w:ilvl w:val="2"/>
          <w:numId w:val="51"/>
        </w:numPr>
        <w:tabs>
          <w:tab w:pos="1928" w:val="left" w:leader="none"/>
        </w:tabs>
        <w:spacing w:line="235" w:lineRule="auto" w:before="0" w:after="0"/>
        <w:ind w:left="1247" w:right="2283" w:firstLine="0"/>
        <w:jc w:val="left"/>
        <w:rPr>
          <w:sz w:val="20"/>
        </w:rPr>
      </w:pPr>
      <w:r>
        <w:rPr>
          <w:w w:val="120"/>
          <w:sz w:val="20"/>
        </w:rPr>
        <w:t>The fourth tranche of income to the new fund will be through </w:t>
      </w:r>
      <w:r>
        <w:rPr>
          <w:spacing w:val="2"/>
          <w:w w:val="120"/>
          <w:sz w:val="20"/>
        </w:rPr>
        <w:t>one-off </w:t>
      </w:r>
      <w:r>
        <w:rPr>
          <w:w w:val="120"/>
          <w:sz w:val="20"/>
        </w:rPr>
        <w:t>appeals and opportunistic approaches to occasional</w:t>
      </w:r>
      <w:r>
        <w:rPr>
          <w:spacing w:val="14"/>
          <w:w w:val="120"/>
          <w:sz w:val="20"/>
        </w:rPr>
        <w:t> </w:t>
      </w:r>
      <w:r>
        <w:rPr>
          <w:w w:val="120"/>
          <w:sz w:val="20"/>
        </w:rPr>
        <w:t>donors.</w:t>
      </w:r>
    </w:p>
    <w:p>
      <w:pPr>
        <w:pStyle w:val="BodyText"/>
        <w:spacing w:before="9"/>
        <w:rPr>
          <w:sz w:val="19"/>
        </w:rPr>
      </w:pPr>
    </w:p>
    <w:p>
      <w:pPr>
        <w:pStyle w:val="ListParagraph"/>
        <w:numPr>
          <w:ilvl w:val="1"/>
          <w:numId w:val="51"/>
        </w:numPr>
        <w:tabs>
          <w:tab w:pos="1927" w:val="left" w:leader="none"/>
          <w:tab w:pos="1928" w:val="left" w:leader="none"/>
        </w:tabs>
        <w:spacing w:line="235" w:lineRule="auto" w:before="1" w:after="0"/>
        <w:ind w:left="1247" w:right="2559" w:firstLine="0"/>
        <w:jc w:val="left"/>
        <w:rPr>
          <w:sz w:val="20"/>
        </w:rPr>
      </w:pPr>
      <w:r>
        <w:rPr>
          <w:w w:val="120"/>
          <w:sz w:val="20"/>
        </w:rPr>
        <w:t>The challenges of gaining support from sending synods and churches, and  of carrying out </w:t>
      </w:r>
      <w:r>
        <w:rPr>
          <w:spacing w:val="2"/>
          <w:w w:val="120"/>
          <w:sz w:val="20"/>
        </w:rPr>
        <w:t>one-off </w:t>
      </w:r>
      <w:r>
        <w:rPr>
          <w:w w:val="120"/>
          <w:sz w:val="20"/>
        </w:rPr>
        <w:t>appeals, have not been underestimated by the task group established to develop the new ministerial green shoots fund. They have begun   to work on a number of appeal ideas which will be pursued vigorously if General Assembly endorses the establishing of the fund. The annual amount that will</w:t>
      </w:r>
      <w:r>
        <w:rPr>
          <w:spacing w:val="50"/>
          <w:w w:val="120"/>
          <w:sz w:val="20"/>
        </w:rPr>
        <w:t> </w:t>
      </w:r>
      <w:r>
        <w:rPr>
          <w:w w:val="120"/>
          <w:sz w:val="20"/>
        </w:rPr>
        <w:t>need</w:t>
      </w:r>
    </w:p>
    <w:p>
      <w:pPr>
        <w:pStyle w:val="BodyText"/>
        <w:spacing w:line="235" w:lineRule="auto" w:before="3"/>
        <w:ind w:left="1247" w:right="2167"/>
      </w:pPr>
      <w:r>
        <w:rPr>
          <w:w w:val="120"/>
        </w:rPr>
        <w:t>to be raised by the time that all students are maintained through the new system is estimated to be </w:t>
      </w:r>
      <w:r>
        <w:rPr>
          <w:spacing w:val="-3"/>
          <w:w w:val="120"/>
        </w:rPr>
        <w:t>£130,000. </w:t>
      </w:r>
      <w:r>
        <w:rPr>
          <w:w w:val="120"/>
        </w:rPr>
        <w:t>This is a significant sum, but we call upon the Church to embrace this challenge on behalf of a faithful and generous God who gives us hope for the future by continuing to call gifted men and women to service in our ministries. If this is not achieved, the Church will have to reassess its adult education priorities and commitment to whole Church</w:t>
      </w:r>
      <w:r>
        <w:rPr>
          <w:spacing w:val="10"/>
          <w:w w:val="120"/>
        </w:rPr>
        <w:t> </w:t>
      </w:r>
      <w:r>
        <w:rPr>
          <w:w w:val="120"/>
        </w:rPr>
        <w:t>learning.</w:t>
      </w:r>
    </w:p>
    <w:p>
      <w:pPr>
        <w:pStyle w:val="BodyText"/>
        <w:spacing w:before="9"/>
        <w:rPr>
          <w:sz w:val="17"/>
        </w:rPr>
      </w:pPr>
    </w:p>
    <w:p>
      <w:pPr>
        <w:pStyle w:val="Heading4"/>
        <w:numPr>
          <w:ilvl w:val="0"/>
          <w:numId w:val="51"/>
        </w:numPr>
        <w:tabs>
          <w:tab w:pos="1927" w:val="left" w:leader="none"/>
          <w:tab w:pos="1928" w:val="left" w:leader="none"/>
        </w:tabs>
        <w:spacing w:line="240" w:lineRule="auto" w:before="1" w:after="0"/>
        <w:ind w:left="1927" w:right="0" w:hanging="681"/>
        <w:jc w:val="left"/>
      </w:pPr>
      <w:r>
        <w:rPr>
          <w:spacing w:val="4"/>
          <w:w w:val="110"/>
        </w:rPr>
        <w:t>Ensuring</w:t>
      </w:r>
      <w:r>
        <w:rPr>
          <w:spacing w:val="12"/>
          <w:w w:val="110"/>
        </w:rPr>
        <w:t> </w:t>
      </w:r>
      <w:r>
        <w:rPr>
          <w:spacing w:val="3"/>
          <w:w w:val="110"/>
        </w:rPr>
        <w:t>fairness</w:t>
      </w:r>
    </w:p>
    <w:p>
      <w:pPr>
        <w:pStyle w:val="ListParagraph"/>
        <w:numPr>
          <w:ilvl w:val="1"/>
          <w:numId w:val="51"/>
        </w:numPr>
        <w:tabs>
          <w:tab w:pos="1927" w:val="left" w:leader="none"/>
          <w:tab w:pos="1928" w:val="left" w:leader="none"/>
        </w:tabs>
        <w:spacing w:line="235" w:lineRule="auto" w:before="69" w:after="0"/>
        <w:ind w:left="1247" w:right="2154" w:firstLine="0"/>
        <w:jc w:val="left"/>
        <w:rPr>
          <w:sz w:val="20"/>
        </w:rPr>
      </w:pPr>
      <w:r>
        <w:rPr>
          <w:w w:val="120"/>
          <w:sz w:val="20"/>
        </w:rPr>
        <w:t>Alongside the establishment of the ministerial green shoots fund, it is intended to put in place a more rigorous system of financial health assessment for candidates accepted for training. This will take household income and expenditure into account more fully than is possible in the present system, so that overall fairness is maintained. Provision will also be made to ensure that students gain access to confidential financial counselling where this is</w:t>
      </w:r>
      <w:r>
        <w:rPr>
          <w:spacing w:val="9"/>
          <w:w w:val="120"/>
          <w:sz w:val="20"/>
        </w:rPr>
        <w:t> </w:t>
      </w:r>
      <w:r>
        <w:rPr>
          <w:w w:val="120"/>
          <w:sz w:val="20"/>
        </w:rPr>
        <w:t>needed.</w:t>
      </w:r>
    </w:p>
    <w:p>
      <w:pPr>
        <w:pStyle w:val="BodyText"/>
      </w:pPr>
    </w:p>
    <w:p>
      <w:pPr>
        <w:pStyle w:val="ListParagraph"/>
        <w:numPr>
          <w:ilvl w:val="1"/>
          <w:numId w:val="51"/>
        </w:numPr>
        <w:tabs>
          <w:tab w:pos="1927" w:val="left" w:leader="none"/>
          <w:tab w:pos="1928" w:val="left" w:leader="none"/>
        </w:tabs>
        <w:spacing w:line="235" w:lineRule="auto" w:before="0" w:after="0"/>
        <w:ind w:left="1247" w:right="2109" w:firstLine="0"/>
        <w:jc w:val="left"/>
        <w:rPr>
          <w:sz w:val="20"/>
        </w:rPr>
      </w:pPr>
      <w:r>
        <w:rPr>
          <w:w w:val="120"/>
          <w:sz w:val="20"/>
        </w:rPr>
        <w:t>A new United Reformed Church student finance panel will be established which will make decisions on the level of grants to be given to individual students, working    in conjunction with the resource centres for learning and the education and learning office at Church</w:t>
      </w:r>
      <w:r>
        <w:rPr>
          <w:spacing w:val="6"/>
          <w:w w:val="120"/>
          <w:sz w:val="20"/>
        </w:rPr>
        <w:t> </w:t>
      </w:r>
      <w:r>
        <w:rPr>
          <w:w w:val="120"/>
          <w:sz w:val="20"/>
        </w:rPr>
        <w:t>House.</w:t>
      </w:r>
    </w:p>
    <w:p>
      <w:pPr>
        <w:spacing w:after="0" w:line="235" w:lineRule="auto"/>
        <w:jc w:val="left"/>
        <w:rPr>
          <w:sz w:val="20"/>
        </w:rPr>
        <w:sectPr>
          <w:headerReference w:type="even" r:id="rId226"/>
          <w:footerReference w:type="even" r:id="rId227"/>
          <w:pgSz w:w="11910" w:h="16840"/>
          <w:pgMar w:header="0" w:footer="647" w:top="0" w:bottom="840" w:left="0" w:right="0"/>
          <w:pgNumType w:start="94"/>
        </w:sectPr>
      </w:pPr>
    </w:p>
    <w:p>
      <w:pPr>
        <w:pStyle w:val="BodyText"/>
      </w:pPr>
      <w:r>
        <w:rPr/>
        <w:pict>
          <v:rect style="position:absolute;margin-left:0pt;margin-top:.000015pt;width:549.207pt;height:841.89pt;mso-position-horizontal-relative:page;mso-position-vertical-relative:page;z-index:-267351040" filled="true" fillcolor="#d3e5c3" stroked="false">
            <v:fill type="solid"/>
            <w10:wrap type="none"/>
          </v:rect>
        </w:pict>
      </w:r>
      <w:r>
        <w:rPr/>
        <w:drawing>
          <wp:anchor distT="0" distB="0" distL="0" distR="0" allowOverlap="1" layoutInCell="1" locked="0" behindDoc="0" simplePos="0" relativeHeight="251926528">
            <wp:simplePos x="0" y="0"/>
            <wp:positionH relativeFrom="page">
              <wp:posOffset>6974928</wp:posOffset>
            </wp:positionH>
            <wp:positionV relativeFrom="page">
              <wp:posOffset>0</wp:posOffset>
            </wp:positionV>
            <wp:extent cx="585063" cy="10692003"/>
            <wp:effectExtent l="0" t="0" r="0" b="0"/>
            <wp:wrapNone/>
            <wp:docPr id="177" name="image25.png"/>
            <wp:cNvGraphicFramePr>
              <a:graphicFrameLocks noChangeAspect="1"/>
            </wp:cNvGraphicFramePr>
            <a:graphic>
              <a:graphicData uri="http://schemas.openxmlformats.org/drawingml/2006/picture">
                <pic:pic>
                  <pic:nvPicPr>
                    <pic:cNvPr id="178" name="image25.png"/>
                    <pic:cNvPicPr/>
                  </pic:nvPicPr>
                  <pic:blipFill>
                    <a:blip r:embed="rId192"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5"/>
        <w:rPr>
          <w:sz w:val="28"/>
        </w:rPr>
      </w:pPr>
    </w:p>
    <w:p>
      <w:pPr>
        <w:pStyle w:val="Heading2"/>
        <w:spacing w:line="213" w:lineRule="auto"/>
        <w:ind w:left="1984" w:right="2004"/>
        <w:rPr>
          <w:b/>
        </w:rPr>
      </w:pPr>
      <w:r>
        <w:rPr/>
        <w:pict>
          <v:shape style="position:absolute;margin-left:554.141174pt;margin-top:-5.989334pt;width:25.9pt;height:203.75pt;mso-position-horizontal-relative:page;mso-position-vertical-relative:paragraph;z-index:251927552" type="#_x0000_t202" filled="false" stroked="false">
            <v:textbox inset="0,0,0,0" style="layout-flow:vertical">
              <w:txbxContent>
                <w:p>
                  <w:pPr>
                    <w:spacing w:before="27"/>
                    <w:ind w:left="20" w:right="0" w:firstLine="0"/>
                    <w:jc w:val="left"/>
                    <w:rPr>
                      <w:sz w:val="39"/>
                    </w:rPr>
                  </w:pPr>
                  <w:r>
                    <w:rPr>
                      <w:color w:val="FFFFFF"/>
                      <w:spacing w:val="9"/>
                      <w:w w:val="120"/>
                      <w:sz w:val="39"/>
                    </w:rPr>
                    <w:t>Monitoring</w:t>
                  </w:r>
                  <w:r>
                    <w:rPr>
                      <w:color w:val="FFFFFF"/>
                      <w:spacing w:val="77"/>
                      <w:w w:val="120"/>
                      <w:sz w:val="39"/>
                    </w:rPr>
                    <w:t> </w:t>
                  </w:r>
                  <w:r>
                    <w:rPr>
                      <w:color w:val="FFFFFF"/>
                      <w:spacing w:val="10"/>
                      <w:w w:val="120"/>
                      <w:sz w:val="39"/>
                    </w:rPr>
                    <w:t>equality</w:t>
                  </w:r>
                </w:p>
              </w:txbxContent>
            </v:textbox>
            <w10:wrap type="none"/>
          </v:shape>
        </w:pict>
      </w:r>
      <w:bookmarkStart w:name="_bookmark18" w:id="22"/>
      <w:bookmarkEnd w:id="22"/>
      <w:r>
        <w:rPr>
          <w:b w:val="0"/>
        </w:rPr>
      </w:r>
      <w:r>
        <w:rPr>
          <w:b/>
          <w:color w:val="41A62B"/>
          <w:w w:val="110"/>
        </w:rPr>
        <w:t>Equalities committee: </w:t>
      </w:r>
      <w:r>
        <w:rPr>
          <w:b/>
          <w:w w:val="110"/>
        </w:rPr>
        <w:t>Monitoring equality</w:t>
      </w:r>
    </w:p>
    <w:p>
      <w:pPr>
        <w:pStyle w:val="BodyText"/>
        <w:spacing w:before="378" w:after="27"/>
        <w:ind w:left="1984"/>
      </w:pPr>
      <w:r>
        <w:rPr>
          <w:w w:val="120"/>
        </w:rPr>
        <w:t>Basic Information</w:t>
      </w:r>
    </w:p>
    <w:tbl>
      <w:tblPr>
        <w:tblW w:w="0" w:type="auto"/>
        <w:jc w:val="left"/>
        <w:tblInd w:w="19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335"/>
      </w:tblGrid>
      <w:tr>
        <w:trPr>
          <w:trHeight w:val="680" w:hRule="atLeast"/>
        </w:trPr>
        <w:tc>
          <w:tcPr>
            <w:tcW w:w="2660" w:type="dxa"/>
            <w:shd w:val="clear" w:color="auto" w:fill="FFFFFF"/>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335" w:type="dxa"/>
            <w:tcBorders>
              <w:right w:val="nil"/>
            </w:tcBorders>
            <w:shd w:val="clear" w:color="auto" w:fill="FFFFFF"/>
          </w:tcPr>
          <w:p>
            <w:pPr>
              <w:pStyle w:val="TableParagraph"/>
              <w:spacing w:line="235" w:lineRule="auto" w:before="145"/>
              <w:ind w:right="2956"/>
              <w:rPr>
                <w:sz w:val="20"/>
              </w:rPr>
            </w:pPr>
            <w:r>
              <w:rPr>
                <w:w w:val="120"/>
                <w:sz w:val="20"/>
              </w:rPr>
              <w:t>Elizabeth Nash </w:t>
            </w:r>
            <w:hyperlink r:id="rId230">
              <w:r>
                <w:rPr>
                  <w:w w:val="120"/>
                  <w:sz w:val="20"/>
                </w:rPr>
                <w:t>elizabethjnash@gmail.com</w:t>
              </w:r>
            </w:hyperlink>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Action required</w:t>
            </w:r>
          </w:p>
        </w:tc>
        <w:tc>
          <w:tcPr>
            <w:tcW w:w="6335" w:type="dxa"/>
            <w:tcBorders>
              <w:right w:val="nil"/>
            </w:tcBorders>
            <w:shd w:val="clear" w:color="auto" w:fill="FFFFFF"/>
          </w:tcPr>
          <w:p>
            <w:pPr>
              <w:pStyle w:val="TableParagraph"/>
              <w:spacing w:before="141"/>
              <w:rPr>
                <w:sz w:val="20"/>
              </w:rPr>
            </w:pPr>
            <w:r>
              <w:rPr>
                <w:w w:val="120"/>
                <w:sz w:val="20"/>
              </w:rPr>
              <w:t>Discussion and reporting to equalities convener</w:t>
            </w:r>
          </w:p>
        </w:tc>
      </w:tr>
      <w:tr>
        <w:trPr>
          <w:trHeight w:val="68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Draft resolution(s)</w:t>
            </w:r>
          </w:p>
        </w:tc>
        <w:tc>
          <w:tcPr>
            <w:tcW w:w="6335" w:type="dxa"/>
            <w:tcBorders>
              <w:right w:val="nil"/>
            </w:tcBorders>
            <w:shd w:val="clear" w:color="auto" w:fill="FFFFFF"/>
          </w:tcPr>
          <w:p>
            <w:pPr>
              <w:pStyle w:val="TableParagraph"/>
              <w:spacing w:before="128"/>
              <w:rPr>
                <w:rFonts w:ascii="Stone Sans II ITC Std Bk"/>
                <w:b/>
                <w:sz w:val="20"/>
              </w:rPr>
            </w:pPr>
            <w:r>
              <w:rPr>
                <w:rFonts w:ascii="Stone Sans II ITC Std Bk"/>
                <w:b/>
                <w:w w:val="110"/>
                <w:sz w:val="20"/>
              </w:rPr>
              <w:t>None</w:t>
            </w:r>
          </w:p>
        </w:tc>
      </w:tr>
    </w:tbl>
    <w:p>
      <w:pPr>
        <w:pStyle w:val="BodyText"/>
        <w:rPr>
          <w:sz w:val="24"/>
        </w:rPr>
      </w:pPr>
    </w:p>
    <w:p>
      <w:pPr>
        <w:pStyle w:val="BodyText"/>
        <w:spacing w:before="156" w:after="27"/>
        <w:ind w:left="1984"/>
      </w:pPr>
      <w:r>
        <w:rPr>
          <w:w w:val="120"/>
        </w:rPr>
        <w:t>Summary of Content</w:t>
      </w:r>
    </w:p>
    <w:tbl>
      <w:tblPr>
        <w:tblW w:w="0" w:type="auto"/>
        <w:jc w:val="left"/>
        <w:tblInd w:w="19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335"/>
      </w:tblGrid>
      <w:tr>
        <w:trPr>
          <w:trHeight w:val="92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Subject and aim(s)</w:t>
            </w:r>
          </w:p>
        </w:tc>
        <w:tc>
          <w:tcPr>
            <w:tcW w:w="6335" w:type="dxa"/>
            <w:tcBorders>
              <w:right w:val="nil"/>
            </w:tcBorders>
            <w:shd w:val="clear" w:color="auto" w:fill="FFFFFF"/>
          </w:tcPr>
          <w:p>
            <w:pPr>
              <w:pStyle w:val="TableParagraph"/>
              <w:spacing w:line="235" w:lineRule="auto" w:before="145"/>
              <w:ind w:right="688"/>
              <w:rPr>
                <w:sz w:val="20"/>
              </w:rPr>
            </w:pPr>
            <w:r>
              <w:rPr>
                <w:w w:val="120"/>
                <w:sz w:val="20"/>
              </w:rPr>
              <w:t>The aim is to monitor equality throughout the United Reformed Church and share the information with General Assembly.</w:t>
            </w:r>
          </w:p>
        </w:tc>
      </w:tr>
      <w:tr>
        <w:trPr>
          <w:trHeight w:val="236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Main points</w:t>
            </w:r>
          </w:p>
        </w:tc>
        <w:tc>
          <w:tcPr>
            <w:tcW w:w="6335" w:type="dxa"/>
            <w:tcBorders>
              <w:right w:val="nil"/>
            </w:tcBorders>
            <w:shd w:val="clear" w:color="auto" w:fill="FFFFFF"/>
          </w:tcPr>
          <w:p>
            <w:pPr>
              <w:pStyle w:val="TableParagraph"/>
              <w:spacing w:line="235" w:lineRule="auto" w:before="145"/>
              <w:ind w:right="216"/>
              <w:rPr>
                <w:sz w:val="20"/>
              </w:rPr>
            </w:pPr>
            <w:r>
              <w:rPr>
                <w:w w:val="120"/>
                <w:sz w:val="20"/>
              </w:rPr>
              <w:t>So far, the equalities committee is monitoring gender, ethnicity and the lay/ordained balance within the URC Trust and the membership of Assembly committees and advisory/ task/steering/reference groups.</w:t>
            </w:r>
          </w:p>
          <w:p>
            <w:pPr>
              <w:pStyle w:val="TableParagraph"/>
              <w:spacing w:line="235" w:lineRule="auto" w:before="3"/>
              <w:ind w:right="289"/>
              <w:rPr>
                <w:sz w:val="20"/>
              </w:rPr>
            </w:pPr>
            <w:r>
              <w:rPr>
                <w:w w:val="120"/>
                <w:sz w:val="20"/>
              </w:rPr>
              <w:t>Through the annual local church returns, it has monitored: The gender and ethnicity of ministers, accessibility of church buildings and facilities, awareness of the United Reformed Church equalities policy and whether churches have their own equalities policies.</w:t>
            </w:r>
          </w:p>
        </w:tc>
      </w:tr>
      <w:tr>
        <w:trPr>
          <w:trHeight w:val="680" w:hRule="atLeast"/>
        </w:trPr>
        <w:tc>
          <w:tcPr>
            <w:tcW w:w="2660" w:type="dxa"/>
            <w:shd w:val="clear" w:color="auto" w:fill="FFFFFF"/>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335" w:type="dxa"/>
            <w:tcBorders>
              <w:right w:val="nil"/>
            </w:tcBorders>
            <w:shd w:val="clear" w:color="auto" w:fill="FFFFFF"/>
          </w:tcPr>
          <w:p>
            <w:pPr>
              <w:pStyle w:val="TableParagraph"/>
              <w:spacing w:line="235" w:lineRule="auto" w:before="145"/>
              <w:rPr>
                <w:sz w:val="20"/>
              </w:rPr>
            </w:pPr>
            <w:r>
              <w:rPr>
                <w:w w:val="120"/>
                <w:sz w:val="20"/>
              </w:rPr>
              <w:t>Equalities policy 2006, guidance 2008/11, policy on the equalities act 2010 (all available on the URC website)</w:t>
            </w:r>
          </w:p>
        </w:tc>
      </w:tr>
      <w:tr>
        <w:trPr>
          <w:trHeight w:val="680" w:hRule="atLeast"/>
        </w:trPr>
        <w:tc>
          <w:tcPr>
            <w:tcW w:w="2660" w:type="dxa"/>
            <w:shd w:val="clear" w:color="auto" w:fill="FFFFFF"/>
          </w:tcPr>
          <w:p>
            <w:pPr>
              <w:pStyle w:val="TableParagraph"/>
              <w:spacing w:line="213" w:lineRule="auto" w:before="151"/>
              <w:ind w:right="104"/>
              <w:rPr>
                <w:rFonts w:ascii="Stone Sans II ITC Std Bk"/>
                <w:b/>
                <w:sz w:val="20"/>
              </w:rPr>
            </w:pPr>
            <w:r>
              <w:rPr>
                <w:rFonts w:ascii="Stone Sans II ITC Std Bk"/>
                <w:b/>
                <w:w w:val="110"/>
                <w:sz w:val="20"/>
              </w:rPr>
              <w:t>Consultation has taken place with...</w:t>
            </w:r>
          </w:p>
        </w:tc>
        <w:tc>
          <w:tcPr>
            <w:tcW w:w="6335" w:type="dxa"/>
            <w:tcBorders>
              <w:right w:val="nil"/>
            </w:tcBorders>
            <w:shd w:val="clear" w:color="auto" w:fill="FFFFFF"/>
          </w:tcPr>
          <w:p>
            <w:pPr>
              <w:pStyle w:val="TableParagraph"/>
              <w:spacing w:line="242" w:lineRule="exact" w:before="141"/>
              <w:rPr>
                <w:sz w:val="20"/>
              </w:rPr>
            </w:pPr>
            <w:r>
              <w:rPr>
                <w:w w:val="120"/>
                <w:sz w:val="20"/>
              </w:rPr>
              <w:t>Nominations committee, Mission Council,</w:t>
            </w:r>
          </w:p>
          <w:p>
            <w:pPr>
              <w:pStyle w:val="TableParagraph"/>
              <w:spacing w:line="242" w:lineRule="exact"/>
              <w:rPr>
                <w:sz w:val="20"/>
              </w:rPr>
            </w:pPr>
            <w:r>
              <w:rPr>
                <w:w w:val="120"/>
                <w:sz w:val="20"/>
              </w:rPr>
              <w:t>Local churches through the annual church returns</w:t>
            </w:r>
          </w:p>
        </w:tc>
      </w:tr>
    </w:tbl>
    <w:p>
      <w:pPr>
        <w:pStyle w:val="BodyText"/>
        <w:rPr>
          <w:sz w:val="24"/>
        </w:rPr>
      </w:pPr>
    </w:p>
    <w:p>
      <w:pPr>
        <w:pStyle w:val="BodyText"/>
        <w:spacing w:before="156" w:after="27"/>
        <w:ind w:left="1984"/>
      </w:pPr>
      <w:r>
        <w:rPr>
          <w:w w:val="120"/>
        </w:rPr>
        <w:t>Summary of Impact</w:t>
      </w:r>
    </w:p>
    <w:tbl>
      <w:tblPr>
        <w:tblW w:w="0" w:type="auto"/>
        <w:jc w:val="left"/>
        <w:tblInd w:w="19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335"/>
      </w:tblGrid>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335" w:type="dxa"/>
            <w:tcBorders>
              <w:right w:val="nil"/>
            </w:tcBorders>
            <w:shd w:val="clear" w:color="auto" w:fill="FFFFFF"/>
          </w:tcPr>
          <w:p>
            <w:pPr>
              <w:pStyle w:val="TableParagraph"/>
              <w:spacing w:before="141"/>
              <w:rPr>
                <w:sz w:val="20"/>
              </w:rPr>
            </w:pPr>
            <w:r>
              <w:rPr>
                <w:w w:val="120"/>
                <w:sz w:val="20"/>
              </w:rPr>
              <w:t>None</w:t>
            </w:r>
          </w:p>
        </w:tc>
      </w:tr>
      <w:tr>
        <w:trPr>
          <w:trHeight w:val="68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335" w:type="dxa"/>
            <w:tcBorders>
              <w:right w:val="nil"/>
            </w:tcBorders>
            <w:shd w:val="clear" w:color="auto" w:fill="FFFFFF"/>
          </w:tcPr>
          <w:p>
            <w:pPr>
              <w:pStyle w:val="TableParagraph"/>
              <w:spacing w:before="141"/>
              <w:rPr>
                <w:sz w:val="20"/>
              </w:rPr>
            </w:pPr>
            <w:r>
              <w:rPr>
                <w:w w:val="120"/>
                <w:sz w:val="20"/>
              </w:rPr>
              <w:t>None at this point</w:t>
            </w:r>
          </w:p>
        </w:tc>
      </w:tr>
    </w:tbl>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4"/>
      </w:pPr>
    </w:p>
    <w:p>
      <w:pPr>
        <w:pStyle w:val="Heading8"/>
        <w:spacing w:before="0"/>
        <w:ind w:left="4510"/>
        <w:rPr>
          <w:rFonts w:ascii="Stone Sans II ITC Std X Bd" w:hAnsi="Stone Sans II ITC Std X Bd"/>
          <w:b/>
          <w:sz w:val="24"/>
        </w:rPr>
      </w:pP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2014 </w:t>
      </w:r>
      <w:r>
        <w:rPr>
          <w:rFonts w:ascii="Symbol" w:hAnsi="Symbol"/>
          <w:color w:val="7EAABF"/>
          <w:w w:val="110"/>
        </w:rPr>
        <w:t></w:t>
      </w:r>
      <w:r>
        <w:rPr>
          <w:rFonts w:ascii="Times New Roman" w:hAnsi="Times New Roman"/>
          <w:color w:val="7EAABF"/>
          <w:spacing w:val="51"/>
          <w:w w:val="110"/>
        </w:rPr>
        <w:t> </w:t>
      </w:r>
      <w:r>
        <w:rPr>
          <w:rFonts w:ascii="Stone Sans II ITC Std X Bd" w:hAnsi="Stone Sans II ITC Std X Bd"/>
          <w:b/>
          <w:w w:val="110"/>
          <w:sz w:val="24"/>
        </w:rPr>
        <w:t>95</w:t>
      </w:r>
    </w:p>
    <w:p>
      <w:pPr>
        <w:spacing w:after="0"/>
        <w:rPr>
          <w:rFonts w:ascii="Stone Sans II ITC Std X Bd" w:hAnsi="Stone Sans II ITC Std X Bd"/>
          <w:sz w:val="24"/>
        </w:rPr>
        <w:sectPr>
          <w:headerReference w:type="default" r:id="rId228"/>
          <w:footerReference w:type="default" r:id="rId229"/>
          <w:pgSz w:w="11910" w:h="16840"/>
          <w:pgMar w:header="0" w:footer="0" w:top="0" w:bottom="0" w:left="0" w:right="0"/>
        </w:sectPr>
      </w:pPr>
    </w:p>
    <w:p>
      <w:pPr>
        <w:pStyle w:val="BodyText"/>
        <w:rPr>
          <w:rFonts w:ascii="Stone Sans II ITC Std X Bd"/>
          <w:b/>
        </w:rPr>
      </w:pPr>
    </w:p>
    <w:p>
      <w:pPr>
        <w:pStyle w:val="BodyText"/>
        <w:spacing w:before="7"/>
        <w:rPr>
          <w:rFonts w:ascii="Stone Sans II ITC Std X Bd"/>
          <w:b/>
          <w:sz w:val="17"/>
        </w:rPr>
      </w:pPr>
    </w:p>
    <w:p>
      <w:pPr>
        <w:spacing w:after="0"/>
        <w:rPr>
          <w:rFonts w:ascii="Stone Sans II ITC Std X Bd"/>
          <w:sz w:val="17"/>
        </w:rPr>
        <w:sectPr>
          <w:headerReference w:type="even" r:id="rId231"/>
          <w:footerReference w:type="even" r:id="rId232"/>
          <w:pgSz w:w="11910" w:h="16840"/>
          <w:pgMar w:header="0" w:footer="647" w:top="0" w:bottom="840" w:left="0" w:right="0"/>
          <w:pgNumType w:start="96"/>
        </w:sectPr>
      </w:pPr>
    </w:p>
    <w:p>
      <w:pPr>
        <w:spacing w:before="107"/>
        <w:ind w:left="1247" w:right="0" w:firstLine="0"/>
        <w:jc w:val="left"/>
        <w:rPr>
          <w:sz w:val="26"/>
        </w:rPr>
      </w:pPr>
      <w:r>
        <w:rPr>
          <w:color w:val="7EAABF"/>
          <w:w w:val="110"/>
          <w:sz w:val="26"/>
        </w:rPr>
        <w:t>Equalities</w:t>
      </w:r>
    </w:p>
    <w:p>
      <w:pPr>
        <w:pStyle w:val="BodyText"/>
        <w:spacing w:before="10"/>
        <w:rPr>
          <w:sz w:val="54"/>
        </w:rPr>
      </w:pPr>
      <w:r>
        <w:rPr/>
        <w:br w:type="column"/>
      </w:r>
      <w:r>
        <w:rPr>
          <w:sz w:val="54"/>
        </w:rPr>
      </w:r>
    </w:p>
    <w:p>
      <w:pPr>
        <w:spacing w:before="0"/>
        <w:ind w:left="342" w:right="0" w:firstLine="0"/>
        <w:jc w:val="left"/>
        <w:rPr>
          <w:rFonts w:ascii="Stone Sans II ITC Std X Bd"/>
          <w:b/>
          <w:sz w:val="50"/>
        </w:rPr>
      </w:pPr>
      <w:r>
        <w:rPr>
          <w:rFonts w:ascii="Stone Sans II ITC Std X Bd"/>
          <w:b/>
          <w:w w:val="110"/>
          <w:sz w:val="50"/>
        </w:rPr>
        <w:t>Monitoring equality</w:t>
      </w:r>
    </w:p>
    <w:p>
      <w:pPr>
        <w:spacing w:after="0"/>
        <w:jc w:val="left"/>
        <w:rPr>
          <w:rFonts w:ascii="Stone Sans II ITC Std X Bd"/>
          <w:sz w:val="50"/>
        </w:rPr>
        <w:sectPr>
          <w:type w:val="continuous"/>
          <w:pgSz w:w="11910" w:h="16840"/>
          <w:pgMar w:top="680" w:bottom="280" w:left="0" w:right="0"/>
          <w:cols w:num="2" w:equalWidth="0">
            <w:col w:w="2408" w:space="40"/>
            <w:col w:w="9462"/>
          </w:cols>
        </w:sectPr>
      </w:pPr>
    </w:p>
    <w:p>
      <w:pPr>
        <w:pStyle w:val="BodyText"/>
        <w:spacing w:before="4"/>
        <w:rPr>
          <w:rFonts w:ascii="Stone Sans II ITC Std X Bd"/>
          <w:b/>
          <w:sz w:val="19"/>
        </w:rPr>
      </w:pPr>
      <w:r>
        <w:rPr/>
        <w:drawing>
          <wp:anchor distT="0" distB="0" distL="0" distR="0" allowOverlap="1" layoutInCell="1" locked="0" behindDoc="0" simplePos="0" relativeHeight="251928576">
            <wp:simplePos x="0" y="0"/>
            <wp:positionH relativeFrom="page">
              <wp:posOffset>0</wp:posOffset>
            </wp:positionH>
            <wp:positionV relativeFrom="page">
              <wp:posOffset>0</wp:posOffset>
            </wp:positionV>
            <wp:extent cx="594067" cy="10692003"/>
            <wp:effectExtent l="0" t="0" r="0" b="0"/>
            <wp:wrapNone/>
            <wp:docPr id="179" name="image28.png"/>
            <wp:cNvGraphicFramePr>
              <a:graphicFrameLocks noChangeAspect="1"/>
            </wp:cNvGraphicFramePr>
            <a:graphic>
              <a:graphicData uri="http://schemas.openxmlformats.org/drawingml/2006/picture">
                <pic:pic>
                  <pic:nvPicPr>
                    <pic:cNvPr id="180" name="image28.png"/>
                    <pic:cNvPicPr/>
                  </pic:nvPicPr>
                  <pic:blipFill>
                    <a:blip r:embed="rId198" cstate="print"/>
                    <a:stretch>
                      <a:fillRect/>
                    </a:stretch>
                  </pic:blipFill>
                  <pic:spPr>
                    <a:xfrm>
                      <a:off x="0" y="0"/>
                      <a:ext cx="594067" cy="10692003"/>
                    </a:xfrm>
                    <a:prstGeom prst="rect">
                      <a:avLst/>
                    </a:prstGeom>
                  </pic:spPr>
                </pic:pic>
              </a:graphicData>
            </a:graphic>
          </wp:anchor>
        </w:drawing>
      </w:r>
    </w:p>
    <w:p>
      <w:pPr>
        <w:pStyle w:val="ListParagraph"/>
        <w:numPr>
          <w:ilvl w:val="0"/>
          <w:numId w:val="52"/>
        </w:numPr>
        <w:tabs>
          <w:tab w:pos="1927" w:val="left" w:leader="none"/>
          <w:tab w:pos="1928" w:val="left" w:leader="none"/>
        </w:tabs>
        <w:spacing w:line="235" w:lineRule="auto" w:before="104" w:after="0"/>
        <w:ind w:left="1247" w:right="2188" w:firstLine="0"/>
        <w:jc w:val="left"/>
        <w:rPr>
          <w:sz w:val="20"/>
        </w:rPr>
      </w:pPr>
      <w:r>
        <w:rPr/>
        <w:pict>
          <v:shape style="position:absolute;margin-left:20.519100pt;margin-top:-57.692028pt;width:25.9pt;height:203.75pt;mso-position-horizontal-relative:page;mso-position-vertical-relative:paragraph;z-index:251929600" type="#_x0000_t202" filled="false" stroked="false">
            <v:textbox inset="0,0,0,0" style="layout-flow:vertical">
              <w:txbxContent>
                <w:p>
                  <w:pPr>
                    <w:spacing w:before="27"/>
                    <w:ind w:left="20" w:right="0" w:firstLine="0"/>
                    <w:jc w:val="left"/>
                    <w:rPr>
                      <w:sz w:val="39"/>
                    </w:rPr>
                  </w:pPr>
                  <w:r>
                    <w:rPr>
                      <w:color w:val="FFFFFF"/>
                      <w:spacing w:val="9"/>
                      <w:w w:val="120"/>
                      <w:sz w:val="39"/>
                    </w:rPr>
                    <w:t>Monitoring</w:t>
                  </w:r>
                  <w:r>
                    <w:rPr>
                      <w:color w:val="FFFFFF"/>
                      <w:spacing w:val="77"/>
                      <w:w w:val="120"/>
                      <w:sz w:val="39"/>
                    </w:rPr>
                    <w:t> </w:t>
                  </w:r>
                  <w:r>
                    <w:rPr>
                      <w:color w:val="FFFFFF"/>
                      <w:spacing w:val="10"/>
                      <w:w w:val="120"/>
                      <w:sz w:val="39"/>
                    </w:rPr>
                    <w:t>equality</w:t>
                  </w:r>
                </w:p>
              </w:txbxContent>
            </v:textbox>
            <w10:wrap type="none"/>
          </v:shape>
        </w:pict>
      </w:r>
      <w:r>
        <w:rPr>
          <w:w w:val="120"/>
          <w:sz w:val="20"/>
        </w:rPr>
        <w:t>One of the responsibilities of the equalities committee is to develop equality throughout the church and to monitor the equalities policy. In order to do this the committee has checked on the makeup of the United Reformed Church Trust and the membership of Assembly committees and advisory/task/steering/reference groups. We have endeavoured to check the balance of men and women, ordained and </w:t>
      </w:r>
      <w:r>
        <w:rPr>
          <w:spacing w:val="-4"/>
          <w:w w:val="120"/>
          <w:sz w:val="20"/>
        </w:rPr>
        <w:t>lay, </w:t>
      </w:r>
      <w:r>
        <w:rPr>
          <w:w w:val="120"/>
          <w:sz w:val="20"/>
        </w:rPr>
        <w:t>black minority ethnic people and young people. Please note that these figures are as up to date as we are able to make them. We were particularly concerned at the lack of balance in our trustees, so we took a resolution to Mission Council in May </w:t>
      </w:r>
      <w:r>
        <w:rPr>
          <w:spacing w:val="-7"/>
          <w:w w:val="120"/>
          <w:sz w:val="20"/>
        </w:rPr>
        <w:t>2013, </w:t>
      </w:r>
      <w:r>
        <w:rPr>
          <w:w w:val="120"/>
          <w:sz w:val="20"/>
        </w:rPr>
        <w:t>which we hope will bring a marked change by Assembly</w:t>
      </w:r>
      <w:r>
        <w:rPr>
          <w:spacing w:val="33"/>
          <w:w w:val="120"/>
          <w:sz w:val="20"/>
        </w:rPr>
        <w:t> </w:t>
      </w:r>
      <w:r>
        <w:rPr>
          <w:spacing w:val="-6"/>
          <w:w w:val="120"/>
          <w:sz w:val="20"/>
        </w:rPr>
        <w:t>2016.</w:t>
      </w:r>
    </w:p>
    <w:p>
      <w:pPr>
        <w:pStyle w:val="BodyText"/>
        <w:spacing w:before="11"/>
        <w:rPr>
          <w:sz w:val="19"/>
        </w:rPr>
      </w:pPr>
    </w:p>
    <w:p>
      <w:pPr>
        <w:spacing w:line="242" w:lineRule="exact" w:before="0"/>
        <w:ind w:left="1927" w:right="0" w:firstLine="0"/>
        <w:jc w:val="left"/>
        <w:rPr>
          <w:i/>
          <w:sz w:val="20"/>
        </w:rPr>
      </w:pPr>
      <w:r>
        <w:rPr>
          <w:i/>
          <w:w w:val="110"/>
          <w:sz w:val="20"/>
        </w:rPr>
        <w:t>Mission  Council</w:t>
      </w:r>
      <w:r>
        <w:rPr>
          <w:i/>
          <w:spacing w:val="-18"/>
          <w:w w:val="110"/>
          <w:sz w:val="20"/>
        </w:rPr>
        <w:t> </w:t>
      </w:r>
      <w:r>
        <w:rPr>
          <w:i/>
          <w:w w:val="110"/>
          <w:sz w:val="20"/>
        </w:rPr>
        <w:t>agrees:</w:t>
      </w:r>
    </w:p>
    <w:p>
      <w:pPr>
        <w:pStyle w:val="ListParagraph"/>
        <w:numPr>
          <w:ilvl w:val="1"/>
          <w:numId w:val="52"/>
        </w:numPr>
        <w:tabs>
          <w:tab w:pos="2721" w:val="left" w:leader="none"/>
          <w:tab w:pos="2722" w:val="left" w:leader="none"/>
        </w:tabs>
        <w:spacing w:line="235" w:lineRule="auto" w:before="2" w:after="0"/>
        <w:ind w:left="2721" w:right="2115" w:hanging="794"/>
        <w:jc w:val="left"/>
        <w:rPr>
          <w:i/>
          <w:sz w:val="20"/>
        </w:rPr>
      </w:pPr>
      <w:r>
        <w:rPr>
          <w:i/>
          <w:w w:val="110"/>
          <w:sz w:val="20"/>
        </w:rPr>
        <w:t>to address the imbalance of membership of the United Reformed Church trust </w:t>
      </w:r>
      <w:r>
        <w:rPr>
          <w:i/>
          <w:w w:val="110"/>
          <w:sz w:val="20"/>
        </w:rPr>
        <w:t>and the United Reformed Church ministers’ pension fund trust and requests nominating synods, nominations committee and the</w:t>
      </w:r>
      <w:r>
        <w:rPr>
          <w:i/>
          <w:spacing w:val="35"/>
          <w:w w:val="110"/>
          <w:sz w:val="20"/>
        </w:rPr>
        <w:t> </w:t>
      </w:r>
      <w:r>
        <w:rPr>
          <w:i/>
          <w:w w:val="110"/>
          <w:sz w:val="20"/>
        </w:rPr>
        <w:t>trusts:</w:t>
      </w:r>
    </w:p>
    <w:p>
      <w:pPr>
        <w:pStyle w:val="BodyText"/>
        <w:spacing w:before="10"/>
        <w:rPr>
          <w:i/>
          <w:sz w:val="19"/>
        </w:rPr>
      </w:pPr>
    </w:p>
    <w:p>
      <w:pPr>
        <w:pStyle w:val="ListParagraph"/>
        <w:numPr>
          <w:ilvl w:val="2"/>
          <w:numId w:val="52"/>
        </w:numPr>
        <w:tabs>
          <w:tab w:pos="3407" w:val="left" w:leader="none"/>
          <w:tab w:pos="3408" w:val="left" w:leader="none"/>
        </w:tabs>
        <w:spacing w:line="235" w:lineRule="auto" w:before="0" w:after="0"/>
        <w:ind w:left="3407" w:right="3005" w:hanging="721"/>
        <w:jc w:val="left"/>
        <w:rPr>
          <w:i/>
          <w:sz w:val="20"/>
        </w:rPr>
      </w:pPr>
      <w:r>
        <w:rPr>
          <w:i/>
          <w:w w:val="110"/>
          <w:sz w:val="20"/>
        </w:rPr>
        <w:t>to ensure that, as vacancies on the </w:t>
      </w:r>
      <w:r>
        <w:rPr>
          <w:i/>
          <w:spacing w:val="-3"/>
          <w:w w:val="110"/>
          <w:sz w:val="20"/>
        </w:rPr>
        <w:t>Trust occur, </w:t>
      </w:r>
      <w:r>
        <w:rPr>
          <w:i/>
          <w:w w:val="110"/>
          <w:sz w:val="20"/>
        </w:rPr>
        <w:t>more women </w:t>
      </w:r>
      <w:r>
        <w:rPr>
          <w:i/>
          <w:w w:val="110"/>
          <w:sz w:val="20"/>
        </w:rPr>
        <w:t>than men are nominated until there are equal numbers of women and</w:t>
      </w:r>
      <w:r>
        <w:rPr>
          <w:i/>
          <w:spacing w:val="8"/>
          <w:w w:val="110"/>
          <w:sz w:val="20"/>
        </w:rPr>
        <w:t> </w:t>
      </w:r>
      <w:r>
        <w:rPr>
          <w:i/>
          <w:w w:val="110"/>
          <w:sz w:val="20"/>
        </w:rPr>
        <w:t>men;</w:t>
      </w:r>
    </w:p>
    <w:p>
      <w:pPr>
        <w:pStyle w:val="BodyText"/>
        <w:spacing w:before="10"/>
        <w:rPr>
          <w:i/>
          <w:sz w:val="19"/>
        </w:rPr>
      </w:pPr>
    </w:p>
    <w:p>
      <w:pPr>
        <w:pStyle w:val="ListParagraph"/>
        <w:numPr>
          <w:ilvl w:val="2"/>
          <w:numId w:val="52"/>
        </w:numPr>
        <w:tabs>
          <w:tab w:pos="3407" w:val="left" w:leader="none"/>
          <w:tab w:pos="3408" w:val="left" w:leader="none"/>
        </w:tabs>
        <w:spacing w:line="235" w:lineRule="auto" w:before="1" w:after="0"/>
        <w:ind w:left="3407" w:right="2864" w:hanging="721"/>
        <w:jc w:val="left"/>
        <w:rPr>
          <w:i/>
          <w:sz w:val="20"/>
        </w:rPr>
      </w:pPr>
      <w:r>
        <w:rPr>
          <w:i/>
          <w:w w:val="115"/>
          <w:sz w:val="20"/>
        </w:rPr>
        <w:t>to ensure that, minority groups, </w:t>
      </w:r>
      <w:r>
        <w:rPr>
          <w:i/>
          <w:spacing w:val="-5"/>
          <w:w w:val="115"/>
          <w:sz w:val="20"/>
        </w:rPr>
        <w:t>(eg </w:t>
      </w:r>
      <w:r>
        <w:rPr>
          <w:i/>
          <w:w w:val="115"/>
          <w:sz w:val="20"/>
        </w:rPr>
        <w:t>young people, black </w:t>
      </w:r>
      <w:r>
        <w:rPr>
          <w:i/>
          <w:w w:val="115"/>
          <w:sz w:val="20"/>
        </w:rPr>
        <w:t>minority</w:t>
      </w:r>
      <w:r>
        <w:rPr>
          <w:i/>
          <w:spacing w:val="-16"/>
          <w:w w:val="115"/>
          <w:sz w:val="20"/>
        </w:rPr>
        <w:t> </w:t>
      </w:r>
      <w:r>
        <w:rPr>
          <w:i/>
          <w:w w:val="115"/>
          <w:sz w:val="20"/>
        </w:rPr>
        <w:t>ethnic</w:t>
      </w:r>
      <w:r>
        <w:rPr>
          <w:i/>
          <w:spacing w:val="-15"/>
          <w:w w:val="115"/>
          <w:sz w:val="20"/>
        </w:rPr>
        <w:t> </w:t>
      </w:r>
      <w:r>
        <w:rPr>
          <w:i/>
          <w:w w:val="115"/>
          <w:sz w:val="20"/>
        </w:rPr>
        <w:t>people,</w:t>
      </w:r>
      <w:r>
        <w:rPr>
          <w:i/>
          <w:spacing w:val="-15"/>
          <w:w w:val="115"/>
          <w:sz w:val="20"/>
        </w:rPr>
        <w:t> </w:t>
      </w:r>
      <w:r>
        <w:rPr>
          <w:i/>
          <w:w w:val="115"/>
          <w:sz w:val="20"/>
        </w:rPr>
        <w:t>disabled</w:t>
      </w:r>
      <w:r>
        <w:rPr>
          <w:i/>
          <w:spacing w:val="-15"/>
          <w:w w:val="115"/>
          <w:sz w:val="20"/>
        </w:rPr>
        <w:t> </w:t>
      </w:r>
      <w:r>
        <w:rPr>
          <w:i/>
          <w:w w:val="115"/>
          <w:sz w:val="20"/>
        </w:rPr>
        <w:t>people,</w:t>
      </w:r>
      <w:r>
        <w:rPr>
          <w:i/>
          <w:spacing w:val="-15"/>
          <w:w w:val="115"/>
          <w:sz w:val="20"/>
        </w:rPr>
        <w:t> </w:t>
      </w:r>
      <w:r>
        <w:rPr>
          <w:i/>
          <w:w w:val="115"/>
          <w:sz w:val="20"/>
        </w:rPr>
        <w:t>lesbian,</w:t>
      </w:r>
      <w:r>
        <w:rPr>
          <w:i/>
          <w:spacing w:val="-15"/>
          <w:w w:val="115"/>
          <w:sz w:val="20"/>
        </w:rPr>
        <w:t> </w:t>
      </w:r>
      <w:r>
        <w:rPr>
          <w:i/>
          <w:spacing w:val="-4"/>
          <w:w w:val="115"/>
          <w:sz w:val="20"/>
        </w:rPr>
        <w:t>gay,</w:t>
      </w:r>
      <w:r>
        <w:rPr>
          <w:i/>
          <w:spacing w:val="-16"/>
          <w:w w:val="115"/>
          <w:sz w:val="20"/>
        </w:rPr>
        <w:t> </w:t>
      </w:r>
      <w:r>
        <w:rPr>
          <w:i/>
          <w:w w:val="115"/>
          <w:sz w:val="20"/>
        </w:rPr>
        <w:t>bisexual and transgender people </w:t>
      </w:r>
      <w:r>
        <w:rPr>
          <w:i/>
          <w:spacing w:val="-3"/>
          <w:w w:val="115"/>
          <w:sz w:val="20"/>
        </w:rPr>
        <w:t>etc) </w:t>
      </w:r>
      <w:r>
        <w:rPr>
          <w:i/>
          <w:w w:val="115"/>
          <w:sz w:val="20"/>
        </w:rPr>
        <w:t>are appropriately included in those nominations.</w:t>
      </w:r>
    </w:p>
    <w:p>
      <w:pPr>
        <w:pStyle w:val="BodyText"/>
        <w:spacing w:before="10"/>
        <w:rPr>
          <w:i/>
          <w:sz w:val="19"/>
        </w:rPr>
      </w:pPr>
    </w:p>
    <w:p>
      <w:pPr>
        <w:pStyle w:val="ListParagraph"/>
        <w:numPr>
          <w:ilvl w:val="1"/>
          <w:numId w:val="52"/>
        </w:numPr>
        <w:tabs>
          <w:tab w:pos="2721" w:val="left" w:leader="none"/>
          <w:tab w:pos="2722" w:val="left" w:leader="none"/>
        </w:tabs>
        <w:spacing w:line="235" w:lineRule="auto" w:before="1" w:after="0"/>
        <w:ind w:left="2721" w:right="3227" w:hanging="794"/>
        <w:jc w:val="left"/>
        <w:rPr>
          <w:i/>
          <w:sz w:val="20"/>
        </w:rPr>
      </w:pPr>
      <w:r>
        <w:rPr>
          <w:i/>
          <w:w w:val="110"/>
          <w:sz w:val="20"/>
        </w:rPr>
        <w:t>to request synods to </w:t>
      </w:r>
      <w:r>
        <w:rPr>
          <w:i/>
          <w:spacing w:val="-3"/>
          <w:w w:val="110"/>
          <w:sz w:val="20"/>
        </w:rPr>
        <w:t>take similar steps </w:t>
      </w:r>
      <w:r>
        <w:rPr>
          <w:i/>
          <w:spacing w:val="-4"/>
          <w:w w:val="110"/>
          <w:sz w:val="20"/>
        </w:rPr>
        <w:t>towards </w:t>
      </w:r>
      <w:r>
        <w:rPr>
          <w:i/>
          <w:w w:val="110"/>
          <w:sz w:val="20"/>
        </w:rPr>
        <w:t>equality in </w:t>
      </w:r>
      <w:r>
        <w:rPr>
          <w:i/>
          <w:spacing w:val="-3"/>
          <w:w w:val="110"/>
          <w:sz w:val="20"/>
        </w:rPr>
        <w:t>their own </w:t>
      </w:r>
      <w:r>
        <w:rPr>
          <w:i/>
          <w:w w:val="110"/>
          <w:sz w:val="20"/>
        </w:rPr>
        <w:t>trust</w:t>
      </w:r>
      <w:r>
        <w:rPr>
          <w:i/>
          <w:spacing w:val="-2"/>
          <w:w w:val="110"/>
          <w:sz w:val="20"/>
        </w:rPr>
        <w:t> </w:t>
      </w:r>
      <w:r>
        <w:rPr>
          <w:i/>
          <w:spacing w:val="-3"/>
          <w:w w:val="110"/>
          <w:sz w:val="20"/>
        </w:rPr>
        <w:t>bodies.</w:t>
      </w:r>
    </w:p>
    <w:p>
      <w:pPr>
        <w:pStyle w:val="BodyText"/>
        <w:spacing w:before="9"/>
        <w:rPr>
          <w:i/>
          <w:sz w:val="19"/>
        </w:rPr>
      </w:pPr>
    </w:p>
    <w:p>
      <w:pPr>
        <w:pStyle w:val="ListParagraph"/>
        <w:numPr>
          <w:ilvl w:val="0"/>
          <w:numId w:val="52"/>
        </w:numPr>
        <w:tabs>
          <w:tab w:pos="1927" w:val="left" w:leader="none"/>
          <w:tab w:pos="1928" w:val="left" w:leader="none"/>
        </w:tabs>
        <w:spacing w:line="235" w:lineRule="auto" w:before="0" w:after="0"/>
        <w:ind w:left="1247" w:right="2030" w:firstLine="0"/>
        <w:jc w:val="left"/>
        <w:rPr>
          <w:sz w:val="20"/>
        </w:rPr>
      </w:pPr>
      <w:r>
        <w:rPr>
          <w:w w:val="120"/>
          <w:sz w:val="20"/>
        </w:rPr>
        <w:t>We used the </w:t>
      </w:r>
      <w:r>
        <w:rPr>
          <w:spacing w:val="-8"/>
          <w:w w:val="120"/>
          <w:sz w:val="20"/>
        </w:rPr>
        <w:t>2013 </w:t>
      </w:r>
      <w:r>
        <w:rPr>
          <w:w w:val="120"/>
          <w:sz w:val="20"/>
        </w:rPr>
        <w:t>annual returns of local churches to ask about: The gender and ethnicity of ministers, the accessibility of church buildings and facilities, their awareness of the United Reformed Church equalities policy and whether they had their own equalities policies. We were delighted to realise that </w:t>
      </w:r>
      <w:r>
        <w:rPr>
          <w:spacing w:val="-8"/>
          <w:w w:val="120"/>
          <w:sz w:val="20"/>
        </w:rPr>
        <w:t>91% </w:t>
      </w:r>
      <w:r>
        <w:rPr>
          <w:w w:val="120"/>
          <w:sz w:val="20"/>
        </w:rPr>
        <w:t>of our churches are aware of the United Reformed Church equalities policy, but disappointed that less than half of our churches have a hearing loop in all </w:t>
      </w:r>
      <w:r>
        <w:rPr>
          <w:spacing w:val="2"/>
          <w:w w:val="120"/>
          <w:sz w:val="20"/>
        </w:rPr>
        <w:t>parts </w:t>
      </w:r>
      <w:r>
        <w:rPr>
          <w:w w:val="120"/>
          <w:sz w:val="20"/>
        </w:rPr>
        <w:t>of their</w:t>
      </w:r>
      <w:r>
        <w:rPr>
          <w:spacing w:val="29"/>
          <w:w w:val="120"/>
          <w:sz w:val="20"/>
        </w:rPr>
        <w:t> </w:t>
      </w:r>
      <w:r>
        <w:rPr>
          <w:w w:val="120"/>
          <w:sz w:val="20"/>
        </w:rPr>
        <w:t>buildings.</w:t>
      </w:r>
    </w:p>
    <w:p>
      <w:pPr>
        <w:pStyle w:val="BodyText"/>
      </w:pPr>
    </w:p>
    <w:p>
      <w:pPr>
        <w:pStyle w:val="ListParagraph"/>
        <w:numPr>
          <w:ilvl w:val="0"/>
          <w:numId w:val="52"/>
        </w:numPr>
        <w:tabs>
          <w:tab w:pos="1927" w:val="left" w:leader="none"/>
          <w:tab w:pos="1928" w:val="left" w:leader="none"/>
        </w:tabs>
        <w:spacing w:line="235" w:lineRule="auto" w:before="0" w:after="0"/>
        <w:ind w:left="1247" w:right="2081" w:firstLine="0"/>
        <w:jc w:val="left"/>
        <w:rPr>
          <w:sz w:val="20"/>
        </w:rPr>
      </w:pPr>
      <w:r>
        <w:rPr>
          <w:w w:val="120"/>
          <w:sz w:val="20"/>
        </w:rPr>
        <w:t>We hope that Assembly will find the statistics we have provided interesting, and that local churches will look at their church buildings and facilities and see what they might do to improve them, as well as reflecting on equality in their life and work.</w:t>
      </w:r>
    </w:p>
    <w:p>
      <w:pPr>
        <w:pStyle w:val="BodyText"/>
        <w:spacing w:before="11"/>
        <w:rPr>
          <w:sz w:val="19"/>
        </w:rPr>
      </w:pPr>
    </w:p>
    <w:p>
      <w:pPr>
        <w:pStyle w:val="ListParagraph"/>
        <w:numPr>
          <w:ilvl w:val="0"/>
          <w:numId w:val="52"/>
        </w:numPr>
        <w:tabs>
          <w:tab w:pos="1927" w:val="left" w:leader="none"/>
          <w:tab w:pos="1928" w:val="left" w:leader="none"/>
        </w:tabs>
        <w:spacing w:line="235" w:lineRule="auto" w:before="0" w:after="0"/>
        <w:ind w:left="1247" w:right="3173" w:firstLine="0"/>
        <w:jc w:val="left"/>
        <w:rPr>
          <w:sz w:val="20"/>
        </w:rPr>
      </w:pPr>
      <w:r>
        <w:rPr>
          <w:w w:val="120"/>
          <w:sz w:val="20"/>
        </w:rPr>
        <w:t>The United Reformed Church equalities policy includes others whom we have not yet managed to include in this monitoring process. They</w:t>
      </w:r>
      <w:r>
        <w:rPr>
          <w:spacing w:val="52"/>
          <w:w w:val="120"/>
          <w:sz w:val="20"/>
        </w:rPr>
        <w:t> </w:t>
      </w:r>
      <w:r>
        <w:rPr>
          <w:w w:val="120"/>
          <w:sz w:val="20"/>
        </w:rPr>
        <w:t>are:</w:t>
      </w:r>
    </w:p>
    <w:p>
      <w:pPr>
        <w:pStyle w:val="BodyText"/>
        <w:spacing w:line="235" w:lineRule="auto" w:before="1"/>
        <w:ind w:left="1247" w:right="2004"/>
      </w:pPr>
      <w:r>
        <w:rPr>
          <w:w w:val="120"/>
        </w:rPr>
        <w:t>People with disabilities including mental ill health, and lesbian, gay, bisexual and transgender people.</w:t>
      </w:r>
    </w:p>
    <w:p>
      <w:pPr>
        <w:pStyle w:val="BodyText"/>
        <w:spacing w:before="6"/>
        <w:rPr>
          <w:sz w:val="19"/>
        </w:rPr>
      </w:pPr>
    </w:p>
    <w:p>
      <w:pPr>
        <w:pStyle w:val="ListParagraph"/>
        <w:numPr>
          <w:ilvl w:val="0"/>
          <w:numId w:val="52"/>
        </w:numPr>
        <w:tabs>
          <w:tab w:pos="1927" w:val="left" w:leader="none"/>
          <w:tab w:pos="1928" w:val="left" w:leader="none"/>
        </w:tabs>
        <w:spacing w:line="240" w:lineRule="auto" w:before="0" w:after="0"/>
        <w:ind w:left="1927" w:right="0" w:hanging="681"/>
        <w:jc w:val="left"/>
        <w:rPr>
          <w:sz w:val="20"/>
        </w:rPr>
      </w:pPr>
      <w:r>
        <w:rPr>
          <w:w w:val="120"/>
          <w:sz w:val="20"/>
        </w:rPr>
        <w:t>We shall continue the monitoring</w:t>
      </w:r>
      <w:r>
        <w:rPr>
          <w:spacing w:val="10"/>
          <w:w w:val="120"/>
          <w:sz w:val="20"/>
        </w:rPr>
        <w:t> </w:t>
      </w:r>
      <w:r>
        <w:rPr>
          <w:w w:val="120"/>
          <w:sz w:val="20"/>
        </w:rPr>
        <w:t>process.</w:t>
      </w:r>
    </w:p>
    <w:p>
      <w:pPr>
        <w:spacing w:after="0" w:line="240" w:lineRule="auto"/>
        <w:jc w:val="left"/>
        <w:rPr>
          <w:sz w:val="20"/>
        </w:rPr>
        <w:sectPr>
          <w:type w:val="continuous"/>
          <w:pgSz w:w="11910" w:h="16840"/>
          <w:pgMar w:top="680" w:bottom="280" w:left="0" w:right="0"/>
        </w:sectPr>
      </w:pPr>
    </w:p>
    <w:p>
      <w:pPr>
        <w:spacing w:before="94"/>
        <w:ind w:left="0" w:right="1245" w:firstLine="0"/>
        <w:jc w:val="right"/>
        <w:rPr>
          <w:sz w:val="26"/>
        </w:rPr>
      </w:pPr>
      <w:r>
        <w:rPr/>
        <w:pict>
          <v:group style="position:absolute;margin-left:74.408997pt;margin-top:.000015pt;width:520.9pt;height:841.9pt;mso-position-horizontal-relative:page;mso-position-vertical-relative:page;z-index:-267345920" coordorigin="1488,0" coordsize="10418,16838">
            <v:shape style="position:absolute;left:10984;top:0;width:922;height:16838" type="#_x0000_t75" stroked="false">
              <v:imagedata r:id="rId192" o:title=""/>
            </v:shape>
            <v:rect style="position:absolute;left:1488;top:3940;width:10063;height:11736" filled="true" fillcolor="#ffffff" stroked="false">
              <v:fill type="solid"/>
            </v:rect>
            <w10:wrap type="none"/>
          </v:group>
        </w:pict>
      </w:r>
      <w:r>
        <w:rPr>
          <w:color w:val="7EAABF"/>
          <w:w w:val="110"/>
          <w:sz w:val="26"/>
        </w:rPr>
        <w:t>Equalities</w:t>
      </w:r>
    </w:p>
    <w:p>
      <w:pPr>
        <w:spacing w:line="220" w:lineRule="auto" w:before="238"/>
        <w:ind w:left="3035" w:right="2296" w:hanging="1"/>
        <w:jc w:val="center"/>
        <w:rPr>
          <w:rFonts w:ascii="Stone Sans II ITC Std X Bd" w:hAnsi="Stone Sans II ITC Std X Bd"/>
          <w:b/>
          <w:sz w:val="29"/>
        </w:rPr>
      </w:pPr>
      <w:r>
        <w:rPr>
          <w:rFonts w:ascii="Stone Sans II ITC Std X Bd" w:hAnsi="Stone Sans II ITC Std X Bd"/>
          <w:b/>
          <w:w w:val="110"/>
          <w:sz w:val="29"/>
        </w:rPr>
        <w:t>Gender and </w:t>
      </w:r>
      <w:r>
        <w:rPr>
          <w:rFonts w:ascii="Stone Sans II ITC Std X Bd" w:hAnsi="Stone Sans II ITC Std X Bd"/>
          <w:b/>
          <w:spacing w:val="-5"/>
          <w:w w:val="110"/>
          <w:sz w:val="29"/>
        </w:rPr>
        <w:t>ordained/lay/BME </w:t>
      </w:r>
      <w:r>
        <w:rPr>
          <w:rFonts w:ascii="Stone Sans II ITC Std X Bd" w:hAnsi="Stone Sans II ITC Std X Bd"/>
          <w:b/>
          <w:spacing w:val="-3"/>
          <w:w w:val="110"/>
          <w:sz w:val="29"/>
        </w:rPr>
        <w:t>balance </w:t>
      </w:r>
      <w:r>
        <w:rPr>
          <w:rFonts w:ascii="Stone Sans II ITC Std X Bd" w:hAnsi="Stone Sans II ITC Std X Bd"/>
          <w:b/>
          <w:w w:val="110"/>
          <w:sz w:val="29"/>
        </w:rPr>
        <w:t>– Assembly committees and </w:t>
      </w:r>
      <w:r>
        <w:rPr>
          <w:rFonts w:ascii="Stone Sans II ITC Std X Bd" w:hAnsi="Stone Sans II ITC Std X Bd"/>
          <w:b/>
          <w:spacing w:val="-4"/>
          <w:w w:val="110"/>
          <w:sz w:val="29"/>
        </w:rPr>
        <w:t>advisory/task/ steering/reference</w:t>
      </w:r>
      <w:r>
        <w:rPr>
          <w:rFonts w:ascii="Stone Sans II ITC Std X Bd" w:hAnsi="Stone Sans II ITC Std X Bd"/>
          <w:b/>
          <w:w w:val="110"/>
          <w:sz w:val="29"/>
        </w:rPr>
        <w:t> groups</w:t>
      </w:r>
    </w:p>
    <w:p>
      <w:pPr>
        <w:pStyle w:val="BodyText"/>
        <w:spacing w:before="72"/>
        <w:ind w:left="736"/>
        <w:jc w:val="center"/>
      </w:pPr>
      <w:r>
        <w:rPr>
          <w:w w:val="125"/>
        </w:rPr>
        <w:t>(Figures include co-options)</w:t>
      </w:r>
    </w:p>
    <w:p>
      <w:pPr>
        <w:pStyle w:val="BodyText"/>
        <w:spacing w:before="8"/>
        <w:rPr>
          <w:sz w:val="19"/>
        </w:rPr>
      </w:pPr>
    </w:p>
    <w:p>
      <w:pPr>
        <w:pStyle w:val="BodyText"/>
        <w:spacing w:line="235" w:lineRule="auto"/>
        <w:ind w:left="4041" w:right="3302" w:firstLine="283"/>
      </w:pPr>
      <w:r>
        <w:rPr>
          <w:color w:val="E42322"/>
          <w:w w:val="120"/>
        </w:rPr>
        <w:t>(Figures in red indicate  </w:t>
      </w:r>
      <w:r>
        <w:rPr>
          <w:color w:val="E42322"/>
          <w:spacing w:val="-7"/>
          <w:w w:val="120"/>
        </w:rPr>
        <w:t>2012  </w:t>
      </w:r>
      <w:r>
        <w:rPr>
          <w:color w:val="E42322"/>
          <w:w w:val="120"/>
        </w:rPr>
        <w:t>percentage no figure in red means no comparable</w:t>
      </w:r>
      <w:r>
        <w:rPr>
          <w:color w:val="E42322"/>
          <w:spacing w:val="45"/>
          <w:w w:val="120"/>
        </w:rPr>
        <w:t> </w:t>
      </w:r>
      <w:r>
        <w:rPr>
          <w:color w:val="E42322"/>
          <w:w w:val="120"/>
        </w:rPr>
        <w:t>figures,</w:t>
      </w:r>
    </w:p>
    <w:p>
      <w:pPr>
        <w:pStyle w:val="BodyText"/>
        <w:spacing w:line="242" w:lineRule="exact"/>
        <w:ind w:left="4400"/>
      </w:pPr>
      <w:r>
        <w:rPr>
          <w:color w:val="E42322"/>
          <w:w w:val="120"/>
        </w:rPr>
        <w:t>or, complete information not available)</w:t>
      </w:r>
    </w:p>
    <w:p>
      <w:pPr>
        <w:pStyle w:val="BodyText"/>
      </w:pPr>
    </w:p>
    <w:p>
      <w:pPr>
        <w:pStyle w:val="BodyText"/>
        <w:spacing w:before="9"/>
        <w:rPr>
          <w:sz w:val="14"/>
        </w:rPr>
      </w:pPr>
    </w:p>
    <w:tbl>
      <w:tblPr>
        <w:tblW w:w="0" w:type="auto"/>
        <w:jc w:val="left"/>
        <w:tblInd w:w="14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02"/>
        <w:gridCol w:w="1583"/>
        <w:gridCol w:w="1635"/>
        <w:gridCol w:w="1788"/>
        <w:gridCol w:w="1702"/>
        <w:gridCol w:w="963"/>
      </w:tblGrid>
      <w:tr>
        <w:trPr>
          <w:trHeight w:val="439" w:hRule="atLeast"/>
        </w:trPr>
        <w:tc>
          <w:tcPr>
            <w:tcW w:w="2402" w:type="dxa"/>
          </w:tcPr>
          <w:p>
            <w:pPr>
              <w:pStyle w:val="TableParagraph"/>
              <w:spacing w:before="1"/>
              <w:ind w:left="50"/>
              <w:rPr>
                <w:sz w:val="18"/>
              </w:rPr>
            </w:pPr>
            <w:r>
              <w:rPr>
                <w:w w:val="125"/>
                <w:sz w:val="18"/>
                <w:u w:val="single"/>
              </w:rPr>
              <w:t>Committee/group</w:t>
            </w:r>
          </w:p>
        </w:tc>
        <w:tc>
          <w:tcPr>
            <w:tcW w:w="1583" w:type="dxa"/>
          </w:tcPr>
          <w:p>
            <w:pPr>
              <w:pStyle w:val="TableParagraph"/>
              <w:spacing w:before="1"/>
              <w:ind w:left="68"/>
              <w:rPr>
                <w:sz w:val="18"/>
              </w:rPr>
            </w:pPr>
            <w:r>
              <w:rPr>
                <w:w w:val="115"/>
                <w:sz w:val="18"/>
                <w:u w:val="single"/>
              </w:rPr>
              <w:t>Male</w:t>
            </w:r>
          </w:p>
        </w:tc>
        <w:tc>
          <w:tcPr>
            <w:tcW w:w="1635" w:type="dxa"/>
          </w:tcPr>
          <w:p>
            <w:pPr>
              <w:pStyle w:val="TableParagraph"/>
              <w:spacing w:before="1"/>
              <w:ind w:left="105"/>
              <w:rPr>
                <w:sz w:val="18"/>
              </w:rPr>
            </w:pPr>
            <w:r>
              <w:rPr>
                <w:w w:val="120"/>
                <w:sz w:val="18"/>
                <w:u w:val="single"/>
              </w:rPr>
              <w:t>Female</w:t>
            </w:r>
            <w:r>
              <w:rPr>
                <w:sz w:val="18"/>
                <w:u w:val="single"/>
              </w:rPr>
              <w:t> </w:t>
            </w:r>
          </w:p>
        </w:tc>
        <w:tc>
          <w:tcPr>
            <w:tcW w:w="1788" w:type="dxa"/>
          </w:tcPr>
          <w:p>
            <w:pPr>
              <w:pStyle w:val="TableParagraph"/>
              <w:spacing w:before="1"/>
              <w:ind w:left="130"/>
              <w:rPr>
                <w:sz w:val="18"/>
              </w:rPr>
            </w:pPr>
            <w:r>
              <w:rPr>
                <w:w w:val="125"/>
                <w:sz w:val="18"/>
                <w:u w:val="single"/>
              </w:rPr>
              <w:t>Ordained</w:t>
            </w:r>
            <w:r>
              <w:rPr>
                <w:sz w:val="18"/>
                <w:u w:val="single"/>
              </w:rPr>
              <w:t> </w:t>
            </w:r>
          </w:p>
        </w:tc>
        <w:tc>
          <w:tcPr>
            <w:tcW w:w="1702" w:type="dxa"/>
          </w:tcPr>
          <w:p>
            <w:pPr>
              <w:pStyle w:val="TableParagraph"/>
              <w:spacing w:before="1"/>
              <w:ind w:left="102"/>
              <w:rPr>
                <w:sz w:val="18"/>
              </w:rPr>
            </w:pPr>
            <w:r>
              <w:rPr>
                <w:w w:val="120"/>
                <w:sz w:val="18"/>
                <w:u w:val="single"/>
              </w:rPr>
              <w:t>Lay</w:t>
            </w:r>
          </w:p>
        </w:tc>
        <w:tc>
          <w:tcPr>
            <w:tcW w:w="963" w:type="dxa"/>
          </w:tcPr>
          <w:p>
            <w:pPr>
              <w:pStyle w:val="TableParagraph"/>
              <w:spacing w:before="1"/>
              <w:ind w:left="180"/>
              <w:rPr>
                <w:sz w:val="18"/>
              </w:rPr>
            </w:pPr>
            <w:r>
              <w:rPr>
                <w:w w:val="115"/>
                <w:sz w:val="18"/>
                <w:u w:val="single"/>
              </w:rPr>
              <w:t>BME</w:t>
            </w:r>
          </w:p>
        </w:tc>
      </w:tr>
      <w:tr>
        <w:trPr>
          <w:trHeight w:val="550" w:hRule="atLeast"/>
        </w:trPr>
        <w:tc>
          <w:tcPr>
            <w:tcW w:w="2402" w:type="dxa"/>
          </w:tcPr>
          <w:p>
            <w:pPr>
              <w:pStyle w:val="TableParagraph"/>
              <w:spacing w:before="2"/>
              <w:ind w:left="0"/>
              <w:rPr>
                <w:sz w:val="18"/>
              </w:rPr>
            </w:pPr>
          </w:p>
          <w:p>
            <w:pPr>
              <w:pStyle w:val="TableParagraph"/>
              <w:ind w:left="50"/>
              <w:rPr>
                <w:sz w:val="18"/>
              </w:rPr>
            </w:pPr>
            <w:r>
              <w:rPr>
                <w:w w:val="125"/>
                <w:sz w:val="18"/>
                <w:u w:val="single"/>
              </w:rPr>
              <w:t>Mission Council</w:t>
            </w:r>
          </w:p>
        </w:tc>
        <w:tc>
          <w:tcPr>
            <w:tcW w:w="1583" w:type="dxa"/>
          </w:tcPr>
          <w:p>
            <w:pPr>
              <w:pStyle w:val="TableParagraph"/>
              <w:spacing w:before="2"/>
              <w:ind w:left="0"/>
              <w:rPr>
                <w:sz w:val="18"/>
              </w:rPr>
            </w:pPr>
          </w:p>
          <w:p>
            <w:pPr>
              <w:pStyle w:val="TableParagraph"/>
              <w:ind w:left="68"/>
              <w:rPr>
                <w:sz w:val="18"/>
              </w:rPr>
            </w:pPr>
            <w:r>
              <w:rPr>
                <w:w w:val="135"/>
                <w:sz w:val="18"/>
              </w:rPr>
              <w:t>18 (44%) </w:t>
            </w:r>
            <w:r>
              <w:rPr>
                <w:color w:val="E42322"/>
                <w:w w:val="135"/>
                <w:sz w:val="18"/>
              </w:rPr>
              <w:t>(49%)</w:t>
            </w:r>
          </w:p>
        </w:tc>
        <w:tc>
          <w:tcPr>
            <w:tcW w:w="1635" w:type="dxa"/>
          </w:tcPr>
          <w:p>
            <w:pPr>
              <w:pStyle w:val="TableParagraph"/>
              <w:spacing w:before="2"/>
              <w:ind w:left="0"/>
              <w:rPr>
                <w:sz w:val="18"/>
              </w:rPr>
            </w:pPr>
          </w:p>
          <w:p>
            <w:pPr>
              <w:pStyle w:val="TableParagraph"/>
              <w:ind w:left="105"/>
              <w:rPr>
                <w:sz w:val="18"/>
              </w:rPr>
            </w:pPr>
            <w:r>
              <w:rPr>
                <w:w w:val="135"/>
                <w:sz w:val="18"/>
              </w:rPr>
              <w:t>23 (56%) </w:t>
            </w:r>
            <w:r>
              <w:rPr>
                <w:color w:val="E42322"/>
                <w:w w:val="135"/>
                <w:sz w:val="18"/>
              </w:rPr>
              <w:t>(51%)</w:t>
            </w:r>
          </w:p>
        </w:tc>
        <w:tc>
          <w:tcPr>
            <w:tcW w:w="1788" w:type="dxa"/>
          </w:tcPr>
          <w:p>
            <w:pPr>
              <w:pStyle w:val="TableParagraph"/>
              <w:spacing w:before="2"/>
              <w:ind w:left="0"/>
              <w:rPr>
                <w:sz w:val="18"/>
              </w:rPr>
            </w:pPr>
          </w:p>
          <w:p>
            <w:pPr>
              <w:pStyle w:val="TableParagraph"/>
              <w:ind w:left="129"/>
              <w:rPr>
                <w:sz w:val="18"/>
              </w:rPr>
            </w:pPr>
            <w:r>
              <w:rPr>
                <w:w w:val="135"/>
                <w:sz w:val="18"/>
              </w:rPr>
              <w:t>19 (46%) </w:t>
            </w:r>
            <w:r>
              <w:rPr>
                <w:color w:val="E42322"/>
                <w:w w:val="135"/>
                <w:sz w:val="18"/>
              </w:rPr>
              <w:t>(57%)</w:t>
            </w:r>
          </w:p>
        </w:tc>
        <w:tc>
          <w:tcPr>
            <w:tcW w:w="1702" w:type="dxa"/>
          </w:tcPr>
          <w:p>
            <w:pPr>
              <w:pStyle w:val="TableParagraph"/>
              <w:spacing w:before="2"/>
              <w:ind w:left="0"/>
              <w:rPr>
                <w:sz w:val="18"/>
              </w:rPr>
            </w:pPr>
          </w:p>
          <w:p>
            <w:pPr>
              <w:pStyle w:val="TableParagraph"/>
              <w:ind w:left="101"/>
              <w:rPr>
                <w:sz w:val="18"/>
              </w:rPr>
            </w:pPr>
            <w:r>
              <w:rPr>
                <w:w w:val="135"/>
                <w:sz w:val="18"/>
              </w:rPr>
              <w:t>22 (54%) </w:t>
            </w:r>
            <w:r>
              <w:rPr>
                <w:color w:val="E42322"/>
                <w:w w:val="135"/>
                <w:sz w:val="18"/>
              </w:rPr>
              <w:t>(46%)</w:t>
            </w:r>
          </w:p>
        </w:tc>
        <w:tc>
          <w:tcPr>
            <w:tcW w:w="963" w:type="dxa"/>
          </w:tcPr>
          <w:p>
            <w:pPr>
              <w:pStyle w:val="TableParagraph"/>
              <w:spacing w:before="2"/>
              <w:ind w:left="0"/>
              <w:rPr>
                <w:sz w:val="18"/>
              </w:rPr>
            </w:pPr>
          </w:p>
          <w:p>
            <w:pPr>
              <w:pStyle w:val="TableParagraph"/>
              <w:ind w:left="180"/>
              <w:rPr>
                <w:sz w:val="18"/>
              </w:rPr>
            </w:pPr>
            <w:r>
              <w:rPr>
                <w:color w:val="00B050"/>
                <w:w w:val="125"/>
                <w:sz w:val="18"/>
              </w:rPr>
              <w:t>4 MO</w:t>
            </w:r>
          </w:p>
        </w:tc>
      </w:tr>
      <w:tr>
        <w:trPr>
          <w:trHeight w:val="440" w:hRule="atLeast"/>
        </w:trPr>
        <w:tc>
          <w:tcPr>
            <w:tcW w:w="2402" w:type="dxa"/>
          </w:tcPr>
          <w:p>
            <w:pPr>
              <w:pStyle w:val="TableParagraph"/>
              <w:spacing w:before="112"/>
              <w:ind w:left="50"/>
              <w:rPr>
                <w:sz w:val="18"/>
              </w:rPr>
            </w:pPr>
            <w:r>
              <w:rPr>
                <w:w w:val="125"/>
                <w:sz w:val="18"/>
              </w:rPr>
              <w:t>MCAG</w:t>
            </w:r>
          </w:p>
        </w:tc>
        <w:tc>
          <w:tcPr>
            <w:tcW w:w="1583" w:type="dxa"/>
          </w:tcPr>
          <w:p>
            <w:pPr>
              <w:pStyle w:val="TableParagraph"/>
              <w:spacing w:before="112"/>
              <w:ind w:left="68"/>
              <w:rPr>
                <w:sz w:val="18"/>
              </w:rPr>
            </w:pPr>
            <w:r>
              <w:rPr>
                <w:w w:val="135"/>
                <w:sz w:val="18"/>
              </w:rPr>
              <w:t>4 (44%) </w:t>
            </w:r>
            <w:r>
              <w:rPr>
                <w:color w:val="E42322"/>
                <w:w w:val="135"/>
                <w:sz w:val="18"/>
              </w:rPr>
              <w:t>(50%)</w:t>
            </w:r>
          </w:p>
        </w:tc>
        <w:tc>
          <w:tcPr>
            <w:tcW w:w="1635" w:type="dxa"/>
          </w:tcPr>
          <w:p>
            <w:pPr>
              <w:pStyle w:val="TableParagraph"/>
              <w:spacing w:before="112"/>
              <w:ind w:left="105"/>
              <w:rPr>
                <w:sz w:val="18"/>
              </w:rPr>
            </w:pPr>
            <w:r>
              <w:rPr>
                <w:w w:val="135"/>
                <w:sz w:val="18"/>
              </w:rPr>
              <w:t>5 (56%) </w:t>
            </w:r>
            <w:r>
              <w:rPr>
                <w:color w:val="E42322"/>
                <w:w w:val="135"/>
                <w:sz w:val="18"/>
              </w:rPr>
              <w:t>(50%)</w:t>
            </w:r>
          </w:p>
        </w:tc>
        <w:tc>
          <w:tcPr>
            <w:tcW w:w="1788" w:type="dxa"/>
          </w:tcPr>
          <w:p>
            <w:pPr>
              <w:pStyle w:val="TableParagraph"/>
              <w:spacing w:before="112"/>
              <w:ind w:left="130"/>
              <w:rPr>
                <w:sz w:val="18"/>
              </w:rPr>
            </w:pPr>
            <w:r>
              <w:rPr>
                <w:w w:val="135"/>
                <w:sz w:val="18"/>
              </w:rPr>
              <w:t>7 (78%) </w:t>
            </w:r>
            <w:r>
              <w:rPr>
                <w:color w:val="E42322"/>
                <w:w w:val="135"/>
                <w:sz w:val="18"/>
              </w:rPr>
              <w:t>(80%)</w:t>
            </w:r>
          </w:p>
        </w:tc>
        <w:tc>
          <w:tcPr>
            <w:tcW w:w="1702" w:type="dxa"/>
          </w:tcPr>
          <w:p>
            <w:pPr>
              <w:pStyle w:val="TableParagraph"/>
              <w:spacing w:before="112"/>
              <w:ind w:left="101"/>
              <w:rPr>
                <w:sz w:val="18"/>
              </w:rPr>
            </w:pPr>
            <w:r>
              <w:rPr>
                <w:w w:val="135"/>
                <w:sz w:val="18"/>
              </w:rPr>
              <w:t>2 (22%) </w:t>
            </w:r>
            <w:r>
              <w:rPr>
                <w:color w:val="E42322"/>
                <w:w w:val="135"/>
                <w:sz w:val="18"/>
              </w:rPr>
              <w:t>(20%)</w:t>
            </w:r>
          </w:p>
        </w:tc>
        <w:tc>
          <w:tcPr>
            <w:tcW w:w="963" w:type="dxa"/>
          </w:tcPr>
          <w:p>
            <w:pPr>
              <w:pStyle w:val="TableParagraph"/>
              <w:spacing w:before="112"/>
              <w:ind w:left="180"/>
              <w:rPr>
                <w:sz w:val="18"/>
              </w:rPr>
            </w:pPr>
            <w:r>
              <w:rPr>
                <w:color w:val="00B050"/>
                <w:w w:val="125"/>
                <w:sz w:val="18"/>
              </w:rPr>
              <w:t>2 MO</w:t>
            </w:r>
          </w:p>
        </w:tc>
      </w:tr>
      <w:tr>
        <w:trPr>
          <w:trHeight w:val="440" w:hRule="atLeast"/>
        </w:trPr>
        <w:tc>
          <w:tcPr>
            <w:tcW w:w="2402" w:type="dxa"/>
          </w:tcPr>
          <w:p>
            <w:pPr>
              <w:pStyle w:val="TableParagraph"/>
              <w:spacing w:before="112"/>
              <w:ind w:left="50"/>
              <w:rPr>
                <w:sz w:val="18"/>
              </w:rPr>
            </w:pPr>
            <w:r>
              <w:rPr>
                <w:w w:val="120"/>
                <w:sz w:val="18"/>
              </w:rPr>
              <w:t>Human resources</w:t>
            </w:r>
          </w:p>
        </w:tc>
        <w:tc>
          <w:tcPr>
            <w:tcW w:w="1583" w:type="dxa"/>
          </w:tcPr>
          <w:p>
            <w:pPr>
              <w:pStyle w:val="TableParagraph"/>
              <w:spacing w:before="112"/>
              <w:ind w:left="68"/>
              <w:rPr>
                <w:sz w:val="18"/>
              </w:rPr>
            </w:pPr>
            <w:r>
              <w:rPr>
                <w:w w:val="135"/>
                <w:sz w:val="18"/>
              </w:rPr>
              <w:t>4 (57%) </w:t>
            </w:r>
            <w:r>
              <w:rPr>
                <w:color w:val="E42322"/>
                <w:w w:val="135"/>
                <w:sz w:val="18"/>
              </w:rPr>
              <w:t>(29%)</w:t>
            </w:r>
          </w:p>
        </w:tc>
        <w:tc>
          <w:tcPr>
            <w:tcW w:w="1635" w:type="dxa"/>
          </w:tcPr>
          <w:p>
            <w:pPr>
              <w:pStyle w:val="TableParagraph"/>
              <w:spacing w:before="112"/>
              <w:ind w:left="105"/>
              <w:rPr>
                <w:sz w:val="18"/>
              </w:rPr>
            </w:pPr>
            <w:r>
              <w:rPr>
                <w:w w:val="135"/>
                <w:sz w:val="18"/>
              </w:rPr>
              <w:t>3 (43%) </w:t>
            </w:r>
            <w:r>
              <w:rPr>
                <w:color w:val="E42322"/>
                <w:w w:val="135"/>
                <w:sz w:val="18"/>
              </w:rPr>
              <w:t>(71%)</w:t>
            </w:r>
          </w:p>
        </w:tc>
        <w:tc>
          <w:tcPr>
            <w:tcW w:w="1788" w:type="dxa"/>
          </w:tcPr>
          <w:p>
            <w:pPr>
              <w:pStyle w:val="TableParagraph"/>
              <w:spacing w:before="112"/>
              <w:ind w:left="130"/>
              <w:rPr>
                <w:sz w:val="18"/>
              </w:rPr>
            </w:pPr>
            <w:r>
              <w:rPr>
                <w:w w:val="135"/>
                <w:sz w:val="18"/>
              </w:rPr>
              <w:t>2 (29%) </w:t>
            </w:r>
            <w:r>
              <w:rPr>
                <w:color w:val="E42322"/>
                <w:w w:val="135"/>
                <w:sz w:val="18"/>
              </w:rPr>
              <w:t>(43%)</w:t>
            </w:r>
          </w:p>
        </w:tc>
        <w:tc>
          <w:tcPr>
            <w:tcW w:w="1702" w:type="dxa"/>
          </w:tcPr>
          <w:p>
            <w:pPr>
              <w:pStyle w:val="TableParagraph"/>
              <w:spacing w:before="112"/>
              <w:ind w:left="102"/>
              <w:rPr>
                <w:sz w:val="18"/>
              </w:rPr>
            </w:pPr>
            <w:r>
              <w:rPr>
                <w:w w:val="135"/>
                <w:sz w:val="18"/>
              </w:rPr>
              <w:t>5 (71%) </w:t>
            </w:r>
            <w:r>
              <w:rPr>
                <w:color w:val="E42322"/>
                <w:w w:val="135"/>
                <w:sz w:val="18"/>
              </w:rPr>
              <w:t>(57%)</w:t>
            </w:r>
          </w:p>
        </w:tc>
        <w:tc>
          <w:tcPr>
            <w:tcW w:w="963" w:type="dxa"/>
          </w:tcPr>
          <w:p>
            <w:pPr>
              <w:pStyle w:val="TableParagraph"/>
              <w:spacing w:before="112"/>
              <w:ind w:left="180"/>
              <w:rPr>
                <w:sz w:val="18"/>
              </w:rPr>
            </w:pPr>
            <w:r>
              <w:rPr>
                <w:color w:val="00B050"/>
                <w:w w:val="126"/>
                <w:sz w:val="18"/>
              </w:rPr>
              <w:t>0</w:t>
            </w:r>
          </w:p>
        </w:tc>
      </w:tr>
      <w:tr>
        <w:trPr>
          <w:trHeight w:val="440" w:hRule="atLeast"/>
        </w:trPr>
        <w:tc>
          <w:tcPr>
            <w:tcW w:w="2402" w:type="dxa"/>
          </w:tcPr>
          <w:p>
            <w:pPr>
              <w:pStyle w:val="TableParagraph"/>
              <w:spacing w:before="112"/>
              <w:ind w:left="50"/>
              <w:rPr>
                <w:sz w:val="18"/>
              </w:rPr>
            </w:pPr>
            <w:r>
              <w:rPr>
                <w:w w:val="125"/>
                <w:sz w:val="18"/>
              </w:rPr>
              <w:t>Law and polity</w:t>
            </w:r>
          </w:p>
        </w:tc>
        <w:tc>
          <w:tcPr>
            <w:tcW w:w="1583" w:type="dxa"/>
          </w:tcPr>
          <w:p>
            <w:pPr>
              <w:pStyle w:val="TableParagraph"/>
              <w:spacing w:before="112"/>
              <w:ind w:left="68"/>
              <w:rPr>
                <w:sz w:val="18"/>
              </w:rPr>
            </w:pPr>
            <w:r>
              <w:rPr>
                <w:w w:val="135"/>
                <w:sz w:val="18"/>
              </w:rPr>
              <w:t>5 (63%) </w:t>
            </w:r>
            <w:r>
              <w:rPr>
                <w:color w:val="E42322"/>
                <w:w w:val="135"/>
                <w:sz w:val="18"/>
              </w:rPr>
              <w:t>(63%)</w:t>
            </w:r>
          </w:p>
        </w:tc>
        <w:tc>
          <w:tcPr>
            <w:tcW w:w="1635" w:type="dxa"/>
          </w:tcPr>
          <w:p>
            <w:pPr>
              <w:pStyle w:val="TableParagraph"/>
              <w:spacing w:before="112"/>
              <w:ind w:left="105"/>
              <w:rPr>
                <w:sz w:val="18"/>
              </w:rPr>
            </w:pPr>
            <w:r>
              <w:rPr>
                <w:w w:val="135"/>
                <w:sz w:val="18"/>
              </w:rPr>
              <w:t>3 (47%) </w:t>
            </w:r>
            <w:r>
              <w:rPr>
                <w:color w:val="E42322"/>
                <w:w w:val="135"/>
                <w:sz w:val="18"/>
              </w:rPr>
              <w:t>(47%)</w:t>
            </w:r>
          </w:p>
        </w:tc>
        <w:tc>
          <w:tcPr>
            <w:tcW w:w="1788" w:type="dxa"/>
          </w:tcPr>
          <w:p>
            <w:pPr>
              <w:pStyle w:val="TableParagraph"/>
              <w:spacing w:before="112"/>
              <w:ind w:left="130"/>
              <w:rPr>
                <w:sz w:val="18"/>
              </w:rPr>
            </w:pPr>
            <w:r>
              <w:rPr>
                <w:w w:val="135"/>
                <w:sz w:val="18"/>
              </w:rPr>
              <w:t>1 (13%) </w:t>
            </w:r>
            <w:r>
              <w:rPr>
                <w:color w:val="E42322"/>
                <w:w w:val="135"/>
                <w:sz w:val="18"/>
              </w:rPr>
              <w:t>(13%)</w:t>
            </w:r>
          </w:p>
        </w:tc>
        <w:tc>
          <w:tcPr>
            <w:tcW w:w="1702" w:type="dxa"/>
          </w:tcPr>
          <w:p>
            <w:pPr>
              <w:pStyle w:val="TableParagraph"/>
              <w:spacing w:before="112"/>
              <w:ind w:left="101"/>
              <w:rPr>
                <w:sz w:val="18"/>
              </w:rPr>
            </w:pPr>
            <w:r>
              <w:rPr>
                <w:w w:val="135"/>
                <w:sz w:val="18"/>
              </w:rPr>
              <w:t>7 (87%) </w:t>
            </w:r>
            <w:r>
              <w:rPr>
                <w:color w:val="E42322"/>
                <w:w w:val="135"/>
                <w:sz w:val="18"/>
              </w:rPr>
              <w:t>(87%)</w:t>
            </w:r>
          </w:p>
        </w:tc>
        <w:tc>
          <w:tcPr>
            <w:tcW w:w="963" w:type="dxa"/>
          </w:tcPr>
          <w:p>
            <w:pPr>
              <w:pStyle w:val="TableParagraph"/>
              <w:spacing w:before="112"/>
              <w:ind w:left="180"/>
              <w:rPr>
                <w:sz w:val="18"/>
              </w:rPr>
            </w:pPr>
            <w:r>
              <w:rPr>
                <w:color w:val="00B050"/>
                <w:w w:val="126"/>
                <w:sz w:val="18"/>
              </w:rPr>
              <w:t>0</w:t>
            </w:r>
          </w:p>
        </w:tc>
      </w:tr>
      <w:tr>
        <w:trPr>
          <w:trHeight w:val="439" w:hRule="atLeast"/>
        </w:trPr>
        <w:tc>
          <w:tcPr>
            <w:tcW w:w="2402" w:type="dxa"/>
          </w:tcPr>
          <w:p>
            <w:pPr>
              <w:pStyle w:val="TableParagraph"/>
              <w:spacing w:before="112"/>
              <w:ind w:left="50"/>
              <w:rPr>
                <w:sz w:val="18"/>
              </w:rPr>
            </w:pPr>
            <w:r>
              <w:rPr>
                <w:w w:val="125"/>
                <w:sz w:val="18"/>
              </w:rPr>
              <w:t>Listed buildings</w:t>
            </w:r>
          </w:p>
        </w:tc>
        <w:tc>
          <w:tcPr>
            <w:tcW w:w="1583" w:type="dxa"/>
          </w:tcPr>
          <w:p>
            <w:pPr>
              <w:pStyle w:val="TableParagraph"/>
              <w:spacing w:before="112"/>
              <w:ind w:left="68"/>
              <w:rPr>
                <w:sz w:val="18"/>
              </w:rPr>
            </w:pPr>
            <w:r>
              <w:rPr>
                <w:w w:val="135"/>
                <w:sz w:val="18"/>
              </w:rPr>
              <w:t>8 (62%)</w:t>
            </w:r>
          </w:p>
        </w:tc>
        <w:tc>
          <w:tcPr>
            <w:tcW w:w="1635" w:type="dxa"/>
          </w:tcPr>
          <w:p>
            <w:pPr>
              <w:pStyle w:val="TableParagraph"/>
              <w:spacing w:before="112"/>
              <w:ind w:left="105"/>
              <w:rPr>
                <w:sz w:val="18"/>
              </w:rPr>
            </w:pPr>
            <w:r>
              <w:rPr>
                <w:w w:val="135"/>
                <w:sz w:val="18"/>
              </w:rPr>
              <w:t>5 (38%)</w:t>
            </w:r>
          </w:p>
        </w:tc>
        <w:tc>
          <w:tcPr>
            <w:tcW w:w="1788" w:type="dxa"/>
          </w:tcPr>
          <w:p>
            <w:pPr>
              <w:pStyle w:val="TableParagraph"/>
              <w:spacing w:before="112"/>
              <w:ind w:left="130"/>
              <w:rPr>
                <w:sz w:val="18"/>
              </w:rPr>
            </w:pPr>
            <w:r>
              <w:rPr>
                <w:w w:val="126"/>
                <w:sz w:val="18"/>
              </w:rPr>
              <w:t>0</w:t>
            </w:r>
          </w:p>
        </w:tc>
        <w:tc>
          <w:tcPr>
            <w:tcW w:w="1702" w:type="dxa"/>
          </w:tcPr>
          <w:p>
            <w:pPr>
              <w:pStyle w:val="TableParagraph"/>
              <w:spacing w:before="112"/>
              <w:ind w:left="102"/>
              <w:rPr>
                <w:sz w:val="18"/>
              </w:rPr>
            </w:pPr>
            <w:r>
              <w:rPr>
                <w:w w:val="130"/>
                <w:sz w:val="18"/>
              </w:rPr>
              <w:t>13 (100%)</w:t>
            </w:r>
          </w:p>
        </w:tc>
        <w:tc>
          <w:tcPr>
            <w:tcW w:w="963" w:type="dxa"/>
          </w:tcPr>
          <w:p>
            <w:pPr>
              <w:pStyle w:val="TableParagraph"/>
              <w:spacing w:before="112"/>
              <w:ind w:left="180"/>
              <w:rPr>
                <w:sz w:val="18"/>
              </w:rPr>
            </w:pPr>
            <w:r>
              <w:rPr>
                <w:color w:val="00B050"/>
                <w:w w:val="126"/>
                <w:sz w:val="18"/>
              </w:rPr>
              <w:t>0</w:t>
            </w:r>
          </w:p>
        </w:tc>
      </w:tr>
      <w:tr>
        <w:trPr>
          <w:trHeight w:val="439" w:hRule="atLeast"/>
        </w:trPr>
        <w:tc>
          <w:tcPr>
            <w:tcW w:w="2402" w:type="dxa"/>
          </w:tcPr>
          <w:p>
            <w:pPr>
              <w:pStyle w:val="TableParagraph"/>
              <w:spacing w:before="112"/>
              <w:ind w:left="50"/>
              <w:rPr>
                <w:sz w:val="18"/>
              </w:rPr>
            </w:pPr>
            <w:r>
              <w:rPr>
                <w:w w:val="120"/>
                <w:sz w:val="18"/>
              </w:rPr>
              <w:t>Sexual ethics</w:t>
            </w:r>
          </w:p>
        </w:tc>
        <w:tc>
          <w:tcPr>
            <w:tcW w:w="1583" w:type="dxa"/>
          </w:tcPr>
          <w:p>
            <w:pPr>
              <w:pStyle w:val="TableParagraph"/>
              <w:spacing w:before="112"/>
              <w:ind w:left="68"/>
              <w:rPr>
                <w:sz w:val="18"/>
              </w:rPr>
            </w:pPr>
            <w:r>
              <w:rPr>
                <w:w w:val="135"/>
                <w:sz w:val="18"/>
              </w:rPr>
              <w:t>3 (60%) </w:t>
            </w:r>
            <w:r>
              <w:rPr>
                <w:color w:val="E42322"/>
                <w:w w:val="135"/>
                <w:sz w:val="18"/>
              </w:rPr>
              <w:t>(60%)</w:t>
            </w:r>
          </w:p>
        </w:tc>
        <w:tc>
          <w:tcPr>
            <w:tcW w:w="1635" w:type="dxa"/>
          </w:tcPr>
          <w:p>
            <w:pPr>
              <w:pStyle w:val="TableParagraph"/>
              <w:spacing w:before="112"/>
              <w:ind w:left="105"/>
              <w:rPr>
                <w:sz w:val="18"/>
              </w:rPr>
            </w:pPr>
            <w:r>
              <w:rPr>
                <w:w w:val="135"/>
                <w:sz w:val="18"/>
              </w:rPr>
              <w:t>2 (40%) </w:t>
            </w:r>
            <w:r>
              <w:rPr>
                <w:color w:val="E42322"/>
                <w:w w:val="135"/>
                <w:sz w:val="18"/>
              </w:rPr>
              <w:t>(40%)</w:t>
            </w:r>
          </w:p>
        </w:tc>
        <w:tc>
          <w:tcPr>
            <w:tcW w:w="1788" w:type="dxa"/>
          </w:tcPr>
          <w:p>
            <w:pPr>
              <w:pStyle w:val="TableParagraph"/>
              <w:spacing w:before="112"/>
              <w:ind w:left="130"/>
              <w:rPr>
                <w:sz w:val="18"/>
              </w:rPr>
            </w:pPr>
            <w:r>
              <w:rPr>
                <w:w w:val="135"/>
                <w:sz w:val="18"/>
              </w:rPr>
              <w:t>5 (100%) </w:t>
            </w:r>
            <w:r>
              <w:rPr>
                <w:color w:val="E42322"/>
                <w:w w:val="135"/>
                <w:sz w:val="18"/>
              </w:rPr>
              <w:t>(100%)</w:t>
            </w:r>
          </w:p>
        </w:tc>
        <w:tc>
          <w:tcPr>
            <w:tcW w:w="1702" w:type="dxa"/>
          </w:tcPr>
          <w:p>
            <w:pPr>
              <w:pStyle w:val="TableParagraph"/>
              <w:spacing w:before="112"/>
              <w:ind w:left="102"/>
              <w:rPr>
                <w:sz w:val="18"/>
              </w:rPr>
            </w:pPr>
            <w:r>
              <w:rPr>
                <w:w w:val="126"/>
                <w:sz w:val="18"/>
              </w:rPr>
              <w:t>0</w:t>
            </w:r>
          </w:p>
        </w:tc>
        <w:tc>
          <w:tcPr>
            <w:tcW w:w="963" w:type="dxa"/>
          </w:tcPr>
          <w:p>
            <w:pPr>
              <w:pStyle w:val="TableParagraph"/>
              <w:spacing w:before="112"/>
              <w:ind w:left="231"/>
              <w:rPr>
                <w:sz w:val="18"/>
              </w:rPr>
            </w:pPr>
            <w:r>
              <w:rPr>
                <w:color w:val="00B050"/>
                <w:w w:val="126"/>
                <w:sz w:val="18"/>
              </w:rPr>
              <w:t>0</w:t>
            </w:r>
          </w:p>
        </w:tc>
      </w:tr>
      <w:tr>
        <w:trPr>
          <w:trHeight w:val="660" w:hRule="atLeast"/>
        </w:trPr>
        <w:tc>
          <w:tcPr>
            <w:tcW w:w="2402" w:type="dxa"/>
          </w:tcPr>
          <w:p>
            <w:pPr>
              <w:pStyle w:val="TableParagraph"/>
              <w:spacing w:before="112"/>
              <w:ind w:left="50" w:right="892"/>
              <w:rPr>
                <w:sz w:val="18"/>
              </w:rPr>
            </w:pPr>
            <w:r>
              <w:rPr>
                <w:w w:val="125"/>
                <w:sz w:val="18"/>
              </w:rPr>
              <w:t>Incapacity and discipline MIND</w:t>
            </w:r>
          </w:p>
        </w:tc>
        <w:tc>
          <w:tcPr>
            <w:tcW w:w="1583" w:type="dxa"/>
          </w:tcPr>
          <w:p>
            <w:pPr>
              <w:pStyle w:val="TableParagraph"/>
              <w:spacing w:before="2"/>
              <w:ind w:left="0"/>
              <w:rPr>
                <w:sz w:val="27"/>
              </w:rPr>
            </w:pPr>
          </w:p>
          <w:p>
            <w:pPr>
              <w:pStyle w:val="TableParagraph"/>
              <w:spacing w:before="1"/>
              <w:ind w:left="68"/>
              <w:rPr>
                <w:sz w:val="18"/>
              </w:rPr>
            </w:pPr>
            <w:r>
              <w:rPr>
                <w:w w:val="135"/>
                <w:sz w:val="18"/>
              </w:rPr>
              <w:t>9 (64%)</w:t>
            </w:r>
          </w:p>
        </w:tc>
        <w:tc>
          <w:tcPr>
            <w:tcW w:w="1635" w:type="dxa"/>
          </w:tcPr>
          <w:p>
            <w:pPr>
              <w:pStyle w:val="TableParagraph"/>
              <w:spacing w:before="2"/>
              <w:ind w:left="0"/>
              <w:rPr>
                <w:sz w:val="27"/>
              </w:rPr>
            </w:pPr>
          </w:p>
          <w:p>
            <w:pPr>
              <w:pStyle w:val="TableParagraph"/>
              <w:spacing w:before="1"/>
              <w:ind w:left="105"/>
              <w:rPr>
                <w:sz w:val="18"/>
              </w:rPr>
            </w:pPr>
            <w:r>
              <w:rPr>
                <w:w w:val="135"/>
                <w:sz w:val="18"/>
              </w:rPr>
              <w:t>5 (36%)</w:t>
            </w:r>
          </w:p>
        </w:tc>
        <w:tc>
          <w:tcPr>
            <w:tcW w:w="1788" w:type="dxa"/>
          </w:tcPr>
          <w:p>
            <w:pPr>
              <w:pStyle w:val="TableParagraph"/>
              <w:spacing w:before="2"/>
              <w:ind w:left="0"/>
              <w:rPr>
                <w:sz w:val="27"/>
              </w:rPr>
            </w:pPr>
          </w:p>
          <w:p>
            <w:pPr>
              <w:pStyle w:val="TableParagraph"/>
              <w:spacing w:before="1"/>
              <w:ind w:left="130"/>
              <w:rPr>
                <w:sz w:val="18"/>
              </w:rPr>
            </w:pPr>
            <w:r>
              <w:rPr>
                <w:w w:val="135"/>
                <w:sz w:val="18"/>
              </w:rPr>
              <w:t>7 (50%)</w:t>
            </w:r>
          </w:p>
        </w:tc>
        <w:tc>
          <w:tcPr>
            <w:tcW w:w="1702" w:type="dxa"/>
          </w:tcPr>
          <w:p>
            <w:pPr>
              <w:pStyle w:val="TableParagraph"/>
              <w:spacing w:before="2"/>
              <w:ind w:left="0"/>
              <w:rPr>
                <w:sz w:val="27"/>
              </w:rPr>
            </w:pPr>
          </w:p>
          <w:p>
            <w:pPr>
              <w:pStyle w:val="TableParagraph"/>
              <w:spacing w:before="1"/>
              <w:ind w:left="102"/>
              <w:rPr>
                <w:sz w:val="18"/>
              </w:rPr>
            </w:pPr>
            <w:r>
              <w:rPr>
                <w:w w:val="135"/>
                <w:sz w:val="18"/>
              </w:rPr>
              <w:t>7 (50%)</w:t>
            </w:r>
          </w:p>
        </w:tc>
        <w:tc>
          <w:tcPr>
            <w:tcW w:w="963" w:type="dxa"/>
          </w:tcPr>
          <w:p>
            <w:pPr>
              <w:pStyle w:val="TableParagraph"/>
              <w:spacing w:before="2"/>
              <w:ind w:left="0"/>
              <w:rPr>
                <w:sz w:val="27"/>
              </w:rPr>
            </w:pPr>
          </w:p>
          <w:p>
            <w:pPr>
              <w:pStyle w:val="TableParagraph"/>
              <w:spacing w:before="1"/>
              <w:ind w:left="180"/>
              <w:rPr>
                <w:sz w:val="18"/>
              </w:rPr>
            </w:pPr>
            <w:r>
              <w:rPr>
                <w:color w:val="00B050"/>
                <w:w w:val="126"/>
                <w:sz w:val="18"/>
              </w:rPr>
              <w:t>0</w:t>
            </w:r>
          </w:p>
        </w:tc>
      </w:tr>
      <w:tr>
        <w:trPr>
          <w:trHeight w:val="440" w:hRule="atLeast"/>
        </w:trPr>
        <w:tc>
          <w:tcPr>
            <w:tcW w:w="2402" w:type="dxa"/>
          </w:tcPr>
          <w:p>
            <w:pPr>
              <w:pStyle w:val="TableParagraph"/>
              <w:spacing w:before="112"/>
              <w:ind w:left="50"/>
              <w:rPr>
                <w:sz w:val="18"/>
              </w:rPr>
            </w:pPr>
            <w:r>
              <w:rPr>
                <w:w w:val="120"/>
                <w:sz w:val="18"/>
              </w:rPr>
              <w:t>Resource sharing</w:t>
            </w:r>
          </w:p>
        </w:tc>
        <w:tc>
          <w:tcPr>
            <w:tcW w:w="1583" w:type="dxa"/>
          </w:tcPr>
          <w:p>
            <w:pPr>
              <w:pStyle w:val="TableParagraph"/>
              <w:spacing w:before="112"/>
              <w:ind w:left="68"/>
              <w:rPr>
                <w:sz w:val="18"/>
              </w:rPr>
            </w:pPr>
            <w:r>
              <w:rPr>
                <w:w w:val="135"/>
                <w:sz w:val="18"/>
              </w:rPr>
              <w:t>6 (86%) </w:t>
            </w:r>
            <w:r>
              <w:rPr>
                <w:color w:val="E42322"/>
                <w:w w:val="135"/>
                <w:sz w:val="18"/>
              </w:rPr>
              <w:t>(71%)</w:t>
            </w:r>
          </w:p>
        </w:tc>
        <w:tc>
          <w:tcPr>
            <w:tcW w:w="1635" w:type="dxa"/>
          </w:tcPr>
          <w:p>
            <w:pPr>
              <w:pStyle w:val="TableParagraph"/>
              <w:spacing w:before="112"/>
              <w:ind w:left="105"/>
              <w:rPr>
                <w:sz w:val="18"/>
              </w:rPr>
            </w:pPr>
            <w:r>
              <w:rPr>
                <w:w w:val="135"/>
                <w:sz w:val="18"/>
              </w:rPr>
              <w:t>1 (14%) </w:t>
            </w:r>
            <w:r>
              <w:rPr>
                <w:color w:val="E42322"/>
                <w:w w:val="135"/>
                <w:sz w:val="18"/>
              </w:rPr>
              <w:t>(29%)</w:t>
            </w:r>
          </w:p>
        </w:tc>
        <w:tc>
          <w:tcPr>
            <w:tcW w:w="1788" w:type="dxa"/>
          </w:tcPr>
          <w:p>
            <w:pPr>
              <w:pStyle w:val="TableParagraph"/>
              <w:spacing w:before="112"/>
              <w:ind w:left="130"/>
              <w:rPr>
                <w:sz w:val="18"/>
              </w:rPr>
            </w:pPr>
            <w:r>
              <w:rPr>
                <w:w w:val="135"/>
                <w:sz w:val="18"/>
              </w:rPr>
              <w:t>3 (38%) </w:t>
            </w:r>
            <w:r>
              <w:rPr>
                <w:color w:val="E42322"/>
                <w:w w:val="135"/>
                <w:sz w:val="18"/>
              </w:rPr>
              <w:t>(29%)</w:t>
            </w:r>
          </w:p>
        </w:tc>
        <w:tc>
          <w:tcPr>
            <w:tcW w:w="1702" w:type="dxa"/>
          </w:tcPr>
          <w:p>
            <w:pPr>
              <w:pStyle w:val="TableParagraph"/>
              <w:spacing w:before="112"/>
              <w:ind w:left="101"/>
              <w:rPr>
                <w:sz w:val="18"/>
              </w:rPr>
            </w:pPr>
            <w:r>
              <w:rPr>
                <w:w w:val="135"/>
                <w:sz w:val="18"/>
              </w:rPr>
              <w:t>4 (62%) </w:t>
            </w:r>
            <w:r>
              <w:rPr>
                <w:color w:val="E42322"/>
                <w:w w:val="135"/>
                <w:sz w:val="18"/>
              </w:rPr>
              <w:t>(71%)</w:t>
            </w:r>
          </w:p>
        </w:tc>
        <w:tc>
          <w:tcPr>
            <w:tcW w:w="963" w:type="dxa"/>
          </w:tcPr>
          <w:p>
            <w:pPr>
              <w:pStyle w:val="TableParagraph"/>
              <w:spacing w:before="112"/>
              <w:ind w:left="180"/>
              <w:rPr>
                <w:sz w:val="18"/>
              </w:rPr>
            </w:pPr>
            <w:r>
              <w:rPr>
                <w:color w:val="00B050"/>
                <w:w w:val="126"/>
                <w:sz w:val="18"/>
              </w:rPr>
              <w:t>0</w:t>
            </w:r>
          </w:p>
        </w:tc>
      </w:tr>
      <w:tr>
        <w:trPr>
          <w:trHeight w:val="440" w:hRule="atLeast"/>
        </w:trPr>
        <w:tc>
          <w:tcPr>
            <w:tcW w:w="2402" w:type="dxa"/>
          </w:tcPr>
          <w:p>
            <w:pPr>
              <w:pStyle w:val="TableParagraph"/>
              <w:spacing w:before="112"/>
              <w:ind w:left="50"/>
              <w:rPr>
                <w:sz w:val="18"/>
              </w:rPr>
            </w:pPr>
            <w:r>
              <w:rPr>
                <w:w w:val="120"/>
                <w:sz w:val="18"/>
              </w:rPr>
              <w:t>Human sexuality</w:t>
            </w:r>
          </w:p>
        </w:tc>
        <w:tc>
          <w:tcPr>
            <w:tcW w:w="1583" w:type="dxa"/>
          </w:tcPr>
          <w:p>
            <w:pPr>
              <w:pStyle w:val="TableParagraph"/>
              <w:spacing w:before="112"/>
              <w:ind w:left="68"/>
              <w:rPr>
                <w:sz w:val="18"/>
              </w:rPr>
            </w:pPr>
            <w:r>
              <w:rPr>
                <w:w w:val="135"/>
                <w:sz w:val="18"/>
              </w:rPr>
              <w:t>3 (43%)</w:t>
            </w:r>
          </w:p>
        </w:tc>
        <w:tc>
          <w:tcPr>
            <w:tcW w:w="1635" w:type="dxa"/>
          </w:tcPr>
          <w:p>
            <w:pPr>
              <w:pStyle w:val="TableParagraph"/>
              <w:spacing w:before="112"/>
              <w:ind w:left="105"/>
              <w:rPr>
                <w:sz w:val="18"/>
              </w:rPr>
            </w:pPr>
            <w:r>
              <w:rPr>
                <w:w w:val="135"/>
                <w:sz w:val="18"/>
              </w:rPr>
              <w:t>4 (57%)</w:t>
            </w:r>
          </w:p>
        </w:tc>
        <w:tc>
          <w:tcPr>
            <w:tcW w:w="1788" w:type="dxa"/>
          </w:tcPr>
          <w:p>
            <w:pPr>
              <w:pStyle w:val="TableParagraph"/>
              <w:spacing w:before="112"/>
              <w:ind w:left="130"/>
              <w:rPr>
                <w:sz w:val="18"/>
              </w:rPr>
            </w:pPr>
            <w:r>
              <w:rPr>
                <w:w w:val="135"/>
                <w:sz w:val="18"/>
              </w:rPr>
              <w:t>4 (57%)</w:t>
            </w:r>
          </w:p>
        </w:tc>
        <w:tc>
          <w:tcPr>
            <w:tcW w:w="1702" w:type="dxa"/>
          </w:tcPr>
          <w:p>
            <w:pPr>
              <w:pStyle w:val="TableParagraph"/>
              <w:spacing w:before="112"/>
              <w:ind w:left="102"/>
              <w:rPr>
                <w:sz w:val="18"/>
              </w:rPr>
            </w:pPr>
            <w:r>
              <w:rPr>
                <w:w w:val="135"/>
                <w:sz w:val="18"/>
              </w:rPr>
              <w:t>3 (43%)</w:t>
            </w:r>
          </w:p>
        </w:tc>
        <w:tc>
          <w:tcPr>
            <w:tcW w:w="963" w:type="dxa"/>
          </w:tcPr>
          <w:p>
            <w:pPr>
              <w:pStyle w:val="TableParagraph"/>
              <w:spacing w:before="112"/>
              <w:ind w:left="180"/>
              <w:rPr>
                <w:sz w:val="18"/>
              </w:rPr>
            </w:pPr>
            <w:r>
              <w:rPr>
                <w:color w:val="00B050"/>
                <w:w w:val="125"/>
                <w:sz w:val="18"/>
              </w:rPr>
              <w:t>1 FL</w:t>
            </w:r>
          </w:p>
        </w:tc>
      </w:tr>
      <w:tr>
        <w:trPr>
          <w:trHeight w:val="660" w:hRule="atLeast"/>
        </w:trPr>
        <w:tc>
          <w:tcPr>
            <w:tcW w:w="2402" w:type="dxa"/>
          </w:tcPr>
          <w:p>
            <w:pPr>
              <w:pStyle w:val="TableParagraph"/>
              <w:spacing w:before="112"/>
              <w:ind w:left="50" w:right="892"/>
              <w:rPr>
                <w:sz w:val="18"/>
              </w:rPr>
            </w:pPr>
            <w:r>
              <w:rPr>
                <w:w w:val="120"/>
                <w:sz w:val="18"/>
              </w:rPr>
              <w:t>Medium term strategy group</w:t>
            </w:r>
          </w:p>
        </w:tc>
        <w:tc>
          <w:tcPr>
            <w:tcW w:w="1583" w:type="dxa"/>
          </w:tcPr>
          <w:p>
            <w:pPr>
              <w:pStyle w:val="TableParagraph"/>
              <w:spacing w:before="2"/>
              <w:ind w:left="0"/>
              <w:rPr>
                <w:sz w:val="27"/>
              </w:rPr>
            </w:pPr>
          </w:p>
          <w:p>
            <w:pPr>
              <w:pStyle w:val="TableParagraph"/>
              <w:spacing w:before="1"/>
              <w:ind w:left="68"/>
              <w:rPr>
                <w:sz w:val="18"/>
              </w:rPr>
            </w:pPr>
            <w:r>
              <w:rPr>
                <w:w w:val="135"/>
                <w:sz w:val="18"/>
              </w:rPr>
              <w:t>2 </w:t>
            </w:r>
            <w:r>
              <w:rPr>
                <w:spacing w:val="-5"/>
                <w:w w:val="135"/>
                <w:sz w:val="18"/>
              </w:rPr>
              <w:t>(50%)</w:t>
            </w:r>
          </w:p>
        </w:tc>
        <w:tc>
          <w:tcPr>
            <w:tcW w:w="1635" w:type="dxa"/>
          </w:tcPr>
          <w:p>
            <w:pPr>
              <w:pStyle w:val="TableParagraph"/>
              <w:spacing w:before="2"/>
              <w:ind w:left="0"/>
              <w:rPr>
                <w:sz w:val="27"/>
              </w:rPr>
            </w:pPr>
          </w:p>
          <w:p>
            <w:pPr>
              <w:pStyle w:val="TableParagraph"/>
              <w:spacing w:before="1"/>
              <w:ind w:left="105"/>
              <w:rPr>
                <w:sz w:val="18"/>
              </w:rPr>
            </w:pPr>
            <w:r>
              <w:rPr>
                <w:w w:val="135"/>
                <w:sz w:val="18"/>
              </w:rPr>
              <w:t>2 (50%)</w:t>
            </w:r>
          </w:p>
        </w:tc>
        <w:tc>
          <w:tcPr>
            <w:tcW w:w="1788" w:type="dxa"/>
          </w:tcPr>
          <w:p>
            <w:pPr>
              <w:pStyle w:val="TableParagraph"/>
              <w:spacing w:before="2"/>
              <w:ind w:left="0"/>
              <w:rPr>
                <w:sz w:val="27"/>
              </w:rPr>
            </w:pPr>
          </w:p>
          <w:p>
            <w:pPr>
              <w:pStyle w:val="TableParagraph"/>
              <w:spacing w:before="1"/>
              <w:ind w:left="130"/>
              <w:rPr>
                <w:sz w:val="18"/>
              </w:rPr>
            </w:pPr>
            <w:r>
              <w:rPr>
                <w:w w:val="135"/>
                <w:sz w:val="18"/>
              </w:rPr>
              <w:t>2 (50%)</w:t>
            </w:r>
          </w:p>
        </w:tc>
        <w:tc>
          <w:tcPr>
            <w:tcW w:w="1702" w:type="dxa"/>
          </w:tcPr>
          <w:p>
            <w:pPr>
              <w:pStyle w:val="TableParagraph"/>
              <w:spacing w:before="2"/>
              <w:ind w:left="0"/>
              <w:rPr>
                <w:sz w:val="27"/>
              </w:rPr>
            </w:pPr>
          </w:p>
          <w:p>
            <w:pPr>
              <w:pStyle w:val="TableParagraph"/>
              <w:spacing w:before="1"/>
              <w:ind w:left="102"/>
              <w:rPr>
                <w:sz w:val="18"/>
              </w:rPr>
            </w:pPr>
            <w:r>
              <w:rPr>
                <w:w w:val="135"/>
                <w:sz w:val="18"/>
              </w:rPr>
              <w:t>2 (50%)</w:t>
            </w:r>
          </w:p>
        </w:tc>
        <w:tc>
          <w:tcPr>
            <w:tcW w:w="963" w:type="dxa"/>
          </w:tcPr>
          <w:p>
            <w:pPr>
              <w:pStyle w:val="TableParagraph"/>
              <w:spacing w:before="2"/>
              <w:ind w:left="0"/>
              <w:rPr>
                <w:sz w:val="27"/>
              </w:rPr>
            </w:pPr>
          </w:p>
          <w:p>
            <w:pPr>
              <w:pStyle w:val="TableParagraph"/>
              <w:spacing w:before="1"/>
              <w:ind w:left="180"/>
              <w:rPr>
                <w:sz w:val="18"/>
              </w:rPr>
            </w:pPr>
            <w:r>
              <w:rPr>
                <w:color w:val="00B050"/>
                <w:w w:val="126"/>
                <w:sz w:val="18"/>
              </w:rPr>
              <w:t>0</w:t>
            </w:r>
          </w:p>
        </w:tc>
      </w:tr>
      <w:tr>
        <w:trPr>
          <w:trHeight w:val="440" w:hRule="atLeast"/>
        </w:trPr>
        <w:tc>
          <w:tcPr>
            <w:tcW w:w="2402" w:type="dxa"/>
          </w:tcPr>
          <w:p>
            <w:pPr>
              <w:pStyle w:val="TableParagraph"/>
              <w:spacing w:before="112"/>
              <w:ind w:left="50"/>
              <w:rPr>
                <w:sz w:val="18"/>
              </w:rPr>
            </w:pPr>
            <w:r>
              <w:rPr>
                <w:w w:val="120"/>
                <w:sz w:val="18"/>
                <w:u w:val="single"/>
              </w:rPr>
              <w:t>Mission department</w:t>
            </w:r>
          </w:p>
        </w:tc>
        <w:tc>
          <w:tcPr>
            <w:tcW w:w="1583" w:type="dxa"/>
          </w:tcPr>
          <w:p>
            <w:pPr>
              <w:pStyle w:val="TableParagraph"/>
              <w:ind w:left="0"/>
              <w:rPr>
                <w:rFonts w:ascii="Times New Roman"/>
                <w:sz w:val="20"/>
              </w:rPr>
            </w:pPr>
          </w:p>
        </w:tc>
        <w:tc>
          <w:tcPr>
            <w:tcW w:w="1635" w:type="dxa"/>
          </w:tcPr>
          <w:p>
            <w:pPr>
              <w:pStyle w:val="TableParagraph"/>
              <w:ind w:left="0"/>
              <w:rPr>
                <w:rFonts w:ascii="Times New Roman"/>
                <w:sz w:val="20"/>
              </w:rPr>
            </w:pPr>
          </w:p>
        </w:tc>
        <w:tc>
          <w:tcPr>
            <w:tcW w:w="1788" w:type="dxa"/>
          </w:tcPr>
          <w:p>
            <w:pPr>
              <w:pStyle w:val="TableParagraph"/>
              <w:ind w:left="0"/>
              <w:rPr>
                <w:rFonts w:ascii="Times New Roman"/>
                <w:sz w:val="20"/>
              </w:rPr>
            </w:pPr>
          </w:p>
        </w:tc>
        <w:tc>
          <w:tcPr>
            <w:tcW w:w="1702" w:type="dxa"/>
          </w:tcPr>
          <w:p>
            <w:pPr>
              <w:pStyle w:val="TableParagraph"/>
              <w:ind w:left="0"/>
              <w:rPr>
                <w:rFonts w:ascii="Times New Roman"/>
                <w:sz w:val="20"/>
              </w:rPr>
            </w:pPr>
          </w:p>
        </w:tc>
        <w:tc>
          <w:tcPr>
            <w:tcW w:w="963" w:type="dxa"/>
          </w:tcPr>
          <w:p>
            <w:pPr>
              <w:pStyle w:val="TableParagraph"/>
              <w:ind w:left="0"/>
              <w:rPr>
                <w:rFonts w:ascii="Times New Roman"/>
                <w:sz w:val="20"/>
              </w:rPr>
            </w:pPr>
          </w:p>
        </w:tc>
      </w:tr>
      <w:tr>
        <w:trPr>
          <w:trHeight w:val="440" w:hRule="atLeast"/>
        </w:trPr>
        <w:tc>
          <w:tcPr>
            <w:tcW w:w="2402" w:type="dxa"/>
          </w:tcPr>
          <w:p>
            <w:pPr>
              <w:pStyle w:val="TableParagraph"/>
              <w:spacing w:before="112"/>
              <w:ind w:left="50"/>
              <w:rPr>
                <w:sz w:val="18"/>
              </w:rPr>
            </w:pPr>
            <w:r>
              <w:rPr>
                <w:w w:val="120"/>
                <w:sz w:val="18"/>
              </w:rPr>
              <w:t>Mission committee</w:t>
            </w:r>
          </w:p>
        </w:tc>
        <w:tc>
          <w:tcPr>
            <w:tcW w:w="1583" w:type="dxa"/>
          </w:tcPr>
          <w:p>
            <w:pPr>
              <w:pStyle w:val="TableParagraph"/>
              <w:spacing w:before="112"/>
              <w:ind w:left="68"/>
              <w:rPr>
                <w:sz w:val="18"/>
              </w:rPr>
            </w:pPr>
            <w:r>
              <w:rPr>
                <w:w w:val="135"/>
                <w:sz w:val="18"/>
              </w:rPr>
              <w:t>6 (43%) </w:t>
            </w:r>
            <w:r>
              <w:rPr>
                <w:color w:val="E42322"/>
                <w:w w:val="135"/>
                <w:sz w:val="18"/>
              </w:rPr>
              <w:t>(43%)</w:t>
            </w:r>
          </w:p>
        </w:tc>
        <w:tc>
          <w:tcPr>
            <w:tcW w:w="1635" w:type="dxa"/>
          </w:tcPr>
          <w:p>
            <w:pPr>
              <w:pStyle w:val="TableParagraph"/>
              <w:spacing w:before="112"/>
              <w:ind w:left="104"/>
              <w:rPr>
                <w:sz w:val="18"/>
              </w:rPr>
            </w:pPr>
            <w:r>
              <w:rPr>
                <w:w w:val="135"/>
                <w:sz w:val="18"/>
              </w:rPr>
              <w:t>8 (57%) </w:t>
            </w:r>
            <w:r>
              <w:rPr>
                <w:color w:val="E42322"/>
                <w:w w:val="135"/>
                <w:sz w:val="18"/>
              </w:rPr>
              <w:t>(57%)</w:t>
            </w:r>
          </w:p>
        </w:tc>
        <w:tc>
          <w:tcPr>
            <w:tcW w:w="1788" w:type="dxa"/>
          </w:tcPr>
          <w:p>
            <w:pPr>
              <w:pStyle w:val="TableParagraph"/>
              <w:spacing w:before="112"/>
              <w:ind w:left="130"/>
              <w:rPr>
                <w:sz w:val="18"/>
              </w:rPr>
            </w:pPr>
            <w:r>
              <w:rPr>
                <w:w w:val="135"/>
                <w:sz w:val="18"/>
              </w:rPr>
              <w:t>10 (71%) </w:t>
            </w:r>
            <w:r>
              <w:rPr>
                <w:color w:val="E42322"/>
                <w:w w:val="135"/>
                <w:sz w:val="18"/>
              </w:rPr>
              <w:t>(71%)</w:t>
            </w:r>
          </w:p>
        </w:tc>
        <w:tc>
          <w:tcPr>
            <w:tcW w:w="1702" w:type="dxa"/>
          </w:tcPr>
          <w:p>
            <w:pPr>
              <w:pStyle w:val="TableParagraph"/>
              <w:spacing w:before="112"/>
              <w:ind w:left="102"/>
              <w:rPr>
                <w:sz w:val="18"/>
              </w:rPr>
            </w:pPr>
            <w:r>
              <w:rPr>
                <w:w w:val="135"/>
                <w:sz w:val="18"/>
              </w:rPr>
              <w:t>4 (29%) </w:t>
            </w:r>
            <w:r>
              <w:rPr>
                <w:color w:val="E42322"/>
                <w:w w:val="135"/>
                <w:sz w:val="18"/>
              </w:rPr>
              <w:t>(29%)</w:t>
            </w:r>
          </w:p>
        </w:tc>
        <w:tc>
          <w:tcPr>
            <w:tcW w:w="963" w:type="dxa"/>
          </w:tcPr>
          <w:p>
            <w:pPr>
              <w:pStyle w:val="TableParagraph"/>
              <w:spacing w:before="112"/>
              <w:ind w:left="180"/>
              <w:rPr>
                <w:sz w:val="18"/>
              </w:rPr>
            </w:pPr>
            <w:r>
              <w:rPr>
                <w:color w:val="00B050"/>
                <w:w w:val="125"/>
                <w:sz w:val="18"/>
              </w:rPr>
              <w:t>1MO1FL</w:t>
            </w:r>
          </w:p>
        </w:tc>
      </w:tr>
      <w:tr>
        <w:trPr>
          <w:trHeight w:val="440" w:hRule="atLeast"/>
        </w:trPr>
        <w:tc>
          <w:tcPr>
            <w:tcW w:w="2402" w:type="dxa"/>
          </w:tcPr>
          <w:p>
            <w:pPr>
              <w:pStyle w:val="TableParagraph"/>
              <w:spacing w:before="112"/>
              <w:ind w:left="50"/>
              <w:rPr>
                <w:sz w:val="18"/>
              </w:rPr>
            </w:pPr>
            <w:r>
              <w:rPr>
                <w:w w:val="120"/>
                <w:sz w:val="18"/>
              </w:rPr>
              <w:t>International exchange</w:t>
            </w:r>
          </w:p>
        </w:tc>
        <w:tc>
          <w:tcPr>
            <w:tcW w:w="1583" w:type="dxa"/>
          </w:tcPr>
          <w:p>
            <w:pPr>
              <w:pStyle w:val="TableParagraph"/>
              <w:spacing w:before="112"/>
              <w:ind w:left="68"/>
              <w:rPr>
                <w:sz w:val="18"/>
              </w:rPr>
            </w:pPr>
            <w:r>
              <w:rPr>
                <w:w w:val="135"/>
                <w:sz w:val="18"/>
              </w:rPr>
              <w:t>2 (50%) </w:t>
            </w:r>
            <w:r>
              <w:rPr>
                <w:color w:val="E42322"/>
                <w:w w:val="135"/>
                <w:sz w:val="18"/>
              </w:rPr>
              <w:t>(50%)</w:t>
            </w:r>
          </w:p>
        </w:tc>
        <w:tc>
          <w:tcPr>
            <w:tcW w:w="1635" w:type="dxa"/>
          </w:tcPr>
          <w:p>
            <w:pPr>
              <w:pStyle w:val="TableParagraph"/>
              <w:spacing w:before="112"/>
              <w:ind w:left="105"/>
              <w:rPr>
                <w:sz w:val="18"/>
              </w:rPr>
            </w:pPr>
            <w:r>
              <w:rPr>
                <w:w w:val="135"/>
                <w:sz w:val="18"/>
              </w:rPr>
              <w:t>2 (50%) </w:t>
            </w:r>
            <w:r>
              <w:rPr>
                <w:color w:val="E42322"/>
                <w:w w:val="135"/>
                <w:sz w:val="18"/>
              </w:rPr>
              <w:t>(50%)</w:t>
            </w:r>
          </w:p>
        </w:tc>
        <w:tc>
          <w:tcPr>
            <w:tcW w:w="1788" w:type="dxa"/>
          </w:tcPr>
          <w:p>
            <w:pPr>
              <w:pStyle w:val="TableParagraph"/>
              <w:spacing w:before="112"/>
              <w:ind w:left="130"/>
              <w:rPr>
                <w:sz w:val="18"/>
              </w:rPr>
            </w:pPr>
            <w:r>
              <w:rPr>
                <w:w w:val="135"/>
                <w:sz w:val="18"/>
              </w:rPr>
              <w:t>2 (50%) </w:t>
            </w:r>
            <w:r>
              <w:rPr>
                <w:color w:val="E42322"/>
                <w:w w:val="135"/>
                <w:sz w:val="18"/>
              </w:rPr>
              <w:t>(25%)</w:t>
            </w:r>
          </w:p>
        </w:tc>
        <w:tc>
          <w:tcPr>
            <w:tcW w:w="1702" w:type="dxa"/>
          </w:tcPr>
          <w:p>
            <w:pPr>
              <w:pStyle w:val="TableParagraph"/>
              <w:spacing w:before="112"/>
              <w:ind w:left="102"/>
              <w:rPr>
                <w:sz w:val="18"/>
              </w:rPr>
            </w:pPr>
            <w:r>
              <w:rPr>
                <w:w w:val="135"/>
                <w:sz w:val="18"/>
              </w:rPr>
              <w:t>2 (50%) </w:t>
            </w:r>
            <w:r>
              <w:rPr>
                <w:color w:val="E42322"/>
                <w:w w:val="135"/>
                <w:sz w:val="18"/>
              </w:rPr>
              <w:t>(75%)</w:t>
            </w:r>
          </w:p>
        </w:tc>
        <w:tc>
          <w:tcPr>
            <w:tcW w:w="963" w:type="dxa"/>
          </w:tcPr>
          <w:p>
            <w:pPr>
              <w:pStyle w:val="TableParagraph"/>
              <w:spacing w:before="112"/>
              <w:ind w:left="180"/>
              <w:rPr>
                <w:sz w:val="18"/>
              </w:rPr>
            </w:pPr>
            <w:r>
              <w:rPr>
                <w:color w:val="00B050"/>
                <w:w w:val="126"/>
                <w:sz w:val="18"/>
              </w:rPr>
              <w:t>0</w:t>
            </w:r>
          </w:p>
        </w:tc>
      </w:tr>
      <w:tr>
        <w:trPr>
          <w:trHeight w:val="440" w:hRule="atLeast"/>
        </w:trPr>
        <w:tc>
          <w:tcPr>
            <w:tcW w:w="2402" w:type="dxa"/>
          </w:tcPr>
          <w:p>
            <w:pPr>
              <w:pStyle w:val="TableParagraph"/>
              <w:spacing w:before="112"/>
              <w:ind w:left="50"/>
              <w:rPr>
                <w:sz w:val="18"/>
              </w:rPr>
            </w:pPr>
            <w:r>
              <w:rPr>
                <w:w w:val="120"/>
                <w:sz w:val="18"/>
              </w:rPr>
              <w:t>Commitment for life</w:t>
            </w:r>
          </w:p>
        </w:tc>
        <w:tc>
          <w:tcPr>
            <w:tcW w:w="1583" w:type="dxa"/>
          </w:tcPr>
          <w:p>
            <w:pPr>
              <w:pStyle w:val="TableParagraph"/>
              <w:spacing w:before="112"/>
              <w:ind w:left="68"/>
              <w:rPr>
                <w:sz w:val="18"/>
              </w:rPr>
            </w:pPr>
            <w:r>
              <w:rPr>
                <w:w w:val="135"/>
                <w:sz w:val="18"/>
              </w:rPr>
              <w:t>2 (40%)</w:t>
            </w:r>
          </w:p>
        </w:tc>
        <w:tc>
          <w:tcPr>
            <w:tcW w:w="1635" w:type="dxa"/>
          </w:tcPr>
          <w:p>
            <w:pPr>
              <w:pStyle w:val="TableParagraph"/>
              <w:spacing w:before="112"/>
              <w:ind w:left="105"/>
              <w:rPr>
                <w:sz w:val="18"/>
              </w:rPr>
            </w:pPr>
            <w:r>
              <w:rPr>
                <w:w w:val="135"/>
                <w:sz w:val="18"/>
              </w:rPr>
              <w:t>6 (60%)</w:t>
            </w:r>
          </w:p>
        </w:tc>
        <w:tc>
          <w:tcPr>
            <w:tcW w:w="1788" w:type="dxa"/>
          </w:tcPr>
          <w:p>
            <w:pPr>
              <w:pStyle w:val="TableParagraph"/>
              <w:spacing w:before="112"/>
              <w:ind w:left="130"/>
              <w:rPr>
                <w:sz w:val="18"/>
              </w:rPr>
            </w:pPr>
            <w:r>
              <w:rPr>
                <w:w w:val="135"/>
                <w:sz w:val="18"/>
              </w:rPr>
              <w:t>1 (20%)</w:t>
            </w:r>
          </w:p>
        </w:tc>
        <w:tc>
          <w:tcPr>
            <w:tcW w:w="1702" w:type="dxa"/>
          </w:tcPr>
          <w:p>
            <w:pPr>
              <w:pStyle w:val="TableParagraph"/>
              <w:spacing w:before="112"/>
              <w:ind w:left="102"/>
              <w:rPr>
                <w:sz w:val="18"/>
              </w:rPr>
            </w:pPr>
            <w:r>
              <w:rPr>
                <w:w w:val="135"/>
                <w:sz w:val="18"/>
              </w:rPr>
              <w:t>7 (80%)</w:t>
            </w:r>
          </w:p>
        </w:tc>
        <w:tc>
          <w:tcPr>
            <w:tcW w:w="963" w:type="dxa"/>
          </w:tcPr>
          <w:p>
            <w:pPr>
              <w:pStyle w:val="TableParagraph"/>
              <w:spacing w:before="112"/>
              <w:ind w:left="180"/>
              <w:rPr>
                <w:sz w:val="18"/>
              </w:rPr>
            </w:pPr>
            <w:r>
              <w:rPr>
                <w:color w:val="00B050"/>
                <w:w w:val="126"/>
                <w:sz w:val="18"/>
              </w:rPr>
              <w:t>0</w:t>
            </w:r>
          </w:p>
        </w:tc>
      </w:tr>
      <w:tr>
        <w:trPr>
          <w:trHeight w:val="440" w:hRule="atLeast"/>
        </w:trPr>
        <w:tc>
          <w:tcPr>
            <w:tcW w:w="2402" w:type="dxa"/>
          </w:tcPr>
          <w:p>
            <w:pPr>
              <w:pStyle w:val="TableParagraph"/>
              <w:spacing w:before="112"/>
              <w:ind w:left="50"/>
              <w:rPr>
                <w:sz w:val="18"/>
              </w:rPr>
            </w:pPr>
            <w:r>
              <w:rPr>
                <w:w w:val="120"/>
                <w:sz w:val="18"/>
              </w:rPr>
              <w:t>Methodist/URC interfaith</w:t>
            </w:r>
          </w:p>
        </w:tc>
        <w:tc>
          <w:tcPr>
            <w:tcW w:w="1583" w:type="dxa"/>
          </w:tcPr>
          <w:p>
            <w:pPr>
              <w:pStyle w:val="TableParagraph"/>
              <w:spacing w:before="112"/>
              <w:ind w:left="68"/>
              <w:rPr>
                <w:sz w:val="18"/>
              </w:rPr>
            </w:pPr>
            <w:r>
              <w:rPr>
                <w:w w:val="135"/>
                <w:sz w:val="18"/>
              </w:rPr>
              <w:t>2 (66%) </w:t>
            </w:r>
            <w:r>
              <w:rPr>
                <w:color w:val="E42322"/>
                <w:w w:val="135"/>
                <w:sz w:val="18"/>
              </w:rPr>
              <w:t>(80%)</w:t>
            </w:r>
          </w:p>
        </w:tc>
        <w:tc>
          <w:tcPr>
            <w:tcW w:w="1635" w:type="dxa"/>
          </w:tcPr>
          <w:p>
            <w:pPr>
              <w:pStyle w:val="TableParagraph"/>
              <w:spacing w:before="112"/>
              <w:ind w:left="104"/>
              <w:rPr>
                <w:sz w:val="18"/>
              </w:rPr>
            </w:pPr>
            <w:r>
              <w:rPr>
                <w:w w:val="135"/>
                <w:sz w:val="18"/>
              </w:rPr>
              <w:t>1 (33%) </w:t>
            </w:r>
            <w:r>
              <w:rPr>
                <w:color w:val="E42322"/>
                <w:w w:val="135"/>
                <w:sz w:val="18"/>
              </w:rPr>
              <w:t>(20%)</w:t>
            </w:r>
          </w:p>
        </w:tc>
        <w:tc>
          <w:tcPr>
            <w:tcW w:w="1788" w:type="dxa"/>
          </w:tcPr>
          <w:p>
            <w:pPr>
              <w:pStyle w:val="TableParagraph"/>
              <w:spacing w:before="112"/>
              <w:ind w:left="130"/>
              <w:rPr>
                <w:sz w:val="18"/>
              </w:rPr>
            </w:pPr>
            <w:r>
              <w:rPr>
                <w:w w:val="135"/>
                <w:sz w:val="18"/>
              </w:rPr>
              <w:t>3 (100%) </w:t>
            </w:r>
            <w:r>
              <w:rPr>
                <w:color w:val="E42322"/>
                <w:w w:val="135"/>
                <w:sz w:val="18"/>
              </w:rPr>
              <w:t>(80%)</w:t>
            </w:r>
          </w:p>
        </w:tc>
        <w:tc>
          <w:tcPr>
            <w:tcW w:w="1702" w:type="dxa"/>
          </w:tcPr>
          <w:p>
            <w:pPr>
              <w:pStyle w:val="TableParagraph"/>
              <w:spacing w:before="112"/>
              <w:ind w:left="101"/>
              <w:rPr>
                <w:sz w:val="18"/>
              </w:rPr>
            </w:pPr>
            <w:r>
              <w:rPr>
                <w:w w:val="135"/>
                <w:sz w:val="18"/>
              </w:rPr>
              <w:t>0 (0%) </w:t>
            </w:r>
            <w:r>
              <w:rPr>
                <w:color w:val="E42322"/>
                <w:w w:val="135"/>
                <w:sz w:val="18"/>
              </w:rPr>
              <w:t>(20%)</w:t>
            </w:r>
          </w:p>
        </w:tc>
        <w:tc>
          <w:tcPr>
            <w:tcW w:w="963" w:type="dxa"/>
          </w:tcPr>
          <w:p>
            <w:pPr>
              <w:pStyle w:val="TableParagraph"/>
              <w:spacing w:before="112"/>
              <w:ind w:left="180"/>
              <w:rPr>
                <w:sz w:val="18"/>
              </w:rPr>
            </w:pPr>
            <w:r>
              <w:rPr>
                <w:color w:val="00B050"/>
                <w:w w:val="126"/>
                <w:sz w:val="18"/>
              </w:rPr>
              <w:t>0</w:t>
            </w:r>
          </w:p>
        </w:tc>
      </w:tr>
      <w:tr>
        <w:trPr>
          <w:trHeight w:val="440" w:hRule="atLeast"/>
        </w:trPr>
        <w:tc>
          <w:tcPr>
            <w:tcW w:w="2402" w:type="dxa"/>
          </w:tcPr>
          <w:p>
            <w:pPr>
              <w:pStyle w:val="TableParagraph"/>
              <w:spacing w:before="112"/>
              <w:ind w:left="50"/>
              <w:rPr>
                <w:sz w:val="18"/>
              </w:rPr>
            </w:pPr>
            <w:r>
              <w:rPr>
                <w:w w:val="120"/>
                <w:sz w:val="18"/>
              </w:rPr>
              <w:t>Public issues</w:t>
            </w:r>
          </w:p>
        </w:tc>
        <w:tc>
          <w:tcPr>
            <w:tcW w:w="1583" w:type="dxa"/>
          </w:tcPr>
          <w:p>
            <w:pPr>
              <w:pStyle w:val="TableParagraph"/>
              <w:spacing w:before="112"/>
              <w:ind w:left="68"/>
              <w:rPr>
                <w:sz w:val="18"/>
              </w:rPr>
            </w:pPr>
            <w:r>
              <w:rPr>
                <w:w w:val="135"/>
                <w:sz w:val="18"/>
              </w:rPr>
              <w:t>1 (20%)</w:t>
            </w:r>
          </w:p>
        </w:tc>
        <w:tc>
          <w:tcPr>
            <w:tcW w:w="1635" w:type="dxa"/>
          </w:tcPr>
          <w:p>
            <w:pPr>
              <w:pStyle w:val="TableParagraph"/>
              <w:spacing w:before="112"/>
              <w:ind w:left="105"/>
              <w:rPr>
                <w:sz w:val="18"/>
              </w:rPr>
            </w:pPr>
            <w:r>
              <w:rPr>
                <w:w w:val="135"/>
                <w:sz w:val="18"/>
              </w:rPr>
              <w:t>4 (80%)</w:t>
            </w:r>
          </w:p>
        </w:tc>
        <w:tc>
          <w:tcPr>
            <w:tcW w:w="1788" w:type="dxa"/>
          </w:tcPr>
          <w:p>
            <w:pPr>
              <w:pStyle w:val="TableParagraph"/>
              <w:spacing w:before="112"/>
              <w:ind w:left="130"/>
              <w:rPr>
                <w:sz w:val="18"/>
              </w:rPr>
            </w:pPr>
            <w:r>
              <w:rPr>
                <w:w w:val="135"/>
                <w:sz w:val="18"/>
              </w:rPr>
              <w:t>1 (20%)</w:t>
            </w:r>
          </w:p>
        </w:tc>
        <w:tc>
          <w:tcPr>
            <w:tcW w:w="1702" w:type="dxa"/>
          </w:tcPr>
          <w:p>
            <w:pPr>
              <w:pStyle w:val="TableParagraph"/>
              <w:spacing w:before="112"/>
              <w:ind w:left="102"/>
              <w:rPr>
                <w:sz w:val="18"/>
              </w:rPr>
            </w:pPr>
            <w:r>
              <w:rPr>
                <w:w w:val="135"/>
                <w:sz w:val="18"/>
              </w:rPr>
              <w:t>4 (80%)</w:t>
            </w:r>
          </w:p>
        </w:tc>
        <w:tc>
          <w:tcPr>
            <w:tcW w:w="963" w:type="dxa"/>
          </w:tcPr>
          <w:p>
            <w:pPr>
              <w:pStyle w:val="TableParagraph"/>
              <w:spacing w:before="112"/>
              <w:ind w:left="180"/>
              <w:rPr>
                <w:sz w:val="18"/>
              </w:rPr>
            </w:pPr>
            <w:r>
              <w:rPr>
                <w:color w:val="00B050"/>
                <w:w w:val="126"/>
                <w:sz w:val="18"/>
              </w:rPr>
              <w:t>0</w:t>
            </w:r>
          </w:p>
        </w:tc>
      </w:tr>
      <w:tr>
        <w:trPr>
          <w:trHeight w:val="550" w:hRule="atLeast"/>
        </w:trPr>
        <w:tc>
          <w:tcPr>
            <w:tcW w:w="2402" w:type="dxa"/>
          </w:tcPr>
          <w:p>
            <w:pPr>
              <w:pStyle w:val="TableParagraph"/>
              <w:spacing w:before="112"/>
              <w:ind w:left="50"/>
              <w:rPr>
                <w:sz w:val="18"/>
              </w:rPr>
            </w:pPr>
            <w:r>
              <w:rPr>
                <w:w w:val="120"/>
                <w:sz w:val="18"/>
              </w:rPr>
              <w:t>Rural strategy</w:t>
            </w:r>
          </w:p>
        </w:tc>
        <w:tc>
          <w:tcPr>
            <w:tcW w:w="1583" w:type="dxa"/>
          </w:tcPr>
          <w:p>
            <w:pPr>
              <w:pStyle w:val="TableParagraph"/>
              <w:spacing w:before="112"/>
              <w:ind w:left="68"/>
              <w:rPr>
                <w:sz w:val="18"/>
              </w:rPr>
            </w:pPr>
            <w:r>
              <w:rPr>
                <w:w w:val="135"/>
                <w:sz w:val="18"/>
              </w:rPr>
              <w:t>2 (67%) </w:t>
            </w:r>
            <w:r>
              <w:rPr>
                <w:color w:val="E42322"/>
                <w:w w:val="135"/>
                <w:sz w:val="18"/>
              </w:rPr>
              <w:t>(67%)</w:t>
            </w:r>
          </w:p>
        </w:tc>
        <w:tc>
          <w:tcPr>
            <w:tcW w:w="1635" w:type="dxa"/>
          </w:tcPr>
          <w:p>
            <w:pPr>
              <w:pStyle w:val="TableParagraph"/>
              <w:spacing w:before="112"/>
              <w:ind w:left="104"/>
              <w:rPr>
                <w:sz w:val="18"/>
              </w:rPr>
            </w:pPr>
            <w:r>
              <w:rPr>
                <w:w w:val="135"/>
                <w:sz w:val="18"/>
              </w:rPr>
              <w:t>1 (33%) </w:t>
            </w:r>
            <w:r>
              <w:rPr>
                <w:color w:val="E42322"/>
                <w:w w:val="135"/>
                <w:sz w:val="18"/>
              </w:rPr>
              <w:t>(33%)</w:t>
            </w:r>
          </w:p>
        </w:tc>
        <w:tc>
          <w:tcPr>
            <w:tcW w:w="1788" w:type="dxa"/>
          </w:tcPr>
          <w:p>
            <w:pPr>
              <w:pStyle w:val="TableParagraph"/>
              <w:spacing w:before="112"/>
              <w:ind w:left="129"/>
              <w:rPr>
                <w:sz w:val="18"/>
              </w:rPr>
            </w:pPr>
            <w:r>
              <w:rPr>
                <w:w w:val="135"/>
                <w:sz w:val="18"/>
              </w:rPr>
              <w:t>3 (100%) </w:t>
            </w:r>
            <w:r>
              <w:rPr>
                <w:color w:val="E42322"/>
                <w:w w:val="135"/>
                <w:sz w:val="18"/>
              </w:rPr>
              <w:t>(100%)</w:t>
            </w:r>
          </w:p>
        </w:tc>
        <w:tc>
          <w:tcPr>
            <w:tcW w:w="1702" w:type="dxa"/>
          </w:tcPr>
          <w:p>
            <w:pPr>
              <w:pStyle w:val="TableParagraph"/>
              <w:spacing w:before="112"/>
              <w:ind w:left="102"/>
              <w:rPr>
                <w:sz w:val="18"/>
              </w:rPr>
            </w:pPr>
            <w:r>
              <w:rPr>
                <w:w w:val="126"/>
                <w:sz w:val="18"/>
              </w:rPr>
              <w:t>0</w:t>
            </w:r>
          </w:p>
        </w:tc>
        <w:tc>
          <w:tcPr>
            <w:tcW w:w="963" w:type="dxa"/>
          </w:tcPr>
          <w:p>
            <w:pPr>
              <w:pStyle w:val="TableParagraph"/>
              <w:spacing w:before="112"/>
              <w:ind w:left="180"/>
              <w:rPr>
                <w:sz w:val="18"/>
              </w:rPr>
            </w:pPr>
            <w:r>
              <w:rPr>
                <w:color w:val="00B050"/>
                <w:w w:val="126"/>
                <w:sz w:val="18"/>
              </w:rPr>
              <w:t>0</w:t>
            </w:r>
          </w:p>
        </w:tc>
      </w:tr>
      <w:tr>
        <w:trPr>
          <w:trHeight w:val="550" w:hRule="atLeast"/>
        </w:trPr>
        <w:tc>
          <w:tcPr>
            <w:tcW w:w="2402" w:type="dxa"/>
          </w:tcPr>
          <w:p>
            <w:pPr>
              <w:pStyle w:val="TableParagraph"/>
              <w:spacing w:before="2"/>
              <w:ind w:left="0"/>
              <w:rPr>
                <w:sz w:val="18"/>
              </w:rPr>
            </w:pPr>
          </w:p>
          <w:p>
            <w:pPr>
              <w:pStyle w:val="TableParagraph"/>
              <w:ind w:left="50"/>
              <w:rPr>
                <w:sz w:val="18"/>
              </w:rPr>
            </w:pPr>
            <w:r>
              <w:rPr>
                <w:w w:val="120"/>
                <w:sz w:val="18"/>
                <w:u w:val="single"/>
              </w:rPr>
              <w:t>Ministries</w:t>
            </w:r>
          </w:p>
        </w:tc>
        <w:tc>
          <w:tcPr>
            <w:tcW w:w="1583" w:type="dxa"/>
          </w:tcPr>
          <w:p>
            <w:pPr>
              <w:pStyle w:val="TableParagraph"/>
              <w:ind w:left="0"/>
              <w:rPr>
                <w:rFonts w:ascii="Times New Roman"/>
                <w:sz w:val="20"/>
              </w:rPr>
            </w:pPr>
          </w:p>
        </w:tc>
        <w:tc>
          <w:tcPr>
            <w:tcW w:w="1635" w:type="dxa"/>
          </w:tcPr>
          <w:p>
            <w:pPr>
              <w:pStyle w:val="TableParagraph"/>
              <w:ind w:left="0"/>
              <w:rPr>
                <w:rFonts w:ascii="Times New Roman"/>
                <w:sz w:val="20"/>
              </w:rPr>
            </w:pPr>
          </w:p>
        </w:tc>
        <w:tc>
          <w:tcPr>
            <w:tcW w:w="1788" w:type="dxa"/>
          </w:tcPr>
          <w:p>
            <w:pPr>
              <w:pStyle w:val="TableParagraph"/>
              <w:ind w:left="0"/>
              <w:rPr>
                <w:rFonts w:ascii="Times New Roman"/>
                <w:sz w:val="20"/>
              </w:rPr>
            </w:pPr>
          </w:p>
        </w:tc>
        <w:tc>
          <w:tcPr>
            <w:tcW w:w="1702" w:type="dxa"/>
          </w:tcPr>
          <w:p>
            <w:pPr>
              <w:pStyle w:val="TableParagraph"/>
              <w:ind w:left="0"/>
              <w:rPr>
                <w:rFonts w:ascii="Times New Roman"/>
                <w:sz w:val="20"/>
              </w:rPr>
            </w:pPr>
          </w:p>
        </w:tc>
        <w:tc>
          <w:tcPr>
            <w:tcW w:w="963" w:type="dxa"/>
          </w:tcPr>
          <w:p>
            <w:pPr>
              <w:pStyle w:val="TableParagraph"/>
              <w:ind w:left="0"/>
              <w:rPr>
                <w:rFonts w:ascii="Times New Roman"/>
                <w:sz w:val="20"/>
              </w:rPr>
            </w:pPr>
          </w:p>
        </w:tc>
      </w:tr>
      <w:tr>
        <w:trPr>
          <w:trHeight w:val="440" w:hRule="atLeast"/>
        </w:trPr>
        <w:tc>
          <w:tcPr>
            <w:tcW w:w="2402" w:type="dxa"/>
          </w:tcPr>
          <w:p>
            <w:pPr>
              <w:pStyle w:val="TableParagraph"/>
              <w:spacing w:before="112"/>
              <w:ind w:left="50"/>
              <w:rPr>
                <w:sz w:val="18"/>
              </w:rPr>
            </w:pPr>
            <w:r>
              <w:rPr>
                <w:w w:val="120"/>
                <w:sz w:val="18"/>
              </w:rPr>
              <w:t>Ministries committee</w:t>
            </w:r>
          </w:p>
        </w:tc>
        <w:tc>
          <w:tcPr>
            <w:tcW w:w="1583" w:type="dxa"/>
          </w:tcPr>
          <w:p>
            <w:pPr>
              <w:pStyle w:val="TableParagraph"/>
              <w:spacing w:before="112"/>
              <w:ind w:left="68"/>
              <w:rPr>
                <w:sz w:val="18"/>
              </w:rPr>
            </w:pPr>
            <w:r>
              <w:rPr>
                <w:w w:val="135"/>
                <w:sz w:val="18"/>
              </w:rPr>
              <w:t>8 (67%) </w:t>
            </w:r>
            <w:r>
              <w:rPr>
                <w:color w:val="E42322"/>
                <w:w w:val="135"/>
                <w:sz w:val="18"/>
              </w:rPr>
              <w:t>(60%)</w:t>
            </w:r>
          </w:p>
        </w:tc>
        <w:tc>
          <w:tcPr>
            <w:tcW w:w="1635" w:type="dxa"/>
          </w:tcPr>
          <w:p>
            <w:pPr>
              <w:pStyle w:val="TableParagraph"/>
              <w:spacing w:before="112"/>
              <w:ind w:left="104"/>
              <w:rPr>
                <w:sz w:val="18"/>
              </w:rPr>
            </w:pPr>
            <w:r>
              <w:rPr>
                <w:w w:val="135"/>
                <w:sz w:val="18"/>
              </w:rPr>
              <w:t>4 (33%) </w:t>
            </w:r>
            <w:r>
              <w:rPr>
                <w:color w:val="E42322"/>
                <w:w w:val="135"/>
                <w:sz w:val="18"/>
              </w:rPr>
              <w:t>(40%)</w:t>
            </w:r>
          </w:p>
        </w:tc>
        <w:tc>
          <w:tcPr>
            <w:tcW w:w="1788" w:type="dxa"/>
          </w:tcPr>
          <w:p>
            <w:pPr>
              <w:pStyle w:val="TableParagraph"/>
              <w:spacing w:before="112"/>
              <w:ind w:left="130"/>
              <w:rPr>
                <w:sz w:val="18"/>
              </w:rPr>
            </w:pPr>
            <w:r>
              <w:rPr>
                <w:w w:val="135"/>
                <w:sz w:val="18"/>
              </w:rPr>
              <w:t>8 (67%) </w:t>
            </w:r>
            <w:r>
              <w:rPr>
                <w:color w:val="E42322"/>
                <w:w w:val="135"/>
                <w:sz w:val="18"/>
              </w:rPr>
              <w:t>(60%)</w:t>
            </w:r>
          </w:p>
        </w:tc>
        <w:tc>
          <w:tcPr>
            <w:tcW w:w="1702" w:type="dxa"/>
          </w:tcPr>
          <w:p>
            <w:pPr>
              <w:pStyle w:val="TableParagraph"/>
              <w:spacing w:before="112"/>
              <w:ind w:left="101"/>
              <w:rPr>
                <w:sz w:val="18"/>
              </w:rPr>
            </w:pPr>
            <w:r>
              <w:rPr>
                <w:w w:val="135"/>
                <w:sz w:val="18"/>
              </w:rPr>
              <w:t>4 (33%) </w:t>
            </w:r>
            <w:r>
              <w:rPr>
                <w:color w:val="E42322"/>
                <w:w w:val="135"/>
                <w:sz w:val="18"/>
              </w:rPr>
              <w:t>(40%)</w:t>
            </w:r>
          </w:p>
        </w:tc>
        <w:tc>
          <w:tcPr>
            <w:tcW w:w="963" w:type="dxa"/>
          </w:tcPr>
          <w:p>
            <w:pPr>
              <w:pStyle w:val="TableParagraph"/>
              <w:spacing w:before="112"/>
              <w:ind w:left="180"/>
              <w:rPr>
                <w:sz w:val="18"/>
              </w:rPr>
            </w:pPr>
            <w:r>
              <w:rPr>
                <w:color w:val="00B050"/>
                <w:w w:val="126"/>
                <w:sz w:val="18"/>
              </w:rPr>
              <w:t>0</w:t>
            </w:r>
          </w:p>
        </w:tc>
      </w:tr>
      <w:tr>
        <w:trPr>
          <w:trHeight w:val="440" w:hRule="atLeast"/>
        </w:trPr>
        <w:tc>
          <w:tcPr>
            <w:tcW w:w="2402" w:type="dxa"/>
          </w:tcPr>
          <w:p>
            <w:pPr>
              <w:pStyle w:val="TableParagraph"/>
              <w:spacing w:before="112"/>
              <w:ind w:left="50"/>
              <w:rPr>
                <w:sz w:val="18"/>
              </w:rPr>
            </w:pPr>
            <w:r>
              <w:rPr>
                <w:w w:val="120"/>
                <w:sz w:val="18"/>
              </w:rPr>
              <w:t>Accreditation</w:t>
            </w:r>
          </w:p>
        </w:tc>
        <w:tc>
          <w:tcPr>
            <w:tcW w:w="1583" w:type="dxa"/>
          </w:tcPr>
          <w:p>
            <w:pPr>
              <w:pStyle w:val="TableParagraph"/>
              <w:spacing w:before="112"/>
              <w:ind w:left="68"/>
              <w:rPr>
                <w:sz w:val="18"/>
              </w:rPr>
            </w:pPr>
            <w:r>
              <w:rPr>
                <w:w w:val="135"/>
                <w:sz w:val="18"/>
              </w:rPr>
              <w:t>3 (50%) </w:t>
            </w:r>
            <w:r>
              <w:rPr>
                <w:color w:val="E42322"/>
                <w:w w:val="135"/>
                <w:sz w:val="18"/>
              </w:rPr>
              <w:t>(63%)</w:t>
            </w:r>
          </w:p>
        </w:tc>
        <w:tc>
          <w:tcPr>
            <w:tcW w:w="1635" w:type="dxa"/>
          </w:tcPr>
          <w:p>
            <w:pPr>
              <w:pStyle w:val="TableParagraph"/>
              <w:spacing w:before="112"/>
              <w:ind w:left="105"/>
              <w:rPr>
                <w:sz w:val="18"/>
              </w:rPr>
            </w:pPr>
            <w:r>
              <w:rPr>
                <w:w w:val="135"/>
                <w:sz w:val="18"/>
              </w:rPr>
              <w:t>3 (50%) </w:t>
            </w:r>
            <w:r>
              <w:rPr>
                <w:color w:val="E42322"/>
                <w:w w:val="135"/>
                <w:sz w:val="18"/>
              </w:rPr>
              <w:t>(27%)</w:t>
            </w:r>
          </w:p>
        </w:tc>
        <w:tc>
          <w:tcPr>
            <w:tcW w:w="1788" w:type="dxa"/>
          </w:tcPr>
          <w:p>
            <w:pPr>
              <w:pStyle w:val="TableParagraph"/>
              <w:spacing w:before="112"/>
              <w:ind w:left="130"/>
              <w:rPr>
                <w:sz w:val="18"/>
              </w:rPr>
            </w:pPr>
            <w:r>
              <w:rPr>
                <w:w w:val="135"/>
                <w:sz w:val="18"/>
              </w:rPr>
              <w:t>6 </w:t>
            </w:r>
            <w:r>
              <w:rPr>
                <w:color w:val="E42322"/>
                <w:w w:val="135"/>
                <w:sz w:val="18"/>
              </w:rPr>
              <w:t>(100%) </w:t>
            </w:r>
            <w:r>
              <w:rPr>
                <w:w w:val="135"/>
                <w:sz w:val="18"/>
              </w:rPr>
              <w:t>(75%)</w:t>
            </w:r>
          </w:p>
        </w:tc>
        <w:tc>
          <w:tcPr>
            <w:tcW w:w="1702" w:type="dxa"/>
          </w:tcPr>
          <w:p>
            <w:pPr>
              <w:pStyle w:val="TableParagraph"/>
              <w:spacing w:before="112"/>
              <w:ind w:left="101"/>
              <w:rPr>
                <w:sz w:val="18"/>
              </w:rPr>
            </w:pPr>
            <w:r>
              <w:rPr>
                <w:w w:val="135"/>
                <w:sz w:val="18"/>
              </w:rPr>
              <w:t>0 (0%) </w:t>
            </w:r>
            <w:r>
              <w:rPr>
                <w:color w:val="E42322"/>
                <w:w w:val="135"/>
                <w:sz w:val="18"/>
              </w:rPr>
              <w:t>(25%)</w:t>
            </w:r>
          </w:p>
        </w:tc>
        <w:tc>
          <w:tcPr>
            <w:tcW w:w="963" w:type="dxa"/>
          </w:tcPr>
          <w:p>
            <w:pPr>
              <w:pStyle w:val="TableParagraph"/>
              <w:spacing w:before="112"/>
              <w:ind w:left="180"/>
              <w:rPr>
                <w:sz w:val="18"/>
              </w:rPr>
            </w:pPr>
            <w:r>
              <w:rPr>
                <w:color w:val="00B050"/>
                <w:w w:val="125"/>
                <w:sz w:val="18"/>
              </w:rPr>
              <w:t>1 MO</w:t>
            </w:r>
          </w:p>
        </w:tc>
      </w:tr>
      <w:tr>
        <w:trPr>
          <w:trHeight w:val="440" w:hRule="atLeast"/>
        </w:trPr>
        <w:tc>
          <w:tcPr>
            <w:tcW w:w="2402" w:type="dxa"/>
          </w:tcPr>
          <w:p>
            <w:pPr>
              <w:pStyle w:val="TableParagraph"/>
              <w:spacing w:before="112"/>
              <w:ind w:left="50"/>
              <w:rPr>
                <w:sz w:val="18"/>
              </w:rPr>
            </w:pPr>
            <w:r>
              <w:rPr>
                <w:w w:val="130"/>
                <w:sz w:val="18"/>
              </w:rPr>
              <w:t>CRCW</w:t>
            </w:r>
          </w:p>
        </w:tc>
        <w:tc>
          <w:tcPr>
            <w:tcW w:w="1583" w:type="dxa"/>
          </w:tcPr>
          <w:p>
            <w:pPr>
              <w:pStyle w:val="TableParagraph"/>
              <w:spacing w:before="112"/>
              <w:ind w:left="68"/>
              <w:rPr>
                <w:sz w:val="18"/>
              </w:rPr>
            </w:pPr>
            <w:r>
              <w:rPr>
                <w:w w:val="135"/>
                <w:sz w:val="18"/>
              </w:rPr>
              <w:t>6 (67%) </w:t>
            </w:r>
            <w:r>
              <w:rPr>
                <w:color w:val="E42322"/>
                <w:w w:val="135"/>
                <w:sz w:val="18"/>
              </w:rPr>
              <w:t>(56%)</w:t>
            </w:r>
          </w:p>
        </w:tc>
        <w:tc>
          <w:tcPr>
            <w:tcW w:w="1635" w:type="dxa"/>
          </w:tcPr>
          <w:p>
            <w:pPr>
              <w:pStyle w:val="TableParagraph"/>
              <w:spacing w:before="112"/>
              <w:ind w:left="104"/>
              <w:rPr>
                <w:sz w:val="18"/>
              </w:rPr>
            </w:pPr>
            <w:r>
              <w:rPr>
                <w:w w:val="135"/>
                <w:sz w:val="18"/>
              </w:rPr>
              <w:t>4 (33%) </w:t>
            </w:r>
            <w:r>
              <w:rPr>
                <w:color w:val="E42322"/>
                <w:w w:val="135"/>
                <w:sz w:val="18"/>
              </w:rPr>
              <w:t>(44%)</w:t>
            </w:r>
          </w:p>
        </w:tc>
        <w:tc>
          <w:tcPr>
            <w:tcW w:w="1788" w:type="dxa"/>
          </w:tcPr>
          <w:p>
            <w:pPr>
              <w:pStyle w:val="TableParagraph"/>
              <w:spacing w:before="112"/>
              <w:ind w:left="129"/>
              <w:rPr>
                <w:sz w:val="18"/>
              </w:rPr>
            </w:pPr>
            <w:r>
              <w:rPr>
                <w:w w:val="135"/>
                <w:sz w:val="18"/>
              </w:rPr>
              <w:t>5 (50%) </w:t>
            </w:r>
            <w:r>
              <w:rPr>
                <w:color w:val="E42322"/>
                <w:w w:val="135"/>
                <w:sz w:val="18"/>
              </w:rPr>
              <w:t>(44%)</w:t>
            </w:r>
          </w:p>
        </w:tc>
        <w:tc>
          <w:tcPr>
            <w:tcW w:w="1702" w:type="dxa"/>
          </w:tcPr>
          <w:p>
            <w:pPr>
              <w:pStyle w:val="TableParagraph"/>
              <w:spacing w:before="112"/>
              <w:ind w:left="102"/>
              <w:rPr>
                <w:sz w:val="18"/>
              </w:rPr>
            </w:pPr>
            <w:r>
              <w:rPr>
                <w:w w:val="135"/>
                <w:sz w:val="18"/>
              </w:rPr>
              <w:t>5 (50%) </w:t>
            </w:r>
            <w:r>
              <w:rPr>
                <w:color w:val="E42322"/>
                <w:w w:val="135"/>
                <w:sz w:val="18"/>
              </w:rPr>
              <w:t>(56%)</w:t>
            </w:r>
          </w:p>
        </w:tc>
        <w:tc>
          <w:tcPr>
            <w:tcW w:w="963" w:type="dxa"/>
          </w:tcPr>
          <w:p>
            <w:pPr>
              <w:pStyle w:val="TableParagraph"/>
              <w:spacing w:before="112"/>
              <w:ind w:left="180"/>
              <w:rPr>
                <w:sz w:val="18"/>
              </w:rPr>
            </w:pPr>
            <w:r>
              <w:rPr>
                <w:color w:val="00B050"/>
                <w:w w:val="125"/>
                <w:sz w:val="18"/>
              </w:rPr>
              <w:t>1 FL</w:t>
            </w:r>
          </w:p>
        </w:tc>
      </w:tr>
      <w:tr>
        <w:trPr>
          <w:trHeight w:val="440" w:hRule="atLeast"/>
        </w:trPr>
        <w:tc>
          <w:tcPr>
            <w:tcW w:w="2402" w:type="dxa"/>
          </w:tcPr>
          <w:p>
            <w:pPr>
              <w:pStyle w:val="TableParagraph"/>
              <w:spacing w:before="112"/>
              <w:ind w:left="50"/>
              <w:rPr>
                <w:sz w:val="18"/>
              </w:rPr>
            </w:pPr>
            <w:r>
              <w:rPr>
                <w:w w:val="120"/>
                <w:sz w:val="18"/>
              </w:rPr>
              <w:t>MoM</w:t>
            </w:r>
          </w:p>
        </w:tc>
        <w:tc>
          <w:tcPr>
            <w:tcW w:w="1583" w:type="dxa"/>
          </w:tcPr>
          <w:p>
            <w:pPr>
              <w:pStyle w:val="TableParagraph"/>
              <w:spacing w:before="112"/>
              <w:ind w:left="68"/>
              <w:rPr>
                <w:sz w:val="18"/>
              </w:rPr>
            </w:pPr>
            <w:r>
              <w:rPr>
                <w:w w:val="135"/>
                <w:sz w:val="18"/>
              </w:rPr>
              <w:t>5 (56%) </w:t>
            </w:r>
            <w:r>
              <w:rPr>
                <w:color w:val="E42322"/>
                <w:w w:val="135"/>
                <w:sz w:val="18"/>
              </w:rPr>
              <w:t>(75%)</w:t>
            </w:r>
          </w:p>
        </w:tc>
        <w:tc>
          <w:tcPr>
            <w:tcW w:w="1635" w:type="dxa"/>
          </w:tcPr>
          <w:p>
            <w:pPr>
              <w:pStyle w:val="TableParagraph"/>
              <w:spacing w:before="112"/>
              <w:ind w:left="104"/>
              <w:rPr>
                <w:sz w:val="18"/>
              </w:rPr>
            </w:pPr>
            <w:r>
              <w:rPr>
                <w:w w:val="135"/>
                <w:sz w:val="18"/>
              </w:rPr>
              <w:t>4 (44%) </w:t>
            </w:r>
            <w:r>
              <w:rPr>
                <w:color w:val="E42322"/>
                <w:w w:val="135"/>
                <w:sz w:val="18"/>
              </w:rPr>
              <w:t>(25%)</w:t>
            </w:r>
          </w:p>
        </w:tc>
        <w:tc>
          <w:tcPr>
            <w:tcW w:w="1788" w:type="dxa"/>
          </w:tcPr>
          <w:p>
            <w:pPr>
              <w:pStyle w:val="TableParagraph"/>
              <w:spacing w:before="112"/>
              <w:ind w:left="130"/>
              <w:rPr>
                <w:sz w:val="18"/>
              </w:rPr>
            </w:pPr>
            <w:r>
              <w:rPr>
                <w:w w:val="135"/>
                <w:sz w:val="18"/>
              </w:rPr>
              <w:t>3 (34%) </w:t>
            </w:r>
            <w:r>
              <w:rPr>
                <w:color w:val="E42322"/>
                <w:w w:val="135"/>
                <w:sz w:val="18"/>
              </w:rPr>
              <w:t>(50%)</w:t>
            </w:r>
          </w:p>
        </w:tc>
        <w:tc>
          <w:tcPr>
            <w:tcW w:w="1702" w:type="dxa"/>
          </w:tcPr>
          <w:p>
            <w:pPr>
              <w:pStyle w:val="TableParagraph"/>
              <w:spacing w:before="112"/>
              <w:ind w:left="102"/>
              <w:rPr>
                <w:sz w:val="18"/>
              </w:rPr>
            </w:pPr>
            <w:r>
              <w:rPr>
                <w:w w:val="135"/>
                <w:sz w:val="18"/>
              </w:rPr>
              <w:t>6 (67%) </w:t>
            </w:r>
            <w:r>
              <w:rPr>
                <w:color w:val="E42322"/>
                <w:w w:val="135"/>
                <w:sz w:val="18"/>
              </w:rPr>
              <w:t>(50%)</w:t>
            </w:r>
          </w:p>
        </w:tc>
        <w:tc>
          <w:tcPr>
            <w:tcW w:w="963" w:type="dxa"/>
          </w:tcPr>
          <w:p>
            <w:pPr>
              <w:pStyle w:val="TableParagraph"/>
              <w:spacing w:before="112"/>
              <w:ind w:left="180"/>
              <w:rPr>
                <w:sz w:val="18"/>
              </w:rPr>
            </w:pPr>
            <w:r>
              <w:rPr>
                <w:color w:val="00B050"/>
                <w:w w:val="125"/>
                <w:sz w:val="18"/>
              </w:rPr>
              <w:t>1 MO</w:t>
            </w:r>
          </w:p>
        </w:tc>
      </w:tr>
      <w:tr>
        <w:trPr>
          <w:trHeight w:val="549" w:hRule="atLeast"/>
        </w:trPr>
        <w:tc>
          <w:tcPr>
            <w:tcW w:w="2402" w:type="dxa"/>
          </w:tcPr>
          <w:p>
            <w:pPr>
              <w:pStyle w:val="TableParagraph"/>
              <w:spacing w:line="220" w:lineRule="atLeast" w:before="112"/>
              <w:ind w:left="50" w:right="127"/>
              <w:rPr>
                <w:sz w:val="18"/>
              </w:rPr>
            </w:pPr>
            <w:r>
              <w:rPr>
                <w:w w:val="120"/>
                <w:sz w:val="18"/>
              </w:rPr>
              <w:t>Retired ministers’ housing</w:t>
            </w:r>
          </w:p>
        </w:tc>
        <w:tc>
          <w:tcPr>
            <w:tcW w:w="1583" w:type="dxa"/>
          </w:tcPr>
          <w:p>
            <w:pPr>
              <w:pStyle w:val="TableParagraph"/>
              <w:spacing w:before="2"/>
              <w:ind w:left="0"/>
              <w:rPr>
                <w:sz w:val="27"/>
              </w:rPr>
            </w:pPr>
          </w:p>
          <w:p>
            <w:pPr>
              <w:pStyle w:val="TableParagraph"/>
              <w:spacing w:line="197" w:lineRule="exact" w:before="1"/>
              <w:ind w:left="68"/>
              <w:rPr>
                <w:sz w:val="18"/>
              </w:rPr>
            </w:pPr>
            <w:r>
              <w:rPr>
                <w:w w:val="135"/>
                <w:sz w:val="18"/>
              </w:rPr>
              <w:t>6 (86%) </w:t>
            </w:r>
            <w:r>
              <w:rPr>
                <w:color w:val="E42322"/>
                <w:w w:val="135"/>
                <w:sz w:val="18"/>
              </w:rPr>
              <w:t>(86%)</w:t>
            </w:r>
          </w:p>
        </w:tc>
        <w:tc>
          <w:tcPr>
            <w:tcW w:w="1635" w:type="dxa"/>
          </w:tcPr>
          <w:p>
            <w:pPr>
              <w:pStyle w:val="TableParagraph"/>
              <w:spacing w:before="2"/>
              <w:ind w:left="0"/>
              <w:rPr>
                <w:sz w:val="27"/>
              </w:rPr>
            </w:pPr>
          </w:p>
          <w:p>
            <w:pPr>
              <w:pStyle w:val="TableParagraph"/>
              <w:spacing w:line="197" w:lineRule="exact" w:before="1"/>
              <w:ind w:left="105"/>
              <w:rPr>
                <w:sz w:val="18"/>
              </w:rPr>
            </w:pPr>
            <w:r>
              <w:rPr>
                <w:w w:val="135"/>
                <w:sz w:val="18"/>
              </w:rPr>
              <w:t>1 (14%) </w:t>
            </w:r>
            <w:r>
              <w:rPr>
                <w:color w:val="E42322"/>
                <w:w w:val="135"/>
                <w:sz w:val="18"/>
              </w:rPr>
              <w:t>(14%)</w:t>
            </w:r>
          </w:p>
        </w:tc>
        <w:tc>
          <w:tcPr>
            <w:tcW w:w="1788" w:type="dxa"/>
          </w:tcPr>
          <w:p>
            <w:pPr>
              <w:pStyle w:val="TableParagraph"/>
              <w:spacing w:before="2"/>
              <w:ind w:left="0"/>
              <w:rPr>
                <w:sz w:val="27"/>
              </w:rPr>
            </w:pPr>
          </w:p>
          <w:p>
            <w:pPr>
              <w:pStyle w:val="TableParagraph"/>
              <w:spacing w:line="197" w:lineRule="exact" w:before="1"/>
              <w:ind w:left="130"/>
              <w:rPr>
                <w:sz w:val="18"/>
              </w:rPr>
            </w:pPr>
            <w:r>
              <w:rPr>
                <w:w w:val="135"/>
                <w:sz w:val="18"/>
              </w:rPr>
              <w:t>3 (43%) </w:t>
            </w:r>
            <w:r>
              <w:rPr>
                <w:color w:val="E42322"/>
                <w:w w:val="135"/>
                <w:sz w:val="18"/>
              </w:rPr>
              <w:t>(43%)</w:t>
            </w:r>
          </w:p>
        </w:tc>
        <w:tc>
          <w:tcPr>
            <w:tcW w:w="1702" w:type="dxa"/>
          </w:tcPr>
          <w:p>
            <w:pPr>
              <w:pStyle w:val="TableParagraph"/>
              <w:spacing w:before="2"/>
              <w:ind w:left="0"/>
              <w:rPr>
                <w:sz w:val="27"/>
              </w:rPr>
            </w:pPr>
          </w:p>
          <w:p>
            <w:pPr>
              <w:pStyle w:val="TableParagraph"/>
              <w:spacing w:line="197" w:lineRule="exact" w:before="1"/>
              <w:ind w:left="101"/>
              <w:rPr>
                <w:sz w:val="18"/>
              </w:rPr>
            </w:pPr>
            <w:r>
              <w:rPr>
                <w:w w:val="135"/>
                <w:sz w:val="18"/>
              </w:rPr>
              <w:t>4 (57%) </w:t>
            </w:r>
            <w:r>
              <w:rPr>
                <w:color w:val="E42322"/>
                <w:w w:val="135"/>
                <w:sz w:val="18"/>
              </w:rPr>
              <w:t>(57%)</w:t>
            </w:r>
          </w:p>
        </w:tc>
        <w:tc>
          <w:tcPr>
            <w:tcW w:w="963" w:type="dxa"/>
          </w:tcPr>
          <w:p>
            <w:pPr>
              <w:pStyle w:val="TableParagraph"/>
              <w:spacing w:before="2"/>
              <w:ind w:left="0"/>
              <w:rPr>
                <w:sz w:val="27"/>
              </w:rPr>
            </w:pPr>
          </w:p>
          <w:p>
            <w:pPr>
              <w:pStyle w:val="TableParagraph"/>
              <w:spacing w:line="197" w:lineRule="exact" w:before="1"/>
              <w:ind w:left="180"/>
              <w:rPr>
                <w:sz w:val="18"/>
              </w:rPr>
            </w:pPr>
            <w:r>
              <w:rPr>
                <w:color w:val="00B050"/>
                <w:w w:val="126"/>
                <w:sz w:val="18"/>
              </w:rPr>
              <w:t>0</w:t>
            </w:r>
          </w:p>
        </w:tc>
      </w:tr>
    </w:tbl>
    <w:p>
      <w:pPr>
        <w:pStyle w:val="BodyText"/>
      </w:pPr>
    </w:p>
    <w:p>
      <w:pPr>
        <w:pStyle w:val="BodyText"/>
        <w:spacing w:before="6"/>
        <w:rPr>
          <w:sz w:val="19"/>
        </w:rPr>
      </w:pPr>
    </w:p>
    <w:p>
      <w:pPr>
        <w:pStyle w:val="Heading8"/>
        <w:spacing w:before="97"/>
        <w:ind w:left="4510"/>
        <w:rPr>
          <w:rFonts w:ascii="Stone Sans II ITC Std X Bd" w:hAnsi="Stone Sans II ITC Std X Bd"/>
          <w:b/>
          <w:sz w:val="24"/>
        </w:rPr>
      </w:pP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2014 </w:t>
      </w:r>
      <w:r>
        <w:rPr>
          <w:rFonts w:ascii="Symbol" w:hAnsi="Symbol"/>
          <w:color w:val="7EAABF"/>
          <w:w w:val="110"/>
        </w:rPr>
        <w:t></w:t>
      </w:r>
      <w:r>
        <w:rPr>
          <w:rFonts w:ascii="Times New Roman" w:hAnsi="Times New Roman"/>
          <w:color w:val="7EAABF"/>
          <w:spacing w:val="51"/>
          <w:w w:val="110"/>
        </w:rPr>
        <w:t> </w:t>
      </w:r>
      <w:r>
        <w:rPr>
          <w:rFonts w:ascii="Stone Sans II ITC Std X Bd" w:hAnsi="Stone Sans II ITC Std X Bd"/>
          <w:b/>
          <w:w w:val="110"/>
          <w:sz w:val="24"/>
        </w:rPr>
        <w:t>97</w:t>
      </w:r>
    </w:p>
    <w:p>
      <w:pPr>
        <w:spacing w:after="0"/>
        <w:rPr>
          <w:rFonts w:ascii="Stone Sans II ITC Std X Bd" w:hAnsi="Stone Sans II ITC Std X Bd"/>
          <w:sz w:val="24"/>
        </w:rPr>
        <w:sectPr>
          <w:headerReference w:type="default" r:id="rId233"/>
          <w:footerReference w:type="default" r:id="rId234"/>
          <w:pgSz w:w="11910" w:h="16840"/>
          <w:pgMar w:header="0" w:footer="0" w:top="520" w:bottom="280" w:left="0" w:right="0"/>
        </w:sectPr>
      </w:pPr>
    </w:p>
    <w:p>
      <w:pPr>
        <w:pStyle w:val="BodyText"/>
        <w:rPr>
          <w:rFonts w:ascii="Stone Sans II ITC Std X Bd"/>
          <w:b/>
        </w:rPr>
      </w:pPr>
      <w:r>
        <w:rPr/>
        <w:pict>
          <v:group style="position:absolute;margin-left:0pt;margin-top:.000015pt;width:523.75pt;height:841.9pt;mso-position-horizontal-relative:page;mso-position-vertical-relative:page;z-index:-267344896" coordorigin="0,0" coordsize="10475,16838">
            <v:shape style="position:absolute;left:0;top:0;width:936;height:16838" type="#_x0000_t75" stroked="false">
              <v:imagedata r:id="rId198" o:title=""/>
            </v:shape>
            <v:rect style="position:absolute;left:411;top:1133;width:10063;height:14571" filled="true" fillcolor="#ffffff" stroked="false">
              <v:fill type="solid"/>
            </v:rect>
            <w10:wrap type="none"/>
          </v:group>
        </w:pict>
      </w:r>
      <w:r>
        <w:rPr/>
        <w:pict>
          <v:line style="position:absolute;mso-position-horizontal-relative:page;mso-position-vertical-relative:page;z-index:251932672" from="595.275513pt,.000015pt" to="595.275513pt,841.890015pt" stroked="true" strokeweight=".001pt" strokecolor="#d3e5c3">
            <v:stroke dashstyle="solid"/>
            <w10:wrap type="none"/>
          </v:line>
        </w:pict>
      </w:r>
    </w:p>
    <w:p>
      <w:pPr>
        <w:pStyle w:val="BodyText"/>
        <w:spacing w:before="7"/>
        <w:rPr>
          <w:rFonts w:ascii="Stone Sans II ITC Std X Bd"/>
          <w:b/>
          <w:sz w:val="17"/>
        </w:rPr>
      </w:pPr>
    </w:p>
    <w:p>
      <w:pPr>
        <w:spacing w:before="107"/>
        <w:ind w:left="1247" w:right="0" w:firstLine="0"/>
        <w:jc w:val="left"/>
        <w:rPr>
          <w:sz w:val="26"/>
        </w:rPr>
      </w:pPr>
      <w:r>
        <w:rPr>
          <w:color w:val="7EAABF"/>
          <w:w w:val="115"/>
          <w:sz w:val="26"/>
        </w:rPr>
        <w:t>Equalities</w:t>
      </w:r>
    </w:p>
    <w:p>
      <w:pPr>
        <w:pStyle w:val="BodyText"/>
      </w:pPr>
    </w:p>
    <w:p>
      <w:pPr>
        <w:pStyle w:val="BodyText"/>
        <w:spacing w:before="7"/>
        <w:rPr>
          <w:sz w:val="15"/>
        </w:rPr>
      </w:pPr>
    </w:p>
    <w:tbl>
      <w:tblPr>
        <w:tblW w:w="0" w:type="auto"/>
        <w:jc w:val="left"/>
        <w:tblInd w:w="5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23"/>
        <w:gridCol w:w="1601"/>
        <w:gridCol w:w="1641"/>
        <w:gridCol w:w="1702"/>
        <w:gridCol w:w="1773"/>
        <w:gridCol w:w="763"/>
      </w:tblGrid>
      <w:tr>
        <w:trPr>
          <w:trHeight w:val="329" w:hRule="atLeast"/>
        </w:trPr>
        <w:tc>
          <w:tcPr>
            <w:tcW w:w="2223" w:type="dxa"/>
          </w:tcPr>
          <w:p>
            <w:pPr>
              <w:pStyle w:val="TableParagraph"/>
              <w:spacing w:before="1"/>
              <w:ind w:left="50"/>
              <w:rPr>
                <w:sz w:val="18"/>
              </w:rPr>
            </w:pPr>
            <w:r>
              <w:rPr>
                <w:w w:val="120"/>
                <w:sz w:val="18"/>
                <w:u w:val="single"/>
              </w:rPr>
              <w:t>Committee/Group</w:t>
            </w:r>
          </w:p>
        </w:tc>
        <w:tc>
          <w:tcPr>
            <w:tcW w:w="1601" w:type="dxa"/>
          </w:tcPr>
          <w:p>
            <w:pPr>
              <w:pStyle w:val="TableParagraph"/>
              <w:spacing w:before="1"/>
              <w:ind w:left="76"/>
              <w:rPr>
                <w:sz w:val="18"/>
              </w:rPr>
            </w:pPr>
            <w:r>
              <w:rPr>
                <w:w w:val="115"/>
                <w:sz w:val="18"/>
                <w:u w:val="single"/>
              </w:rPr>
              <w:t>Male</w:t>
            </w:r>
          </w:p>
        </w:tc>
        <w:tc>
          <w:tcPr>
            <w:tcW w:w="1641" w:type="dxa"/>
          </w:tcPr>
          <w:p>
            <w:pPr>
              <w:pStyle w:val="TableParagraph"/>
              <w:spacing w:before="1"/>
              <w:ind w:left="95"/>
              <w:rPr>
                <w:sz w:val="18"/>
              </w:rPr>
            </w:pPr>
            <w:r>
              <w:rPr>
                <w:w w:val="120"/>
                <w:sz w:val="18"/>
                <w:u w:val="single"/>
              </w:rPr>
              <w:t>Female</w:t>
            </w:r>
          </w:p>
        </w:tc>
        <w:tc>
          <w:tcPr>
            <w:tcW w:w="1702" w:type="dxa"/>
          </w:tcPr>
          <w:p>
            <w:pPr>
              <w:pStyle w:val="TableParagraph"/>
              <w:spacing w:before="1"/>
              <w:ind w:left="114"/>
              <w:rPr>
                <w:sz w:val="18"/>
              </w:rPr>
            </w:pPr>
            <w:r>
              <w:rPr>
                <w:w w:val="125"/>
                <w:sz w:val="18"/>
                <w:u w:val="single"/>
              </w:rPr>
              <w:t>Ordained</w:t>
            </w:r>
            <w:r>
              <w:rPr>
                <w:sz w:val="18"/>
                <w:u w:val="single"/>
              </w:rPr>
              <w:t> </w:t>
            </w:r>
          </w:p>
        </w:tc>
        <w:tc>
          <w:tcPr>
            <w:tcW w:w="1773" w:type="dxa"/>
          </w:tcPr>
          <w:p>
            <w:pPr>
              <w:pStyle w:val="TableParagraph"/>
              <w:spacing w:before="1"/>
              <w:ind w:left="172"/>
              <w:rPr>
                <w:sz w:val="18"/>
              </w:rPr>
            </w:pPr>
            <w:r>
              <w:rPr>
                <w:w w:val="120"/>
                <w:sz w:val="18"/>
                <w:u w:val="single"/>
              </w:rPr>
              <w:t>Lay</w:t>
            </w:r>
          </w:p>
        </w:tc>
        <w:tc>
          <w:tcPr>
            <w:tcW w:w="763" w:type="dxa"/>
          </w:tcPr>
          <w:p>
            <w:pPr>
              <w:pStyle w:val="TableParagraph"/>
              <w:spacing w:before="1"/>
              <w:ind w:left="0" w:right="53"/>
              <w:jc w:val="right"/>
              <w:rPr>
                <w:sz w:val="18"/>
              </w:rPr>
            </w:pPr>
            <w:r>
              <w:rPr>
                <w:w w:val="115"/>
                <w:sz w:val="18"/>
                <w:u w:val="single"/>
              </w:rPr>
              <w:t>BME</w:t>
            </w:r>
          </w:p>
        </w:tc>
      </w:tr>
      <w:tr>
        <w:trPr>
          <w:trHeight w:val="330" w:hRule="atLeast"/>
        </w:trPr>
        <w:tc>
          <w:tcPr>
            <w:tcW w:w="2223" w:type="dxa"/>
          </w:tcPr>
          <w:p>
            <w:pPr>
              <w:pStyle w:val="TableParagraph"/>
              <w:spacing w:line="197" w:lineRule="exact" w:before="112"/>
              <w:ind w:left="50"/>
              <w:rPr>
                <w:sz w:val="18"/>
              </w:rPr>
            </w:pPr>
            <w:r>
              <w:rPr>
                <w:w w:val="120"/>
                <w:sz w:val="18"/>
              </w:rPr>
              <w:t>Assessment</w:t>
            </w:r>
          </w:p>
        </w:tc>
        <w:tc>
          <w:tcPr>
            <w:tcW w:w="1601" w:type="dxa"/>
          </w:tcPr>
          <w:p>
            <w:pPr>
              <w:pStyle w:val="TableParagraph"/>
              <w:spacing w:line="197" w:lineRule="exact" w:before="112"/>
              <w:ind w:left="76"/>
              <w:rPr>
                <w:sz w:val="18"/>
              </w:rPr>
            </w:pPr>
            <w:r>
              <w:rPr>
                <w:w w:val="135"/>
                <w:sz w:val="18"/>
              </w:rPr>
              <w:t>10 (50%) </w:t>
            </w:r>
            <w:r>
              <w:rPr>
                <w:color w:val="E42322"/>
                <w:w w:val="135"/>
                <w:sz w:val="18"/>
              </w:rPr>
              <w:t>(50%)</w:t>
            </w:r>
          </w:p>
        </w:tc>
        <w:tc>
          <w:tcPr>
            <w:tcW w:w="1641" w:type="dxa"/>
          </w:tcPr>
          <w:p>
            <w:pPr>
              <w:pStyle w:val="TableParagraph"/>
              <w:spacing w:line="197" w:lineRule="exact" w:before="112"/>
              <w:ind w:left="95"/>
              <w:rPr>
                <w:sz w:val="18"/>
              </w:rPr>
            </w:pPr>
            <w:r>
              <w:rPr>
                <w:w w:val="135"/>
                <w:sz w:val="18"/>
              </w:rPr>
              <w:t>10 (50%) </w:t>
            </w:r>
            <w:r>
              <w:rPr>
                <w:color w:val="E42322"/>
                <w:w w:val="135"/>
                <w:sz w:val="18"/>
              </w:rPr>
              <w:t>(50%)</w:t>
            </w:r>
          </w:p>
        </w:tc>
        <w:tc>
          <w:tcPr>
            <w:tcW w:w="1702" w:type="dxa"/>
          </w:tcPr>
          <w:p>
            <w:pPr>
              <w:pStyle w:val="TableParagraph"/>
              <w:spacing w:line="197" w:lineRule="exact" w:before="112"/>
              <w:ind w:left="115"/>
              <w:rPr>
                <w:sz w:val="18"/>
              </w:rPr>
            </w:pPr>
            <w:r>
              <w:rPr>
                <w:w w:val="135"/>
                <w:sz w:val="18"/>
              </w:rPr>
              <w:t>10 </w:t>
            </w:r>
            <w:r>
              <w:rPr>
                <w:color w:val="E42322"/>
                <w:w w:val="135"/>
                <w:sz w:val="18"/>
              </w:rPr>
              <w:t>(50%) </w:t>
            </w:r>
            <w:r>
              <w:rPr>
                <w:w w:val="135"/>
                <w:sz w:val="18"/>
              </w:rPr>
              <w:t>(45%)</w:t>
            </w:r>
          </w:p>
        </w:tc>
        <w:tc>
          <w:tcPr>
            <w:tcW w:w="1773" w:type="dxa"/>
          </w:tcPr>
          <w:p>
            <w:pPr>
              <w:pStyle w:val="TableParagraph"/>
              <w:spacing w:line="197" w:lineRule="exact" w:before="112"/>
              <w:ind w:left="172"/>
              <w:rPr>
                <w:sz w:val="18"/>
              </w:rPr>
            </w:pPr>
            <w:r>
              <w:rPr>
                <w:w w:val="135"/>
                <w:sz w:val="18"/>
              </w:rPr>
              <w:t>10 (50%) </w:t>
            </w:r>
            <w:r>
              <w:rPr>
                <w:color w:val="E42322"/>
                <w:w w:val="135"/>
                <w:sz w:val="18"/>
              </w:rPr>
              <w:t>(55%)</w:t>
            </w:r>
          </w:p>
        </w:tc>
        <w:tc>
          <w:tcPr>
            <w:tcW w:w="763" w:type="dxa"/>
          </w:tcPr>
          <w:p>
            <w:pPr>
              <w:pStyle w:val="TableParagraph"/>
              <w:spacing w:line="197" w:lineRule="exact" w:before="112"/>
              <w:ind w:left="0" w:right="74"/>
              <w:jc w:val="right"/>
              <w:rPr>
                <w:sz w:val="18"/>
              </w:rPr>
            </w:pPr>
            <w:r>
              <w:rPr>
                <w:color w:val="00B050"/>
                <w:w w:val="125"/>
                <w:sz w:val="18"/>
              </w:rPr>
              <w:t>1 MO</w:t>
            </w:r>
          </w:p>
        </w:tc>
      </w:tr>
      <w:tr>
        <w:trPr>
          <w:trHeight w:val="550" w:hRule="atLeast"/>
        </w:trPr>
        <w:tc>
          <w:tcPr>
            <w:tcW w:w="2223" w:type="dxa"/>
          </w:tcPr>
          <w:p>
            <w:pPr>
              <w:pStyle w:val="TableParagraph"/>
              <w:spacing w:before="2"/>
              <w:ind w:left="0"/>
              <w:rPr>
                <w:sz w:val="18"/>
              </w:rPr>
            </w:pPr>
          </w:p>
          <w:p>
            <w:pPr>
              <w:pStyle w:val="TableParagraph"/>
              <w:ind w:left="50"/>
              <w:rPr>
                <w:sz w:val="18"/>
              </w:rPr>
            </w:pPr>
            <w:r>
              <w:rPr>
                <w:w w:val="125"/>
                <w:sz w:val="18"/>
              </w:rPr>
              <w:t>Education and learning</w:t>
            </w:r>
          </w:p>
        </w:tc>
        <w:tc>
          <w:tcPr>
            <w:tcW w:w="1601" w:type="dxa"/>
          </w:tcPr>
          <w:p>
            <w:pPr>
              <w:pStyle w:val="TableParagraph"/>
              <w:spacing w:before="2"/>
              <w:ind w:left="0"/>
              <w:rPr>
                <w:sz w:val="18"/>
              </w:rPr>
            </w:pPr>
          </w:p>
          <w:p>
            <w:pPr>
              <w:pStyle w:val="TableParagraph"/>
              <w:ind w:left="76"/>
              <w:rPr>
                <w:sz w:val="18"/>
              </w:rPr>
            </w:pPr>
            <w:r>
              <w:rPr>
                <w:w w:val="135"/>
                <w:sz w:val="18"/>
              </w:rPr>
              <w:t>5 (50%) </w:t>
            </w:r>
            <w:r>
              <w:rPr>
                <w:color w:val="E42322"/>
                <w:w w:val="135"/>
                <w:sz w:val="18"/>
              </w:rPr>
              <w:t>(42%)</w:t>
            </w:r>
          </w:p>
        </w:tc>
        <w:tc>
          <w:tcPr>
            <w:tcW w:w="1641" w:type="dxa"/>
          </w:tcPr>
          <w:p>
            <w:pPr>
              <w:pStyle w:val="TableParagraph"/>
              <w:spacing w:before="2"/>
              <w:ind w:left="0"/>
              <w:rPr>
                <w:sz w:val="18"/>
              </w:rPr>
            </w:pPr>
          </w:p>
          <w:p>
            <w:pPr>
              <w:pStyle w:val="TableParagraph"/>
              <w:ind w:left="95"/>
              <w:rPr>
                <w:sz w:val="18"/>
              </w:rPr>
            </w:pPr>
            <w:r>
              <w:rPr>
                <w:w w:val="135"/>
                <w:sz w:val="18"/>
              </w:rPr>
              <w:t>5 (50%) </w:t>
            </w:r>
            <w:r>
              <w:rPr>
                <w:color w:val="E42322"/>
                <w:w w:val="135"/>
                <w:sz w:val="18"/>
              </w:rPr>
              <w:t>(58%)</w:t>
            </w:r>
          </w:p>
        </w:tc>
        <w:tc>
          <w:tcPr>
            <w:tcW w:w="1702" w:type="dxa"/>
          </w:tcPr>
          <w:p>
            <w:pPr>
              <w:pStyle w:val="TableParagraph"/>
              <w:spacing w:before="2"/>
              <w:ind w:left="0"/>
              <w:rPr>
                <w:sz w:val="18"/>
              </w:rPr>
            </w:pPr>
          </w:p>
          <w:p>
            <w:pPr>
              <w:pStyle w:val="TableParagraph"/>
              <w:ind w:left="114"/>
              <w:rPr>
                <w:sz w:val="18"/>
              </w:rPr>
            </w:pPr>
            <w:r>
              <w:rPr>
                <w:w w:val="135"/>
                <w:sz w:val="18"/>
              </w:rPr>
              <w:t>5 (50%) </w:t>
            </w:r>
            <w:r>
              <w:rPr>
                <w:color w:val="E42322"/>
                <w:w w:val="135"/>
                <w:sz w:val="18"/>
              </w:rPr>
              <w:t>(42%)</w:t>
            </w:r>
          </w:p>
        </w:tc>
        <w:tc>
          <w:tcPr>
            <w:tcW w:w="1773" w:type="dxa"/>
          </w:tcPr>
          <w:p>
            <w:pPr>
              <w:pStyle w:val="TableParagraph"/>
              <w:spacing w:before="2"/>
              <w:ind w:left="0"/>
              <w:rPr>
                <w:sz w:val="18"/>
              </w:rPr>
            </w:pPr>
          </w:p>
          <w:p>
            <w:pPr>
              <w:pStyle w:val="TableParagraph"/>
              <w:ind w:left="172"/>
              <w:rPr>
                <w:sz w:val="18"/>
              </w:rPr>
            </w:pPr>
            <w:r>
              <w:rPr>
                <w:w w:val="135"/>
                <w:sz w:val="18"/>
              </w:rPr>
              <w:t>5 (50%) </w:t>
            </w:r>
            <w:r>
              <w:rPr>
                <w:color w:val="E42322"/>
                <w:w w:val="135"/>
                <w:sz w:val="18"/>
              </w:rPr>
              <w:t>(58%)</w:t>
            </w:r>
          </w:p>
        </w:tc>
        <w:tc>
          <w:tcPr>
            <w:tcW w:w="763" w:type="dxa"/>
          </w:tcPr>
          <w:p>
            <w:pPr>
              <w:pStyle w:val="TableParagraph"/>
              <w:spacing w:before="2"/>
              <w:ind w:left="179"/>
              <w:rPr>
                <w:sz w:val="18"/>
              </w:rPr>
            </w:pPr>
            <w:r>
              <w:rPr>
                <w:color w:val="00B050"/>
                <w:w w:val="125"/>
                <w:sz w:val="18"/>
              </w:rPr>
              <w:t>2 FL</w:t>
            </w:r>
          </w:p>
          <w:p>
            <w:pPr>
              <w:pStyle w:val="TableParagraph"/>
              <w:ind w:left="179"/>
              <w:rPr>
                <w:sz w:val="18"/>
              </w:rPr>
            </w:pPr>
            <w:r>
              <w:rPr>
                <w:color w:val="00B050"/>
                <w:w w:val="125"/>
                <w:sz w:val="18"/>
              </w:rPr>
              <w:t>2 FO</w:t>
            </w:r>
          </w:p>
        </w:tc>
      </w:tr>
      <w:tr>
        <w:trPr>
          <w:trHeight w:val="440" w:hRule="atLeast"/>
        </w:trPr>
        <w:tc>
          <w:tcPr>
            <w:tcW w:w="2223" w:type="dxa"/>
          </w:tcPr>
          <w:p>
            <w:pPr>
              <w:pStyle w:val="TableParagraph"/>
              <w:spacing w:before="112"/>
              <w:ind w:left="50"/>
              <w:rPr>
                <w:sz w:val="18"/>
              </w:rPr>
            </w:pPr>
            <w:r>
              <w:rPr>
                <w:w w:val="120"/>
                <w:sz w:val="18"/>
              </w:rPr>
              <w:t>Windermere</w:t>
            </w:r>
          </w:p>
        </w:tc>
        <w:tc>
          <w:tcPr>
            <w:tcW w:w="1601" w:type="dxa"/>
          </w:tcPr>
          <w:p>
            <w:pPr>
              <w:pStyle w:val="TableParagraph"/>
              <w:spacing w:before="112"/>
              <w:ind w:left="76"/>
              <w:rPr>
                <w:sz w:val="18"/>
              </w:rPr>
            </w:pPr>
            <w:r>
              <w:rPr>
                <w:w w:val="135"/>
                <w:sz w:val="18"/>
              </w:rPr>
              <w:t>5 (57%) </w:t>
            </w:r>
            <w:r>
              <w:rPr>
                <w:color w:val="E42322"/>
                <w:w w:val="135"/>
                <w:sz w:val="18"/>
              </w:rPr>
              <w:t>(57%)</w:t>
            </w:r>
          </w:p>
        </w:tc>
        <w:tc>
          <w:tcPr>
            <w:tcW w:w="1641" w:type="dxa"/>
          </w:tcPr>
          <w:p>
            <w:pPr>
              <w:pStyle w:val="TableParagraph"/>
              <w:spacing w:before="112"/>
              <w:ind w:left="96"/>
              <w:rPr>
                <w:sz w:val="18"/>
              </w:rPr>
            </w:pPr>
            <w:r>
              <w:rPr>
                <w:w w:val="135"/>
                <w:sz w:val="18"/>
              </w:rPr>
              <w:t>4 (43%) </w:t>
            </w:r>
            <w:r>
              <w:rPr>
                <w:color w:val="E42322"/>
                <w:w w:val="135"/>
                <w:sz w:val="18"/>
              </w:rPr>
              <w:t>(43%)</w:t>
            </w:r>
          </w:p>
        </w:tc>
        <w:tc>
          <w:tcPr>
            <w:tcW w:w="1702" w:type="dxa"/>
          </w:tcPr>
          <w:p>
            <w:pPr>
              <w:pStyle w:val="TableParagraph"/>
              <w:spacing w:before="112"/>
              <w:ind w:left="114"/>
              <w:rPr>
                <w:sz w:val="18"/>
              </w:rPr>
            </w:pPr>
            <w:r>
              <w:rPr>
                <w:w w:val="135"/>
                <w:sz w:val="18"/>
              </w:rPr>
              <w:t>4 (44%) </w:t>
            </w:r>
            <w:r>
              <w:rPr>
                <w:color w:val="E42322"/>
                <w:w w:val="135"/>
                <w:sz w:val="18"/>
              </w:rPr>
              <w:t>(29%)</w:t>
            </w:r>
          </w:p>
        </w:tc>
        <w:tc>
          <w:tcPr>
            <w:tcW w:w="1773" w:type="dxa"/>
          </w:tcPr>
          <w:p>
            <w:pPr>
              <w:pStyle w:val="TableParagraph"/>
              <w:spacing w:before="112"/>
              <w:ind w:left="173"/>
              <w:rPr>
                <w:sz w:val="18"/>
              </w:rPr>
            </w:pPr>
            <w:r>
              <w:rPr>
                <w:w w:val="135"/>
                <w:sz w:val="18"/>
              </w:rPr>
              <w:t>5 (56%) </w:t>
            </w:r>
            <w:r>
              <w:rPr>
                <w:color w:val="E42322"/>
                <w:w w:val="135"/>
                <w:sz w:val="18"/>
              </w:rPr>
              <w:t>(71%)</w:t>
            </w:r>
          </w:p>
        </w:tc>
        <w:tc>
          <w:tcPr>
            <w:tcW w:w="763" w:type="dxa"/>
          </w:tcPr>
          <w:p>
            <w:pPr>
              <w:pStyle w:val="TableParagraph"/>
              <w:spacing w:before="112"/>
              <w:ind w:left="179"/>
              <w:rPr>
                <w:sz w:val="18"/>
              </w:rPr>
            </w:pPr>
            <w:r>
              <w:rPr>
                <w:color w:val="00B050"/>
                <w:w w:val="126"/>
                <w:sz w:val="18"/>
              </w:rPr>
              <w:t>0</w:t>
            </w:r>
          </w:p>
        </w:tc>
      </w:tr>
      <w:tr>
        <w:trPr>
          <w:trHeight w:val="440" w:hRule="atLeast"/>
        </w:trPr>
        <w:tc>
          <w:tcPr>
            <w:tcW w:w="2223" w:type="dxa"/>
          </w:tcPr>
          <w:p>
            <w:pPr>
              <w:pStyle w:val="TableParagraph"/>
              <w:spacing w:before="112"/>
              <w:ind w:left="50"/>
              <w:rPr>
                <w:sz w:val="18"/>
              </w:rPr>
            </w:pPr>
            <w:r>
              <w:rPr>
                <w:w w:val="125"/>
                <w:sz w:val="18"/>
              </w:rPr>
              <w:t>Education phase 2 &amp; 3</w:t>
            </w:r>
          </w:p>
        </w:tc>
        <w:tc>
          <w:tcPr>
            <w:tcW w:w="1601" w:type="dxa"/>
          </w:tcPr>
          <w:p>
            <w:pPr>
              <w:pStyle w:val="TableParagraph"/>
              <w:spacing w:before="112"/>
              <w:ind w:left="76"/>
              <w:rPr>
                <w:sz w:val="18"/>
              </w:rPr>
            </w:pPr>
            <w:r>
              <w:rPr>
                <w:w w:val="135"/>
                <w:sz w:val="18"/>
              </w:rPr>
              <w:t>4 (50%) </w:t>
            </w:r>
            <w:r>
              <w:rPr>
                <w:color w:val="E42322"/>
                <w:w w:val="135"/>
                <w:sz w:val="18"/>
              </w:rPr>
              <w:t>(50%)</w:t>
            </w:r>
          </w:p>
        </w:tc>
        <w:tc>
          <w:tcPr>
            <w:tcW w:w="1641" w:type="dxa"/>
          </w:tcPr>
          <w:p>
            <w:pPr>
              <w:pStyle w:val="TableParagraph"/>
              <w:spacing w:before="112"/>
              <w:ind w:left="95"/>
              <w:rPr>
                <w:sz w:val="18"/>
              </w:rPr>
            </w:pPr>
            <w:r>
              <w:rPr>
                <w:w w:val="135"/>
                <w:sz w:val="18"/>
              </w:rPr>
              <w:t>4 (50%) </w:t>
            </w:r>
            <w:r>
              <w:rPr>
                <w:color w:val="E42322"/>
                <w:w w:val="135"/>
                <w:sz w:val="18"/>
              </w:rPr>
              <w:t>(50%)</w:t>
            </w:r>
          </w:p>
        </w:tc>
        <w:tc>
          <w:tcPr>
            <w:tcW w:w="1702" w:type="dxa"/>
          </w:tcPr>
          <w:p>
            <w:pPr>
              <w:pStyle w:val="TableParagraph"/>
              <w:spacing w:before="112"/>
              <w:ind w:left="114"/>
              <w:rPr>
                <w:sz w:val="18"/>
              </w:rPr>
            </w:pPr>
            <w:r>
              <w:rPr>
                <w:w w:val="135"/>
                <w:sz w:val="18"/>
              </w:rPr>
              <w:t>7 (88%) </w:t>
            </w:r>
            <w:r>
              <w:rPr>
                <w:color w:val="E42322"/>
                <w:w w:val="135"/>
                <w:sz w:val="18"/>
              </w:rPr>
              <w:t>(80%)</w:t>
            </w:r>
          </w:p>
        </w:tc>
        <w:tc>
          <w:tcPr>
            <w:tcW w:w="1773" w:type="dxa"/>
          </w:tcPr>
          <w:p>
            <w:pPr>
              <w:pStyle w:val="TableParagraph"/>
              <w:spacing w:before="112"/>
              <w:ind w:left="172"/>
              <w:rPr>
                <w:sz w:val="18"/>
              </w:rPr>
            </w:pPr>
            <w:r>
              <w:rPr>
                <w:w w:val="135"/>
                <w:sz w:val="18"/>
              </w:rPr>
              <w:t>1 (12%) </w:t>
            </w:r>
            <w:r>
              <w:rPr>
                <w:color w:val="E42322"/>
                <w:w w:val="135"/>
                <w:sz w:val="18"/>
              </w:rPr>
              <w:t>(20%)</w:t>
            </w:r>
          </w:p>
        </w:tc>
        <w:tc>
          <w:tcPr>
            <w:tcW w:w="763" w:type="dxa"/>
          </w:tcPr>
          <w:p>
            <w:pPr>
              <w:pStyle w:val="TableParagraph"/>
              <w:spacing w:before="112"/>
              <w:ind w:left="179"/>
              <w:rPr>
                <w:sz w:val="18"/>
              </w:rPr>
            </w:pPr>
            <w:r>
              <w:rPr>
                <w:color w:val="00B050"/>
                <w:w w:val="125"/>
                <w:sz w:val="18"/>
              </w:rPr>
              <w:t>1 FL</w:t>
            </w:r>
          </w:p>
        </w:tc>
      </w:tr>
      <w:tr>
        <w:trPr>
          <w:trHeight w:val="440" w:hRule="atLeast"/>
        </w:trPr>
        <w:tc>
          <w:tcPr>
            <w:tcW w:w="2223" w:type="dxa"/>
          </w:tcPr>
          <w:p>
            <w:pPr>
              <w:pStyle w:val="TableParagraph"/>
              <w:spacing w:before="112"/>
              <w:ind w:left="50"/>
              <w:rPr>
                <w:sz w:val="18"/>
              </w:rPr>
            </w:pPr>
            <w:r>
              <w:rPr>
                <w:w w:val="120"/>
                <w:sz w:val="18"/>
              </w:rPr>
              <w:t>Education finance</w:t>
            </w:r>
          </w:p>
        </w:tc>
        <w:tc>
          <w:tcPr>
            <w:tcW w:w="1601" w:type="dxa"/>
          </w:tcPr>
          <w:p>
            <w:pPr>
              <w:pStyle w:val="TableParagraph"/>
              <w:spacing w:before="112"/>
              <w:ind w:left="76"/>
              <w:rPr>
                <w:sz w:val="18"/>
              </w:rPr>
            </w:pPr>
            <w:r>
              <w:rPr>
                <w:w w:val="135"/>
                <w:sz w:val="18"/>
              </w:rPr>
              <w:t>3 (75%) </w:t>
            </w:r>
            <w:r>
              <w:rPr>
                <w:color w:val="E42322"/>
                <w:w w:val="135"/>
                <w:sz w:val="18"/>
              </w:rPr>
              <w:t>(83%)</w:t>
            </w:r>
          </w:p>
        </w:tc>
        <w:tc>
          <w:tcPr>
            <w:tcW w:w="1641" w:type="dxa"/>
          </w:tcPr>
          <w:p>
            <w:pPr>
              <w:pStyle w:val="TableParagraph"/>
              <w:spacing w:before="112"/>
              <w:ind w:left="95"/>
              <w:rPr>
                <w:sz w:val="18"/>
              </w:rPr>
            </w:pPr>
            <w:r>
              <w:rPr>
                <w:w w:val="135"/>
                <w:sz w:val="18"/>
              </w:rPr>
              <w:t>1 (25%) </w:t>
            </w:r>
            <w:r>
              <w:rPr>
                <w:color w:val="E42322"/>
                <w:w w:val="135"/>
                <w:sz w:val="18"/>
              </w:rPr>
              <w:t>(17%)</w:t>
            </w:r>
          </w:p>
        </w:tc>
        <w:tc>
          <w:tcPr>
            <w:tcW w:w="1702" w:type="dxa"/>
          </w:tcPr>
          <w:p>
            <w:pPr>
              <w:pStyle w:val="TableParagraph"/>
              <w:spacing w:before="112"/>
              <w:ind w:left="114"/>
              <w:rPr>
                <w:sz w:val="18"/>
              </w:rPr>
            </w:pPr>
            <w:r>
              <w:rPr>
                <w:w w:val="135"/>
                <w:sz w:val="18"/>
              </w:rPr>
              <w:t>2 (50%) </w:t>
            </w:r>
            <w:r>
              <w:rPr>
                <w:color w:val="E42322"/>
                <w:w w:val="135"/>
                <w:sz w:val="18"/>
              </w:rPr>
              <w:t>(33%)</w:t>
            </w:r>
          </w:p>
        </w:tc>
        <w:tc>
          <w:tcPr>
            <w:tcW w:w="1773" w:type="dxa"/>
          </w:tcPr>
          <w:p>
            <w:pPr>
              <w:pStyle w:val="TableParagraph"/>
              <w:spacing w:before="112"/>
              <w:ind w:left="172"/>
              <w:rPr>
                <w:sz w:val="18"/>
              </w:rPr>
            </w:pPr>
            <w:r>
              <w:rPr>
                <w:w w:val="135"/>
                <w:sz w:val="18"/>
              </w:rPr>
              <w:t>2 (50%) </w:t>
            </w:r>
            <w:r>
              <w:rPr>
                <w:color w:val="E42322"/>
                <w:w w:val="135"/>
                <w:sz w:val="18"/>
              </w:rPr>
              <w:t>(67%)</w:t>
            </w:r>
          </w:p>
        </w:tc>
        <w:tc>
          <w:tcPr>
            <w:tcW w:w="763" w:type="dxa"/>
          </w:tcPr>
          <w:p>
            <w:pPr>
              <w:pStyle w:val="TableParagraph"/>
              <w:spacing w:before="112"/>
              <w:ind w:left="179"/>
              <w:rPr>
                <w:sz w:val="18"/>
              </w:rPr>
            </w:pPr>
            <w:r>
              <w:rPr>
                <w:color w:val="00B050"/>
                <w:w w:val="126"/>
                <w:sz w:val="18"/>
              </w:rPr>
              <w:t>0</w:t>
            </w:r>
          </w:p>
        </w:tc>
      </w:tr>
      <w:tr>
        <w:trPr>
          <w:trHeight w:val="329" w:hRule="atLeast"/>
        </w:trPr>
        <w:tc>
          <w:tcPr>
            <w:tcW w:w="2223" w:type="dxa"/>
          </w:tcPr>
          <w:p>
            <w:pPr>
              <w:pStyle w:val="TableParagraph"/>
              <w:spacing w:line="197" w:lineRule="exact" w:before="112"/>
              <w:ind w:left="50"/>
              <w:rPr>
                <w:sz w:val="18"/>
              </w:rPr>
            </w:pPr>
            <w:r>
              <w:rPr>
                <w:w w:val="125"/>
                <w:sz w:val="18"/>
              </w:rPr>
              <w:t>Children and youth</w:t>
            </w:r>
          </w:p>
        </w:tc>
        <w:tc>
          <w:tcPr>
            <w:tcW w:w="1601" w:type="dxa"/>
          </w:tcPr>
          <w:p>
            <w:pPr>
              <w:pStyle w:val="TableParagraph"/>
              <w:spacing w:line="197" w:lineRule="exact" w:before="112"/>
              <w:ind w:left="76"/>
              <w:rPr>
                <w:sz w:val="18"/>
              </w:rPr>
            </w:pPr>
            <w:r>
              <w:rPr>
                <w:w w:val="135"/>
                <w:sz w:val="18"/>
              </w:rPr>
              <w:t>6 (40%) </w:t>
            </w:r>
            <w:r>
              <w:rPr>
                <w:color w:val="E42322"/>
                <w:w w:val="135"/>
                <w:sz w:val="18"/>
              </w:rPr>
              <w:t>(36%)</w:t>
            </w:r>
          </w:p>
        </w:tc>
        <w:tc>
          <w:tcPr>
            <w:tcW w:w="1641" w:type="dxa"/>
          </w:tcPr>
          <w:p>
            <w:pPr>
              <w:pStyle w:val="TableParagraph"/>
              <w:spacing w:line="197" w:lineRule="exact" w:before="112"/>
              <w:ind w:left="96"/>
              <w:rPr>
                <w:sz w:val="18"/>
              </w:rPr>
            </w:pPr>
            <w:r>
              <w:rPr>
                <w:w w:val="135"/>
                <w:sz w:val="18"/>
              </w:rPr>
              <w:t>9 (60%) </w:t>
            </w:r>
            <w:r>
              <w:rPr>
                <w:color w:val="E42322"/>
                <w:w w:val="135"/>
                <w:sz w:val="18"/>
              </w:rPr>
              <w:t>(64%)</w:t>
            </w:r>
          </w:p>
        </w:tc>
        <w:tc>
          <w:tcPr>
            <w:tcW w:w="1702" w:type="dxa"/>
          </w:tcPr>
          <w:p>
            <w:pPr>
              <w:pStyle w:val="TableParagraph"/>
              <w:spacing w:line="197" w:lineRule="exact" w:before="112"/>
              <w:ind w:left="114"/>
              <w:rPr>
                <w:sz w:val="18"/>
              </w:rPr>
            </w:pPr>
            <w:r>
              <w:rPr>
                <w:w w:val="135"/>
                <w:sz w:val="18"/>
              </w:rPr>
              <w:t>5 (33%) </w:t>
            </w:r>
            <w:r>
              <w:rPr>
                <w:color w:val="E42322"/>
                <w:w w:val="135"/>
                <w:sz w:val="18"/>
              </w:rPr>
              <w:t>(43%)</w:t>
            </w:r>
          </w:p>
        </w:tc>
        <w:tc>
          <w:tcPr>
            <w:tcW w:w="1773" w:type="dxa"/>
          </w:tcPr>
          <w:p>
            <w:pPr>
              <w:pStyle w:val="TableParagraph"/>
              <w:spacing w:line="197" w:lineRule="exact" w:before="112"/>
              <w:ind w:left="172"/>
              <w:rPr>
                <w:sz w:val="18"/>
              </w:rPr>
            </w:pPr>
            <w:r>
              <w:rPr>
                <w:w w:val="135"/>
                <w:sz w:val="18"/>
              </w:rPr>
              <w:t>10 (67%) </w:t>
            </w:r>
            <w:r>
              <w:rPr>
                <w:color w:val="E42322"/>
                <w:w w:val="135"/>
                <w:sz w:val="18"/>
              </w:rPr>
              <w:t>(57%)</w:t>
            </w:r>
          </w:p>
        </w:tc>
        <w:tc>
          <w:tcPr>
            <w:tcW w:w="763" w:type="dxa"/>
          </w:tcPr>
          <w:p>
            <w:pPr>
              <w:pStyle w:val="TableParagraph"/>
              <w:spacing w:line="197" w:lineRule="exact" w:before="112"/>
              <w:ind w:left="179"/>
              <w:rPr>
                <w:sz w:val="18"/>
              </w:rPr>
            </w:pPr>
            <w:r>
              <w:rPr>
                <w:color w:val="00B050"/>
                <w:w w:val="125"/>
                <w:sz w:val="18"/>
              </w:rPr>
              <w:t>1 FL</w:t>
            </w:r>
          </w:p>
        </w:tc>
      </w:tr>
    </w:tbl>
    <w:p>
      <w:pPr>
        <w:pStyle w:val="BodyText"/>
        <w:rPr>
          <w:sz w:val="28"/>
        </w:rPr>
      </w:pPr>
    </w:p>
    <w:p>
      <w:pPr>
        <w:spacing w:before="101"/>
        <w:ind w:left="581" w:right="0" w:firstLine="0"/>
        <w:jc w:val="left"/>
        <w:rPr>
          <w:sz w:val="18"/>
        </w:rPr>
      </w:pPr>
      <w:r>
        <w:rPr>
          <w:w w:val="120"/>
          <w:sz w:val="18"/>
          <w:u w:val="single"/>
        </w:rPr>
        <w:t>Administration and Resources</w:t>
      </w:r>
    </w:p>
    <w:p>
      <w:pPr>
        <w:pStyle w:val="BodyText"/>
        <w:spacing w:before="11"/>
        <w:rPr>
          <w:sz w:val="17"/>
        </w:rPr>
      </w:pPr>
    </w:p>
    <w:tbl>
      <w:tblPr>
        <w:tblW w:w="0" w:type="auto"/>
        <w:jc w:val="left"/>
        <w:tblInd w:w="5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35"/>
        <w:gridCol w:w="1733"/>
        <w:gridCol w:w="1639"/>
        <w:gridCol w:w="1708"/>
        <w:gridCol w:w="1769"/>
        <w:gridCol w:w="692"/>
      </w:tblGrid>
      <w:tr>
        <w:trPr>
          <w:trHeight w:val="549" w:hRule="atLeast"/>
        </w:trPr>
        <w:tc>
          <w:tcPr>
            <w:tcW w:w="2135" w:type="dxa"/>
          </w:tcPr>
          <w:p>
            <w:pPr>
              <w:pStyle w:val="TableParagraph"/>
              <w:spacing w:before="1"/>
              <w:ind w:left="50" w:right="810"/>
              <w:rPr>
                <w:sz w:val="18"/>
              </w:rPr>
            </w:pPr>
            <w:r>
              <w:rPr>
                <w:w w:val="120"/>
                <w:sz w:val="18"/>
              </w:rPr>
              <w:t>Assembly arrangements</w:t>
            </w:r>
          </w:p>
        </w:tc>
        <w:tc>
          <w:tcPr>
            <w:tcW w:w="1733" w:type="dxa"/>
          </w:tcPr>
          <w:p>
            <w:pPr>
              <w:pStyle w:val="TableParagraph"/>
              <w:spacing w:before="1"/>
              <w:ind w:left="0"/>
              <w:rPr>
                <w:sz w:val="18"/>
              </w:rPr>
            </w:pPr>
          </w:p>
          <w:p>
            <w:pPr>
              <w:pStyle w:val="TableParagraph"/>
              <w:spacing w:before="1"/>
              <w:ind w:left="165"/>
              <w:rPr>
                <w:sz w:val="18"/>
              </w:rPr>
            </w:pPr>
            <w:r>
              <w:rPr>
                <w:w w:val="135"/>
                <w:sz w:val="18"/>
              </w:rPr>
              <w:t>5 (57%) </w:t>
            </w:r>
            <w:r>
              <w:rPr>
                <w:color w:val="E42322"/>
                <w:w w:val="135"/>
                <w:sz w:val="18"/>
              </w:rPr>
              <w:t>(50%)</w:t>
            </w:r>
          </w:p>
        </w:tc>
        <w:tc>
          <w:tcPr>
            <w:tcW w:w="1639" w:type="dxa"/>
          </w:tcPr>
          <w:p>
            <w:pPr>
              <w:pStyle w:val="TableParagraph"/>
              <w:spacing w:before="1"/>
              <w:ind w:left="0"/>
              <w:rPr>
                <w:sz w:val="18"/>
              </w:rPr>
            </w:pPr>
          </w:p>
          <w:p>
            <w:pPr>
              <w:pStyle w:val="TableParagraph"/>
              <w:spacing w:before="1"/>
              <w:ind w:left="51"/>
              <w:rPr>
                <w:sz w:val="18"/>
              </w:rPr>
            </w:pPr>
            <w:r>
              <w:rPr>
                <w:w w:val="135"/>
                <w:sz w:val="18"/>
              </w:rPr>
              <w:t>3 (43%) </w:t>
            </w:r>
            <w:r>
              <w:rPr>
                <w:color w:val="E42322"/>
                <w:w w:val="135"/>
                <w:sz w:val="18"/>
              </w:rPr>
              <w:t>(50%)</w:t>
            </w:r>
          </w:p>
        </w:tc>
        <w:tc>
          <w:tcPr>
            <w:tcW w:w="1708" w:type="dxa"/>
          </w:tcPr>
          <w:p>
            <w:pPr>
              <w:pStyle w:val="TableParagraph"/>
              <w:spacing w:before="1"/>
              <w:ind w:left="0"/>
              <w:rPr>
                <w:sz w:val="18"/>
              </w:rPr>
            </w:pPr>
          </w:p>
          <w:p>
            <w:pPr>
              <w:pStyle w:val="TableParagraph"/>
              <w:spacing w:before="1"/>
              <w:ind w:left="72"/>
              <w:rPr>
                <w:sz w:val="18"/>
              </w:rPr>
            </w:pPr>
            <w:r>
              <w:rPr>
                <w:w w:val="135"/>
                <w:sz w:val="18"/>
              </w:rPr>
              <w:t>4 (43%) </w:t>
            </w:r>
            <w:r>
              <w:rPr>
                <w:color w:val="E42322"/>
                <w:w w:val="135"/>
                <w:sz w:val="18"/>
              </w:rPr>
              <w:t>(50%)</w:t>
            </w:r>
          </w:p>
        </w:tc>
        <w:tc>
          <w:tcPr>
            <w:tcW w:w="1769" w:type="dxa"/>
          </w:tcPr>
          <w:p>
            <w:pPr>
              <w:pStyle w:val="TableParagraph"/>
              <w:spacing w:before="1"/>
              <w:ind w:left="0"/>
              <w:rPr>
                <w:sz w:val="18"/>
              </w:rPr>
            </w:pPr>
          </w:p>
          <w:p>
            <w:pPr>
              <w:pStyle w:val="TableParagraph"/>
              <w:spacing w:before="1"/>
              <w:ind w:left="124"/>
              <w:rPr>
                <w:sz w:val="18"/>
              </w:rPr>
            </w:pPr>
            <w:r>
              <w:rPr>
                <w:w w:val="135"/>
                <w:sz w:val="18"/>
              </w:rPr>
              <w:t>4 (57%) </w:t>
            </w:r>
            <w:r>
              <w:rPr>
                <w:color w:val="E42322"/>
                <w:w w:val="135"/>
                <w:sz w:val="18"/>
              </w:rPr>
              <w:t>(50%)</w:t>
            </w:r>
          </w:p>
        </w:tc>
        <w:tc>
          <w:tcPr>
            <w:tcW w:w="692" w:type="dxa"/>
          </w:tcPr>
          <w:p>
            <w:pPr>
              <w:pStyle w:val="TableParagraph"/>
              <w:spacing w:before="1"/>
              <w:ind w:left="0"/>
              <w:rPr>
                <w:sz w:val="18"/>
              </w:rPr>
            </w:pPr>
          </w:p>
          <w:p>
            <w:pPr>
              <w:pStyle w:val="TableParagraph"/>
              <w:spacing w:before="1"/>
              <w:ind w:left="135"/>
              <w:rPr>
                <w:sz w:val="18"/>
              </w:rPr>
            </w:pPr>
            <w:r>
              <w:rPr>
                <w:color w:val="00B050"/>
                <w:w w:val="126"/>
                <w:sz w:val="18"/>
              </w:rPr>
              <w:t>0</w:t>
            </w:r>
          </w:p>
        </w:tc>
      </w:tr>
      <w:tr>
        <w:trPr>
          <w:trHeight w:val="440" w:hRule="atLeast"/>
        </w:trPr>
        <w:tc>
          <w:tcPr>
            <w:tcW w:w="2135" w:type="dxa"/>
          </w:tcPr>
          <w:p>
            <w:pPr>
              <w:pStyle w:val="TableParagraph"/>
              <w:spacing w:before="112"/>
              <w:ind w:left="50"/>
              <w:rPr>
                <w:sz w:val="18"/>
              </w:rPr>
            </w:pPr>
            <w:r>
              <w:rPr>
                <w:w w:val="125"/>
                <w:sz w:val="18"/>
              </w:rPr>
              <w:t>Communications</w:t>
            </w:r>
          </w:p>
        </w:tc>
        <w:tc>
          <w:tcPr>
            <w:tcW w:w="1733" w:type="dxa"/>
          </w:tcPr>
          <w:p>
            <w:pPr>
              <w:pStyle w:val="TableParagraph"/>
              <w:spacing w:before="112"/>
              <w:ind w:left="165"/>
              <w:rPr>
                <w:sz w:val="18"/>
              </w:rPr>
            </w:pPr>
            <w:r>
              <w:rPr>
                <w:w w:val="135"/>
                <w:sz w:val="18"/>
              </w:rPr>
              <w:t>7 (70%) </w:t>
            </w:r>
            <w:r>
              <w:rPr>
                <w:color w:val="E42322"/>
                <w:w w:val="135"/>
                <w:sz w:val="18"/>
              </w:rPr>
              <w:t>(73%)</w:t>
            </w:r>
          </w:p>
        </w:tc>
        <w:tc>
          <w:tcPr>
            <w:tcW w:w="1639" w:type="dxa"/>
          </w:tcPr>
          <w:p>
            <w:pPr>
              <w:pStyle w:val="TableParagraph"/>
              <w:spacing w:before="112"/>
              <w:ind w:left="51"/>
              <w:rPr>
                <w:sz w:val="18"/>
              </w:rPr>
            </w:pPr>
            <w:r>
              <w:rPr>
                <w:w w:val="135"/>
                <w:sz w:val="18"/>
              </w:rPr>
              <w:t>3 (30%) </w:t>
            </w:r>
            <w:r>
              <w:rPr>
                <w:color w:val="E42322"/>
                <w:w w:val="135"/>
                <w:sz w:val="18"/>
              </w:rPr>
              <w:t>(27%)</w:t>
            </w:r>
          </w:p>
        </w:tc>
        <w:tc>
          <w:tcPr>
            <w:tcW w:w="1708" w:type="dxa"/>
          </w:tcPr>
          <w:p>
            <w:pPr>
              <w:pStyle w:val="TableParagraph"/>
              <w:spacing w:before="112"/>
              <w:ind w:left="72"/>
              <w:rPr>
                <w:sz w:val="18"/>
              </w:rPr>
            </w:pPr>
            <w:r>
              <w:rPr>
                <w:w w:val="135"/>
                <w:sz w:val="18"/>
              </w:rPr>
              <w:t>6 (60%) </w:t>
            </w:r>
            <w:r>
              <w:rPr>
                <w:color w:val="E42322"/>
                <w:w w:val="135"/>
                <w:sz w:val="18"/>
              </w:rPr>
              <w:t>(45%)</w:t>
            </w:r>
          </w:p>
        </w:tc>
        <w:tc>
          <w:tcPr>
            <w:tcW w:w="1769" w:type="dxa"/>
          </w:tcPr>
          <w:p>
            <w:pPr>
              <w:pStyle w:val="TableParagraph"/>
              <w:spacing w:before="112"/>
              <w:ind w:left="124"/>
              <w:rPr>
                <w:sz w:val="18"/>
              </w:rPr>
            </w:pPr>
            <w:r>
              <w:rPr>
                <w:w w:val="135"/>
                <w:sz w:val="18"/>
              </w:rPr>
              <w:t>4 (40%) </w:t>
            </w:r>
            <w:r>
              <w:rPr>
                <w:color w:val="E42322"/>
                <w:w w:val="135"/>
                <w:sz w:val="18"/>
              </w:rPr>
              <w:t>(55%)</w:t>
            </w:r>
          </w:p>
        </w:tc>
        <w:tc>
          <w:tcPr>
            <w:tcW w:w="692" w:type="dxa"/>
          </w:tcPr>
          <w:p>
            <w:pPr>
              <w:pStyle w:val="TableParagraph"/>
              <w:spacing w:before="112"/>
              <w:ind w:left="135"/>
              <w:rPr>
                <w:sz w:val="18"/>
              </w:rPr>
            </w:pPr>
            <w:r>
              <w:rPr>
                <w:color w:val="00B050"/>
                <w:w w:val="126"/>
                <w:sz w:val="18"/>
              </w:rPr>
              <w:t>0</w:t>
            </w:r>
          </w:p>
        </w:tc>
      </w:tr>
      <w:tr>
        <w:trPr>
          <w:trHeight w:val="330" w:hRule="atLeast"/>
        </w:trPr>
        <w:tc>
          <w:tcPr>
            <w:tcW w:w="2135" w:type="dxa"/>
          </w:tcPr>
          <w:p>
            <w:pPr>
              <w:pStyle w:val="TableParagraph"/>
              <w:spacing w:line="197" w:lineRule="exact" w:before="112"/>
              <w:ind w:left="50"/>
              <w:rPr>
                <w:sz w:val="18"/>
              </w:rPr>
            </w:pPr>
            <w:r>
              <w:rPr>
                <w:w w:val="120"/>
                <w:sz w:val="18"/>
              </w:rPr>
              <w:t>Equalities</w:t>
            </w:r>
          </w:p>
        </w:tc>
        <w:tc>
          <w:tcPr>
            <w:tcW w:w="1733" w:type="dxa"/>
          </w:tcPr>
          <w:p>
            <w:pPr>
              <w:pStyle w:val="TableParagraph"/>
              <w:spacing w:line="197" w:lineRule="exact" w:before="112"/>
              <w:ind w:left="165"/>
              <w:rPr>
                <w:sz w:val="18"/>
              </w:rPr>
            </w:pPr>
            <w:r>
              <w:rPr>
                <w:w w:val="135"/>
                <w:sz w:val="18"/>
              </w:rPr>
              <w:t>4 (36%) </w:t>
            </w:r>
            <w:r>
              <w:rPr>
                <w:color w:val="E42322"/>
                <w:w w:val="135"/>
                <w:sz w:val="18"/>
              </w:rPr>
              <w:t>(45%)</w:t>
            </w:r>
          </w:p>
        </w:tc>
        <w:tc>
          <w:tcPr>
            <w:tcW w:w="1639" w:type="dxa"/>
          </w:tcPr>
          <w:p>
            <w:pPr>
              <w:pStyle w:val="TableParagraph"/>
              <w:spacing w:line="197" w:lineRule="exact" w:before="112"/>
              <w:ind w:left="51"/>
              <w:rPr>
                <w:sz w:val="18"/>
              </w:rPr>
            </w:pPr>
            <w:r>
              <w:rPr>
                <w:w w:val="135"/>
                <w:sz w:val="18"/>
              </w:rPr>
              <w:t>7 (64%) </w:t>
            </w:r>
            <w:r>
              <w:rPr>
                <w:color w:val="E42322"/>
                <w:w w:val="135"/>
                <w:sz w:val="18"/>
              </w:rPr>
              <w:t>(55%)</w:t>
            </w:r>
          </w:p>
        </w:tc>
        <w:tc>
          <w:tcPr>
            <w:tcW w:w="1708" w:type="dxa"/>
          </w:tcPr>
          <w:p>
            <w:pPr>
              <w:pStyle w:val="TableParagraph"/>
              <w:spacing w:line="197" w:lineRule="exact" w:before="112"/>
              <w:ind w:left="72"/>
              <w:rPr>
                <w:sz w:val="18"/>
              </w:rPr>
            </w:pPr>
            <w:r>
              <w:rPr>
                <w:w w:val="135"/>
                <w:sz w:val="18"/>
              </w:rPr>
              <w:t>7 (64%) </w:t>
            </w:r>
            <w:r>
              <w:rPr>
                <w:color w:val="E42322"/>
                <w:w w:val="135"/>
                <w:sz w:val="18"/>
              </w:rPr>
              <w:t>(45%)</w:t>
            </w:r>
          </w:p>
        </w:tc>
        <w:tc>
          <w:tcPr>
            <w:tcW w:w="1769" w:type="dxa"/>
          </w:tcPr>
          <w:p>
            <w:pPr>
              <w:pStyle w:val="TableParagraph"/>
              <w:spacing w:line="197" w:lineRule="exact" w:before="112"/>
              <w:ind w:left="125"/>
              <w:rPr>
                <w:sz w:val="18"/>
              </w:rPr>
            </w:pPr>
            <w:r>
              <w:rPr>
                <w:w w:val="135"/>
                <w:sz w:val="18"/>
              </w:rPr>
              <w:t>4 (36%) </w:t>
            </w:r>
            <w:r>
              <w:rPr>
                <w:color w:val="E42322"/>
                <w:w w:val="135"/>
                <w:sz w:val="18"/>
              </w:rPr>
              <w:t>(55%)</w:t>
            </w:r>
          </w:p>
        </w:tc>
        <w:tc>
          <w:tcPr>
            <w:tcW w:w="692" w:type="dxa"/>
          </w:tcPr>
          <w:p>
            <w:pPr>
              <w:pStyle w:val="TableParagraph"/>
              <w:spacing w:line="197" w:lineRule="exact" w:before="112"/>
              <w:ind w:left="135"/>
              <w:rPr>
                <w:sz w:val="18"/>
              </w:rPr>
            </w:pPr>
            <w:r>
              <w:rPr>
                <w:color w:val="00B050"/>
                <w:w w:val="125"/>
                <w:sz w:val="18"/>
              </w:rPr>
              <w:t>1 ML</w:t>
            </w:r>
          </w:p>
        </w:tc>
      </w:tr>
      <w:tr>
        <w:trPr>
          <w:trHeight w:val="550" w:hRule="atLeast"/>
        </w:trPr>
        <w:tc>
          <w:tcPr>
            <w:tcW w:w="2135" w:type="dxa"/>
          </w:tcPr>
          <w:p>
            <w:pPr>
              <w:pStyle w:val="TableParagraph"/>
              <w:spacing w:before="2"/>
              <w:ind w:left="0"/>
              <w:rPr>
                <w:sz w:val="18"/>
              </w:rPr>
            </w:pPr>
          </w:p>
          <w:p>
            <w:pPr>
              <w:pStyle w:val="TableParagraph"/>
              <w:ind w:left="50"/>
              <w:rPr>
                <w:sz w:val="18"/>
              </w:rPr>
            </w:pPr>
            <w:r>
              <w:rPr>
                <w:w w:val="120"/>
                <w:sz w:val="18"/>
              </w:rPr>
              <w:t>Faith and order</w:t>
            </w:r>
          </w:p>
        </w:tc>
        <w:tc>
          <w:tcPr>
            <w:tcW w:w="1733" w:type="dxa"/>
          </w:tcPr>
          <w:p>
            <w:pPr>
              <w:pStyle w:val="TableParagraph"/>
              <w:spacing w:before="2"/>
              <w:ind w:left="0"/>
              <w:rPr>
                <w:sz w:val="18"/>
              </w:rPr>
            </w:pPr>
          </w:p>
          <w:p>
            <w:pPr>
              <w:pStyle w:val="TableParagraph"/>
              <w:ind w:left="165"/>
              <w:rPr>
                <w:sz w:val="18"/>
              </w:rPr>
            </w:pPr>
            <w:r>
              <w:rPr>
                <w:w w:val="135"/>
                <w:sz w:val="18"/>
              </w:rPr>
              <w:t>6 (75%) </w:t>
            </w:r>
            <w:r>
              <w:rPr>
                <w:color w:val="E42322"/>
                <w:w w:val="135"/>
                <w:sz w:val="18"/>
              </w:rPr>
              <w:t>(75%)</w:t>
            </w:r>
          </w:p>
        </w:tc>
        <w:tc>
          <w:tcPr>
            <w:tcW w:w="1639" w:type="dxa"/>
          </w:tcPr>
          <w:p>
            <w:pPr>
              <w:pStyle w:val="TableParagraph"/>
              <w:spacing w:before="2"/>
              <w:ind w:left="0"/>
              <w:rPr>
                <w:sz w:val="18"/>
              </w:rPr>
            </w:pPr>
          </w:p>
          <w:p>
            <w:pPr>
              <w:pStyle w:val="TableParagraph"/>
              <w:ind w:left="51"/>
              <w:rPr>
                <w:sz w:val="18"/>
              </w:rPr>
            </w:pPr>
            <w:r>
              <w:rPr>
                <w:w w:val="135"/>
                <w:sz w:val="18"/>
              </w:rPr>
              <w:t>2 (25%) </w:t>
            </w:r>
            <w:r>
              <w:rPr>
                <w:color w:val="E42322"/>
                <w:w w:val="135"/>
                <w:sz w:val="18"/>
              </w:rPr>
              <w:t>(25%)</w:t>
            </w:r>
          </w:p>
        </w:tc>
        <w:tc>
          <w:tcPr>
            <w:tcW w:w="1708" w:type="dxa"/>
          </w:tcPr>
          <w:p>
            <w:pPr>
              <w:pStyle w:val="TableParagraph"/>
              <w:spacing w:before="2"/>
              <w:ind w:left="0"/>
              <w:rPr>
                <w:sz w:val="18"/>
              </w:rPr>
            </w:pPr>
          </w:p>
          <w:p>
            <w:pPr>
              <w:pStyle w:val="TableParagraph"/>
              <w:ind w:left="73"/>
              <w:rPr>
                <w:sz w:val="18"/>
              </w:rPr>
            </w:pPr>
            <w:r>
              <w:rPr>
                <w:w w:val="135"/>
                <w:sz w:val="18"/>
              </w:rPr>
              <w:t>7 (88%) </w:t>
            </w:r>
            <w:r>
              <w:rPr>
                <w:color w:val="E42322"/>
                <w:w w:val="135"/>
                <w:sz w:val="18"/>
              </w:rPr>
              <w:t>(88%)</w:t>
            </w:r>
          </w:p>
        </w:tc>
        <w:tc>
          <w:tcPr>
            <w:tcW w:w="1769" w:type="dxa"/>
          </w:tcPr>
          <w:p>
            <w:pPr>
              <w:pStyle w:val="TableParagraph"/>
              <w:spacing w:before="2"/>
              <w:ind w:left="0"/>
              <w:rPr>
                <w:sz w:val="18"/>
              </w:rPr>
            </w:pPr>
          </w:p>
          <w:p>
            <w:pPr>
              <w:pStyle w:val="TableParagraph"/>
              <w:ind w:left="125"/>
              <w:rPr>
                <w:sz w:val="18"/>
              </w:rPr>
            </w:pPr>
            <w:r>
              <w:rPr>
                <w:w w:val="135"/>
                <w:sz w:val="18"/>
              </w:rPr>
              <w:t>1 (12%) </w:t>
            </w:r>
            <w:r>
              <w:rPr>
                <w:color w:val="E42322"/>
                <w:w w:val="135"/>
                <w:sz w:val="18"/>
              </w:rPr>
              <w:t>(12%)</w:t>
            </w:r>
          </w:p>
        </w:tc>
        <w:tc>
          <w:tcPr>
            <w:tcW w:w="692" w:type="dxa"/>
          </w:tcPr>
          <w:p>
            <w:pPr>
              <w:pStyle w:val="TableParagraph"/>
              <w:numPr>
                <w:ilvl w:val="0"/>
                <w:numId w:val="53"/>
              </w:numPr>
              <w:tabs>
                <w:tab w:pos="303" w:val="left" w:leader="none"/>
              </w:tabs>
              <w:spacing w:line="240" w:lineRule="auto" w:before="2" w:after="0"/>
              <w:ind w:left="302" w:right="0" w:hanging="168"/>
              <w:jc w:val="left"/>
              <w:rPr>
                <w:color w:val="9BBB59"/>
                <w:sz w:val="18"/>
              </w:rPr>
            </w:pPr>
            <w:r>
              <w:rPr>
                <w:color w:val="9BBB59"/>
                <w:w w:val="125"/>
                <w:sz w:val="18"/>
              </w:rPr>
              <w:t>MO</w:t>
            </w:r>
          </w:p>
          <w:p>
            <w:pPr>
              <w:pStyle w:val="TableParagraph"/>
              <w:numPr>
                <w:ilvl w:val="0"/>
                <w:numId w:val="53"/>
              </w:numPr>
              <w:tabs>
                <w:tab w:pos="303" w:val="left" w:leader="none"/>
              </w:tabs>
              <w:spacing w:line="240" w:lineRule="auto" w:before="0" w:after="0"/>
              <w:ind w:left="302" w:right="0" w:hanging="168"/>
              <w:jc w:val="left"/>
              <w:rPr>
                <w:color w:val="00B050"/>
                <w:sz w:val="18"/>
              </w:rPr>
            </w:pPr>
            <w:r>
              <w:rPr>
                <w:color w:val="00B050"/>
                <w:w w:val="125"/>
                <w:sz w:val="18"/>
              </w:rPr>
              <w:t>MO</w:t>
            </w:r>
          </w:p>
        </w:tc>
      </w:tr>
      <w:tr>
        <w:trPr>
          <w:trHeight w:val="440" w:hRule="atLeast"/>
        </w:trPr>
        <w:tc>
          <w:tcPr>
            <w:tcW w:w="2135" w:type="dxa"/>
          </w:tcPr>
          <w:p>
            <w:pPr>
              <w:pStyle w:val="TableParagraph"/>
              <w:spacing w:before="112"/>
              <w:ind w:left="50"/>
              <w:rPr>
                <w:sz w:val="18"/>
              </w:rPr>
            </w:pPr>
            <w:r>
              <w:rPr>
                <w:w w:val="120"/>
                <w:sz w:val="18"/>
              </w:rPr>
              <w:t>Finance</w:t>
            </w:r>
          </w:p>
        </w:tc>
        <w:tc>
          <w:tcPr>
            <w:tcW w:w="1733" w:type="dxa"/>
          </w:tcPr>
          <w:p>
            <w:pPr>
              <w:pStyle w:val="TableParagraph"/>
              <w:spacing w:before="112"/>
              <w:ind w:left="165"/>
              <w:rPr>
                <w:sz w:val="18"/>
              </w:rPr>
            </w:pPr>
            <w:r>
              <w:rPr>
                <w:w w:val="135"/>
                <w:sz w:val="18"/>
              </w:rPr>
              <w:t>8 (73%) </w:t>
            </w:r>
            <w:r>
              <w:rPr>
                <w:color w:val="E42322"/>
                <w:w w:val="135"/>
                <w:sz w:val="18"/>
              </w:rPr>
              <w:t>(80%)</w:t>
            </w:r>
          </w:p>
        </w:tc>
        <w:tc>
          <w:tcPr>
            <w:tcW w:w="1639" w:type="dxa"/>
          </w:tcPr>
          <w:p>
            <w:pPr>
              <w:pStyle w:val="TableParagraph"/>
              <w:spacing w:before="112"/>
              <w:ind w:left="51"/>
              <w:rPr>
                <w:sz w:val="18"/>
              </w:rPr>
            </w:pPr>
            <w:r>
              <w:rPr>
                <w:w w:val="135"/>
                <w:sz w:val="18"/>
              </w:rPr>
              <w:t>3 (27%) </w:t>
            </w:r>
            <w:r>
              <w:rPr>
                <w:color w:val="E42322"/>
                <w:w w:val="135"/>
                <w:sz w:val="18"/>
              </w:rPr>
              <w:t>(20%)</w:t>
            </w:r>
          </w:p>
        </w:tc>
        <w:tc>
          <w:tcPr>
            <w:tcW w:w="1708" w:type="dxa"/>
          </w:tcPr>
          <w:p>
            <w:pPr>
              <w:pStyle w:val="TableParagraph"/>
              <w:spacing w:before="112"/>
              <w:ind w:left="72"/>
              <w:rPr>
                <w:sz w:val="18"/>
              </w:rPr>
            </w:pPr>
            <w:r>
              <w:rPr>
                <w:w w:val="135"/>
                <w:sz w:val="18"/>
              </w:rPr>
              <w:t>3 (27%) </w:t>
            </w:r>
            <w:r>
              <w:rPr>
                <w:color w:val="E42322"/>
                <w:w w:val="135"/>
                <w:sz w:val="18"/>
              </w:rPr>
              <w:t>(20%)</w:t>
            </w:r>
          </w:p>
        </w:tc>
        <w:tc>
          <w:tcPr>
            <w:tcW w:w="1769" w:type="dxa"/>
          </w:tcPr>
          <w:p>
            <w:pPr>
              <w:pStyle w:val="TableParagraph"/>
              <w:spacing w:before="112"/>
              <w:ind w:left="124"/>
              <w:rPr>
                <w:sz w:val="18"/>
              </w:rPr>
            </w:pPr>
            <w:r>
              <w:rPr>
                <w:w w:val="135"/>
                <w:sz w:val="18"/>
              </w:rPr>
              <w:t>8 (73%) </w:t>
            </w:r>
            <w:r>
              <w:rPr>
                <w:color w:val="E42322"/>
                <w:w w:val="135"/>
                <w:sz w:val="18"/>
              </w:rPr>
              <w:t>(80%)</w:t>
            </w:r>
          </w:p>
        </w:tc>
        <w:tc>
          <w:tcPr>
            <w:tcW w:w="692" w:type="dxa"/>
          </w:tcPr>
          <w:p>
            <w:pPr>
              <w:pStyle w:val="TableParagraph"/>
              <w:spacing w:before="112"/>
              <w:ind w:left="135"/>
              <w:rPr>
                <w:sz w:val="18"/>
              </w:rPr>
            </w:pPr>
            <w:r>
              <w:rPr>
                <w:color w:val="00B050"/>
                <w:w w:val="125"/>
                <w:sz w:val="18"/>
              </w:rPr>
              <w:t>1 MO</w:t>
            </w:r>
          </w:p>
        </w:tc>
      </w:tr>
      <w:tr>
        <w:trPr>
          <w:trHeight w:val="440" w:hRule="atLeast"/>
        </w:trPr>
        <w:tc>
          <w:tcPr>
            <w:tcW w:w="2135" w:type="dxa"/>
          </w:tcPr>
          <w:p>
            <w:pPr>
              <w:pStyle w:val="TableParagraph"/>
              <w:spacing w:before="112"/>
              <w:ind w:left="50"/>
              <w:rPr>
                <w:sz w:val="18"/>
              </w:rPr>
            </w:pPr>
            <w:r>
              <w:rPr>
                <w:w w:val="120"/>
                <w:sz w:val="18"/>
              </w:rPr>
              <w:t>Stewardship</w:t>
            </w:r>
          </w:p>
        </w:tc>
        <w:tc>
          <w:tcPr>
            <w:tcW w:w="1733" w:type="dxa"/>
          </w:tcPr>
          <w:p>
            <w:pPr>
              <w:pStyle w:val="TableParagraph"/>
              <w:spacing w:before="112"/>
              <w:ind w:left="165"/>
              <w:rPr>
                <w:sz w:val="18"/>
              </w:rPr>
            </w:pPr>
            <w:r>
              <w:rPr>
                <w:w w:val="135"/>
                <w:sz w:val="18"/>
              </w:rPr>
              <w:t>4 (80%) </w:t>
            </w:r>
            <w:r>
              <w:rPr>
                <w:color w:val="E42322"/>
                <w:w w:val="135"/>
                <w:sz w:val="18"/>
              </w:rPr>
              <w:t>(67%)</w:t>
            </w:r>
          </w:p>
        </w:tc>
        <w:tc>
          <w:tcPr>
            <w:tcW w:w="1639" w:type="dxa"/>
          </w:tcPr>
          <w:p>
            <w:pPr>
              <w:pStyle w:val="TableParagraph"/>
              <w:spacing w:before="112"/>
              <w:ind w:left="52"/>
              <w:rPr>
                <w:sz w:val="18"/>
              </w:rPr>
            </w:pPr>
            <w:r>
              <w:rPr>
                <w:w w:val="135"/>
                <w:sz w:val="18"/>
              </w:rPr>
              <w:t>1 (20%) </w:t>
            </w:r>
            <w:r>
              <w:rPr>
                <w:color w:val="E42322"/>
                <w:w w:val="135"/>
                <w:sz w:val="18"/>
              </w:rPr>
              <w:t>(33%)</w:t>
            </w:r>
          </w:p>
        </w:tc>
        <w:tc>
          <w:tcPr>
            <w:tcW w:w="1708" w:type="dxa"/>
          </w:tcPr>
          <w:p>
            <w:pPr>
              <w:pStyle w:val="TableParagraph"/>
              <w:spacing w:before="112"/>
              <w:ind w:left="72"/>
              <w:rPr>
                <w:sz w:val="18"/>
              </w:rPr>
            </w:pPr>
            <w:r>
              <w:rPr>
                <w:w w:val="135"/>
                <w:sz w:val="18"/>
              </w:rPr>
              <w:t>1 (20%) </w:t>
            </w:r>
            <w:r>
              <w:rPr>
                <w:color w:val="E42322"/>
                <w:w w:val="135"/>
                <w:sz w:val="18"/>
              </w:rPr>
              <w:t>(33%)</w:t>
            </w:r>
          </w:p>
        </w:tc>
        <w:tc>
          <w:tcPr>
            <w:tcW w:w="1769" w:type="dxa"/>
          </w:tcPr>
          <w:p>
            <w:pPr>
              <w:pStyle w:val="TableParagraph"/>
              <w:spacing w:before="112"/>
              <w:ind w:left="124"/>
              <w:rPr>
                <w:sz w:val="18"/>
              </w:rPr>
            </w:pPr>
            <w:r>
              <w:rPr>
                <w:w w:val="135"/>
                <w:sz w:val="18"/>
              </w:rPr>
              <w:t>4 (80%) </w:t>
            </w:r>
            <w:r>
              <w:rPr>
                <w:color w:val="E42322"/>
                <w:w w:val="135"/>
                <w:sz w:val="18"/>
              </w:rPr>
              <w:t>(67%)</w:t>
            </w:r>
          </w:p>
        </w:tc>
        <w:tc>
          <w:tcPr>
            <w:tcW w:w="692" w:type="dxa"/>
          </w:tcPr>
          <w:p>
            <w:pPr>
              <w:pStyle w:val="TableParagraph"/>
              <w:spacing w:before="112"/>
              <w:ind w:left="135"/>
              <w:rPr>
                <w:sz w:val="18"/>
              </w:rPr>
            </w:pPr>
            <w:r>
              <w:rPr>
                <w:color w:val="00B050"/>
                <w:w w:val="126"/>
                <w:sz w:val="18"/>
              </w:rPr>
              <w:t>0</w:t>
            </w:r>
          </w:p>
        </w:tc>
      </w:tr>
      <w:tr>
        <w:trPr>
          <w:trHeight w:val="440" w:hRule="atLeast"/>
        </w:trPr>
        <w:tc>
          <w:tcPr>
            <w:tcW w:w="2135" w:type="dxa"/>
          </w:tcPr>
          <w:p>
            <w:pPr>
              <w:pStyle w:val="TableParagraph"/>
              <w:spacing w:before="112"/>
              <w:ind w:left="50"/>
              <w:rPr>
                <w:sz w:val="18"/>
              </w:rPr>
            </w:pPr>
            <w:r>
              <w:rPr>
                <w:w w:val="120"/>
                <w:sz w:val="18"/>
              </w:rPr>
              <w:t>Nominations</w:t>
            </w:r>
          </w:p>
        </w:tc>
        <w:tc>
          <w:tcPr>
            <w:tcW w:w="1733" w:type="dxa"/>
          </w:tcPr>
          <w:p>
            <w:pPr>
              <w:pStyle w:val="TableParagraph"/>
              <w:spacing w:before="112"/>
              <w:ind w:left="165"/>
              <w:rPr>
                <w:sz w:val="18"/>
              </w:rPr>
            </w:pPr>
            <w:r>
              <w:rPr>
                <w:w w:val="135"/>
                <w:sz w:val="18"/>
              </w:rPr>
              <w:t>9 (53%) </w:t>
            </w:r>
            <w:r>
              <w:rPr>
                <w:color w:val="E42322"/>
                <w:w w:val="135"/>
                <w:sz w:val="18"/>
              </w:rPr>
              <w:t>(59%)</w:t>
            </w:r>
          </w:p>
        </w:tc>
        <w:tc>
          <w:tcPr>
            <w:tcW w:w="1639" w:type="dxa"/>
          </w:tcPr>
          <w:p>
            <w:pPr>
              <w:pStyle w:val="TableParagraph"/>
              <w:spacing w:before="112"/>
              <w:ind w:left="51"/>
              <w:rPr>
                <w:sz w:val="18"/>
              </w:rPr>
            </w:pPr>
            <w:r>
              <w:rPr>
                <w:w w:val="135"/>
                <w:sz w:val="18"/>
              </w:rPr>
              <w:t>8 (47%) </w:t>
            </w:r>
            <w:r>
              <w:rPr>
                <w:color w:val="E42322"/>
                <w:w w:val="135"/>
                <w:sz w:val="18"/>
              </w:rPr>
              <w:t>(41%)</w:t>
            </w:r>
          </w:p>
        </w:tc>
        <w:tc>
          <w:tcPr>
            <w:tcW w:w="1708" w:type="dxa"/>
          </w:tcPr>
          <w:p>
            <w:pPr>
              <w:pStyle w:val="TableParagraph"/>
              <w:spacing w:before="112"/>
              <w:ind w:left="72"/>
              <w:rPr>
                <w:sz w:val="18"/>
              </w:rPr>
            </w:pPr>
            <w:r>
              <w:rPr>
                <w:w w:val="135"/>
                <w:sz w:val="18"/>
              </w:rPr>
              <w:t>7 (41%) </w:t>
            </w:r>
            <w:r>
              <w:rPr>
                <w:color w:val="E42322"/>
                <w:w w:val="135"/>
                <w:sz w:val="18"/>
              </w:rPr>
              <w:t>(47%)</w:t>
            </w:r>
          </w:p>
        </w:tc>
        <w:tc>
          <w:tcPr>
            <w:tcW w:w="1769" w:type="dxa"/>
          </w:tcPr>
          <w:p>
            <w:pPr>
              <w:pStyle w:val="TableParagraph"/>
              <w:spacing w:before="112"/>
              <w:ind w:left="124"/>
              <w:rPr>
                <w:sz w:val="18"/>
              </w:rPr>
            </w:pPr>
            <w:r>
              <w:rPr>
                <w:w w:val="135"/>
                <w:sz w:val="18"/>
              </w:rPr>
              <w:t>10 (59%) </w:t>
            </w:r>
            <w:r>
              <w:rPr>
                <w:color w:val="E42322"/>
                <w:w w:val="135"/>
                <w:sz w:val="18"/>
              </w:rPr>
              <w:t>(53%)</w:t>
            </w:r>
          </w:p>
        </w:tc>
        <w:tc>
          <w:tcPr>
            <w:tcW w:w="692" w:type="dxa"/>
          </w:tcPr>
          <w:p>
            <w:pPr>
              <w:pStyle w:val="TableParagraph"/>
              <w:spacing w:before="112"/>
              <w:ind w:left="135"/>
              <w:rPr>
                <w:sz w:val="18"/>
              </w:rPr>
            </w:pPr>
            <w:r>
              <w:rPr>
                <w:color w:val="00B050"/>
                <w:w w:val="125"/>
                <w:sz w:val="18"/>
              </w:rPr>
              <w:t>1 MO</w:t>
            </w:r>
          </w:p>
        </w:tc>
      </w:tr>
      <w:tr>
        <w:trPr>
          <w:trHeight w:val="440" w:hRule="atLeast"/>
        </w:trPr>
        <w:tc>
          <w:tcPr>
            <w:tcW w:w="2135" w:type="dxa"/>
          </w:tcPr>
          <w:p>
            <w:pPr>
              <w:pStyle w:val="TableParagraph"/>
              <w:spacing w:before="112"/>
              <w:ind w:left="50"/>
              <w:rPr>
                <w:sz w:val="18"/>
              </w:rPr>
            </w:pPr>
            <w:r>
              <w:rPr>
                <w:w w:val="125"/>
                <w:sz w:val="18"/>
              </w:rPr>
              <w:t>G A appointments</w:t>
            </w:r>
          </w:p>
        </w:tc>
        <w:tc>
          <w:tcPr>
            <w:tcW w:w="1733" w:type="dxa"/>
          </w:tcPr>
          <w:p>
            <w:pPr>
              <w:pStyle w:val="TableParagraph"/>
              <w:spacing w:before="112"/>
              <w:ind w:left="165"/>
              <w:rPr>
                <w:sz w:val="18"/>
              </w:rPr>
            </w:pPr>
            <w:r>
              <w:rPr>
                <w:w w:val="135"/>
                <w:sz w:val="18"/>
              </w:rPr>
              <w:t>15 (50%) </w:t>
            </w:r>
            <w:r>
              <w:rPr>
                <w:color w:val="E42322"/>
                <w:w w:val="135"/>
                <w:sz w:val="18"/>
              </w:rPr>
              <w:t>(58%)</w:t>
            </w:r>
          </w:p>
        </w:tc>
        <w:tc>
          <w:tcPr>
            <w:tcW w:w="1639" w:type="dxa"/>
          </w:tcPr>
          <w:p>
            <w:pPr>
              <w:pStyle w:val="TableParagraph"/>
              <w:spacing w:before="112"/>
              <w:ind w:left="51"/>
              <w:rPr>
                <w:sz w:val="18"/>
              </w:rPr>
            </w:pPr>
            <w:r>
              <w:rPr>
                <w:w w:val="135"/>
                <w:sz w:val="18"/>
              </w:rPr>
              <w:t>15 (50%) </w:t>
            </w:r>
            <w:r>
              <w:rPr>
                <w:color w:val="E42322"/>
                <w:w w:val="135"/>
                <w:sz w:val="18"/>
              </w:rPr>
              <w:t>(42%)</w:t>
            </w:r>
          </w:p>
        </w:tc>
        <w:tc>
          <w:tcPr>
            <w:tcW w:w="1708" w:type="dxa"/>
          </w:tcPr>
          <w:p>
            <w:pPr>
              <w:pStyle w:val="TableParagraph"/>
              <w:spacing w:before="112"/>
              <w:ind w:left="72"/>
              <w:rPr>
                <w:sz w:val="18"/>
              </w:rPr>
            </w:pPr>
            <w:r>
              <w:rPr>
                <w:w w:val="135"/>
                <w:sz w:val="18"/>
              </w:rPr>
              <w:t>16 (53%) </w:t>
            </w:r>
            <w:r>
              <w:rPr>
                <w:color w:val="E42322"/>
                <w:w w:val="135"/>
                <w:sz w:val="18"/>
              </w:rPr>
              <w:t>(54%)</w:t>
            </w:r>
          </w:p>
        </w:tc>
        <w:tc>
          <w:tcPr>
            <w:tcW w:w="1769" w:type="dxa"/>
          </w:tcPr>
          <w:p>
            <w:pPr>
              <w:pStyle w:val="TableParagraph"/>
              <w:spacing w:before="112"/>
              <w:ind w:left="124"/>
              <w:rPr>
                <w:sz w:val="18"/>
              </w:rPr>
            </w:pPr>
            <w:r>
              <w:rPr>
                <w:w w:val="135"/>
                <w:sz w:val="18"/>
              </w:rPr>
              <w:t>14 (47%) </w:t>
            </w:r>
            <w:r>
              <w:rPr>
                <w:color w:val="E42322"/>
                <w:w w:val="135"/>
                <w:sz w:val="18"/>
              </w:rPr>
              <w:t>(46%)</w:t>
            </w:r>
          </w:p>
        </w:tc>
        <w:tc>
          <w:tcPr>
            <w:tcW w:w="692" w:type="dxa"/>
          </w:tcPr>
          <w:p>
            <w:pPr>
              <w:pStyle w:val="TableParagraph"/>
              <w:spacing w:before="112"/>
              <w:ind w:left="135"/>
              <w:rPr>
                <w:sz w:val="18"/>
              </w:rPr>
            </w:pPr>
            <w:r>
              <w:rPr>
                <w:color w:val="00B050"/>
                <w:w w:val="125"/>
                <w:sz w:val="18"/>
              </w:rPr>
              <w:t>3 MO</w:t>
            </w:r>
          </w:p>
        </w:tc>
      </w:tr>
      <w:tr>
        <w:trPr>
          <w:trHeight w:val="440" w:hRule="atLeast"/>
        </w:trPr>
        <w:tc>
          <w:tcPr>
            <w:tcW w:w="2135" w:type="dxa"/>
          </w:tcPr>
          <w:p>
            <w:pPr>
              <w:pStyle w:val="TableParagraph"/>
              <w:spacing w:before="112"/>
              <w:ind w:left="50"/>
              <w:rPr>
                <w:sz w:val="18"/>
              </w:rPr>
            </w:pPr>
            <w:r>
              <w:rPr>
                <w:w w:val="120"/>
                <w:sz w:val="18"/>
              </w:rPr>
              <w:t>Pastoral reference</w:t>
            </w:r>
          </w:p>
        </w:tc>
        <w:tc>
          <w:tcPr>
            <w:tcW w:w="1733" w:type="dxa"/>
          </w:tcPr>
          <w:p>
            <w:pPr>
              <w:pStyle w:val="TableParagraph"/>
              <w:spacing w:before="112"/>
              <w:ind w:left="164"/>
              <w:rPr>
                <w:sz w:val="18"/>
              </w:rPr>
            </w:pPr>
            <w:r>
              <w:rPr>
                <w:w w:val="135"/>
                <w:sz w:val="18"/>
              </w:rPr>
              <w:t>3 (37%) </w:t>
            </w:r>
            <w:r>
              <w:rPr>
                <w:color w:val="E42322"/>
                <w:w w:val="135"/>
                <w:sz w:val="18"/>
              </w:rPr>
              <w:t>(50%)</w:t>
            </w:r>
          </w:p>
        </w:tc>
        <w:tc>
          <w:tcPr>
            <w:tcW w:w="1639" w:type="dxa"/>
          </w:tcPr>
          <w:p>
            <w:pPr>
              <w:pStyle w:val="TableParagraph"/>
              <w:spacing w:before="112"/>
              <w:ind w:left="51"/>
              <w:rPr>
                <w:sz w:val="18"/>
              </w:rPr>
            </w:pPr>
            <w:r>
              <w:rPr>
                <w:w w:val="135"/>
                <w:sz w:val="18"/>
              </w:rPr>
              <w:t>5 (63%) </w:t>
            </w:r>
            <w:r>
              <w:rPr>
                <w:color w:val="E42322"/>
                <w:w w:val="135"/>
                <w:sz w:val="18"/>
              </w:rPr>
              <w:t>(50%)</w:t>
            </w:r>
          </w:p>
        </w:tc>
        <w:tc>
          <w:tcPr>
            <w:tcW w:w="1708" w:type="dxa"/>
          </w:tcPr>
          <w:p>
            <w:pPr>
              <w:pStyle w:val="TableParagraph"/>
              <w:spacing w:before="112"/>
              <w:ind w:left="72"/>
              <w:rPr>
                <w:sz w:val="18"/>
              </w:rPr>
            </w:pPr>
            <w:r>
              <w:rPr>
                <w:w w:val="135"/>
                <w:sz w:val="18"/>
              </w:rPr>
              <w:t>3 (37%) </w:t>
            </w:r>
            <w:r>
              <w:rPr>
                <w:color w:val="E42322"/>
                <w:w w:val="135"/>
                <w:sz w:val="18"/>
              </w:rPr>
              <w:t>(50%)</w:t>
            </w:r>
          </w:p>
        </w:tc>
        <w:tc>
          <w:tcPr>
            <w:tcW w:w="1769" w:type="dxa"/>
          </w:tcPr>
          <w:p>
            <w:pPr>
              <w:pStyle w:val="TableParagraph"/>
              <w:spacing w:before="112"/>
              <w:ind w:left="124"/>
              <w:rPr>
                <w:sz w:val="18"/>
              </w:rPr>
            </w:pPr>
            <w:r>
              <w:rPr>
                <w:w w:val="135"/>
                <w:sz w:val="18"/>
              </w:rPr>
              <w:t>5 (63%) </w:t>
            </w:r>
            <w:r>
              <w:rPr>
                <w:color w:val="E42322"/>
                <w:w w:val="135"/>
                <w:sz w:val="18"/>
              </w:rPr>
              <w:t>(50%)</w:t>
            </w:r>
          </w:p>
        </w:tc>
        <w:tc>
          <w:tcPr>
            <w:tcW w:w="692" w:type="dxa"/>
          </w:tcPr>
          <w:p>
            <w:pPr>
              <w:pStyle w:val="TableParagraph"/>
              <w:spacing w:before="112"/>
              <w:ind w:left="135"/>
              <w:rPr>
                <w:sz w:val="18"/>
              </w:rPr>
            </w:pPr>
            <w:r>
              <w:rPr>
                <w:color w:val="00B050"/>
                <w:w w:val="126"/>
                <w:sz w:val="18"/>
              </w:rPr>
              <w:t>0</w:t>
            </w:r>
          </w:p>
        </w:tc>
      </w:tr>
      <w:tr>
        <w:trPr>
          <w:trHeight w:val="440" w:hRule="atLeast"/>
        </w:trPr>
        <w:tc>
          <w:tcPr>
            <w:tcW w:w="2135" w:type="dxa"/>
          </w:tcPr>
          <w:p>
            <w:pPr>
              <w:pStyle w:val="TableParagraph"/>
              <w:spacing w:before="112"/>
              <w:ind w:left="50"/>
              <w:rPr>
                <w:sz w:val="18"/>
              </w:rPr>
            </w:pPr>
            <w:r>
              <w:rPr>
                <w:w w:val="125"/>
                <w:sz w:val="18"/>
              </w:rPr>
              <w:t>Disciplinary panel</w:t>
            </w:r>
          </w:p>
        </w:tc>
        <w:tc>
          <w:tcPr>
            <w:tcW w:w="1733" w:type="dxa"/>
          </w:tcPr>
          <w:p>
            <w:pPr>
              <w:pStyle w:val="TableParagraph"/>
              <w:spacing w:before="112"/>
              <w:ind w:left="165"/>
              <w:rPr>
                <w:sz w:val="18"/>
              </w:rPr>
            </w:pPr>
            <w:r>
              <w:rPr>
                <w:w w:val="135"/>
                <w:sz w:val="18"/>
              </w:rPr>
              <w:t>29 (55%) </w:t>
            </w:r>
            <w:r>
              <w:rPr>
                <w:color w:val="E42322"/>
                <w:w w:val="135"/>
                <w:sz w:val="18"/>
              </w:rPr>
              <w:t>(50%)</w:t>
            </w:r>
          </w:p>
        </w:tc>
        <w:tc>
          <w:tcPr>
            <w:tcW w:w="1639" w:type="dxa"/>
          </w:tcPr>
          <w:p>
            <w:pPr>
              <w:pStyle w:val="TableParagraph"/>
              <w:spacing w:before="112"/>
              <w:ind w:left="51"/>
              <w:rPr>
                <w:sz w:val="18"/>
              </w:rPr>
            </w:pPr>
            <w:r>
              <w:rPr>
                <w:w w:val="135"/>
                <w:sz w:val="18"/>
              </w:rPr>
              <w:t>24 (45%) </w:t>
            </w:r>
            <w:r>
              <w:rPr>
                <w:color w:val="E42322"/>
                <w:w w:val="135"/>
                <w:sz w:val="18"/>
              </w:rPr>
              <w:t>(50%)</w:t>
            </w:r>
          </w:p>
        </w:tc>
        <w:tc>
          <w:tcPr>
            <w:tcW w:w="1708" w:type="dxa"/>
          </w:tcPr>
          <w:p>
            <w:pPr>
              <w:pStyle w:val="TableParagraph"/>
              <w:spacing w:before="112"/>
              <w:ind w:left="72"/>
              <w:rPr>
                <w:sz w:val="18"/>
              </w:rPr>
            </w:pPr>
            <w:r>
              <w:rPr>
                <w:w w:val="135"/>
                <w:sz w:val="18"/>
              </w:rPr>
              <w:t>22 (42%) </w:t>
            </w:r>
            <w:r>
              <w:rPr>
                <w:color w:val="E42322"/>
                <w:w w:val="135"/>
                <w:sz w:val="18"/>
              </w:rPr>
              <w:t>(38%)</w:t>
            </w:r>
          </w:p>
        </w:tc>
        <w:tc>
          <w:tcPr>
            <w:tcW w:w="1769" w:type="dxa"/>
          </w:tcPr>
          <w:p>
            <w:pPr>
              <w:pStyle w:val="TableParagraph"/>
              <w:spacing w:before="112"/>
              <w:ind w:left="125"/>
              <w:rPr>
                <w:sz w:val="18"/>
              </w:rPr>
            </w:pPr>
            <w:r>
              <w:rPr>
                <w:w w:val="135"/>
                <w:sz w:val="18"/>
              </w:rPr>
              <w:t>31 (58%) </w:t>
            </w:r>
            <w:r>
              <w:rPr>
                <w:color w:val="E42322"/>
                <w:w w:val="135"/>
                <w:sz w:val="18"/>
              </w:rPr>
              <w:t>(62%)</w:t>
            </w:r>
          </w:p>
        </w:tc>
        <w:tc>
          <w:tcPr>
            <w:tcW w:w="692" w:type="dxa"/>
          </w:tcPr>
          <w:p>
            <w:pPr>
              <w:pStyle w:val="TableParagraph"/>
              <w:spacing w:before="112"/>
              <w:ind w:left="135"/>
              <w:rPr>
                <w:sz w:val="18"/>
              </w:rPr>
            </w:pPr>
            <w:r>
              <w:rPr>
                <w:color w:val="00B050"/>
                <w:w w:val="125"/>
                <w:sz w:val="18"/>
              </w:rPr>
              <w:t>2 ML</w:t>
            </w:r>
          </w:p>
        </w:tc>
      </w:tr>
      <w:tr>
        <w:trPr>
          <w:trHeight w:val="440" w:hRule="atLeast"/>
        </w:trPr>
        <w:tc>
          <w:tcPr>
            <w:tcW w:w="2135" w:type="dxa"/>
          </w:tcPr>
          <w:p>
            <w:pPr>
              <w:pStyle w:val="TableParagraph"/>
              <w:spacing w:before="112"/>
              <w:ind w:left="50"/>
              <w:rPr>
                <w:sz w:val="18"/>
              </w:rPr>
            </w:pPr>
            <w:r>
              <w:rPr>
                <w:w w:val="120"/>
                <w:sz w:val="18"/>
              </w:rPr>
              <w:t>Incapacity procedure</w:t>
            </w:r>
          </w:p>
        </w:tc>
        <w:tc>
          <w:tcPr>
            <w:tcW w:w="1733" w:type="dxa"/>
          </w:tcPr>
          <w:p>
            <w:pPr>
              <w:pStyle w:val="TableParagraph"/>
              <w:spacing w:before="112"/>
              <w:ind w:left="165"/>
              <w:rPr>
                <w:sz w:val="18"/>
              </w:rPr>
            </w:pPr>
            <w:r>
              <w:rPr>
                <w:w w:val="135"/>
                <w:sz w:val="18"/>
              </w:rPr>
              <w:t>6 (100%) </w:t>
            </w:r>
            <w:r>
              <w:rPr>
                <w:color w:val="E42322"/>
                <w:w w:val="135"/>
                <w:sz w:val="18"/>
              </w:rPr>
              <w:t>(67%)</w:t>
            </w:r>
          </w:p>
        </w:tc>
        <w:tc>
          <w:tcPr>
            <w:tcW w:w="1639" w:type="dxa"/>
          </w:tcPr>
          <w:p>
            <w:pPr>
              <w:pStyle w:val="TableParagraph"/>
              <w:spacing w:before="112"/>
              <w:ind w:left="51"/>
              <w:rPr>
                <w:sz w:val="18"/>
              </w:rPr>
            </w:pPr>
            <w:r>
              <w:rPr>
                <w:w w:val="135"/>
                <w:sz w:val="18"/>
              </w:rPr>
              <w:t>0 (0%) </w:t>
            </w:r>
            <w:r>
              <w:rPr>
                <w:color w:val="E42322"/>
                <w:w w:val="135"/>
                <w:sz w:val="18"/>
              </w:rPr>
              <w:t>(33%)</w:t>
            </w:r>
          </w:p>
        </w:tc>
        <w:tc>
          <w:tcPr>
            <w:tcW w:w="1708" w:type="dxa"/>
          </w:tcPr>
          <w:p>
            <w:pPr>
              <w:pStyle w:val="TableParagraph"/>
              <w:spacing w:before="112"/>
              <w:ind w:left="72"/>
              <w:rPr>
                <w:sz w:val="18"/>
              </w:rPr>
            </w:pPr>
            <w:r>
              <w:rPr>
                <w:w w:val="135"/>
                <w:sz w:val="18"/>
              </w:rPr>
              <w:t>3 (50%) </w:t>
            </w:r>
            <w:r>
              <w:rPr>
                <w:color w:val="E42322"/>
                <w:w w:val="135"/>
                <w:sz w:val="18"/>
              </w:rPr>
              <w:t>(50%)</w:t>
            </w:r>
          </w:p>
        </w:tc>
        <w:tc>
          <w:tcPr>
            <w:tcW w:w="1769" w:type="dxa"/>
          </w:tcPr>
          <w:p>
            <w:pPr>
              <w:pStyle w:val="TableParagraph"/>
              <w:spacing w:before="112"/>
              <w:ind w:left="124"/>
              <w:rPr>
                <w:sz w:val="18"/>
              </w:rPr>
            </w:pPr>
            <w:r>
              <w:rPr>
                <w:w w:val="135"/>
                <w:sz w:val="18"/>
              </w:rPr>
              <w:t>3 (50%) </w:t>
            </w:r>
            <w:r>
              <w:rPr>
                <w:color w:val="E42322"/>
                <w:w w:val="135"/>
                <w:sz w:val="18"/>
              </w:rPr>
              <w:t>(50%)</w:t>
            </w:r>
          </w:p>
        </w:tc>
        <w:tc>
          <w:tcPr>
            <w:tcW w:w="692" w:type="dxa"/>
          </w:tcPr>
          <w:p>
            <w:pPr>
              <w:pStyle w:val="TableParagraph"/>
              <w:spacing w:before="112"/>
              <w:ind w:left="135"/>
              <w:rPr>
                <w:sz w:val="18"/>
              </w:rPr>
            </w:pPr>
            <w:r>
              <w:rPr>
                <w:color w:val="00B050"/>
                <w:w w:val="126"/>
                <w:sz w:val="18"/>
              </w:rPr>
              <w:t>0</w:t>
            </w:r>
          </w:p>
        </w:tc>
      </w:tr>
      <w:tr>
        <w:trPr>
          <w:trHeight w:val="660" w:hRule="atLeast"/>
        </w:trPr>
        <w:tc>
          <w:tcPr>
            <w:tcW w:w="2135" w:type="dxa"/>
          </w:tcPr>
          <w:p>
            <w:pPr>
              <w:pStyle w:val="TableParagraph"/>
              <w:spacing w:before="112"/>
              <w:ind w:left="50" w:right="810"/>
              <w:rPr>
                <w:sz w:val="18"/>
              </w:rPr>
            </w:pPr>
            <w:r>
              <w:rPr>
                <w:w w:val="125"/>
                <w:sz w:val="18"/>
              </w:rPr>
              <w:t>Church house management</w:t>
            </w:r>
          </w:p>
        </w:tc>
        <w:tc>
          <w:tcPr>
            <w:tcW w:w="1733" w:type="dxa"/>
          </w:tcPr>
          <w:p>
            <w:pPr>
              <w:pStyle w:val="TableParagraph"/>
              <w:spacing w:before="2"/>
              <w:ind w:left="0"/>
              <w:rPr>
                <w:sz w:val="27"/>
              </w:rPr>
            </w:pPr>
          </w:p>
          <w:p>
            <w:pPr>
              <w:pStyle w:val="TableParagraph"/>
              <w:spacing w:before="1"/>
              <w:ind w:left="164"/>
              <w:rPr>
                <w:sz w:val="18"/>
              </w:rPr>
            </w:pPr>
            <w:r>
              <w:rPr>
                <w:w w:val="135"/>
                <w:sz w:val="18"/>
              </w:rPr>
              <w:t>3 (43%) </w:t>
            </w:r>
            <w:r>
              <w:rPr>
                <w:color w:val="E42322"/>
                <w:w w:val="135"/>
                <w:sz w:val="18"/>
              </w:rPr>
              <w:t>(71%)</w:t>
            </w:r>
          </w:p>
        </w:tc>
        <w:tc>
          <w:tcPr>
            <w:tcW w:w="1639" w:type="dxa"/>
          </w:tcPr>
          <w:p>
            <w:pPr>
              <w:pStyle w:val="TableParagraph"/>
              <w:spacing w:before="2"/>
              <w:ind w:left="0"/>
              <w:rPr>
                <w:sz w:val="27"/>
              </w:rPr>
            </w:pPr>
          </w:p>
          <w:p>
            <w:pPr>
              <w:pStyle w:val="TableParagraph"/>
              <w:spacing w:before="1"/>
              <w:ind w:left="51"/>
              <w:rPr>
                <w:sz w:val="18"/>
              </w:rPr>
            </w:pPr>
            <w:r>
              <w:rPr>
                <w:w w:val="135"/>
                <w:sz w:val="18"/>
              </w:rPr>
              <w:t>4 (57%) </w:t>
            </w:r>
            <w:r>
              <w:rPr>
                <w:color w:val="E42322"/>
                <w:w w:val="135"/>
                <w:sz w:val="18"/>
              </w:rPr>
              <w:t>(29%)</w:t>
            </w:r>
          </w:p>
        </w:tc>
        <w:tc>
          <w:tcPr>
            <w:tcW w:w="1708" w:type="dxa"/>
          </w:tcPr>
          <w:p>
            <w:pPr>
              <w:pStyle w:val="TableParagraph"/>
              <w:spacing w:before="2"/>
              <w:ind w:left="0"/>
              <w:rPr>
                <w:sz w:val="27"/>
              </w:rPr>
            </w:pPr>
          </w:p>
          <w:p>
            <w:pPr>
              <w:pStyle w:val="TableParagraph"/>
              <w:spacing w:before="1"/>
              <w:ind w:left="72"/>
              <w:rPr>
                <w:sz w:val="18"/>
              </w:rPr>
            </w:pPr>
            <w:r>
              <w:rPr>
                <w:w w:val="135"/>
                <w:sz w:val="18"/>
              </w:rPr>
              <w:t>1 (14%) </w:t>
            </w:r>
            <w:r>
              <w:rPr>
                <w:color w:val="E42322"/>
                <w:w w:val="135"/>
                <w:sz w:val="18"/>
              </w:rPr>
              <w:t>(29%)</w:t>
            </w:r>
          </w:p>
        </w:tc>
        <w:tc>
          <w:tcPr>
            <w:tcW w:w="1769" w:type="dxa"/>
          </w:tcPr>
          <w:p>
            <w:pPr>
              <w:pStyle w:val="TableParagraph"/>
              <w:spacing w:before="2"/>
              <w:ind w:left="0"/>
              <w:rPr>
                <w:sz w:val="27"/>
              </w:rPr>
            </w:pPr>
          </w:p>
          <w:p>
            <w:pPr>
              <w:pStyle w:val="TableParagraph"/>
              <w:spacing w:before="1"/>
              <w:ind w:left="124"/>
              <w:rPr>
                <w:sz w:val="18"/>
              </w:rPr>
            </w:pPr>
            <w:r>
              <w:rPr>
                <w:w w:val="135"/>
                <w:sz w:val="18"/>
              </w:rPr>
              <w:t>6 (86%) </w:t>
            </w:r>
            <w:r>
              <w:rPr>
                <w:color w:val="E42322"/>
                <w:w w:val="135"/>
                <w:sz w:val="18"/>
              </w:rPr>
              <w:t>(71%)</w:t>
            </w:r>
          </w:p>
        </w:tc>
        <w:tc>
          <w:tcPr>
            <w:tcW w:w="692" w:type="dxa"/>
          </w:tcPr>
          <w:p>
            <w:pPr>
              <w:pStyle w:val="TableParagraph"/>
              <w:spacing w:before="2"/>
              <w:ind w:left="0"/>
              <w:rPr>
                <w:sz w:val="27"/>
              </w:rPr>
            </w:pPr>
          </w:p>
          <w:p>
            <w:pPr>
              <w:pStyle w:val="TableParagraph"/>
              <w:spacing w:before="1"/>
              <w:ind w:left="135"/>
              <w:rPr>
                <w:sz w:val="18"/>
              </w:rPr>
            </w:pPr>
            <w:r>
              <w:rPr>
                <w:color w:val="00B050"/>
                <w:w w:val="125"/>
                <w:sz w:val="18"/>
              </w:rPr>
              <w:t>1ML</w:t>
            </w:r>
          </w:p>
        </w:tc>
      </w:tr>
      <w:tr>
        <w:trPr>
          <w:trHeight w:val="440" w:hRule="atLeast"/>
        </w:trPr>
        <w:tc>
          <w:tcPr>
            <w:tcW w:w="2135" w:type="dxa"/>
          </w:tcPr>
          <w:p>
            <w:pPr>
              <w:pStyle w:val="TableParagraph"/>
              <w:spacing w:before="112"/>
              <w:ind w:left="50"/>
              <w:rPr>
                <w:sz w:val="18"/>
              </w:rPr>
            </w:pPr>
            <w:r>
              <w:rPr>
                <w:w w:val="120"/>
                <w:sz w:val="18"/>
              </w:rPr>
              <w:t>Remuneration</w:t>
            </w:r>
          </w:p>
        </w:tc>
        <w:tc>
          <w:tcPr>
            <w:tcW w:w="1733" w:type="dxa"/>
          </w:tcPr>
          <w:p>
            <w:pPr>
              <w:pStyle w:val="TableParagraph"/>
              <w:spacing w:before="112"/>
              <w:ind w:left="165"/>
              <w:rPr>
                <w:sz w:val="18"/>
              </w:rPr>
            </w:pPr>
            <w:r>
              <w:rPr>
                <w:w w:val="135"/>
                <w:sz w:val="18"/>
              </w:rPr>
              <w:t>3 (50%) </w:t>
            </w:r>
            <w:r>
              <w:rPr>
                <w:color w:val="E42322"/>
                <w:w w:val="135"/>
                <w:sz w:val="18"/>
              </w:rPr>
              <w:t>(67%)</w:t>
            </w:r>
          </w:p>
        </w:tc>
        <w:tc>
          <w:tcPr>
            <w:tcW w:w="1639" w:type="dxa"/>
          </w:tcPr>
          <w:p>
            <w:pPr>
              <w:pStyle w:val="TableParagraph"/>
              <w:spacing w:before="112"/>
              <w:ind w:left="51"/>
              <w:rPr>
                <w:sz w:val="18"/>
              </w:rPr>
            </w:pPr>
            <w:r>
              <w:rPr>
                <w:w w:val="135"/>
                <w:sz w:val="18"/>
              </w:rPr>
              <w:t>3 (50%) </w:t>
            </w:r>
            <w:r>
              <w:rPr>
                <w:color w:val="E42322"/>
                <w:w w:val="135"/>
                <w:sz w:val="18"/>
              </w:rPr>
              <w:t>(33%)</w:t>
            </w:r>
          </w:p>
        </w:tc>
        <w:tc>
          <w:tcPr>
            <w:tcW w:w="1708" w:type="dxa"/>
          </w:tcPr>
          <w:p>
            <w:pPr>
              <w:pStyle w:val="TableParagraph"/>
              <w:spacing w:before="112"/>
              <w:ind w:left="72"/>
              <w:rPr>
                <w:sz w:val="18"/>
              </w:rPr>
            </w:pPr>
            <w:r>
              <w:rPr>
                <w:w w:val="135"/>
                <w:sz w:val="18"/>
              </w:rPr>
              <w:t>0 (0%) </w:t>
            </w:r>
            <w:r>
              <w:rPr>
                <w:color w:val="E42322"/>
                <w:w w:val="135"/>
                <w:sz w:val="18"/>
              </w:rPr>
              <w:t>(17%)</w:t>
            </w:r>
          </w:p>
        </w:tc>
        <w:tc>
          <w:tcPr>
            <w:tcW w:w="1769" w:type="dxa"/>
          </w:tcPr>
          <w:p>
            <w:pPr>
              <w:pStyle w:val="TableParagraph"/>
              <w:spacing w:before="112"/>
              <w:ind w:left="124"/>
              <w:rPr>
                <w:sz w:val="18"/>
              </w:rPr>
            </w:pPr>
            <w:r>
              <w:rPr>
                <w:w w:val="135"/>
                <w:sz w:val="18"/>
              </w:rPr>
              <w:t>6 (100%) </w:t>
            </w:r>
            <w:r>
              <w:rPr>
                <w:color w:val="E42322"/>
                <w:w w:val="135"/>
                <w:sz w:val="18"/>
              </w:rPr>
              <w:t>(83%)</w:t>
            </w:r>
          </w:p>
        </w:tc>
        <w:tc>
          <w:tcPr>
            <w:tcW w:w="692" w:type="dxa"/>
          </w:tcPr>
          <w:p>
            <w:pPr>
              <w:pStyle w:val="TableParagraph"/>
              <w:spacing w:before="112"/>
              <w:ind w:left="135"/>
              <w:rPr>
                <w:sz w:val="18"/>
              </w:rPr>
            </w:pPr>
            <w:r>
              <w:rPr>
                <w:color w:val="00B050"/>
                <w:w w:val="126"/>
                <w:sz w:val="18"/>
              </w:rPr>
              <w:t>0</w:t>
            </w:r>
          </w:p>
        </w:tc>
      </w:tr>
      <w:tr>
        <w:trPr>
          <w:trHeight w:val="440" w:hRule="atLeast"/>
        </w:trPr>
        <w:tc>
          <w:tcPr>
            <w:tcW w:w="2135" w:type="dxa"/>
          </w:tcPr>
          <w:p>
            <w:pPr>
              <w:pStyle w:val="TableParagraph"/>
              <w:spacing w:before="112"/>
              <w:ind w:left="50"/>
              <w:rPr>
                <w:sz w:val="18"/>
              </w:rPr>
            </w:pPr>
            <w:r>
              <w:rPr>
                <w:w w:val="120"/>
                <w:sz w:val="18"/>
              </w:rPr>
              <w:t>Pensions executive</w:t>
            </w:r>
          </w:p>
        </w:tc>
        <w:tc>
          <w:tcPr>
            <w:tcW w:w="1733" w:type="dxa"/>
          </w:tcPr>
          <w:p>
            <w:pPr>
              <w:pStyle w:val="TableParagraph"/>
              <w:spacing w:before="112"/>
              <w:ind w:left="165"/>
              <w:rPr>
                <w:sz w:val="18"/>
              </w:rPr>
            </w:pPr>
            <w:r>
              <w:rPr>
                <w:w w:val="135"/>
                <w:sz w:val="18"/>
              </w:rPr>
              <w:t>3 (60%) </w:t>
            </w:r>
            <w:r>
              <w:rPr>
                <w:color w:val="E42322"/>
                <w:w w:val="135"/>
                <w:sz w:val="18"/>
              </w:rPr>
              <w:t>(67%)</w:t>
            </w:r>
          </w:p>
        </w:tc>
        <w:tc>
          <w:tcPr>
            <w:tcW w:w="1639" w:type="dxa"/>
          </w:tcPr>
          <w:p>
            <w:pPr>
              <w:pStyle w:val="TableParagraph"/>
              <w:spacing w:before="112"/>
              <w:ind w:left="51"/>
              <w:rPr>
                <w:sz w:val="18"/>
              </w:rPr>
            </w:pPr>
            <w:r>
              <w:rPr>
                <w:w w:val="135"/>
                <w:sz w:val="18"/>
              </w:rPr>
              <w:t>2 (40%) </w:t>
            </w:r>
            <w:r>
              <w:rPr>
                <w:color w:val="E42322"/>
                <w:w w:val="135"/>
                <w:sz w:val="18"/>
              </w:rPr>
              <w:t>(33%)</w:t>
            </w:r>
          </w:p>
        </w:tc>
        <w:tc>
          <w:tcPr>
            <w:tcW w:w="1708" w:type="dxa"/>
          </w:tcPr>
          <w:p>
            <w:pPr>
              <w:pStyle w:val="TableParagraph"/>
              <w:spacing w:before="112"/>
              <w:ind w:left="72"/>
              <w:rPr>
                <w:sz w:val="18"/>
              </w:rPr>
            </w:pPr>
            <w:r>
              <w:rPr>
                <w:w w:val="135"/>
                <w:sz w:val="18"/>
              </w:rPr>
              <w:t>1 (20%) </w:t>
            </w:r>
            <w:r>
              <w:rPr>
                <w:color w:val="E42322"/>
                <w:w w:val="135"/>
                <w:sz w:val="18"/>
              </w:rPr>
              <w:t>(33%)</w:t>
            </w:r>
          </w:p>
        </w:tc>
        <w:tc>
          <w:tcPr>
            <w:tcW w:w="1769" w:type="dxa"/>
          </w:tcPr>
          <w:p>
            <w:pPr>
              <w:pStyle w:val="TableParagraph"/>
              <w:spacing w:before="112"/>
              <w:ind w:left="124"/>
              <w:rPr>
                <w:sz w:val="18"/>
              </w:rPr>
            </w:pPr>
            <w:r>
              <w:rPr>
                <w:w w:val="135"/>
                <w:sz w:val="18"/>
              </w:rPr>
              <w:t>4 (80%) </w:t>
            </w:r>
            <w:r>
              <w:rPr>
                <w:color w:val="E42322"/>
                <w:w w:val="135"/>
                <w:sz w:val="18"/>
              </w:rPr>
              <w:t>(67%)</w:t>
            </w:r>
          </w:p>
        </w:tc>
        <w:tc>
          <w:tcPr>
            <w:tcW w:w="692" w:type="dxa"/>
          </w:tcPr>
          <w:p>
            <w:pPr>
              <w:pStyle w:val="TableParagraph"/>
              <w:spacing w:before="112"/>
              <w:ind w:left="135"/>
              <w:rPr>
                <w:sz w:val="18"/>
              </w:rPr>
            </w:pPr>
            <w:r>
              <w:rPr>
                <w:color w:val="00B050"/>
                <w:w w:val="126"/>
                <w:sz w:val="18"/>
              </w:rPr>
              <w:t>0</w:t>
            </w:r>
          </w:p>
        </w:tc>
      </w:tr>
      <w:tr>
        <w:trPr>
          <w:trHeight w:val="440" w:hRule="atLeast"/>
        </w:trPr>
        <w:tc>
          <w:tcPr>
            <w:tcW w:w="2135" w:type="dxa"/>
          </w:tcPr>
          <w:p>
            <w:pPr>
              <w:pStyle w:val="TableParagraph"/>
              <w:spacing w:before="112"/>
              <w:ind w:left="50"/>
              <w:rPr>
                <w:sz w:val="18"/>
              </w:rPr>
            </w:pPr>
            <w:r>
              <w:rPr>
                <w:w w:val="120"/>
                <w:sz w:val="18"/>
              </w:rPr>
              <w:t>Investment</w:t>
            </w:r>
          </w:p>
        </w:tc>
        <w:tc>
          <w:tcPr>
            <w:tcW w:w="1733" w:type="dxa"/>
          </w:tcPr>
          <w:p>
            <w:pPr>
              <w:pStyle w:val="TableParagraph"/>
              <w:spacing w:before="112"/>
              <w:ind w:left="165"/>
              <w:rPr>
                <w:sz w:val="18"/>
              </w:rPr>
            </w:pPr>
            <w:r>
              <w:rPr>
                <w:w w:val="135"/>
                <w:sz w:val="18"/>
              </w:rPr>
              <w:t>8 (80%) (82%)</w:t>
            </w:r>
          </w:p>
        </w:tc>
        <w:tc>
          <w:tcPr>
            <w:tcW w:w="1639" w:type="dxa"/>
          </w:tcPr>
          <w:p>
            <w:pPr>
              <w:pStyle w:val="TableParagraph"/>
              <w:spacing w:before="112"/>
              <w:ind w:left="51"/>
              <w:rPr>
                <w:sz w:val="18"/>
              </w:rPr>
            </w:pPr>
            <w:r>
              <w:rPr>
                <w:w w:val="135"/>
                <w:sz w:val="18"/>
              </w:rPr>
              <w:t>2 (20%) </w:t>
            </w:r>
            <w:r>
              <w:rPr>
                <w:color w:val="E42322"/>
                <w:w w:val="135"/>
                <w:sz w:val="18"/>
              </w:rPr>
              <w:t>(18%)</w:t>
            </w:r>
          </w:p>
        </w:tc>
        <w:tc>
          <w:tcPr>
            <w:tcW w:w="1708" w:type="dxa"/>
          </w:tcPr>
          <w:p>
            <w:pPr>
              <w:pStyle w:val="TableParagraph"/>
              <w:spacing w:before="112"/>
              <w:ind w:left="72"/>
              <w:rPr>
                <w:sz w:val="18"/>
              </w:rPr>
            </w:pPr>
            <w:r>
              <w:rPr>
                <w:w w:val="135"/>
                <w:sz w:val="18"/>
              </w:rPr>
              <w:t>3 (30%) </w:t>
            </w:r>
            <w:r>
              <w:rPr>
                <w:color w:val="E42322"/>
                <w:w w:val="135"/>
                <w:sz w:val="18"/>
              </w:rPr>
              <w:t>(45%)</w:t>
            </w:r>
          </w:p>
        </w:tc>
        <w:tc>
          <w:tcPr>
            <w:tcW w:w="1769" w:type="dxa"/>
          </w:tcPr>
          <w:p>
            <w:pPr>
              <w:pStyle w:val="TableParagraph"/>
              <w:spacing w:before="112"/>
              <w:ind w:left="125"/>
              <w:rPr>
                <w:sz w:val="18"/>
              </w:rPr>
            </w:pPr>
            <w:r>
              <w:rPr>
                <w:w w:val="135"/>
                <w:sz w:val="18"/>
              </w:rPr>
              <w:t>7 (70%) </w:t>
            </w:r>
            <w:r>
              <w:rPr>
                <w:color w:val="E42322"/>
                <w:w w:val="135"/>
                <w:sz w:val="18"/>
              </w:rPr>
              <w:t>(55%)</w:t>
            </w:r>
          </w:p>
        </w:tc>
        <w:tc>
          <w:tcPr>
            <w:tcW w:w="692" w:type="dxa"/>
          </w:tcPr>
          <w:p>
            <w:pPr>
              <w:pStyle w:val="TableParagraph"/>
              <w:spacing w:before="112"/>
              <w:ind w:left="135"/>
              <w:rPr>
                <w:sz w:val="18"/>
              </w:rPr>
            </w:pPr>
            <w:r>
              <w:rPr>
                <w:color w:val="00B050"/>
                <w:w w:val="126"/>
                <w:sz w:val="18"/>
              </w:rPr>
              <w:t>0</w:t>
            </w:r>
          </w:p>
        </w:tc>
      </w:tr>
      <w:tr>
        <w:trPr>
          <w:trHeight w:val="550" w:hRule="atLeast"/>
        </w:trPr>
        <w:tc>
          <w:tcPr>
            <w:tcW w:w="2135" w:type="dxa"/>
          </w:tcPr>
          <w:p>
            <w:pPr>
              <w:pStyle w:val="TableParagraph"/>
              <w:spacing w:line="220" w:lineRule="atLeast" w:before="112"/>
              <w:ind w:left="50"/>
              <w:rPr>
                <w:sz w:val="18"/>
              </w:rPr>
            </w:pPr>
            <w:r>
              <w:rPr>
                <w:w w:val="120"/>
                <w:sz w:val="18"/>
              </w:rPr>
              <w:t>Westminster College board</w:t>
            </w:r>
          </w:p>
        </w:tc>
        <w:tc>
          <w:tcPr>
            <w:tcW w:w="1733" w:type="dxa"/>
          </w:tcPr>
          <w:p>
            <w:pPr>
              <w:pStyle w:val="TableParagraph"/>
              <w:spacing w:before="2"/>
              <w:ind w:left="0"/>
              <w:rPr>
                <w:sz w:val="27"/>
              </w:rPr>
            </w:pPr>
          </w:p>
          <w:p>
            <w:pPr>
              <w:pStyle w:val="TableParagraph"/>
              <w:spacing w:line="197" w:lineRule="exact" w:before="1"/>
              <w:ind w:left="165"/>
              <w:rPr>
                <w:sz w:val="18"/>
              </w:rPr>
            </w:pPr>
            <w:r>
              <w:rPr>
                <w:w w:val="135"/>
                <w:sz w:val="18"/>
              </w:rPr>
              <w:t>6 (75%)</w:t>
            </w:r>
          </w:p>
        </w:tc>
        <w:tc>
          <w:tcPr>
            <w:tcW w:w="1639" w:type="dxa"/>
          </w:tcPr>
          <w:p>
            <w:pPr>
              <w:pStyle w:val="TableParagraph"/>
              <w:spacing w:before="2"/>
              <w:ind w:left="0"/>
              <w:rPr>
                <w:sz w:val="27"/>
              </w:rPr>
            </w:pPr>
          </w:p>
          <w:p>
            <w:pPr>
              <w:pStyle w:val="TableParagraph"/>
              <w:spacing w:line="197" w:lineRule="exact" w:before="1"/>
              <w:ind w:left="51"/>
              <w:rPr>
                <w:sz w:val="18"/>
              </w:rPr>
            </w:pPr>
            <w:r>
              <w:rPr>
                <w:w w:val="135"/>
                <w:sz w:val="18"/>
              </w:rPr>
              <w:t>2 (25%)</w:t>
            </w:r>
          </w:p>
        </w:tc>
        <w:tc>
          <w:tcPr>
            <w:tcW w:w="1708" w:type="dxa"/>
          </w:tcPr>
          <w:p>
            <w:pPr>
              <w:pStyle w:val="TableParagraph"/>
              <w:spacing w:before="2"/>
              <w:ind w:left="0"/>
              <w:rPr>
                <w:sz w:val="27"/>
              </w:rPr>
            </w:pPr>
          </w:p>
          <w:p>
            <w:pPr>
              <w:pStyle w:val="TableParagraph"/>
              <w:spacing w:line="197" w:lineRule="exact" w:before="1"/>
              <w:ind w:left="72"/>
              <w:rPr>
                <w:sz w:val="18"/>
              </w:rPr>
            </w:pPr>
            <w:r>
              <w:rPr>
                <w:w w:val="135"/>
                <w:sz w:val="18"/>
              </w:rPr>
              <w:t>6 (75%)</w:t>
            </w:r>
          </w:p>
        </w:tc>
        <w:tc>
          <w:tcPr>
            <w:tcW w:w="1769" w:type="dxa"/>
          </w:tcPr>
          <w:p>
            <w:pPr>
              <w:pStyle w:val="TableParagraph"/>
              <w:spacing w:before="2"/>
              <w:ind w:left="0"/>
              <w:rPr>
                <w:sz w:val="27"/>
              </w:rPr>
            </w:pPr>
          </w:p>
          <w:p>
            <w:pPr>
              <w:pStyle w:val="TableParagraph"/>
              <w:spacing w:line="197" w:lineRule="exact" w:before="1"/>
              <w:ind w:left="124"/>
              <w:rPr>
                <w:sz w:val="18"/>
              </w:rPr>
            </w:pPr>
            <w:r>
              <w:rPr>
                <w:w w:val="135"/>
                <w:sz w:val="18"/>
              </w:rPr>
              <w:t>2 (25%)</w:t>
            </w:r>
          </w:p>
        </w:tc>
        <w:tc>
          <w:tcPr>
            <w:tcW w:w="692" w:type="dxa"/>
          </w:tcPr>
          <w:p>
            <w:pPr>
              <w:pStyle w:val="TableParagraph"/>
              <w:spacing w:before="2"/>
              <w:ind w:left="0"/>
              <w:rPr>
                <w:sz w:val="27"/>
              </w:rPr>
            </w:pPr>
          </w:p>
          <w:p>
            <w:pPr>
              <w:pStyle w:val="TableParagraph"/>
              <w:spacing w:line="197" w:lineRule="exact" w:before="1"/>
              <w:ind w:left="135"/>
              <w:rPr>
                <w:sz w:val="18"/>
              </w:rPr>
            </w:pPr>
            <w:r>
              <w:rPr>
                <w:color w:val="00B050"/>
                <w:w w:val="126"/>
                <w:sz w:val="18"/>
              </w:rPr>
              <w:t>0</w:t>
            </w:r>
          </w:p>
        </w:tc>
      </w:tr>
      <w:tr>
        <w:trPr>
          <w:trHeight w:val="328" w:hRule="atLeast"/>
        </w:trPr>
        <w:tc>
          <w:tcPr>
            <w:tcW w:w="2135" w:type="dxa"/>
          </w:tcPr>
          <w:p>
            <w:pPr>
              <w:pStyle w:val="TableParagraph"/>
              <w:ind w:left="0"/>
              <w:rPr>
                <w:rFonts w:ascii="Times New Roman"/>
                <w:sz w:val="20"/>
              </w:rPr>
            </w:pPr>
          </w:p>
        </w:tc>
        <w:tc>
          <w:tcPr>
            <w:tcW w:w="1733" w:type="dxa"/>
          </w:tcPr>
          <w:p>
            <w:pPr>
              <w:pStyle w:val="TableParagraph"/>
              <w:ind w:left="165"/>
              <w:rPr>
                <w:sz w:val="18"/>
              </w:rPr>
            </w:pPr>
            <w:r>
              <w:rPr>
                <w:w w:val="115"/>
                <w:sz w:val="18"/>
              </w:rPr>
              <w:t>----------</w:t>
            </w:r>
          </w:p>
        </w:tc>
        <w:tc>
          <w:tcPr>
            <w:tcW w:w="1639" w:type="dxa"/>
          </w:tcPr>
          <w:p>
            <w:pPr>
              <w:pStyle w:val="TableParagraph"/>
              <w:ind w:left="51"/>
              <w:rPr>
                <w:sz w:val="18"/>
              </w:rPr>
            </w:pPr>
            <w:r>
              <w:rPr>
                <w:w w:val="115"/>
                <w:sz w:val="18"/>
              </w:rPr>
              <w:t>----------</w:t>
            </w:r>
          </w:p>
        </w:tc>
        <w:tc>
          <w:tcPr>
            <w:tcW w:w="1708" w:type="dxa"/>
          </w:tcPr>
          <w:p>
            <w:pPr>
              <w:pStyle w:val="TableParagraph"/>
              <w:ind w:left="72"/>
              <w:rPr>
                <w:sz w:val="18"/>
              </w:rPr>
            </w:pPr>
            <w:r>
              <w:rPr>
                <w:w w:val="115"/>
                <w:sz w:val="18"/>
              </w:rPr>
              <w:t>-----------</w:t>
            </w:r>
          </w:p>
        </w:tc>
        <w:tc>
          <w:tcPr>
            <w:tcW w:w="1769" w:type="dxa"/>
          </w:tcPr>
          <w:p>
            <w:pPr>
              <w:pStyle w:val="TableParagraph"/>
              <w:ind w:left="124"/>
              <w:rPr>
                <w:sz w:val="18"/>
              </w:rPr>
            </w:pPr>
            <w:r>
              <w:rPr>
                <w:w w:val="115"/>
                <w:sz w:val="18"/>
              </w:rPr>
              <w:t>-----------</w:t>
            </w:r>
          </w:p>
        </w:tc>
        <w:tc>
          <w:tcPr>
            <w:tcW w:w="692" w:type="dxa"/>
          </w:tcPr>
          <w:p>
            <w:pPr>
              <w:pStyle w:val="TableParagraph"/>
              <w:ind w:left="0"/>
              <w:rPr>
                <w:rFonts w:ascii="Times New Roman"/>
                <w:sz w:val="20"/>
              </w:rPr>
            </w:pPr>
          </w:p>
        </w:tc>
      </w:tr>
      <w:tr>
        <w:trPr>
          <w:trHeight w:val="329" w:hRule="atLeast"/>
        </w:trPr>
        <w:tc>
          <w:tcPr>
            <w:tcW w:w="2135" w:type="dxa"/>
          </w:tcPr>
          <w:p>
            <w:pPr>
              <w:pStyle w:val="TableParagraph"/>
              <w:ind w:left="0"/>
              <w:rPr>
                <w:rFonts w:ascii="Times New Roman"/>
                <w:sz w:val="20"/>
              </w:rPr>
            </w:pPr>
          </w:p>
        </w:tc>
        <w:tc>
          <w:tcPr>
            <w:tcW w:w="1733" w:type="dxa"/>
          </w:tcPr>
          <w:p>
            <w:pPr>
              <w:pStyle w:val="TableParagraph"/>
              <w:spacing w:line="197" w:lineRule="exact" w:before="112"/>
              <w:ind w:left="165"/>
              <w:rPr>
                <w:sz w:val="18"/>
              </w:rPr>
            </w:pPr>
            <w:r>
              <w:rPr>
                <w:spacing w:val="-3"/>
                <w:w w:val="135"/>
                <w:sz w:val="18"/>
              </w:rPr>
              <w:t>257 </w:t>
            </w:r>
            <w:r>
              <w:rPr>
                <w:spacing w:val="-8"/>
                <w:w w:val="135"/>
                <w:sz w:val="18"/>
              </w:rPr>
              <w:t>(55%) </w:t>
            </w:r>
            <w:r>
              <w:rPr>
                <w:color w:val="E42322"/>
                <w:spacing w:val="-7"/>
                <w:w w:val="135"/>
                <w:sz w:val="18"/>
              </w:rPr>
              <w:t>(57%)</w:t>
            </w:r>
          </w:p>
        </w:tc>
        <w:tc>
          <w:tcPr>
            <w:tcW w:w="1639" w:type="dxa"/>
          </w:tcPr>
          <w:p>
            <w:pPr>
              <w:pStyle w:val="TableParagraph"/>
              <w:spacing w:line="197" w:lineRule="exact" w:before="112"/>
              <w:ind w:left="51"/>
              <w:rPr>
                <w:sz w:val="18"/>
              </w:rPr>
            </w:pPr>
            <w:r>
              <w:rPr>
                <w:w w:val="135"/>
                <w:sz w:val="18"/>
              </w:rPr>
              <w:t>208 </w:t>
            </w:r>
            <w:r>
              <w:rPr>
                <w:spacing w:val="-9"/>
                <w:w w:val="135"/>
                <w:sz w:val="18"/>
              </w:rPr>
              <w:t>(45%) </w:t>
            </w:r>
            <w:r>
              <w:rPr>
                <w:color w:val="E42322"/>
                <w:spacing w:val="-9"/>
                <w:w w:val="135"/>
                <w:sz w:val="18"/>
              </w:rPr>
              <w:t>(43%)</w:t>
            </w:r>
          </w:p>
        </w:tc>
        <w:tc>
          <w:tcPr>
            <w:tcW w:w="1708" w:type="dxa"/>
          </w:tcPr>
          <w:p>
            <w:pPr>
              <w:pStyle w:val="TableParagraph"/>
              <w:spacing w:line="197" w:lineRule="exact" w:before="112"/>
              <w:ind w:left="72"/>
              <w:rPr>
                <w:sz w:val="18"/>
              </w:rPr>
            </w:pPr>
            <w:r>
              <w:rPr>
                <w:w w:val="135"/>
                <w:sz w:val="18"/>
              </w:rPr>
              <w:t>218 (47%) </w:t>
            </w:r>
            <w:r>
              <w:rPr>
                <w:color w:val="E42322"/>
                <w:w w:val="135"/>
                <w:sz w:val="18"/>
              </w:rPr>
              <w:t>(48%)</w:t>
            </w:r>
          </w:p>
        </w:tc>
        <w:tc>
          <w:tcPr>
            <w:tcW w:w="1769" w:type="dxa"/>
          </w:tcPr>
          <w:p>
            <w:pPr>
              <w:pStyle w:val="TableParagraph"/>
              <w:spacing w:line="197" w:lineRule="exact" w:before="112"/>
              <w:ind w:left="124"/>
              <w:rPr>
                <w:sz w:val="18"/>
              </w:rPr>
            </w:pPr>
            <w:r>
              <w:rPr>
                <w:w w:val="135"/>
                <w:sz w:val="18"/>
              </w:rPr>
              <w:t>247 (53%) </w:t>
            </w:r>
            <w:r>
              <w:rPr>
                <w:color w:val="E42322"/>
                <w:w w:val="135"/>
                <w:sz w:val="18"/>
              </w:rPr>
              <w:t>(52%)</w:t>
            </w:r>
          </w:p>
        </w:tc>
        <w:tc>
          <w:tcPr>
            <w:tcW w:w="692" w:type="dxa"/>
          </w:tcPr>
          <w:p>
            <w:pPr>
              <w:pStyle w:val="TableParagraph"/>
              <w:spacing w:line="197" w:lineRule="exact" w:before="112"/>
              <w:ind w:left="135"/>
              <w:rPr>
                <w:sz w:val="18"/>
              </w:rPr>
            </w:pPr>
            <w:r>
              <w:rPr>
                <w:color w:val="00B050"/>
                <w:w w:val="125"/>
                <w:sz w:val="18"/>
              </w:rPr>
              <w:t>30</w:t>
            </w:r>
          </w:p>
        </w:tc>
      </w:tr>
    </w:tbl>
    <w:p>
      <w:pPr>
        <w:spacing w:after="0" w:line="197" w:lineRule="exact"/>
        <w:rPr>
          <w:sz w:val="18"/>
        </w:rPr>
        <w:sectPr>
          <w:headerReference w:type="even" r:id="rId235"/>
          <w:footerReference w:type="even" r:id="rId236"/>
          <w:pgSz w:w="11910" w:h="16840"/>
          <w:pgMar w:header="0" w:footer="647" w:top="0" w:bottom="840" w:left="0" w:right="0"/>
          <w:pgNumType w:start="98"/>
        </w:sectPr>
      </w:pPr>
    </w:p>
    <w:p>
      <w:pPr>
        <w:pStyle w:val="BodyText"/>
      </w:pPr>
      <w:r>
        <w:rPr/>
        <w:pict>
          <v:rect style="position:absolute;margin-left:0pt;margin-top:.000015pt;width:549.207pt;height:841.89pt;mso-position-horizontal-relative:page;mso-position-vertical-relative:page;z-index:-267342848" filled="true" fillcolor="#d3e5c3" stroked="false">
            <v:fill type="solid"/>
            <w10:wrap type="none"/>
          </v:rect>
        </w:pict>
      </w:r>
      <w:r>
        <w:rPr/>
        <w:drawing>
          <wp:anchor distT="0" distB="0" distL="0" distR="0" allowOverlap="1" layoutInCell="1" locked="0" behindDoc="0" simplePos="0" relativeHeight="251934720">
            <wp:simplePos x="0" y="0"/>
            <wp:positionH relativeFrom="page">
              <wp:posOffset>6974928</wp:posOffset>
            </wp:positionH>
            <wp:positionV relativeFrom="page">
              <wp:posOffset>0</wp:posOffset>
            </wp:positionV>
            <wp:extent cx="585063" cy="10692003"/>
            <wp:effectExtent l="0" t="0" r="0" b="0"/>
            <wp:wrapNone/>
            <wp:docPr id="181" name="image25.png"/>
            <wp:cNvGraphicFramePr>
              <a:graphicFrameLocks noChangeAspect="1"/>
            </wp:cNvGraphicFramePr>
            <a:graphic>
              <a:graphicData uri="http://schemas.openxmlformats.org/drawingml/2006/picture">
                <pic:pic>
                  <pic:nvPicPr>
                    <pic:cNvPr id="182" name="image25.png"/>
                    <pic:cNvPicPr/>
                  </pic:nvPicPr>
                  <pic:blipFill>
                    <a:blip r:embed="rId192"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5"/>
        <w:rPr>
          <w:sz w:val="28"/>
        </w:rPr>
      </w:pPr>
    </w:p>
    <w:p>
      <w:pPr>
        <w:pStyle w:val="Heading2"/>
        <w:spacing w:line="213" w:lineRule="auto"/>
        <w:ind w:left="1984" w:right="2004"/>
        <w:rPr>
          <w:b/>
        </w:rPr>
      </w:pPr>
      <w:r>
        <w:rPr/>
        <w:pict>
          <v:shape style="position:absolute;margin-left:554.141174pt;margin-top:-5.989334pt;width:25.9pt;height:339.8pt;mso-position-horizontal-relative:page;mso-position-vertical-relative:paragraph;z-index:251935744" type="#_x0000_t202" filled="false" stroked="false">
            <v:textbox inset="0,0,0,0" style="layout-flow:vertical">
              <w:txbxContent>
                <w:p>
                  <w:pPr>
                    <w:spacing w:before="27"/>
                    <w:ind w:left="20" w:right="0" w:firstLine="0"/>
                    <w:jc w:val="left"/>
                    <w:rPr>
                      <w:sz w:val="39"/>
                    </w:rPr>
                  </w:pPr>
                  <w:r>
                    <w:rPr>
                      <w:color w:val="FFFFFF"/>
                      <w:spacing w:val="8"/>
                      <w:w w:val="120"/>
                      <w:sz w:val="39"/>
                    </w:rPr>
                    <w:t>Inclusive </w:t>
                  </w:r>
                  <w:r>
                    <w:rPr>
                      <w:color w:val="FFFFFF"/>
                      <w:spacing w:val="7"/>
                      <w:w w:val="120"/>
                      <w:sz w:val="39"/>
                    </w:rPr>
                    <w:t>and </w:t>
                  </w:r>
                  <w:r>
                    <w:rPr>
                      <w:color w:val="FFFFFF"/>
                      <w:spacing w:val="9"/>
                      <w:w w:val="120"/>
                      <w:sz w:val="39"/>
                    </w:rPr>
                    <w:t>expansive</w:t>
                  </w:r>
                  <w:r>
                    <w:rPr>
                      <w:color w:val="FFFFFF"/>
                      <w:spacing w:val="-42"/>
                      <w:w w:val="120"/>
                      <w:sz w:val="39"/>
                    </w:rPr>
                    <w:t> </w:t>
                  </w:r>
                  <w:r>
                    <w:rPr>
                      <w:color w:val="FFFFFF"/>
                      <w:spacing w:val="10"/>
                      <w:w w:val="120"/>
                      <w:sz w:val="39"/>
                    </w:rPr>
                    <w:t>language</w:t>
                  </w:r>
                </w:p>
              </w:txbxContent>
            </v:textbox>
            <w10:wrap type="none"/>
          </v:shape>
        </w:pict>
      </w:r>
      <w:r>
        <w:rPr>
          <w:b/>
          <w:color w:val="41A62B"/>
          <w:spacing w:val="-5"/>
          <w:w w:val="110"/>
        </w:rPr>
        <w:t>Equalities committee: </w:t>
      </w:r>
      <w:r>
        <w:rPr>
          <w:b/>
          <w:spacing w:val="-10"/>
          <w:w w:val="110"/>
        </w:rPr>
        <w:t>Inclusive </w:t>
      </w:r>
      <w:r>
        <w:rPr>
          <w:b/>
          <w:spacing w:val="-7"/>
          <w:w w:val="110"/>
        </w:rPr>
        <w:t>and </w:t>
      </w:r>
      <w:r>
        <w:rPr>
          <w:b/>
          <w:spacing w:val="-10"/>
          <w:w w:val="110"/>
        </w:rPr>
        <w:t>expansive </w:t>
      </w:r>
      <w:r>
        <w:rPr>
          <w:b/>
          <w:spacing w:val="-9"/>
          <w:w w:val="110"/>
        </w:rPr>
        <w:t>language</w:t>
      </w:r>
    </w:p>
    <w:p>
      <w:pPr>
        <w:pStyle w:val="BodyText"/>
        <w:spacing w:before="377" w:after="26"/>
        <w:ind w:left="1984"/>
      </w:pPr>
      <w:r>
        <w:rPr>
          <w:w w:val="120"/>
        </w:rPr>
        <w:t>Basic Information</w:t>
      </w:r>
    </w:p>
    <w:tbl>
      <w:tblPr>
        <w:tblW w:w="0" w:type="auto"/>
        <w:jc w:val="left"/>
        <w:tblInd w:w="19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335"/>
      </w:tblGrid>
      <w:tr>
        <w:trPr>
          <w:trHeight w:val="680" w:hRule="atLeast"/>
        </w:trPr>
        <w:tc>
          <w:tcPr>
            <w:tcW w:w="2660" w:type="dxa"/>
            <w:shd w:val="clear" w:color="auto" w:fill="FFFFFF"/>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335" w:type="dxa"/>
            <w:tcBorders>
              <w:right w:val="nil"/>
            </w:tcBorders>
            <w:shd w:val="clear" w:color="auto" w:fill="FFFFFF"/>
          </w:tcPr>
          <w:p>
            <w:pPr>
              <w:pStyle w:val="TableParagraph"/>
              <w:spacing w:line="235" w:lineRule="auto" w:before="145"/>
              <w:ind w:right="2956"/>
              <w:rPr>
                <w:sz w:val="20"/>
              </w:rPr>
            </w:pPr>
            <w:r>
              <w:rPr>
                <w:w w:val="120"/>
                <w:sz w:val="20"/>
              </w:rPr>
              <w:t>Elizabeth Nash </w:t>
            </w:r>
            <w:hyperlink r:id="rId239">
              <w:r>
                <w:rPr>
                  <w:w w:val="120"/>
                  <w:sz w:val="20"/>
                </w:rPr>
                <w:t>Elizabethjnash@gmail.com</w:t>
              </w:r>
            </w:hyperlink>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Action required</w:t>
            </w:r>
          </w:p>
        </w:tc>
        <w:tc>
          <w:tcPr>
            <w:tcW w:w="6335" w:type="dxa"/>
            <w:tcBorders>
              <w:right w:val="nil"/>
            </w:tcBorders>
            <w:shd w:val="clear" w:color="auto" w:fill="FFFFFF"/>
          </w:tcPr>
          <w:p>
            <w:pPr>
              <w:pStyle w:val="TableParagraph"/>
              <w:spacing w:before="141"/>
              <w:rPr>
                <w:sz w:val="20"/>
              </w:rPr>
            </w:pPr>
            <w:r>
              <w:rPr>
                <w:w w:val="120"/>
                <w:sz w:val="20"/>
              </w:rPr>
              <w:t>Decision</w:t>
            </w:r>
          </w:p>
        </w:tc>
      </w:tr>
      <w:tr>
        <w:trPr>
          <w:trHeight w:val="260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Draft resolution(s)</w:t>
            </w:r>
          </w:p>
        </w:tc>
        <w:tc>
          <w:tcPr>
            <w:tcW w:w="6335" w:type="dxa"/>
            <w:tcBorders>
              <w:right w:val="nil"/>
            </w:tcBorders>
            <w:shd w:val="clear" w:color="auto" w:fill="FFFFFF"/>
          </w:tcPr>
          <w:p>
            <w:pPr>
              <w:pStyle w:val="TableParagraph"/>
              <w:spacing w:line="213" w:lineRule="auto" w:before="151"/>
              <w:ind w:right="26"/>
              <w:rPr>
                <w:rFonts w:ascii="Stone Sans II ITC Std Bk" w:hAnsi="Stone Sans II ITC Std Bk"/>
                <w:b/>
                <w:sz w:val="20"/>
              </w:rPr>
            </w:pPr>
            <w:r>
              <w:rPr>
                <w:rFonts w:ascii="Stone Sans II ITC Std Bk" w:hAnsi="Stone Sans II ITC Std Bk"/>
                <w:b/>
                <w:w w:val="110"/>
                <w:sz w:val="20"/>
              </w:rPr>
              <w:t>General Assembly affirms the commitment made in 1984 to use inclusive language in all publications. It now seeks to build on that commitment by encouraging all those who lead and participate in worship, all those who train worship leaders – including resource centres for learning and lay preachers conferences, children’s and youth leaders, local churches and synods, to explore and give intentional consideration to their use of inclusive and expansive language in worship.</w:t>
            </w:r>
          </w:p>
        </w:tc>
      </w:tr>
    </w:tbl>
    <w:p>
      <w:pPr>
        <w:pStyle w:val="BodyText"/>
        <w:rPr>
          <w:sz w:val="24"/>
        </w:rPr>
      </w:pPr>
    </w:p>
    <w:p>
      <w:pPr>
        <w:pStyle w:val="BodyText"/>
        <w:spacing w:before="156" w:after="27"/>
        <w:ind w:left="1984"/>
      </w:pPr>
      <w:r>
        <w:rPr>
          <w:w w:val="120"/>
        </w:rPr>
        <w:t>Summary of Content</w:t>
      </w:r>
    </w:p>
    <w:tbl>
      <w:tblPr>
        <w:tblW w:w="0" w:type="auto"/>
        <w:jc w:val="left"/>
        <w:tblInd w:w="19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335"/>
      </w:tblGrid>
      <w:tr>
        <w:trPr>
          <w:trHeight w:val="116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Subject and aim(s)</w:t>
            </w:r>
          </w:p>
        </w:tc>
        <w:tc>
          <w:tcPr>
            <w:tcW w:w="6335" w:type="dxa"/>
            <w:tcBorders>
              <w:right w:val="nil"/>
            </w:tcBorders>
            <w:shd w:val="clear" w:color="auto" w:fill="FFFFFF"/>
          </w:tcPr>
          <w:p>
            <w:pPr>
              <w:pStyle w:val="TableParagraph"/>
              <w:spacing w:line="235" w:lineRule="auto" w:before="145"/>
              <w:ind w:right="26"/>
              <w:rPr>
                <w:sz w:val="20"/>
              </w:rPr>
            </w:pPr>
            <w:r>
              <w:rPr>
                <w:w w:val="120"/>
                <w:sz w:val="20"/>
              </w:rPr>
              <w:t>The aim is to encourage everyone to think about the language they use in worship, for both human beings and God, and to reflect on the wide range of people who may be excluded by our language.</w:t>
            </w:r>
          </w:p>
        </w:tc>
      </w:tr>
      <w:tr>
        <w:trPr>
          <w:trHeight w:val="212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Main points</w:t>
            </w:r>
          </w:p>
        </w:tc>
        <w:tc>
          <w:tcPr>
            <w:tcW w:w="6335" w:type="dxa"/>
            <w:tcBorders>
              <w:right w:val="nil"/>
            </w:tcBorders>
            <w:shd w:val="clear" w:color="auto" w:fill="FFFFFF"/>
          </w:tcPr>
          <w:p>
            <w:pPr>
              <w:pStyle w:val="TableParagraph"/>
              <w:spacing w:line="235" w:lineRule="auto" w:before="145"/>
              <w:ind w:right="386"/>
              <w:jc w:val="both"/>
              <w:rPr>
                <w:sz w:val="20"/>
              </w:rPr>
            </w:pPr>
            <w:r>
              <w:rPr>
                <w:w w:val="120"/>
                <w:sz w:val="20"/>
              </w:rPr>
              <w:t>Inclusive language affirms all human beings, their sexuality, gender, ethnic and cultural background, stages of maturity, disability, and mental health.</w:t>
            </w:r>
          </w:p>
          <w:p>
            <w:pPr>
              <w:pStyle w:val="TableParagraph"/>
              <w:spacing w:line="235" w:lineRule="auto" w:before="2"/>
              <w:ind w:right="216"/>
              <w:rPr>
                <w:sz w:val="20"/>
              </w:rPr>
            </w:pPr>
            <w:r>
              <w:rPr>
                <w:w w:val="120"/>
                <w:sz w:val="20"/>
              </w:rPr>
              <w:t>Expansive language aims to use as many names and metaphors for God as possible – to stretch the imagination towards God, in order to allow us to discover that there is novelty, challenge and joyful surprise in our encounter with the divine.</w:t>
            </w:r>
          </w:p>
        </w:tc>
      </w:tr>
      <w:tr>
        <w:trPr>
          <w:trHeight w:val="680" w:hRule="atLeast"/>
        </w:trPr>
        <w:tc>
          <w:tcPr>
            <w:tcW w:w="2660" w:type="dxa"/>
            <w:shd w:val="clear" w:color="auto" w:fill="FFFFFF"/>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335" w:type="dxa"/>
            <w:tcBorders>
              <w:right w:val="nil"/>
            </w:tcBorders>
            <w:shd w:val="clear" w:color="auto" w:fill="FFFFFF"/>
          </w:tcPr>
          <w:p>
            <w:pPr>
              <w:pStyle w:val="TableParagraph"/>
              <w:spacing w:before="141"/>
              <w:rPr>
                <w:sz w:val="20"/>
              </w:rPr>
            </w:pPr>
            <w:r>
              <w:rPr>
                <w:w w:val="120"/>
                <w:sz w:val="20"/>
              </w:rPr>
              <w:t>None recent</w:t>
            </w:r>
          </w:p>
        </w:tc>
      </w:tr>
      <w:tr>
        <w:trPr>
          <w:trHeight w:val="680" w:hRule="atLeast"/>
        </w:trPr>
        <w:tc>
          <w:tcPr>
            <w:tcW w:w="2660" w:type="dxa"/>
            <w:shd w:val="clear" w:color="auto" w:fill="FFFFFF"/>
          </w:tcPr>
          <w:p>
            <w:pPr>
              <w:pStyle w:val="TableParagraph"/>
              <w:spacing w:line="213" w:lineRule="auto" w:before="151"/>
              <w:ind w:right="104"/>
              <w:rPr>
                <w:rFonts w:ascii="Stone Sans II ITC Std Bk"/>
                <w:b/>
                <w:sz w:val="20"/>
              </w:rPr>
            </w:pPr>
            <w:r>
              <w:rPr>
                <w:rFonts w:ascii="Stone Sans II ITC Std Bk"/>
                <w:b/>
                <w:w w:val="110"/>
                <w:sz w:val="20"/>
              </w:rPr>
              <w:t>Consultation has taken place with...</w:t>
            </w:r>
          </w:p>
        </w:tc>
        <w:tc>
          <w:tcPr>
            <w:tcW w:w="6335" w:type="dxa"/>
            <w:tcBorders>
              <w:right w:val="nil"/>
            </w:tcBorders>
            <w:shd w:val="clear" w:color="auto" w:fill="FFFFFF"/>
          </w:tcPr>
          <w:p>
            <w:pPr>
              <w:pStyle w:val="TableParagraph"/>
              <w:spacing w:before="141"/>
              <w:rPr>
                <w:sz w:val="20"/>
              </w:rPr>
            </w:pPr>
            <w:r>
              <w:rPr>
                <w:w w:val="120"/>
                <w:sz w:val="20"/>
              </w:rPr>
              <w:t>Mission Council November 2013</w:t>
            </w:r>
          </w:p>
        </w:tc>
      </w:tr>
    </w:tbl>
    <w:p>
      <w:pPr>
        <w:pStyle w:val="BodyText"/>
        <w:rPr>
          <w:sz w:val="24"/>
        </w:rPr>
      </w:pPr>
    </w:p>
    <w:p>
      <w:pPr>
        <w:pStyle w:val="BodyText"/>
        <w:spacing w:before="156" w:after="27"/>
        <w:ind w:left="1984"/>
      </w:pPr>
      <w:r>
        <w:rPr>
          <w:w w:val="120"/>
        </w:rPr>
        <w:t>Summary of Impact</w:t>
      </w:r>
    </w:p>
    <w:tbl>
      <w:tblPr>
        <w:tblW w:w="0" w:type="auto"/>
        <w:jc w:val="left"/>
        <w:tblInd w:w="19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335"/>
      </w:tblGrid>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335" w:type="dxa"/>
            <w:tcBorders>
              <w:right w:val="nil"/>
            </w:tcBorders>
            <w:shd w:val="clear" w:color="auto" w:fill="FFFFFF"/>
          </w:tcPr>
          <w:p>
            <w:pPr>
              <w:pStyle w:val="TableParagraph"/>
              <w:spacing w:before="141"/>
              <w:rPr>
                <w:sz w:val="20"/>
              </w:rPr>
            </w:pPr>
            <w:r>
              <w:rPr>
                <w:w w:val="120"/>
                <w:sz w:val="20"/>
              </w:rPr>
              <w:t>None</w:t>
            </w:r>
          </w:p>
        </w:tc>
      </w:tr>
      <w:tr>
        <w:trPr>
          <w:trHeight w:val="68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335" w:type="dxa"/>
            <w:tcBorders>
              <w:right w:val="nil"/>
            </w:tcBorders>
            <w:shd w:val="clear" w:color="auto" w:fill="FFFFFF"/>
          </w:tcPr>
          <w:p>
            <w:pPr>
              <w:pStyle w:val="TableParagraph"/>
              <w:spacing w:before="141"/>
              <w:rPr>
                <w:sz w:val="20"/>
              </w:rPr>
            </w:pPr>
            <w:r>
              <w:rPr>
                <w:w w:val="120"/>
                <w:sz w:val="20"/>
              </w:rPr>
              <w:t>None at this point</w:t>
            </w:r>
          </w:p>
        </w:tc>
      </w:tr>
    </w:tbl>
    <w:p>
      <w:pPr>
        <w:pStyle w:val="BodyText"/>
        <w:rPr>
          <w:sz w:val="24"/>
        </w:rPr>
      </w:pPr>
    </w:p>
    <w:p>
      <w:pPr>
        <w:pStyle w:val="BodyText"/>
        <w:rPr>
          <w:sz w:val="24"/>
        </w:rPr>
      </w:pPr>
    </w:p>
    <w:p>
      <w:pPr>
        <w:pStyle w:val="BodyText"/>
        <w:rPr>
          <w:sz w:val="24"/>
        </w:rPr>
      </w:pPr>
    </w:p>
    <w:p>
      <w:pPr>
        <w:pStyle w:val="BodyText"/>
        <w:spacing w:before="11"/>
        <w:rPr>
          <w:sz w:val="29"/>
        </w:rPr>
      </w:pPr>
    </w:p>
    <w:p>
      <w:pPr>
        <w:pStyle w:val="Heading8"/>
        <w:spacing w:before="0"/>
        <w:ind w:left="4510"/>
        <w:rPr>
          <w:rFonts w:ascii="Stone Sans II ITC Std X Bd" w:hAnsi="Stone Sans II ITC Std X Bd"/>
          <w:b/>
          <w:sz w:val="24"/>
        </w:rPr>
      </w:pP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2014 </w:t>
      </w:r>
      <w:r>
        <w:rPr>
          <w:rFonts w:ascii="Symbol" w:hAnsi="Symbol"/>
          <w:color w:val="7EAABF"/>
          <w:w w:val="110"/>
        </w:rPr>
        <w:t></w:t>
      </w:r>
      <w:r>
        <w:rPr>
          <w:rFonts w:ascii="Times New Roman" w:hAnsi="Times New Roman"/>
          <w:color w:val="7EAABF"/>
          <w:spacing w:val="51"/>
          <w:w w:val="110"/>
        </w:rPr>
        <w:t> </w:t>
      </w:r>
      <w:r>
        <w:rPr>
          <w:rFonts w:ascii="Stone Sans II ITC Std X Bd" w:hAnsi="Stone Sans II ITC Std X Bd"/>
          <w:b/>
          <w:w w:val="110"/>
          <w:sz w:val="24"/>
        </w:rPr>
        <w:t>99</w:t>
      </w:r>
    </w:p>
    <w:p>
      <w:pPr>
        <w:spacing w:after="0"/>
        <w:rPr>
          <w:rFonts w:ascii="Stone Sans II ITC Std X Bd" w:hAnsi="Stone Sans II ITC Std X Bd"/>
          <w:sz w:val="24"/>
        </w:rPr>
        <w:sectPr>
          <w:headerReference w:type="default" r:id="rId237"/>
          <w:footerReference w:type="default" r:id="rId238"/>
          <w:pgSz w:w="11910" w:h="16840"/>
          <w:pgMar w:header="0" w:footer="0" w:top="0" w:bottom="0" w:left="0" w:right="0"/>
        </w:sectPr>
      </w:pPr>
    </w:p>
    <w:p>
      <w:pPr>
        <w:pStyle w:val="BodyText"/>
        <w:rPr>
          <w:rFonts w:ascii="Stone Sans II ITC Std X Bd"/>
          <w:b/>
        </w:rPr>
      </w:pPr>
      <w:r>
        <w:rPr/>
        <w:drawing>
          <wp:anchor distT="0" distB="0" distL="0" distR="0" allowOverlap="1" layoutInCell="1" locked="0" behindDoc="0" simplePos="0" relativeHeight="251936768">
            <wp:simplePos x="0" y="0"/>
            <wp:positionH relativeFrom="page">
              <wp:posOffset>0</wp:posOffset>
            </wp:positionH>
            <wp:positionV relativeFrom="page">
              <wp:posOffset>0</wp:posOffset>
            </wp:positionV>
            <wp:extent cx="594067" cy="10692003"/>
            <wp:effectExtent l="0" t="0" r="0" b="0"/>
            <wp:wrapNone/>
            <wp:docPr id="183" name="image28.png"/>
            <wp:cNvGraphicFramePr>
              <a:graphicFrameLocks noChangeAspect="1"/>
            </wp:cNvGraphicFramePr>
            <a:graphic>
              <a:graphicData uri="http://schemas.openxmlformats.org/drawingml/2006/picture">
                <pic:pic>
                  <pic:nvPicPr>
                    <pic:cNvPr id="184" name="image28.png"/>
                    <pic:cNvPicPr/>
                  </pic:nvPicPr>
                  <pic:blipFill>
                    <a:blip r:embed="rId198" cstate="print"/>
                    <a:stretch>
                      <a:fillRect/>
                    </a:stretch>
                  </pic:blipFill>
                  <pic:spPr>
                    <a:xfrm>
                      <a:off x="0" y="0"/>
                      <a:ext cx="594067" cy="10692003"/>
                    </a:xfrm>
                    <a:prstGeom prst="rect">
                      <a:avLst/>
                    </a:prstGeom>
                  </pic:spPr>
                </pic:pic>
              </a:graphicData>
            </a:graphic>
          </wp:anchor>
        </w:drawing>
      </w:r>
    </w:p>
    <w:p>
      <w:pPr>
        <w:pStyle w:val="BodyText"/>
        <w:spacing w:before="7"/>
        <w:rPr>
          <w:rFonts w:ascii="Stone Sans II ITC Std X Bd"/>
          <w:b/>
          <w:sz w:val="17"/>
        </w:rPr>
      </w:pPr>
    </w:p>
    <w:p>
      <w:pPr>
        <w:spacing w:before="107"/>
        <w:ind w:left="1247" w:right="0" w:firstLine="0"/>
        <w:jc w:val="left"/>
        <w:rPr>
          <w:sz w:val="26"/>
        </w:rPr>
      </w:pPr>
      <w:r>
        <w:rPr/>
        <w:pict>
          <v:shape style="position:absolute;margin-left:20.519100pt;margin-top:22.643946pt;width:25.9pt;height:339.8pt;mso-position-horizontal-relative:page;mso-position-vertical-relative:paragraph;z-index:251937792" type="#_x0000_t202" filled="false" stroked="false">
            <v:textbox inset="0,0,0,0" style="layout-flow:vertical">
              <w:txbxContent>
                <w:p>
                  <w:pPr>
                    <w:spacing w:before="27"/>
                    <w:ind w:left="20" w:right="0" w:firstLine="0"/>
                    <w:jc w:val="left"/>
                    <w:rPr>
                      <w:sz w:val="39"/>
                    </w:rPr>
                  </w:pPr>
                  <w:r>
                    <w:rPr>
                      <w:color w:val="FFFFFF"/>
                      <w:spacing w:val="8"/>
                      <w:w w:val="120"/>
                      <w:sz w:val="39"/>
                    </w:rPr>
                    <w:t>Inclusive </w:t>
                  </w:r>
                  <w:r>
                    <w:rPr>
                      <w:color w:val="FFFFFF"/>
                      <w:spacing w:val="7"/>
                      <w:w w:val="120"/>
                      <w:sz w:val="39"/>
                    </w:rPr>
                    <w:t>and </w:t>
                  </w:r>
                  <w:r>
                    <w:rPr>
                      <w:color w:val="FFFFFF"/>
                      <w:spacing w:val="9"/>
                      <w:w w:val="120"/>
                      <w:sz w:val="39"/>
                    </w:rPr>
                    <w:t>expansive</w:t>
                  </w:r>
                  <w:r>
                    <w:rPr>
                      <w:color w:val="FFFFFF"/>
                      <w:spacing w:val="-42"/>
                      <w:w w:val="120"/>
                      <w:sz w:val="39"/>
                    </w:rPr>
                    <w:t> </w:t>
                  </w:r>
                  <w:r>
                    <w:rPr>
                      <w:color w:val="FFFFFF"/>
                      <w:spacing w:val="10"/>
                      <w:w w:val="120"/>
                      <w:sz w:val="39"/>
                    </w:rPr>
                    <w:t>language</w:t>
                  </w:r>
                </w:p>
              </w:txbxContent>
            </v:textbox>
            <w10:wrap type="none"/>
          </v:shape>
        </w:pict>
      </w:r>
      <w:r>
        <w:rPr>
          <w:color w:val="7EAABF"/>
          <w:w w:val="115"/>
          <w:sz w:val="26"/>
        </w:rPr>
        <w:t>Equalities</w:t>
      </w:r>
    </w:p>
    <w:p>
      <w:pPr>
        <w:pStyle w:val="BodyText"/>
        <w:spacing w:before="8"/>
        <w:rPr>
          <w:sz w:val="24"/>
        </w:rPr>
      </w:pPr>
    </w:p>
    <w:p>
      <w:pPr>
        <w:spacing w:line="213" w:lineRule="auto" w:before="0"/>
        <w:ind w:left="1247" w:right="2004" w:firstLine="0"/>
        <w:jc w:val="left"/>
        <w:rPr>
          <w:rFonts w:ascii="Stone Sans II ITC Std X Bd"/>
          <w:b/>
          <w:sz w:val="50"/>
        </w:rPr>
      </w:pPr>
      <w:r>
        <w:rPr>
          <w:rFonts w:ascii="Stone Sans II ITC Std X Bd"/>
          <w:b/>
          <w:w w:val="110"/>
          <w:sz w:val="50"/>
        </w:rPr>
        <w:t>Inclusive and expansive language</w:t>
      </w:r>
    </w:p>
    <w:p>
      <w:pPr>
        <w:pStyle w:val="ListParagraph"/>
        <w:numPr>
          <w:ilvl w:val="0"/>
          <w:numId w:val="54"/>
        </w:numPr>
        <w:tabs>
          <w:tab w:pos="1927" w:val="left" w:leader="none"/>
          <w:tab w:pos="1928" w:val="left" w:leader="none"/>
        </w:tabs>
        <w:spacing w:line="235" w:lineRule="auto" w:before="382" w:after="0"/>
        <w:ind w:left="1247" w:right="2313" w:firstLine="0"/>
        <w:jc w:val="left"/>
        <w:rPr>
          <w:sz w:val="20"/>
        </w:rPr>
      </w:pPr>
      <w:r>
        <w:rPr>
          <w:w w:val="120"/>
          <w:sz w:val="20"/>
        </w:rPr>
        <w:t>In </w:t>
      </w:r>
      <w:r>
        <w:rPr>
          <w:spacing w:val="-4"/>
          <w:w w:val="120"/>
          <w:sz w:val="20"/>
        </w:rPr>
        <w:t>1984, </w:t>
      </w:r>
      <w:r>
        <w:rPr>
          <w:w w:val="120"/>
          <w:sz w:val="20"/>
        </w:rPr>
        <w:t>General Assembly agreed by a small majority to use gender, inclusive language in our publications for people, but not for the deity. </w:t>
      </w:r>
      <w:r>
        <w:rPr>
          <w:i/>
          <w:w w:val="120"/>
          <w:sz w:val="20"/>
        </w:rPr>
        <w:t>Rejoice and Sing </w:t>
      </w:r>
      <w:r>
        <w:rPr>
          <w:w w:val="120"/>
          <w:sz w:val="20"/>
        </w:rPr>
        <w:t>and our prayer handbooks reflect that decision. Some of our churches still find</w:t>
      </w:r>
      <w:r>
        <w:rPr>
          <w:spacing w:val="42"/>
          <w:w w:val="120"/>
          <w:sz w:val="20"/>
        </w:rPr>
        <w:t> </w:t>
      </w:r>
      <w:r>
        <w:rPr>
          <w:w w:val="120"/>
          <w:sz w:val="20"/>
        </w:rPr>
        <w:t>inclusive</w:t>
      </w:r>
    </w:p>
    <w:p>
      <w:pPr>
        <w:pStyle w:val="BodyText"/>
        <w:spacing w:line="235" w:lineRule="auto" w:before="2"/>
        <w:ind w:left="1247" w:right="2146"/>
      </w:pPr>
      <w:r>
        <w:rPr>
          <w:w w:val="120"/>
        </w:rPr>
        <w:t>language for people strange; other churches find the use of </w:t>
      </w:r>
      <w:r>
        <w:rPr>
          <w:spacing w:val="-3"/>
          <w:w w:val="120"/>
        </w:rPr>
        <w:t>‘man’ </w:t>
      </w:r>
      <w:r>
        <w:rPr>
          <w:w w:val="120"/>
        </w:rPr>
        <w:t>as if it were a generic term for men and women, equally strange. Perhaps it is worth reminding ourselves   that every Bible we use in English or Welsh is a translation of something written down many</w:t>
      </w:r>
      <w:r>
        <w:rPr>
          <w:spacing w:val="5"/>
          <w:w w:val="120"/>
        </w:rPr>
        <w:t> </w:t>
      </w:r>
      <w:r>
        <w:rPr>
          <w:w w:val="120"/>
        </w:rPr>
        <w:t>centuries</w:t>
      </w:r>
      <w:r>
        <w:rPr>
          <w:spacing w:val="5"/>
          <w:w w:val="120"/>
        </w:rPr>
        <w:t> </w:t>
      </w:r>
      <w:r>
        <w:rPr>
          <w:w w:val="120"/>
        </w:rPr>
        <w:t>ago,</w:t>
      </w:r>
      <w:r>
        <w:rPr>
          <w:spacing w:val="5"/>
          <w:w w:val="120"/>
        </w:rPr>
        <w:t> </w:t>
      </w:r>
      <w:r>
        <w:rPr>
          <w:w w:val="120"/>
        </w:rPr>
        <w:t>and</w:t>
      </w:r>
      <w:r>
        <w:rPr>
          <w:spacing w:val="5"/>
          <w:w w:val="120"/>
        </w:rPr>
        <w:t> </w:t>
      </w:r>
      <w:r>
        <w:rPr>
          <w:w w:val="120"/>
        </w:rPr>
        <w:t>copied</w:t>
      </w:r>
      <w:r>
        <w:rPr>
          <w:spacing w:val="5"/>
          <w:w w:val="120"/>
        </w:rPr>
        <w:t> </w:t>
      </w:r>
      <w:r>
        <w:rPr>
          <w:w w:val="120"/>
        </w:rPr>
        <w:t>many</w:t>
      </w:r>
      <w:r>
        <w:rPr>
          <w:spacing w:val="5"/>
          <w:w w:val="120"/>
        </w:rPr>
        <w:t> </w:t>
      </w:r>
      <w:r>
        <w:rPr>
          <w:w w:val="120"/>
        </w:rPr>
        <w:t>times</w:t>
      </w:r>
      <w:r>
        <w:rPr>
          <w:spacing w:val="5"/>
          <w:w w:val="120"/>
        </w:rPr>
        <w:t> </w:t>
      </w:r>
      <w:r>
        <w:rPr>
          <w:w w:val="120"/>
        </w:rPr>
        <w:t>in</w:t>
      </w:r>
      <w:r>
        <w:rPr>
          <w:spacing w:val="5"/>
          <w:w w:val="120"/>
        </w:rPr>
        <w:t> </w:t>
      </w:r>
      <w:r>
        <w:rPr>
          <w:w w:val="120"/>
        </w:rPr>
        <w:t>a</w:t>
      </w:r>
      <w:r>
        <w:rPr>
          <w:spacing w:val="5"/>
          <w:w w:val="120"/>
        </w:rPr>
        <w:t> </w:t>
      </w:r>
      <w:r>
        <w:rPr>
          <w:w w:val="120"/>
        </w:rPr>
        <w:t>language</w:t>
      </w:r>
      <w:r>
        <w:rPr>
          <w:spacing w:val="5"/>
          <w:w w:val="120"/>
        </w:rPr>
        <w:t> </w:t>
      </w:r>
      <w:r>
        <w:rPr>
          <w:w w:val="120"/>
        </w:rPr>
        <w:t>–</w:t>
      </w:r>
      <w:r>
        <w:rPr>
          <w:spacing w:val="6"/>
          <w:w w:val="120"/>
        </w:rPr>
        <w:t> </w:t>
      </w:r>
      <w:r>
        <w:rPr>
          <w:w w:val="120"/>
        </w:rPr>
        <w:t>Hebrew</w:t>
      </w:r>
      <w:r>
        <w:rPr>
          <w:spacing w:val="5"/>
          <w:w w:val="120"/>
        </w:rPr>
        <w:t> </w:t>
      </w:r>
      <w:r>
        <w:rPr>
          <w:w w:val="120"/>
        </w:rPr>
        <w:t>or</w:t>
      </w:r>
      <w:r>
        <w:rPr>
          <w:spacing w:val="5"/>
          <w:w w:val="120"/>
        </w:rPr>
        <w:t> </w:t>
      </w:r>
      <w:r>
        <w:rPr>
          <w:w w:val="120"/>
        </w:rPr>
        <w:t>Greek</w:t>
      </w:r>
      <w:r>
        <w:rPr>
          <w:spacing w:val="5"/>
          <w:w w:val="120"/>
        </w:rPr>
        <w:t> </w:t>
      </w:r>
      <w:r>
        <w:rPr>
          <w:w w:val="120"/>
        </w:rPr>
        <w:t>–</w:t>
      </w:r>
    </w:p>
    <w:p>
      <w:pPr>
        <w:pStyle w:val="BodyText"/>
        <w:spacing w:line="235" w:lineRule="auto" w:before="3"/>
        <w:ind w:left="1247" w:right="2167"/>
      </w:pPr>
      <w:r>
        <w:rPr>
          <w:w w:val="120"/>
        </w:rPr>
        <w:t>which is entirely different in structure from our modern languages; and, every translation reflects the context, beliefs and language of when it was translated.</w:t>
      </w:r>
    </w:p>
    <w:p>
      <w:pPr>
        <w:pStyle w:val="BodyText"/>
        <w:spacing w:before="9"/>
        <w:rPr>
          <w:sz w:val="19"/>
        </w:rPr>
      </w:pPr>
    </w:p>
    <w:p>
      <w:pPr>
        <w:pStyle w:val="ListParagraph"/>
        <w:numPr>
          <w:ilvl w:val="0"/>
          <w:numId w:val="54"/>
        </w:numPr>
        <w:tabs>
          <w:tab w:pos="1927" w:val="left" w:leader="none"/>
          <w:tab w:pos="1928" w:val="left" w:leader="none"/>
        </w:tabs>
        <w:spacing w:line="235" w:lineRule="auto" w:before="0" w:after="0"/>
        <w:ind w:left="1247" w:right="2118" w:firstLine="0"/>
        <w:jc w:val="left"/>
        <w:rPr>
          <w:sz w:val="20"/>
        </w:rPr>
      </w:pPr>
      <w:r>
        <w:rPr>
          <w:w w:val="120"/>
          <w:sz w:val="20"/>
        </w:rPr>
        <w:t>Inclusivity is not just a question of gender – although we have sometimes used  it as if it were; it is a fundamental issue of social justice. Language that is truly inclusive</w:t>
      </w:r>
    </w:p>
    <w:p>
      <w:pPr>
        <w:pStyle w:val="BodyText"/>
        <w:spacing w:line="235" w:lineRule="auto" w:before="2"/>
        <w:ind w:left="1247" w:right="2046"/>
      </w:pPr>
      <w:r>
        <w:rPr>
          <w:w w:val="120"/>
        </w:rPr>
        <w:t>also affirms sexuality, ethnic and cultural background, stages of maturity and degrees of limiting conditions.  It shows respect for all people.   Scripture proclaims that the world is created, redeemed, and sustained by the Word of God, and the Church attests to the power of language and words, recognising that words have the power to exploit and exclude, as well as to affirm and</w:t>
      </w:r>
      <w:r>
        <w:rPr>
          <w:spacing w:val="11"/>
          <w:w w:val="120"/>
        </w:rPr>
        <w:t> </w:t>
      </w:r>
      <w:r>
        <w:rPr>
          <w:w w:val="120"/>
        </w:rPr>
        <w:t>liberate.</w:t>
      </w:r>
    </w:p>
    <w:p>
      <w:pPr>
        <w:pStyle w:val="BodyText"/>
        <w:spacing w:before="11"/>
        <w:rPr>
          <w:sz w:val="19"/>
        </w:rPr>
      </w:pPr>
    </w:p>
    <w:p>
      <w:pPr>
        <w:pStyle w:val="ListParagraph"/>
        <w:numPr>
          <w:ilvl w:val="0"/>
          <w:numId w:val="54"/>
        </w:numPr>
        <w:tabs>
          <w:tab w:pos="1927" w:val="left" w:leader="none"/>
          <w:tab w:pos="1928" w:val="left" w:leader="none"/>
        </w:tabs>
        <w:spacing w:line="235" w:lineRule="auto" w:before="1" w:after="0"/>
        <w:ind w:left="1247" w:right="2118" w:firstLine="0"/>
        <w:jc w:val="left"/>
        <w:rPr>
          <w:sz w:val="20"/>
        </w:rPr>
      </w:pPr>
      <w:r>
        <w:rPr>
          <w:w w:val="120"/>
          <w:sz w:val="20"/>
        </w:rPr>
        <w:t>In </w:t>
      </w:r>
      <w:r>
        <w:rPr>
          <w:spacing w:val="-4"/>
          <w:w w:val="120"/>
          <w:sz w:val="20"/>
        </w:rPr>
        <w:t>1984,  </w:t>
      </w:r>
      <w:r>
        <w:rPr>
          <w:w w:val="120"/>
          <w:sz w:val="20"/>
        </w:rPr>
        <w:t>the question of the language we use for God seemed to have been   one that the United Reformed Church could not face. But times have changed, and many churches and ministers seek to ensure that male pronouns for God are not used, because God is neither male nor female. Other ministers and churches continue to use male language for God. Does it make a difference to you that the pronouns you use for God are either the same as, or never the same as, the pronouns you use for yourself? While it is not always </w:t>
      </w:r>
      <w:r>
        <w:rPr>
          <w:spacing w:val="-3"/>
          <w:w w:val="120"/>
          <w:sz w:val="20"/>
        </w:rPr>
        <w:t>easy, </w:t>
      </w:r>
      <w:r>
        <w:rPr>
          <w:w w:val="120"/>
          <w:sz w:val="20"/>
        </w:rPr>
        <w:t>it is possible not to use male pronouns for</w:t>
      </w:r>
      <w:r>
        <w:rPr>
          <w:spacing w:val="24"/>
          <w:w w:val="120"/>
          <w:sz w:val="20"/>
        </w:rPr>
        <w:t> </w:t>
      </w:r>
      <w:r>
        <w:rPr>
          <w:w w:val="120"/>
          <w:sz w:val="20"/>
        </w:rPr>
        <w:t>God.</w:t>
      </w:r>
    </w:p>
    <w:p>
      <w:pPr>
        <w:pStyle w:val="BodyText"/>
        <w:spacing w:before="9"/>
        <w:rPr>
          <w:sz w:val="19"/>
        </w:rPr>
      </w:pPr>
    </w:p>
    <w:p>
      <w:pPr>
        <w:pStyle w:val="ListParagraph"/>
        <w:numPr>
          <w:ilvl w:val="0"/>
          <w:numId w:val="54"/>
        </w:numPr>
        <w:tabs>
          <w:tab w:pos="1927" w:val="left" w:leader="none"/>
          <w:tab w:pos="1928" w:val="left" w:leader="none"/>
        </w:tabs>
        <w:spacing w:line="242" w:lineRule="exact" w:before="0" w:after="0"/>
        <w:ind w:left="1927" w:right="0" w:hanging="681"/>
        <w:jc w:val="both"/>
        <w:rPr>
          <w:sz w:val="20"/>
        </w:rPr>
      </w:pPr>
      <w:r>
        <w:rPr>
          <w:w w:val="120"/>
          <w:sz w:val="20"/>
        </w:rPr>
        <w:t>But what about the descriptive words we use for</w:t>
      </w:r>
      <w:r>
        <w:rPr>
          <w:spacing w:val="29"/>
          <w:w w:val="120"/>
          <w:sz w:val="20"/>
        </w:rPr>
        <w:t> </w:t>
      </w:r>
      <w:r>
        <w:rPr>
          <w:w w:val="120"/>
          <w:sz w:val="20"/>
        </w:rPr>
        <w:t>God?</w:t>
      </w:r>
    </w:p>
    <w:p>
      <w:pPr>
        <w:pStyle w:val="BodyText"/>
        <w:spacing w:line="235" w:lineRule="auto" w:before="2"/>
        <w:ind w:left="1247" w:right="2222"/>
        <w:jc w:val="both"/>
      </w:pPr>
      <w:r>
        <w:rPr>
          <w:w w:val="120"/>
        </w:rPr>
        <w:t>“We need language that gives us a fuller picture of the God who birthed us. Then the world will be a softer, safer place and God a God big enough to be worthy enough of belief.” (Joan Chittister)</w:t>
      </w:r>
    </w:p>
    <w:p>
      <w:pPr>
        <w:pStyle w:val="BodyText"/>
        <w:spacing w:before="10"/>
        <w:rPr>
          <w:sz w:val="19"/>
        </w:rPr>
      </w:pPr>
    </w:p>
    <w:p>
      <w:pPr>
        <w:pStyle w:val="ListParagraph"/>
        <w:numPr>
          <w:ilvl w:val="0"/>
          <w:numId w:val="54"/>
        </w:numPr>
        <w:tabs>
          <w:tab w:pos="1927" w:val="left" w:leader="none"/>
          <w:tab w:pos="1928" w:val="left" w:leader="none"/>
        </w:tabs>
        <w:spacing w:line="235" w:lineRule="auto" w:before="0" w:after="0"/>
        <w:ind w:left="1247" w:right="2024" w:firstLine="0"/>
        <w:jc w:val="left"/>
        <w:rPr>
          <w:sz w:val="20"/>
        </w:rPr>
      </w:pPr>
      <w:r>
        <w:rPr>
          <w:w w:val="120"/>
          <w:sz w:val="20"/>
        </w:rPr>
        <w:t>How do we think about who and what God is – what the Spirit of God is </w:t>
      </w:r>
      <w:r>
        <w:rPr>
          <w:spacing w:val="-3"/>
          <w:w w:val="120"/>
          <w:sz w:val="20"/>
        </w:rPr>
        <w:t>like? </w:t>
      </w:r>
      <w:r>
        <w:rPr>
          <w:w w:val="120"/>
          <w:sz w:val="20"/>
        </w:rPr>
        <w:t>Which words and images do we use to describe a God beyond language and pictures? How is the mystery and greatness of God conveyed in metaphors that nourish and sustain </w:t>
      </w:r>
      <w:r>
        <w:rPr>
          <w:spacing w:val="-4"/>
          <w:w w:val="120"/>
          <w:sz w:val="20"/>
        </w:rPr>
        <w:t>us? </w:t>
      </w:r>
      <w:r>
        <w:rPr>
          <w:w w:val="120"/>
          <w:sz w:val="20"/>
        </w:rPr>
        <w:t>Which words do we use to speak to God, to speak of and about God? Are they primarily male adjectives, monarchical nouns and words of habit? In worship, singing, preaching, teaching, and church documents, does our language and imagery   for God embrace many meanings? Do we use words with and without gender, words of inclusivity and</w:t>
      </w:r>
      <w:r>
        <w:rPr>
          <w:spacing w:val="3"/>
          <w:w w:val="120"/>
          <w:sz w:val="20"/>
        </w:rPr>
        <w:t> </w:t>
      </w:r>
      <w:r>
        <w:rPr>
          <w:w w:val="120"/>
          <w:sz w:val="20"/>
        </w:rPr>
        <w:t>wholeness?</w:t>
      </w:r>
    </w:p>
    <w:p>
      <w:pPr>
        <w:pStyle w:val="BodyText"/>
        <w:spacing w:before="2"/>
      </w:pPr>
    </w:p>
    <w:p>
      <w:pPr>
        <w:pStyle w:val="ListParagraph"/>
        <w:numPr>
          <w:ilvl w:val="0"/>
          <w:numId w:val="54"/>
        </w:numPr>
        <w:tabs>
          <w:tab w:pos="1927" w:val="left" w:leader="none"/>
          <w:tab w:pos="1928" w:val="left" w:leader="none"/>
        </w:tabs>
        <w:spacing w:line="235" w:lineRule="auto" w:before="0" w:after="0"/>
        <w:ind w:left="1247" w:right="2418" w:firstLine="0"/>
        <w:jc w:val="left"/>
        <w:rPr>
          <w:sz w:val="20"/>
        </w:rPr>
      </w:pPr>
      <w:r>
        <w:rPr>
          <w:w w:val="120"/>
          <w:sz w:val="20"/>
        </w:rPr>
        <w:t>Words are a human construct. They impact and affect us differently. Each of us knows that words can wound deeply. At the same time, we also know that words have the power to transform, to inspire, and to bring life. Hence, how we speak of and represent God is always a necessary and timely question, lest we continue to misrepresent the</w:t>
      </w:r>
      <w:r>
        <w:rPr>
          <w:spacing w:val="3"/>
          <w:w w:val="120"/>
          <w:sz w:val="20"/>
        </w:rPr>
        <w:t> </w:t>
      </w:r>
      <w:r>
        <w:rPr>
          <w:w w:val="120"/>
          <w:sz w:val="20"/>
        </w:rPr>
        <w:t>divine.</w:t>
      </w:r>
    </w:p>
    <w:p>
      <w:pPr>
        <w:pStyle w:val="BodyText"/>
        <w:spacing w:before="12"/>
        <w:rPr>
          <w:sz w:val="19"/>
        </w:rPr>
      </w:pPr>
    </w:p>
    <w:p>
      <w:pPr>
        <w:pStyle w:val="ListParagraph"/>
        <w:numPr>
          <w:ilvl w:val="0"/>
          <w:numId w:val="54"/>
        </w:numPr>
        <w:tabs>
          <w:tab w:pos="1927" w:val="left" w:leader="none"/>
          <w:tab w:pos="1928" w:val="left" w:leader="none"/>
        </w:tabs>
        <w:spacing w:line="235" w:lineRule="auto" w:before="0" w:after="0"/>
        <w:ind w:left="1247" w:right="1983" w:firstLine="0"/>
        <w:jc w:val="left"/>
        <w:rPr>
          <w:sz w:val="20"/>
        </w:rPr>
      </w:pPr>
      <w:r>
        <w:rPr>
          <w:w w:val="120"/>
          <w:sz w:val="20"/>
        </w:rPr>
        <w:t>Expansive language aims to use as many names and metaphors for God as possible – to stretch the imagination towards God in order to allow us to discover that there is novelty, challenge and joyful surprise in our encounter with the divine. Limiting our language for political, pastoral or personal reasons, we run the risk of domesticating God – or even of making God in our own image. Expansive language, with its broader range of words and metaphors, opens up many more possibilities. Difficult</w:t>
      </w:r>
      <w:r>
        <w:rPr>
          <w:spacing w:val="34"/>
          <w:w w:val="120"/>
          <w:sz w:val="20"/>
        </w:rPr>
        <w:t> </w:t>
      </w:r>
      <w:r>
        <w:rPr>
          <w:w w:val="120"/>
          <w:sz w:val="20"/>
        </w:rPr>
        <w:t>terms</w:t>
      </w:r>
    </w:p>
    <w:p>
      <w:pPr>
        <w:pStyle w:val="BodyText"/>
        <w:ind w:left="1247"/>
      </w:pPr>
      <w:r>
        <w:rPr>
          <w:w w:val="120"/>
        </w:rPr>
        <w:t>are not excised or excluded; rather, they are contextualised within a broad range of</w:t>
      </w:r>
    </w:p>
    <w:p>
      <w:pPr>
        <w:spacing w:after="0"/>
        <w:sectPr>
          <w:headerReference w:type="even" r:id="rId240"/>
          <w:footerReference w:type="even" r:id="rId241"/>
          <w:footerReference w:type="default" r:id="rId242"/>
          <w:pgSz w:w="11910" w:h="16840"/>
          <w:pgMar w:header="0" w:footer="647" w:top="0" w:bottom="840" w:left="0" w:right="0"/>
          <w:pgNumType w:start="100"/>
        </w:sectPr>
      </w:pPr>
    </w:p>
    <w:p>
      <w:pPr>
        <w:pStyle w:val="BodyText"/>
      </w:pPr>
      <w:r>
        <w:rPr/>
        <w:drawing>
          <wp:anchor distT="0" distB="0" distL="0" distR="0" allowOverlap="1" layoutInCell="1" locked="0" behindDoc="0" simplePos="0" relativeHeight="251938816">
            <wp:simplePos x="0" y="0"/>
            <wp:positionH relativeFrom="page">
              <wp:posOffset>6974928</wp:posOffset>
            </wp:positionH>
            <wp:positionV relativeFrom="page">
              <wp:posOffset>0</wp:posOffset>
            </wp:positionV>
            <wp:extent cx="585063" cy="10692003"/>
            <wp:effectExtent l="0" t="0" r="0" b="0"/>
            <wp:wrapNone/>
            <wp:docPr id="185" name="image25.png"/>
            <wp:cNvGraphicFramePr>
              <a:graphicFrameLocks noChangeAspect="1"/>
            </wp:cNvGraphicFramePr>
            <a:graphic>
              <a:graphicData uri="http://schemas.openxmlformats.org/drawingml/2006/picture">
                <pic:pic>
                  <pic:nvPicPr>
                    <pic:cNvPr id="186" name="image25.png"/>
                    <pic:cNvPicPr/>
                  </pic:nvPicPr>
                  <pic:blipFill>
                    <a:blip r:embed="rId192"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339.8pt;mso-position-horizontal-relative:page;mso-position-vertical-relative:paragraph;z-index:251939840" type="#_x0000_t202" filled="false" stroked="false">
            <v:textbox inset="0,0,0,0" style="layout-flow:vertical">
              <w:txbxContent>
                <w:p>
                  <w:pPr>
                    <w:spacing w:before="27"/>
                    <w:ind w:left="20" w:right="0" w:firstLine="0"/>
                    <w:jc w:val="left"/>
                    <w:rPr>
                      <w:sz w:val="39"/>
                    </w:rPr>
                  </w:pPr>
                  <w:r>
                    <w:rPr>
                      <w:color w:val="FFFFFF"/>
                      <w:spacing w:val="8"/>
                      <w:w w:val="120"/>
                      <w:sz w:val="39"/>
                    </w:rPr>
                    <w:t>Inclusive </w:t>
                  </w:r>
                  <w:r>
                    <w:rPr>
                      <w:color w:val="FFFFFF"/>
                      <w:spacing w:val="7"/>
                      <w:w w:val="120"/>
                      <w:sz w:val="39"/>
                    </w:rPr>
                    <w:t>and </w:t>
                  </w:r>
                  <w:r>
                    <w:rPr>
                      <w:color w:val="FFFFFF"/>
                      <w:spacing w:val="9"/>
                      <w:w w:val="120"/>
                      <w:sz w:val="39"/>
                    </w:rPr>
                    <w:t>expansive</w:t>
                  </w:r>
                  <w:r>
                    <w:rPr>
                      <w:color w:val="FFFFFF"/>
                      <w:spacing w:val="-42"/>
                      <w:w w:val="120"/>
                      <w:sz w:val="39"/>
                    </w:rPr>
                    <w:t> </w:t>
                  </w:r>
                  <w:r>
                    <w:rPr>
                      <w:color w:val="FFFFFF"/>
                      <w:spacing w:val="10"/>
                      <w:w w:val="120"/>
                      <w:sz w:val="39"/>
                    </w:rPr>
                    <w:t>language</w:t>
                  </w:r>
                </w:p>
              </w:txbxContent>
            </v:textbox>
            <w10:wrap type="none"/>
          </v:shape>
        </w:pict>
      </w:r>
      <w:r>
        <w:rPr>
          <w:color w:val="7EAABF"/>
          <w:w w:val="110"/>
          <w:sz w:val="26"/>
        </w:rPr>
        <w:t>Equalities</w:t>
      </w:r>
    </w:p>
    <w:p>
      <w:pPr>
        <w:pStyle w:val="BodyText"/>
        <w:spacing w:line="235" w:lineRule="auto" w:before="222"/>
        <w:ind w:left="1984" w:right="1605"/>
      </w:pPr>
      <w:r>
        <w:rPr>
          <w:w w:val="120"/>
        </w:rPr>
        <w:t>language that doesn’t privilege one </w:t>
      </w:r>
      <w:r>
        <w:rPr>
          <w:spacing w:val="2"/>
          <w:w w:val="120"/>
        </w:rPr>
        <w:t>sort </w:t>
      </w:r>
      <w:r>
        <w:rPr>
          <w:w w:val="120"/>
        </w:rPr>
        <w:t>of name above another. Formulations such  as creator-redeemer-sustainer become less loaded with theological problems if they are used alongside the abundance of metaphor within the pages of scripture: God is  a rock, God is </w:t>
      </w:r>
      <w:r>
        <w:rPr>
          <w:spacing w:val="-3"/>
          <w:w w:val="120"/>
        </w:rPr>
        <w:t>water, </w:t>
      </w:r>
      <w:r>
        <w:rPr>
          <w:w w:val="120"/>
        </w:rPr>
        <w:t>God is a shepherd, a lioness, a mother hen. Traditional names such as father, son or lord can find their place when they are moderated by the use  of a plethora of other names, which together serve as a constant reminder that God  is far bigger than any one of them. And, we are able to engage in a conversation with the cloud of witnesses by reading historical texts in the language of other ages, thus recognising that our faith is not merely of the moment, but has an enduring quality.</w:t>
      </w:r>
    </w:p>
    <w:p>
      <w:pPr>
        <w:pStyle w:val="BodyText"/>
        <w:spacing w:before="2"/>
      </w:pPr>
    </w:p>
    <w:p>
      <w:pPr>
        <w:pStyle w:val="ListParagraph"/>
        <w:numPr>
          <w:ilvl w:val="0"/>
          <w:numId w:val="54"/>
        </w:numPr>
        <w:tabs>
          <w:tab w:pos="2664" w:val="left" w:leader="none"/>
          <w:tab w:pos="2665" w:val="left" w:leader="none"/>
        </w:tabs>
        <w:spacing w:line="235" w:lineRule="auto" w:before="0" w:after="0"/>
        <w:ind w:left="1984" w:right="1485" w:firstLine="0"/>
        <w:jc w:val="left"/>
        <w:rPr>
          <w:sz w:val="20"/>
        </w:rPr>
      </w:pPr>
      <w:r>
        <w:rPr>
          <w:w w:val="120"/>
          <w:sz w:val="20"/>
        </w:rPr>
        <w:t>The sheer abundance and diversity of images of God in the Bible bears witness to the futility of focusing on any one image as the ultimate exemplification of God. Unfortunately, over the years, the Church has done just that, by claiming the hetero- white-male-abled-bodied experience to be normative for faith and consequently by naming the deity as male, giving too much agency to strength, aggressiveness and virility. “There is a better balance to find, that allows for movement and space for diversity of perspective in our use of language, word, metaphor and </w:t>
      </w:r>
      <w:r>
        <w:rPr>
          <w:spacing w:val="-3"/>
          <w:w w:val="120"/>
          <w:sz w:val="20"/>
        </w:rPr>
        <w:t>image.” (Gail </w:t>
      </w:r>
      <w:r>
        <w:rPr>
          <w:w w:val="120"/>
          <w:sz w:val="20"/>
        </w:rPr>
        <w:t>Ramshaw, </w:t>
      </w:r>
      <w:r>
        <w:rPr>
          <w:i/>
          <w:w w:val="120"/>
          <w:sz w:val="20"/>
        </w:rPr>
        <w:t>A Metaphorical God,</w:t>
      </w:r>
      <w:r>
        <w:rPr>
          <w:i/>
          <w:spacing w:val="-4"/>
          <w:w w:val="120"/>
          <w:sz w:val="20"/>
        </w:rPr>
        <w:t> </w:t>
      </w:r>
      <w:r>
        <w:rPr>
          <w:spacing w:val="-6"/>
          <w:w w:val="120"/>
          <w:sz w:val="20"/>
        </w:rPr>
        <w:t>1995)</w:t>
      </w:r>
    </w:p>
    <w:p>
      <w:pPr>
        <w:pStyle w:val="BodyText"/>
        <w:spacing w:before="2"/>
      </w:pPr>
    </w:p>
    <w:p>
      <w:pPr>
        <w:pStyle w:val="ListParagraph"/>
        <w:numPr>
          <w:ilvl w:val="0"/>
          <w:numId w:val="54"/>
        </w:numPr>
        <w:tabs>
          <w:tab w:pos="2664" w:val="left" w:leader="none"/>
          <w:tab w:pos="2665" w:val="left" w:leader="none"/>
        </w:tabs>
        <w:spacing w:line="235" w:lineRule="auto" w:before="0" w:after="0"/>
        <w:ind w:left="1984" w:right="1320" w:firstLine="0"/>
        <w:jc w:val="left"/>
        <w:rPr>
          <w:sz w:val="20"/>
        </w:rPr>
      </w:pPr>
      <w:r>
        <w:rPr>
          <w:w w:val="120"/>
          <w:sz w:val="20"/>
        </w:rPr>
        <w:t>So, ‘expansive language’ is used to explore new and respectful language that honours all of God’s people. It is more than just gender inclusive. It also seeks to find words, phrases and images that do not offend or reinforce stereotypes harmful to anyone. </w:t>
      </w:r>
      <w:r>
        <w:rPr>
          <w:spacing w:val="3"/>
          <w:w w:val="120"/>
          <w:sz w:val="20"/>
        </w:rPr>
        <w:t>As </w:t>
      </w:r>
      <w:r>
        <w:rPr>
          <w:w w:val="120"/>
          <w:sz w:val="20"/>
        </w:rPr>
        <w:t>our churches celebrate being multicultural and intercultural communities of faith, welcoming forms and styles of worship not historically or traditionally associated with our origins, the conversation about the use of language becomes more critical,  and more challenging. Expansive language gives us freedom to play with language creatively, to encompass grammatical elegance and poetic beauty, to include unedited ancient language that underlines the historicity and enduring quality of faith. It is an invitation to move out of our comfort zones and to be mutually inconvenienced.</w:t>
      </w:r>
      <w:r>
        <w:rPr>
          <w:spacing w:val="42"/>
          <w:w w:val="120"/>
          <w:sz w:val="20"/>
        </w:rPr>
        <w:t> </w:t>
      </w:r>
      <w:r>
        <w:rPr>
          <w:spacing w:val="-3"/>
          <w:w w:val="120"/>
          <w:sz w:val="20"/>
        </w:rPr>
        <w:t>For,</w:t>
      </w:r>
    </w:p>
    <w:p>
      <w:pPr>
        <w:pStyle w:val="BodyText"/>
        <w:spacing w:line="235" w:lineRule="auto" w:before="7"/>
        <w:ind w:left="1984" w:right="1820"/>
      </w:pPr>
      <w:r>
        <w:rPr>
          <w:w w:val="120"/>
        </w:rPr>
        <w:t>if we are a “rainbow people of God” (Desmond Tutu), it follows that our language needs to reflect that diversity!</w:t>
      </w:r>
    </w:p>
    <w:p>
      <w:pPr>
        <w:pStyle w:val="BodyText"/>
        <w:spacing w:before="10"/>
        <w:rPr>
          <w:sz w:val="19"/>
        </w:rPr>
      </w:pPr>
    </w:p>
    <w:p>
      <w:pPr>
        <w:pStyle w:val="ListParagraph"/>
        <w:numPr>
          <w:ilvl w:val="0"/>
          <w:numId w:val="54"/>
        </w:numPr>
        <w:tabs>
          <w:tab w:pos="2665" w:val="left" w:leader="none"/>
        </w:tabs>
        <w:spacing w:line="235" w:lineRule="auto" w:before="0" w:after="0"/>
        <w:ind w:left="1984" w:right="1675" w:firstLine="0"/>
        <w:jc w:val="both"/>
        <w:rPr>
          <w:sz w:val="20"/>
        </w:rPr>
      </w:pPr>
      <w:r>
        <w:rPr>
          <w:w w:val="120"/>
          <w:sz w:val="20"/>
        </w:rPr>
        <w:t>It is sobering to realise how many different names there are for God from the Scriptures and over 2,000 years of Christian theology, such as: Helper, Lord, servant and friend; compassionate father, a mother who breastfeeds her children and knits, a tigress, a mother hen, a shepherd, a rock and a </w:t>
      </w:r>
      <w:r>
        <w:rPr>
          <w:spacing w:val="-3"/>
          <w:w w:val="120"/>
          <w:sz w:val="20"/>
        </w:rPr>
        <w:t>tower, </w:t>
      </w:r>
      <w:r>
        <w:rPr>
          <w:w w:val="120"/>
          <w:sz w:val="20"/>
        </w:rPr>
        <w:t>a shield and a defense,</w:t>
      </w:r>
      <w:r>
        <w:rPr>
          <w:spacing w:val="24"/>
          <w:w w:val="120"/>
          <w:sz w:val="20"/>
        </w:rPr>
        <w:t> </w:t>
      </w:r>
      <w:r>
        <w:rPr>
          <w:w w:val="120"/>
          <w:sz w:val="20"/>
        </w:rPr>
        <w:t>a</w:t>
      </w:r>
    </w:p>
    <w:p>
      <w:pPr>
        <w:pStyle w:val="BodyText"/>
        <w:spacing w:line="235" w:lineRule="auto" w:before="3"/>
        <w:ind w:left="1984" w:right="1380"/>
      </w:pPr>
      <w:r>
        <w:rPr>
          <w:w w:val="120"/>
        </w:rPr>
        <w:t>landowner, a housekeeper, a baker of bread, a mighty ruler and a powerless infant, the light that enlightens the world, the darkness that is above all light, and the God who is both love and wisdom. At the same time, the God whose name, however close we try to get to it, will always elude us.</w:t>
      </w:r>
    </w:p>
    <w:p>
      <w:pPr>
        <w:pStyle w:val="BodyText"/>
        <w:spacing w:before="11"/>
        <w:rPr>
          <w:sz w:val="19"/>
        </w:rPr>
      </w:pPr>
    </w:p>
    <w:p>
      <w:pPr>
        <w:pStyle w:val="ListParagraph"/>
        <w:numPr>
          <w:ilvl w:val="0"/>
          <w:numId w:val="54"/>
        </w:numPr>
        <w:tabs>
          <w:tab w:pos="2664" w:val="left" w:leader="none"/>
          <w:tab w:pos="2665" w:val="left" w:leader="none"/>
        </w:tabs>
        <w:spacing w:line="235" w:lineRule="auto" w:before="0" w:after="0"/>
        <w:ind w:left="1984" w:right="1634" w:firstLine="0"/>
        <w:jc w:val="left"/>
        <w:rPr>
          <w:sz w:val="20"/>
        </w:rPr>
      </w:pPr>
      <w:r>
        <w:rPr>
          <w:w w:val="120"/>
          <w:sz w:val="20"/>
        </w:rPr>
        <w:t>The equalities committee would like to encourage everyone in the United Reformed Church to think about the language we use in worship, both for ourselves and for God, and therefore proposes the resolution on page</w:t>
      </w:r>
      <w:r>
        <w:rPr>
          <w:spacing w:val="32"/>
          <w:w w:val="120"/>
          <w:sz w:val="20"/>
        </w:rPr>
        <w:t> </w:t>
      </w:r>
      <w:r>
        <w:rPr>
          <w:spacing w:val="-5"/>
          <w:w w:val="120"/>
          <w:sz w:val="20"/>
        </w:rPr>
        <w:t>99.</w:t>
      </w:r>
    </w:p>
    <w:p>
      <w:pPr>
        <w:spacing w:after="0" w:line="235" w:lineRule="auto"/>
        <w:jc w:val="left"/>
        <w:rPr>
          <w:sz w:val="20"/>
        </w:rPr>
        <w:sectPr>
          <w:headerReference w:type="default" r:id="rId243"/>
          <w:pgSz w:w="11910" w:h="16840"/>
          <w:pgMar w:header="0" w:footer="647" w:top="0" w:bottom="840" w:left="0" w:right="0"/>
        </w:sectPr>
      </w:pPr>
    </w:p>
    <w:tbl>
      <w:tblPr>
        <w:tblW w:w="0" w:type="auto"/>
        <w:jc w:val="left"/>
        <w:tblInd w:w="9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
        <w:gridCol w:w="2660"/>
        <w:gridCol w:w="6463"/>
      </w:tblGrid>
      <w:tr>
        <w:trPr>
          <w:trHeight w:val="4242" w:hRule="atLeast"/>
        </w:trPr>
        <w:tc>
          <w:tcPr>
            <w:tcW w:w="9440" w:type="dxa"/>
            <w:gridSpan w:val="3"/>
            <w:tcBorders>
              <w:top w:val="nil"/>
              <w:left w:val="nil"/>
              <w:bottom w:val="nil"/>
              <w:right w:val="nil"/>
            </w:tcBorders>
            <w:shd w:val="clear" w:color="auto" w:fill="D3E5C3"/>
          </w:tcPr>
          <w:p>
            <w:pPr>
              <w:pStyle w:val="TableParagraph"/>
              <w:ind w:left="0"/>
              <w:rPr>
                <w:sz w:val="60"/>
              </w:rPr>
            </w:pPr>
          </w:p>
          <w:p>
            <w:pPr>
              <w:pStyle w:val="TableParagraph"/>
              <w:spacing w:line="220" w:lineRule="auto" w:before="485"/>
              <w:ind w:left="311" w:right="109"/>
              <w:rPr>
                <w:rFonts w:ascii="Stone Sans II ITC Std X Bd" w:hAnsi="Stone Sans II ITC Std X Bd"/>
                <w:b/>
                <w:sz w:val="48"/>
              </w:rPr>
            </w:pPr>
            <w:bookmarkStart w:name="_bookmark19" w:id="23"/>
            <w:bookmarkEnd w:id="23"/>
            <w:r>
              <w:rPr/>
            </w:r>
            <w:r>
              <w:rPr>
                <w:rFonts w:ascii="Stone Sans II ITC Std X Bd" w:hAnsi="Stone Sans II ITC Std X Bd"/>
                <w:b/>
                <w:color w:val="41A62B"/>
                <w:w w:val="110"/>
                <w:sz w:val="50"/>
              </w:rPr>
              <w:t>Faith and order committee: </w:t>
            </w:r>
            <w:r>
              <w:rPr>
                <w:rFonts w:ascii="Stone Sans II ITC Std X Bd" w:hAnsi="Stone Sans II ITC Std X Bd"/>
                <w:b/>
                <w:w w:val="110"/>
                <w:sz w:val="48"/>
              </w:rPr>
              <w:t>What is the Spirit saying to the churches? Affirming the United Reformed Church’s future</w:t>
            </w:r>
          </w:p>
          <w:p>
            <w:pPr>
              <w:pStyle w:val="TableParagraph"/>
              <w:spacing w:before="323"/>
              <w:ind w:left="311"/>
              <w:rPr>
                <w:sz w:val="20"/>
              </w:rPr>
            </w:pPr>
            <w:r>
              <w:rPr>
                <w:w w:val="120"/>
                <w:sz w:val="20"/>
              </w:rPr>
              <w:t>Basic Information</w:t>
            </w:r>
          </w:p>
        </w:tc>
      </w:tr>
      <w:tr>
        <w:trPr>
          <w:trHeight w:val="680" w:hRule="atLeast"/>
        </w:trPr>
        <w:tc>
          <w:tcPr>
            <w:tcW w:w="317" w:type="dxa"/>
            <w:vMerge w:val="restart"/>
            <w:tcBorders>
              <w:top w:val="nil"/>
              <w:left w:val="nil"/>
              <w:bottom w:val="nil"/>
            </w:tcBorders>
            <w:shd w:val="clear" w:color="auto" w:fill="D3E5C3"/>
          </w:tcPr>
          <w:p>
            <w:pPr>
              <w:pStyle w:val="TableParagraph"/>
              <w:ind w:left="0"/>
              <w:rPr>
                <w:rFonts w:ascii="Times New Roman"/>
                <w:sz w:val="24"/>
              </w:rPr>
            </w:pPr>
          </w:p>
        </w:tc>
        <w:tc>
          <w:tcPr>
            <w:tcW w:w="2660" w:type="dxa"/>
            <w:shd w:val="clear" w:color="auto" w:fill="FFFFFF"/>
          </w:tcPr>
          <w:p>
            <w:pPr>
              <w:pStyle w:val="TableParagraph"/>
              <w:spacing w:line="213" w:lineRule="auto" w:before="133"/>
              <w:ind w:left="74" w:right="601"/>
              <w:rPr>
                <w:rFonts w:ascii="Stone Sans II ITC Std Bk"/>
                <w:b/>
                <w:sz w:val="20"/>
              </w:rPr>
            </w:pPr>
            <w:r>
              <w:rPr>
                <w:rFonts w:ascii="Stone Sans II ITC Std Bk"/>
                <w:b/>
                <w:w w:val="110"/>
                <w:sz w:val="20"/>
              </w:rPr>
              <w:t>Contact name and email address</w:t>
            </w:r>
          </w:p>
        </w:tc>
        <w:tc>
          <w:tcPr>
            <w:tcW w:w="6463" w:type="dxa"/>
            <w:tcBorders>
              <w:right w:val="nil"/>
            </w:tcBorders>
            <w:shd w:val="clear" w:color="auto" w:fill="FFFFFF"/>
          </w:tcPr>
          <w:p>
            <w:pPr>
              <w:pStyle w:val="TableParagraph"/>
              <w:spacing w:line="235" w:lineRule="auto" w:before="127"/>
              <w:ind w:left="74" w:right="3107"/>
              <w:rPr>
                <w:sz w:val="20"/>
              </w:rPr>
            </w:pPr>
            <w:r>
              <w:rPr>
                <w:w w:val="120"/>
                <w:sz w:val="20"/>
              </w:rPr>
              <w:t>Elizabeth Welch </w:t>
            </w:r>
            <w:hyperlink r:id="rId246">
              <w:r>
                <w:rPr>
                  <w:w w:val="120"/>
                  <w:sz w:val="20"/>
                </w:rPr>
                <w:t>minister@theroundchapel.org.uk</w:t>
              </w:r>
            </w:hyperlink>
          </w:p>
        </w:tc>
      </w:tr>
      <w:tr>
        <w:trPr>
          <w:trHeight w:val="440" w:hRule="atLeast"/>
        </w:trPr>
        <w:tc>
          <w:tcPr>
            <w:tcW w:w="317" w:type="dxa"/>
            <w:vMerge/>
            <w:tcBorders>
              <w:top w:val="nil"/>
              <w:left w:val="nil"/>
              <w:bottom w:val="nil"/>
            </w:tcBorders>
            <w:shd w:val="clear" w:color="auto" w:fill="D3E5C3"/>
          </w:tcPr>
          <w:p>
            <w:pPr>
              <w:rPr>
                <w:sz w:val="2"/>
                <w:szCs w:val="2"/>
              </w:rPr>
            </w:pPr>
          </w:p>
        </w:tc>
        <w:tc>
          <w:tcPr>
            <w:tcW w:w="2660" w:type="dxa"/>
            <w:shd w:val="clear" w:color="auto" w:fill="FFFFFF"/>
          </w:tcPr>
          <w:p>
            <w:pPr>
              <w:pStyle w:val="TableParagraph"/>
              <w:spacing w:before="111"/>
              <w:ind w:left="74"/>
              <w:rPr>
                <w:rFonts w:ascii="Stone Sans II ITC Std Bk"/>
                <w:b/>
                <w:sz w:val="20"/>
              </w:rPr>
            </w:pPr>
            <w:r>
              <w:rPr>
                <w:rFonts w:ascii="Stone Sans II ITC Std Bk"/>
                <w:b/>
                <w:w w:val="110"/>
                <w:sz w:val="20"/>
              </w:rPr>
              <w:t>Action required</w:t>
            </w:r>
          </w:p>
        </w:tc>
        <w:tc>
          <w:tcPr>
            <w:tcW w:w="6463" w:type="dxa"/>
            <w:tcBorders>
              <w:right w:val="nil"/>
            </w:tcBorders>
            <w:shd w:val="clear" w:color="auto" w:fill="FFFFFF"/>
          </w:tcPr>
          <w:p>
            <w:pPr>
              <w:pStyle w:val="TableParagraph"/>
              <w:spacing w:before="123"/>
              <w:ind w:left="74"/>
              <w:rPr>
                <w:sz w:val="20"/>
              </w:rPr>
            </w:pPr>
            <w:r>
              <w:rPr>
                <w:w w:val="120"/>
                <w:sz w:val="20"/>
              </w:rPr>
              <w:t>Discussion and decision</w:t>
            </w:r>
          </w:p>
        </w:tc>
      </w:tr>
      <w:tr>
        <w:trPr>
          <w:trHeight w:val="4280" w:hRule="atLeast"/>
        </w:trPr>
        <w:tc>
          <w:tcPr>
            <w:tcW w:w="317" w:type="dxa"/>
            <w:vMerge/>
            <w:tcBorders>
              <w:top w:val="nil"/>
              <w:left w:val="nil"/>
              <w:bottom w:val="nil"/>
            </w:tcBorders>
            <w:shd w:val="clear" w:color="auto" w:fill="D3E5C3"/>
          </w:tcPr>
          <w:p>
            <w:pPr>
              <w:rPr>
                <w:sz w:val="2"/>
                <w:szCs w:val="2"/>
              </w:rPr>
            </w:pPr>
          </w:p>
        </w:tc>
        <w:tc>
          <w:tcPr>
            <w:tcW w:w="2660" w:type="dxa"/>
            <w:shd w:val="clear" w:color="auto" w:fill="FFFFFF"/>
          </w:tcPr>
          <w:p>
            <w:pPr>
              <w:pStyle w:val="TableParagraph"/>
              <w:spacing w:before="111"/>
              <w:ind w:left="74"/>
              <w:rPr>
                <w:rFonts w:ascii="Stone Sans II ITC Std Bk"/>
                <w:b/>
                <w:sz w:val="20"/>
              </w:rPr>
            </w:pPr>
            <w:r>
              <w:rPr>
                <w:rFonts w:ascii="Stone Sans II ITC Std Bk"/>
                <w:b/>
                <w:w w:val="110"/>
                <w:sz w:val="20"/>
              </w:rPr>
              <w:t>Draft resolution(s)</w:t>
            </w:r>
          </w:p>
        </w:tc>
        <w:tc>
          <w:tcPr>
            <w:tcW w:w="6463" w:type="dxa"/>
            <w:tcBorders>
              <w:right w:val="nil"/>
            </w:tcBorders>
            <w:shd w:val="clear" w:color="auto" w:fill="FFFFFF"/>
          </w:tcPr>
          <w:p>
            <w:pPr>
              <w:pStyle w:val="TableParagraph"/>
              <w:numPr>
                <w:ilvl w:val="0"/>
                <w:numId w:val="55"/>
              </w:numPr>
              <w:tabs>
                <w:tab w:pos="754" w:val="left" w:leader="none"/>
                <w:tab w:pos="755" w:val="left" w:leader="none"/>
              </w:tabs>
              <w:spacing w:line="213" w:lineRule="auto" w:before="133" w:after="0"/>
              <w:ind w:left="755" w:right="184" w:hanging="681"/>
              <w:jc w:val="left"/>
              <w:rPr>
                <w:rFonts w:ascii="Stone Sans II ITC Std Bk" w:hAnsi="Stone Sans II ITC Std Bk"/>
                <w:b/>
                <w:sz w:val="20"/>
              </w:rPr>
            </w:pPr>
            <w:r>
              <w:rPr>
                <w:rFonts w:ascii="Stone Sans II ITC Std Bk" w:hAnsi="Stone Sans II ITC Std Bk"/>
                <w:b/>
                <w:w w:val="110"/>
                <w:sz w:val="20"/>
              </w:rPr>
              <w:t>General Assembly, affirming the United Reformed Church’s identity as both United and Reformed, gives thanks to God for the particular </w:t>
            </w:r>
            <w:r>
              <w:rPr>
                <w:rFonts w:ascii="Stone Sans II ITC Std Bk" w:hAnsi="Stone Sans II ITC Std Bk"/>
                <w:b/>
                <w:spacing w:val="2"/>
                <w:w w:val="110"/>
                <w:sz w:val="20"/>
              </w:rPr>
              <w:t>gifts </w:t>
            </w:r>
            <w:r>
              <w:rPr>
                <w:rFonts w:ascii="Stone Sans II ITC Std Bk" w:hAnsi="Stone Sans II ITC Std Bk"/>
                <w:b/>
                <w:w w:val="110"/>
                <w:sz w:val="20"/>
              </w:rPr>
              <w:t>of these two threads in the Church’s life, prays for the discernment of the Holy Spirit in the renewal of each, and commits the United Reformed Church to continue with the prophetic calling to unity in both the Church and the</w:t>
            </w:r>
            <w:r>
              <w:rPr>
                <w:rFonts w:ascii="Stone Sans II ITC Std Bk" w:hAnsi="Stone Sans II ITC Std Bk"/>
                <w:b/>
                <w:spacing w:val="-1"/>
                <w:w w:val="110"/>
                <w:sz w:val="20"/>
              </w:rPr>
              <w:t> </w:t>
            </w:r>
            <w:r>
              <w:rPr>
                <w:rFonts w:ascii="Stone Sans II ITC Std Bk" w:hAnsi="Stone Sans II ITC Std Bk"/>
                <w:b/>
                <w:w w:val="110"/>
                <w:sz w:val="20"/>
              </w:rPr>
              <w:t>world.</w:t>
            </w:r>
          </w:p>
          <w:p>
            <w:pPr>
              <w:pStyle w:val="TableParagraph"/>
              <w:numPr>
                <w:ilvl w:val="0"/>
                <w:numId w:val="55"/>
              </w:numPr>
              <w:tabs>
                <w:tab w:pos="754" w:val="left" w:leader="none"/>
                <w:tab w:pos="755" w:val="left" w:leader="none"/>
              </w:tabs>
              <w:spacing w:line="255" w:lineRule="exact" w:before="212" w:after="0"/>
              <w:ind w:left="754" w:right="0" w:hanging="681"/>
              <w:jc w:val="left"/>
              <w:rPr>
                <w:rFonts w:ascii="Stone Sans II ITC Std Bk"/>
                <w:b/>
                <w:sz w:val="20"/>
              </w:rPr>
            </w:pPr>
            <w:r>
              <w:rPr>
                <w:rFonts w:ascii="Stone Sans II ITC Std Bk"/>
                <w:b/>
                <w:w w:val="110"/>
                <w:sz w:val="20"/>
              </w:rPr>
              <w:t>The General Assembly commends the</w:t>
            </w:r>
            <w:r>
              <w:rPr>
                <w:rFonts w:ascii="Stone Sans II ITC Std Bk"/>
                <w:b/>
                <w:spacing w:val="3"/>
                <w:w w:val="110"/>
                <w:sz w:val="20"/>
              </w:rPr>
              <w:t> </w:t>
            </w:r>
            <w:r>
              <w:rPr>
                <w:rFonts w:ascii="Stone Sans II ITC Std Bk"/>
                <w:b/>
                <w:w w:val="110"/>
                <w:sz w:val="20"/>
              </w:rPr>
              <w:t>paper</w:t>
            </w:r>
          </w:p>
          <w:p>
            <w:pPr>
              <w:pStyle w:val="TableParagraph"/>
              <w:spacing w:line="213" w:lineRule="auto" w:before="7"/>
              <w:ind w:left="755" w:right="189"/>
              <w:rPr>
                <w:rFonts w:ascii="Stone Sans II ITC Std Bk" w:hAnsi="Stone Sans II ITC Std Bk"/>
                <w:b/>
                <w:sz w:val="20"/>
              </w:rPr>
            </w:pPr>
            <w:r>
              <w:rPr>
                <w:rFonts w:ascii="Stone Sans II ITC Std Bk" w:hAnsi="Stone Sans II ITC Std Bk"/>
                <w:b/>
                <w:i/>
                <w:w w:val="110"/>
                <w:sz w:val="20"/>
              </w:rPr>
              <w:t>What is the Spirit saying to the Churches? Affirming the </w:t>
            </w:r>
            <w:r>
              <w:rPr>
                <w:rFonts w:ascii="Stone Sans II ITC Std Bk" w:hAnsi="Stone Sans II ITC Std Bk"/>
                <w:b/>
                <w:i/>
                <w:w w:val="110"/>
                <w:sz w:val="20"/>
              </w:rPr>
              <w:t>United Reformed Church’s future </w:t>
            </w:r>
            <w:r>
              <w:rPr>
                <w:rFonts w:ascii="Stone Sans II ITC Std Bk" w:hAnsi="Stone Sans II ITC Std Bk"/>
                <w:b/>
                <w:w w:val="110"/>
                <w:sz w:val="20"/>
              </w:rPr>
              <w:t>for further study and reflection. Assembly invites people and councils at each level of the Church to feed back comments to the faith and order committee</w:t>
            </w:r>
            <w:r>
              <w:rPr>
                <w:rFonts w:ascii="Stone Sans II ITC Std Bk" w:hAnsi="Stone Sans II ITC Std Bk"/>
                <w:b/>
                <w:spacing w:val="2"/>
                <w:w w:val="110"/>
                <w:sz w:val="20"/>
              </w:rPr>
              <w:t> </w:t>
            </w:r>
            <w:r>
              <w:rPr>
                <w:rFonts w:ascii="Stone Sans II ITC Std Bk" w:hAnsi="Stone Sans II ITC Std Bk"/>
                <w:b/>
                <w:w w:val="110"/>
                <w:sz w:val="20"/>
              </w:rPr>
              <w:t>by</w:t>
            </w:r>
          </w:p>
          <w:p>
            <w:pPr>
              <w:pStyle w:val="TableParagraph"/>
              <w:spacing w:line="245" w:lineRule="exact"/>
              <w:ind w:left="755"/>
              <w:rPr>
                <w:rFonts w:ascii="Stone Sans II ITC Std Bk"/>
                <w:b/>
                <w:sz w:val="20"/>
              </w:rPr>
            </w:pPr>
            <w:r>
              <w:rPr>
                <w:rFonts w:ascii="Stone Sans II ITC Std Bk"/>
                <w:b/>
                <w:w w:val="110"/>
                <w:sz w:val="20"/>
              </w:rPr>
              <w:t>July 2015.</w:t>
            </w:r>
          </w:p>
        </w:tc>
      </w:tr>
      <w:tr>
        <w:trPr>
          <w:trHeight w:val="640" w:hRule="atLeast"/>
        </w:trPr>
        <w:tc>
          <w:tcPr>
            <w:tcW w:w="9440" w:type="dxa"/>
            <w:gridSpan w:val="3"/>
            <w:tcBorders>
              <w:top w:val="nil"/>
              <w:left w:val="nil"/>
              <w:bottom w:val="nil"/>
              <w:right w:val="nil"/>
            </w:tcBorders>
            <w:shd w:val="clear" w:color="auto" w:fill="D3E5C3"/>
          </w:tcPr>
          <w:p>
            <w:pPr>
              <w:pStyle w:val="TableParagraph"/>
              <w:spacing w:before="9"/>
              <w:ind w:left="0"/>
              <w:rPr>
                <w:sz w:val="28"/>
              </w:rPr>
            </w:pPr>
          </w:p>
          <w:p>
            <w:pPr>
              <w:pStyle w:val="TableParagraph"/>
              <w:spacing w:before="1"/>
              <w:ind w:left="311"/>
              <w:rPr>
                <w:sz w:val="20"/>
              </w:rPr>
            </w:pPr>
            <w:r>
              <w:rPr>
                <w:w w:val="120"/>
                <w:sz w:val="20"/>
              </w:rPr>
              <w:t>Summary of Content</w:t>
            </w:r>
          </w:p>
        </w:tc>
      </w:tr>
      <w:tr>
        <w:trPr>
          <w:trHeight w:val="440" w:hRule="atLeast"/>
        </w:trPr>
        <w:tc>
          <w:tcPr>
            <w:tcW w:w="317" w:type="dxa"/>
            <w:vMerge w:val="restart"/>
            <w:tcBorders>
              <w:top w:val="nil"/>
              <w:left w:val="nil"/>
              <w:bottom w:val="nil"/>
            </w:tcBorders>
            <w:shd w:val="clear" w:color="auto" w:fill="D3E5C3"/>
          </w:tcPr>
          <w:p>
            <w:pPr>
              <w:pStyle w:val="TableParagraph"/>
              <w:ind w:left="0"/>
              <w:rPr>
                <w:rFonts w:ascii="Times New Roman"/>
                <w:sz w:val="24"/>
              </w:rPr>
            </w:pPr>
          </w:p>
        </w:tc>
        <w:tc>
          <w:tcPr>
            <w:tcW w:w="2660" w:type="dxa"/>
            <w:shd w:val="clear" w:color="auto" w:fill="FFFFFF"/>
          </w:tcPr>
          <w:p>
            <w:pPr>
              <w:pStyle w:val="TableParagraph"/>
              <w:spacing w:before="111"/>
              <w:ind w:left="74"/>
              <w:rPr>
                <w:rFonts w:ascii="Stone Sans II ITC Std Bk"/>
                <w:b/>
                <w:sz w:val="20"/>
              </w:rPr>
            </w:pPr>
            <w:r>
              <w:rPr>
                <w:rFonts w:ascii="Stone Sans II ITC Std Bk"/>
                <w:b/>
                <w:w w:val="110"/>
                <w:sz w:val="20"/>
              </w:rPr>
              <w:t>Subject and aim(s)</w:t>
            </w:r>
          </w:p>
        </w:tc>
        <w:tc>
          <w:tcPr>
            <w:tcW w:w="6463" w:type="dxa"/>
            <w:tcBorders>
              <w:right w:val="nil"/>
            </w:tcBorders>
            <w:shd w:val="clear" w:color="auto" w:fill="FFFFFF"/>
          </w:tcPr>
          <w:p>
            <w:pPr>
              <w:pStyle w:val="TableParagraph"/>
              <w:spacing w:before="123"/>
              <w:ind w:left="74"/>
              <w:rPr>
                <w:sz w:val="20"/>
              </w:rPr>
            </w:pPr>
            <w:r>
              <w:rPr>
                <w:w w:val="120"/>
                <w:sz w:val="20"/>
              </w:rPr>
              <w:t>Discernment with regard to the future of the Church</w:t>
            </w:r>
          </w:p>
        </w:tc>
      </w:tr>
      <w:tr>
        <w:trPr>
          <w:trHeight w:val="920" w:hRule="atLeast"/>
        </w:trPr>
        <w:tc>
          <w:tcPr>
            <w:tcW w:w="317" w:type="dxa"/>
            <w:vMerge/>
            <w:tcBorders>
              <w:top w:val="nil"/>
              <w:left w:val="nil"/>
              <w:bottom w:val="nil"/>
            </w:tcBorders>
            <w:shd w:val="clear" w:color="auto" w:fill="D3E5C3"/>
          </w:tcPr>
          <w:p>
            <w:pPr>
              <w:rPr>
                <w:sz w:val="2"/>
                <w:szCs w:val="2"/>
              </w:rPr>
            </w:pPr>
          </w:p>
        </w:tc>
        <w:tc>
          <w:tcPr>
            <w:tcW w:w="2660" w:type="dxa"/>
            <w:shd w:val="clear" w:color="auto" w:fill="FFFFFF"/>
          </w:tcPr>
          <w:p>
            <w:pPr>
              <w:pStyle w:val="TableParagraph"/>
              <w:spacing w:before="111"/>
              <w:ind w:left="74"/>
              <w:rPr>
                <w:rFonts w:ascii="Stone Sans II ITC Std Bk"/>
                <w:b/>
                <w:sz w:val="20"/>
              </w:rPr>
            </w:pPr>
            <w:r>
              <w:rPr>
                <w:rFonts w:ascii="Stone Sans II ITC Std Bk"/>
                <w:b/>
                <w:w w:val="110"/>
                <w:sz w:val="20"/>
              </w:rPr>
              <w:t>Main points</w:t>
            </w:r>
          </w:p>
        </w:tc>
        <w:tc>
          <w:tcPr>
            <w:tcW w:w="6463" w:type="dxa"/>
            <w:tcBorders>
              <w:right w:val="nil"/>
            </w:tcBorders>
            <w:shd w:val="clear" w:color="auto" w:fill="FFFFFF"/>
          </w:tcPr>
          <w:p>
            <w:pPr>
              <w:pStyle w:val="TableParagraph"/>
              <w:spacing w:line="235" w:lineRule="auto" w:before="127"/>
              <w:ind w:left="74" w:right="173"/>
              <w:rPr>
                <w:sz w:val="20"/>
              </w:rPr>
            </w:pPr>
            <w:r>
              <w:rPr>
                <w:w w:val="120"/>
                <w:sz w:val="20"/>
              </w:rPr>
              <w:t>Seeing the particular calling of the United Reformed Church,   in the context of the range of Churches and the diversity of the secular world in the United</w:t>
            </w:r>
            <w:r>
              <w:rPr>
                <w:spacing w:val="15"/>
                <w:w w:val="120"/>
                <w:sz w:val="20"/>
              </w:rPr>
              <w:t> </w:t>
            </w:r>
            <w:r>
              <w:rPr>
                <w:w w:val="120"/>
                <w:sz w:val="20"/>
              </w:rPr>
              <w:t>Kingdom</w:t>
            </w:r>
          </w:p>
        </w:tc>
      </w:tr>
      <w:tr>
        <w:trPr>
          <w:trHeight w:val="1640" w:hRule="atLeast"/>
        </w:trPr>
        <w:tc>
          <w:tcPr>
            <w:tcW w:w="317" w:type="dxa"/>
            <w:vMerge/>
            <w:tcBorders>
              <w:top w:val="nil"/>
              <w:left w:val="nil"/>
              <w:bottom w:val="nil"/>
            </w:tcBorders>
            <w:shd w:val="clear" w:color="auto" w:fill="D3E5C3"/>
          </w:tcPr>
          <w:p>
            <w:pPr>
              <w:rPr>
                <w:sz w:val="2"/>
                <w:szCs w:val="2"/>
              </w:rPr>
            </w:pPr>
          </w:p>
        </w:tc>
        <w:tc>
          <w:tcPr>
            <w:tcW w:w="2660" w:type="dxa"/>
            <w:shd w:val="clear" w:color="auto" w:fill="FFFFFF"/>
          </w:tcPr>
          <w:p>
            <w:pPr>
              <w:pStyle w:val="TableParagraph"/>
              <w:spacing w:line="213" w:lineRule="auto" w:before="133"/>
              <w:ind w:left="74" w:right="707"/>
              <w:rPr>
                <w:rFonts w:ascii="Stone Sans II ITC Std Bk"/>
                <w:b/>
                <w:sz w:val="20"/>
              </w:rPr>
            </w:pPr>
            <w:r>
              <w:rPr>
                <w:rFonts w:ascii="Stone Sans II ITC Std Bk"/>
                <w:b/>
                <w:w w:val="110"/>
                <w:sz w:val="20"/>
              </w:rPr>
              <w:t>Previous relevant documents</w:t>
            </w:r>
          </w:p>
        </w:tc>
        <w:tc>
          <w:tcPr>
            <w:tcW w:w="6463" w:type="dxa"/>
            <w:tcBorders>
              <w:right w:val="nil"/>
            </w:tcBorders>
            <w:shd w:val="clear" w:color="auto" w:fill="FFFFFF"/>
          </w:tcPr>
          <w:p>
            <w:pPr>
              <w:pStyle w:val="TableParagraph"/>
              <w:spacing w:line="235" w:lineRule="auto" w:before="127"/>
              <w:ind w:left="74" w:right="351"/>
              <w:rPr>
                <w:sz w:val="20"/>
              </w:rPr>
            </w:pPr>
            <w:r>
              <w:rPr>
                <w:w w:val="120"/>
                <w:sz w:val="20"/>
              </w:rPr>
              <w:t>Paper A1 Mission Council May 2013, the statement on the nature, faith and order of the United Reformed Church, Basis of Union, statement on the URC’s ecumenical engagement and the Busan Assembly statement of the World Council of Churches. These documents are available on the website linked to this report.</w:t>
            </w:r>
          </w:p>
        </w:tc>
      </w:tr>
      <w:tr>
        <w:trPr>
          <w:trHeight w:val="680" w:hRule="atLeast"/>
        </w:trPr>
        <w:tc>
          <w:tcPr>
            <w:tcW w:w="317" w:type="dxa"/>
            <w:vMerge/>
            <w:tcBorders>
              <w:top w:val="nil"/>
              <w:left w:val="nil"/>
              <w:bottom w:val="nil"/>
            </w:tcBorders>
            <w:shd w:val="clear" w:color="auto" w:fill="D3E5C3"/>
          </w:tcPr>
          <w:p>
            <w:pPr>
              <w:rPr>
                <w:sz w:val="2"/>
                <w:szCs w:val="2"/>
              </w:rPr>
            </w:pPr>
          </w:p>
        </w:tc>
        <w:tc>
          <w:tcPr>
            <w:tcW w:w="2660" w:type="dxa"/>
            <w:shd w:val="clear" w:color="auto" w:fill="FFFFFF"/>
          </w:tcPr>
          <w:p>
            <w:pPr>
              <w:pStyle w:val="TableParagraph"/>
              <w:spacing w:line="213" w:lineRule="auto" w:before="133"/>
              <w:ind w:left="74" w:right="110"/>
              <w:rPr>
                <w:rFonts w:ascii="Stone Sans II ITC Std Bk"/>
                <w:b/>
                <w:sz w:val="20"/>
              </w:rPr>
            </w:pPr>
            <w:r>
              <w:rPr>
                <w:rFonts w:ascii="Stone Sans II ITC Std Bk"/>
                <w:b/>
                <w:w w:val="110"/>
                <w:sz w:val="20"/>
              </w:rPr>
              <w:t>Consultation has taken place with...</w:t>
            </w:r>
          </w:p>
        </w:tc>
        <w:tc>
          <w:tcPr>
            <w:tcW w:w="6463" w:type="dxa"/>
            <w:tcBorders>
              <w:right w:val="nil"/>
            </w:tcBorders>
            <w:shd w:val="clear" w:color="auto" w:fill="FFFFFF"/>
          </w:tcPr>
          <w:p>
            <w:pPr>
              <w:pStyle w:val="TableParagraph"/>
              <w:spacing w:before="123"/>
              <w:ind w:left="74"/>
              <w:rPr>
                <w:sz w:val="20"/>
              </w:rPr>
            </w:pPr>
            <w:r>
              <w:rPr>
                <w:w w:val="120"/>
                <w:sz w:val="20"/>
              </w:rPr>
              <w:t>Mission Council</w:t>
            </w:r>
          </w:p>
        </w:tc>
      </w:tr>
      <w:tr>
        <w:trPr>
          <w:trHeight w:val="660" w:hRule="atLeast"/>
        </w:trPr>
        <w:tc>
          <w:tcPr>
            <w:tcW w:w="9440" w:type="dxa"/>
            <w:gridSpan w:val="3"/>
            <w:tcBorders>
              <w:top w:val="nil"/>
              <w:left w:val="nil"/>
              <w:bottom w:val="nil"/>
              <w:right w:val="nil"/>
            </w:tcBorders>
            <w:shd w:val="clear" w:color="auto" w:fill="D3E5C3"/>
          </w:tcPr>
          <w:p>
            <w:pPr>
              <w:pStyle w:val="TableParagraph"/>
              <w:spacing w:before="5"/>
              <w:ind w:left="0"/>
              <w:rPr>
                <w:sz w:val="30"/>
              </w:rPr>
            </w:pPr>
          </w:p>
          <w:p>
            <w:pPr>
              <w:pStyle w:val="TableParagraph"/>
              <w:ind w:left="311"/>
              <w:rPr>
                <w:sz w:val="20"/>
              </w:rPr>
            </w:pPr>
            <w:r>
              <w:rPr>
                <w:w w:val="120"/>
                <w:sz w:val="20"/>
              </w:rPr>
              <w:t>Summary of Impact</w:t>
            </w:r>
          </w:p>
        </w:tc>
      </w:tr>
      <w:tr>
        <w:trPr>
          <w:trHeight w:val="440" w:hRule="atLeast"/>
        </w:trPr>
        <w:tc>
          <w:tcPr>
            <w:tcW w:w="317" w:type="dxa"/>
            <w:vMerge w:val="restart"/>
            <w:tcBorders>
              <w:top w:val="nil"/>
              <w:left w:val="nil"/>
              <w:bottom w:val="nil"/>
            </w:tcBorders>
            <w:shd w:val="clear" w:color="auto" w:fill="D3E5C3"/>
          </w:tcPr>
          <w:p>
            <w:pPr>
              <w:pStyle w:val="TableParagraph"/>
              <w:ind w:left="0"/>
              <w:rPr>
                <w:rFonts w:ascii="Times New Roman"/>
                <w:sz w:val="24"/>
              </w:rPr>
            </w:pPr>
          </w:p>
        </w:tc>
        <w:tc>
          <w:tcPr>
            <w:tcW w:w="2660" w:type="dxa"/>
            <w:shd w:val="clear" w:color="auto" w:fill="FFFFFF"/>
          </w:tcPr>
          <w:p>
            <w:pPr>
              <w:pStyle w:val="TableParagraph"/>
              <w:spacing w:before="111"/>
              <w:ind w:left="74"/>
              <w:rPr>
                <w:rFonts w:ascii="Stone Sans II ITC Std Bk"/>
                <w:b/>
                <w:sz w:val="20"/>
              </w:rPr>
            </w:pPr>
            <w:r>
              <w:rPr>
                <w:rFonts w:ascii="Stone Sans II ITC Std Bk"/>
                <w:b/>
                <w:w w:val="110"/>
                <w:sz w:val="20"/>
              </w:rPr>
              <w:t>Financial</w:t>
            </w:r>
          </w:p>
        </w:tc>
        <w:tc>
          <w:tcPr>
            <w:tcW w:w="6463" w:type="dxa"/>
            <w:tcBorders>
              <w:right w:val="nil"/>
            </w:tcBorders>
            <w:shd w:val="clear" w:color="auto" w:fill="FFFFFF"/>
          </w:tcPr>
          <w:p>
            <w:pPr>
              <w:pStyle w:val="TableParagraph"/>
              <w:spacing w:before="123"/>
              <w:ind w:left="74"/>
              <w:rPr>
                <w:sz w:val="20"/>
              </w:rPr>
            </w:pPr>
            <w:r>
              <w:rPr>
                <w:w w:val="120"/>
                <w:sz w:val="20"/>
              </w:rPr>
              <w:t>Not immediate</w:t>
            </w:r>
          </w:p>
        </w:tc>
      </w:tr>
      <w:tr>
        <w:trPr>
          <w:trHeight w:val="680" w:hRule="atLeast"/>
        </w:trPr>
        <w:tc>
          <w:tcPr>
            <w:tcW w:w="317" w:type="dxa"/>
            <w:vMerge/>
            <w:tcBorders>
              <w:top w:val="nil"/>
              <w:left w:val="nil"/>
              <w:bottom w:val="nil"/>
            </w:tcBorders>
            <w:shd w:val="clear" w:color="auto" w:fill="D3E5C3"/>
          </w:tcPr>
          <w:p>
            <w:pPr>
              <w:rPr>
                <w:sz w:val="2"/>
                <w:szCs w:val="2"/>
              </w:rPr>
            </w:pPr>
          </w:p>
        </w:tc>
        <w:tc>
          <w:tcPr>
            <w:tcW w:w="2660" w:type="dxa"/>
            <w:shd w:val="clear" w:color="auto" w:fill="FFFFFF"/>
          </w:tcPr>
          <w:p>
            <w:pPr>
              <w:pStyle w:val="TableParagraph"/>
              <w:spacing w:line="255" w:lineRule="exact" w:before="111"/>
              <w:ind w:left="74"/>
              <w:rPr>
                <w:rFonts w:ascii="Stone Sans II ITC Std Bk"/>
                <w:b/>
                <w:sz w:val="20"/>
              </w:rPr>
            </w:pPr>
            <w:r>
              <w:rPr>
                <w:rFonts w:ascii="Stone Sans II ITC Std Bk"/>
                <w:b/>
                <w:w w:val="110"/>
                <w:sz w:val="20"/>
              </w:rPr>
              <w:t>External</w:t>
            </w:r>
          </w:p>
          <w:p>
            <w:pPr>
              <w:pStyle w:val="TableParagraph"/>
              <w:spacing w:line="255" w:lineRule="exact"/>
              <w:ind w:left="74"/>
              <w:rPr>
                <w:rFonts w:ascii="Stone Sans II ITC Std Bk"/>
                <w:b/>
                <w:sz w:val="20"/>
              </w:rPr>
            </w:pPr>
            <w:r>
              <w:rPr>
                <w:rFonts w:ascii="Stone Sans II ITC Std Bk"/>
                <w:b/>
                <w:w w:val="110"/>
                <w:sz w:val="20"/>
              </w:rPr>
              <w:t>(e.g. ecumenical)</w:t>
            </w:r>
          </w:p>
        </w:tc>
        <w:tc>
          <w:tcPr>
            <w:tcW w:w="6463" w:type="dxa"/>
            <w:tcBorders>
              <w:right w:val="nil"/>
            </w:tcBorders>
            <w:shd w:val="clear" w:color="auto" w:fill="FFFFFF"/>
          </w:tcPr>
          <w:p>
            <w:pPr>
              <w:pStyle w:val="TableParagraph"/>
              <w:spacing w:line="235" w:lineRule="auto" w:before="127"/>
              <w:ind w:left="74"/>
              <w:rPr>
                <w:sz w:val="20"/>
              </w:rPr>
            </w:pPr>
            <w:r>
              <w:rPr>
                <w:w w:val="120"/>
                <w:sz w:val="20"/>
              </w:rPr>
              <w:t>Our findings will affect relationships with ecumenical partners and life in local ecumenical partnerships.</w:t>
            </w:r>
          </w:p>
        </w:tc>
      </w:tr>
      <w:tr>
        <w:trPr>
          <w:trHeight w:val="974" w:hRule="atLeast"/>
        </w:trPr>
        <w:tc>
          <w:tcPr>
            <w:tcW w:w="9440" w:type="dxa"/>
            <w:gridSpan w:val="3"/>
            <w:tcBorders>
              <w:top w:val="nil"/>
              <w:left w:val="nil"/>
              <w:bottom w:val="nil"/>
              <w:right w:val="nil"/>
            </w:tcBorders>
            <w:shd w:val="clear" w:color="auto" w:fill="D3E5C3"/>
          </w:tcPr>
          <w:p>
            <w:pPr>
              <w:pStyle w:val="TableParagraph"/>
              <w:spacing w:before="106"/>
              <w:ind w:left="311"/>
              <w:rPr>
                <w:sz w:val="23"/>
              </w:rPr>
            </w:pPr>
            <w:r>
              <w:rPr>
                <w:rFonts w:ascii="Stone Sans II ITC Std X Bd" w:hAnsi="Stone Sans II ITC Std X Bd"/>
                <w:b/>
                <w:w w:val="110"/>
                <w:sz w:val="24"/>
              </w:rPr>
              <w:t>102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c>
      </w:tr>
    </w:tbl>
    <w:p>
      <w:pPr>
        <w:rPr>
          <w:sz w:val="2"/>
          <w:szCs w:val="2"/>
        </w:rPr>
      </w:pPr>
      <w:r>
        <w:rPr/>
        <w:pict>
          <v:rect style="position:absolute;margin-left:594.374023pt;margin-top:.000015pt;width:.901pt;height:841.89pt;mso-position-horizontal-relative:page;mso-position-vertical-relative:page;z-index:251940864" filled="true" fillcolor="#d3e5c3" stroked="false">
            <v:fill type="solid"/>
            <w10:wrap type="none"/>
          </v:rect>
        </w:pict>
      </w:r>
      <w:r>
        <w:rPr/>
        <w:drawing>
          <wp:anchor distT="0" distB="0" distL="0" distR="0" allowOverlap="1" layoutInCell="1" locked="0" behindDoc="0" simplePos="0" relativeHeight="251941888">
            <wp:simplePos x="0" y="0"/>
            <wp:positionH relativeFrom="page">
              <wp:posOffset>0</wp:posOffset>
            </wp:positionH>
            <wp:positionV relativeFrom="page">
              <wp:posOffset>0</wp:posOffset>
            </wp:positionV>
            <wp:extent cx="594067" cy="10692003"/>
            <wp:effectExtent l="0" t="0" r="0" b="0"/>
            <wp:wrapNone/>
            <wp:docPr id="187" name="image28.png"/>
            <wp:cNvGraphicFramePr>
              <a:graphicFrameLocks noChangeAspect="1"/>
            </wp:cNvGraphicFramePr>
            <a:graphic>
              <a:graphicData uri="http://schemas.openxmlformats.org/drawingml/2006/picture">
                <pic:pic>
                  <pic:nvPicPr>
                    <pic:cNvPr id="188" name="image28.png"/>
                    <pic:cNvPicPr/>
                  </pic:nvPicPr>
                  <pic:blipFill>
                    <a:blip r:embed="rId198"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266.2pt;mso-position-horizontal-relative:page;mso-position-vertical-relative:page;z-index:251942912" type="#_x0000_t202" filled="false" stroked="false">
            <v:textbox inset="0,0,0,0" style="layout-flow:vertical">
              <w:txbxContent>
                <w:p>
                  <w:pPr>
                    <w:spacing w:before="27"/>
                    <w:ind w:left="20" w:right="0" w:firstLine="0"/>
                    <w:jc w:val="left"/>
                    <w:rPr>
                      <w:sz w:val="39"/>
                    </w:rPr>
                  </w:pPr>
                  <w:r>
                    <w:rPr>
                      <w:color w:val="FFFFFF"/>
                      <w:spacing w:val="12"/>
                      <w:w w:val="120"/>
                      <w:sz w:val="39"/>
                    </w:rPr>
                    <w:t>Affirming </w:t>
                  </w:r>
                  <w:r>
                    <w:rPr>
                      <w:color w:val="FFFFFF"/>
                      <w:spacing w:val="8"/>
                      <w:w w:val="120"/>
                      <w:sz w:val="39"/>
                    </w:rPr>
                    <w:t>the </w:t>
                  </w:r>
                  <w:r>
                    <w:rPr>
                      <w:color w:val="FFFFFF"/>
                      <w:spacing w:val="-4"/>
                      <w:w w:val="120"/>
                      <w:sz w:val="39"/>
                    </w:rPr>
                    <w:t>URC’s</w:t>
                  </w:r>
                  <w:r>
                    <w:rPr>
                      <w:color w:val="FFFFFF"/>
                      <w:spacing w:val="78"/>
                      <w:w w:val="120"/>
                      <w:sz w:val="39"/>
                    </w:rPr>
                    <w:t> </w:t>
                  </w:r>
                  <w:r>
                    <w:rPr>
                      <w:color w:val="FFFFFF"/>
                      <w:spacing w:val="8"/>
                      <w:w w:val="120"/>
                      <w:sz w:val="39"/>
                    </w:rPr>
                    <w:t>future</w:t>
                  </w:r>
                </w:p>
              </w:txbxContent>
            </v:textbox>
            <w10:wrap type="none"/>
          </v:shape>
        </w:pict>
      </w:r>
    </w:p>
    <w:p>
      <w:pPr>
        <w:spacing w:after="0"/>
        <w:rPr>
          <w:sz w:val="2"/>
          <w:szCs w:val="2"/>
        </w:rPr>
        <w:sectPr>
          <w:headerReference w:type="even" r:id="rId244"/>
          <w:footerReference w:type="even" r:id="rId245"/>
          <w:pgSz w:w="11910" w:h="16840"/>
          <w:pgMar w:header="0" w:footer="0" w:top="0" w:bottom="0" w:left="0" w:right="0"/>
        </w:sectPr>
      </w:pPr>
    </w:p>
    <w:p>
      <w:pPr>
        <w:pStyle w:val="BodyText"/>
      </w:pPr>
      <w:r>
        <w:rPr/>
        <w:drawing>
          <wp:anchor distT="0" distB="0" distL="0" distR="0" allowOverlap="1" layoutInCell="1" locked="0" behindDoc="0" simplePos="0" relativeHeight="251944960">
            <wp:simplePos x="0" y="0"/>
            <wp:positionH relativeFrom="page">
              <wp:posOffset>6974928</wp:posOffset>
            </wp:positionH>
            <wp:positionV relativeFrom="page">
              <wp:posOffset>0</wp:posOffset>
            </wp:positionV>
            <wp:extent cx="585063" cy="10692003"/>
            <wp:effectExtent l="0" t="0" r="0" b="0"/>
            <wp:wrapNone/>
            <wp:docPr id="189" name="image25.png"/>
            <wp:cNvGraphicFramePr>
              <a:graphicFrameLocks noChangeAspect="1"/>
            </wp:cNvGraphicFramePr>
            <a:graphic>
              <a:graphicData uri="http://schemas.openxmlformats.org/drawingml/2006/picture">
                <pic:pic>
                  <pic:nvPicPr>
                    <pic:cNvPr id="190" name="image25.png"/>
                    <pic:cNvPicPr/>
                  </pic:nvPicPr>
                  <pic:blipFill>
                    <a:blip r:embed="rId192"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pStyle w:val="Heading5"/>
        <w:ind w:left="0" w:right="1245"/>
        <w:jc w:val="right"/>
      </w:pPr>
      <w:r>
        <w:rPr/>
        <w:pict>
          <v:shape style="position:absolute;margin-left:554.141174pt;margin-top:22.593945pt;width:25.9pt;height:266.2pt;mso-position-horizontal-relative:page;mso-position-vertical-relative:paragraph;z-index:251945984" type="#_x0000_t202" filled="false" stroked="false">
            <v:textbox inset="0,0,0,0" style="layout-flow:vertical">
              <w:txbxContent>
                <w:p>
                  <w:pPr>
                    <w:spacing w:before="27"/>
                    <w:ind w:left="20" w:right="0" w:firstLine="0"/>
                    <w:jc w:val="left"/>
                    <w:rPr>
                      <w:sz w:val="39"/>
                    </w:rPr>
                  </w:pPr>
                  <w:r>
                    <w:rPr>
                      <w:color w:val="FFFFFF"/>
                      <w:spacing w:val="12"/>
                      <w:w w:val="120"/>
                      <w:sz w:val="39"/>
                    </w:rPr>
                    <w:t>Affirming </w:t>
                  </w:r>
                  <w:r>
                    <w:rPr>
                      <w:color w:val="FFFFFF"/>
                      <w:spacing w:val="8"/>
                      <w:w w:val="120"/>
                      <w:sz w:val="39"/>
                    </w:rPr>
                    <w:t>the </w:t>
                  </w:r>
                  <w:r>
                    <w:rPr>
                      <w:color w:val="FFFFFF"/>
                      <w:spacing w:val="-4"/>
                      <w:w w:val="120"/>
                      <w:sz w:val="39"/>
                    </w:rPr>
                    <w:t>URC’s</w:t>
                  </w:r>
                  <w:r>
                    <w:rPr>
                      <w:color w:val="FFFFFF"/>
                      <w:spacing w:val="78"/>
                      <w:w w:val="120"/>
                      <w:sz w:val="39"/>
                    </w:rPr>
                    <w:t> </w:t>
                  </w:r>
                  <w:r>
                    <w:rPr>
                      <w:color w:val="FFFFFF"/>
                      <w:spacing w:val="8"/>
                      <w:w w:val="120"/>
                      <w:sz w:val="39"/>
                    </w:rPr>
                    <w:t>future</w:t>
                  </w:r>
                </w:p>
              </w:txbxContent>
            </v:textbox>
            <w10:wrap type="none"/>
          </v:shape>
        </w:pict>
      </w:r>
      <w:r>
        <w:rPr>
          <w:color w:val="7EAABF"/>
          <w:w w:val="115"/>
        </w:rPr>
        <w:t>Faith and order</w:t>
      </w:r>
    </w:p>
    <w:p>
      <w:pPr>
        <w:spacing w:line="220" w:lineRule="auto" w:before="285"/>
        <w:ind w:left="1955" w:right="1509" w:firstLine="0"/>
        <w:jc w:val="left"/>
        <w:rPr>
          <w:rFonts w:ascii="Stone Sans II ITC Std X Bd" w:hAnsi="Stone Sans II ITC Std X Bd"/>
          <w:b/>
          <w:sz w:val="48"/>
        </w:rPr>
      </w:pPr>
      <w:r>
        <w:rPr>
          <w:rFonts w:ascii="Stone Sans II ITC Std X Bd" w:hAnsi="Stone Sans II ITC Std X Bd"/>
          <w:b/>
          <w:w w:val="110"/>
          <w:sz w:val="48"/>
        </w:rPr>
        <w:t>What is the Spirit saying to the Churches? Affirming the United Reformed Church’s future</w:t>
      </w:r>
    </w:p>
    <w:p>
      <w:pPr>
        <w:spacing w:before="163"/>
        <w:ind w:left="1955" w:right="0" w:firstLine="0"/>
        <w:jc w:val="left"/>
        <w:rPr>
          <w:rFonts w:ascii="Stone Sans II ITC Std X Bd"/>
          <w:b/>
          <w:sz w:val="29"/>
        </w:rPr>
      </w:pPr>
      <w:r>
        <w:rPr>
          <w:rFonts w:ascii="Stone Sans II ITC Std X Bd"/>
          <w:b/>
          <w:w w:val="110"/>
          <w:sz w:val="29"/>
        </w:rPr>
        <w:t>Future of the Church paper 1</w:t>
      </w:r>
    </w:p>
    <w:p>
      <w:pPr>
        <w:pStyle w:val="BodyText"/>
        <w:spacing w:before="2"/>
        <w:rPr>
          <w:rFonts w:ascii="Stone Sans II ITC Std X Bd"/>
          <w:b/>
          <w:sz w:val="30"/>
        </w:rPr>
      </w:pPr>
    </w:p>
    <w:p>
      <w:pPr>
        <w:pStyle w:val="ListParagraph"/>
        <w:numPr>
          <w:ilvl w:val="0"/>
          <w:numId w:val="56"/>
        </w:numPr>
        <w:tabs>
          <w:tab w:pos="2636" w:val="left" w:leader="none"/>
          <w:tab w:pos="2637" w:val="left" w:leader="none"/>
        </w:tabs>
        <w:spacing w:line="240" w:lineRule="auto" w:before="0" w:after="0"/>
        <w:ind w:left="2636" w:right="0" w:hanging="682"/>
        <w:jc w:val="left"/>
        <w:rPr>
          <w:rFonts w:ascii="Stone Sans II ITC Std Bk"/>
          <w:b/>
          <w:sz w:val="29"/>
        </w:rPr>
      </w:pPr>
      <w:r>
        <w:rPr>
          <w:rFonts w:ascii="Stone Sans II ITC Std Bk"/>
          <w:b/>
          <w:spacing w:val="4"/>
          <w:w w:val="110"/>
          <w:sz w:val="29"/>
        </w:rPr>
        <w:t>Summary </w:t>
      </w:r>
      <w:r>
        <w:rPr>
          <w:rFonts w:ascii="Stone Sans II ITC Std Bk"/>
          <w:b/>
          <w:w w:val="110"/>
          <w:sz w:val="29"/>
        </w:rPr>
        <w:t>of</w:t>
      </w:r>
      <w:r>
        <w:rPr>
          <w:rFonts w:ascii="Stone Sans II ITC Std Bk"/>
          <w:b/>
          <w:spacing w:val="21"/>
          <w:w w:val="110"/>
          <w:sz w:val="29"/>
        </w:rPr>
        <w:t> </w:t>
      </w:r>
      <w:r>
        <w:rPr>
          <w:rFonts w:ascii="Stone Sans II ITC Std Bk"/>
          <w:b/>
          <w:spacing w:val="3"/>
          <w:w w:val="110"/>
          <w:sz w:val="29"/>
        </w:rPr>
        <w:t>paper</w:t>
      </w:r>
    </w:p>
    <w:p>
      <w:pPr>
        <w:pStyle w:val="ListParagraph"/>
        <w:numPr>
          <w:ilvl w:val="1"/>
          <w:numId w:val="56"/>
        </w:numPr>
        <w:tabs>
          <w:tab w:pos="2636" w:val="left" w:leader="none"/>
          <w:tab w:pos="2637" w:val="left" w:leader="none"/>
        </w:tabs>
        <w:spacing w:line="235" w:lineRule="auto" w:before="69" w:after="0"/>
        <w:ind w:left="1955" w:right="1253" w:firstLine="0"/>
        <w:jc w:val="left"/>
        <w:rPr>
          <w:sz w:val="20"/>
        </w:rPr>
      </w:pPr>
      <w:r>
        <w:rPr>
          <w:w w:val="120"/>
          <w:sz w:val="20"/>
        </w:rPr>
        <w:t>The United Reformed Church is here to live and not to die. This life is rooted in the life of the one triune God, who calls the Church into being, through the life of Jesus Christ, in the power of the Holy Spirit. The affirmation the faith and order committee feels led to make is that the future of the United Reformed Church is not about dying, but about living more fruitfully, prophetically and adventurously, being re-energised by the power of the Holy Spirit in faithfulness to Jesus Christ. This carries with it a trusting openness to God’s future, rather than a specific plan or a particular structure or a programme for reorganisation. The future of the Church lies in God’s hands. Our human response is to discern the mind of Christ and the leading of the Holy</w:t>
      </w:r>
      <w:r>
        <w:rPr>
          <w:spacing w:val="48"/>
          <w:w w:val="120"/>
          <w:sz w:val="20"/>
        </w:rPr>
        <w:t> </w:t>
      </w:r>
      <w:r>
        <w:rPr>
          <w:w w:val="120"/>
          <w:sz w:val="20"/>
        </w:rPr>
        <w:t>Spirit.</w:t>
      </w:r>
    </w:p>
    <w:p>
      <w:pPr>
        <w:pStyle w:val="BodyText"/>
        <w:spacing w:before="2"/>
      </w:pPr>
    </w:p>
    <w:p>
      <w:pPr>
        <w:pStyle w:val="ListParagraph"/>
        <w:numPr>
          <w:ilvl w:val="1"/>
          <w:numId w:val="56"/>
        </w:numPr>
        <w:tabs>
          <w:tab w:pos="2636" w:val="left" w:leader="none"/>
          <w:tab w:pos="2637" w:val="left" w:leader="none"/>
        </w:tabs>
        <w:spacing w:line="235" w:lineRule="auto" w:before="0" w:after="0"/>
        <w:ind w:left="1955" w:right="1324" w:firstLine="0"/>
        <w:jc w:val="left"/>
        <w:rPr>
          <w:sz w:val="20"/>
        </w:rPr>
      </w:pPr>
      <w:r>
        <w:rPr>
          <w:w w:val="120"/>
          <w:sz w:val="20"/>
        </w:rPr>
        <w:t>This </w:t>
      </w:r>
      <w:r>
        <w:rPr>
          <w:spacing w:val="2"/>
          <w:w w:val="120"/>
          <w:sz w:val="20"/>
        </w:rPr>
        <w:t>affirmation </w:t>
      </w:r>
      <w:r>
        <w:rPr>
          <w:w w:val="120"/>
          <w:sz w:val="20"/>
        </w:rPr>
        <w:t>arises </w:t>
      </w:r>
      <w:r>
        <w:rPr>
          <w:spacing w:val="2"/>
          <w:w w:val="120"/>
          <w:sz w:val="20"/>
        </w:rPr>
        <w:t>from </w:t>
      </w:r>
      <w:r>
        <w:rPr>
          <w:w w:val="120"/>
          <w:sz w:val="20"/>
        </w:rPr>
        <w:t>discussions that have taken place since the autumn of </w:t>
      </w:r>
      <w:r>
        <w:rPr>
          <w:spacing w:val="-7"/>
          <w:w w:val="120"/>
          <w:sz w:val="20"/>
        </w:rPr>
        <w:t>2011 </w:t>
      </w:r>
      <w:r>
        <w:rPr>
          <w:w w:val="120"/>
          <w:sz w:val="20"/>
        </w:rPr>
        <w:t>on the future of the Church. This paper, the </w:t>
      </w:r>
      <w:r>
        <w:rPr>
          <w:spacing w:val="2"/>
          <w:w w:val="120"/>
          <w:sz w:val="20"/>
        </w:rPr>
        <w:t>first </w:t>
      </w:r>
      <w:r>
        <w:rPr>
          <w:w w:val="120"/>
          <w:sz w:val="20"/>
        </w:rPr>
        <w:t>of three, </w:t>
      </w:r>
      <w:r>
        <w:rPr>
          <w:spacing w:val="2"/>
          <w:w w:val="120"/>
          <w:sz w:val="20"/>
        </w:rPr>
        <w:t>proposes </w:t>
      </w:r>
      <w:r>
        <w:rPr>
          <w:w w:val="120"/>
          <w:sz w:val="20"/>
        </w:rPr>
        <w:t>that the United </w:t>
      </w:r>
      <w:r>
        <w:rPr>
          <w:spacing w:val="2"/>
          <w:w w:val="120"/>
          <w:sz w:val="20"/>
        </w:rPr>
        <w:t>Reformed </w:t>
      </w:r>
      <w:r>
        <w:rPr>
          <w:w w:val="120"/>
          <w:sz w:val="20"/>
        </w:rPr>
        <w:t>Church renew </w:t>
      </w:r>
      <w:r>
        <w:rPr>
          <w:spacing w:val="2"/>
          <w:w w:val="120"/>
          <w:sz w:val="20"/>
        </w:rPr>
        <w:t>its </w:t>
      </w:r>
      <w:r>
        <w:rPr>
          <w:w w:val="120"/>
          <w:sz w:val="20"/>
        </w:rPr>
        <w:t>commitment to be both </w:t>
      </w:r>
      <w:r>
        <w:rPr>
          <w:spacing w:val="2"/>
          <w:w w:val="120"/>
          <w:sz w:val="20"/>
        </w:rPr>
        <w:t>Reformed </w:t>
      </w:r>
      <w:r>
        <w:rPr>
          <w:w w:val="120"/>
          <w:sz w:val="20"/>
        </w:rPr>
        <w:t>and United, </w:t>
      </w:r>
      <w:r>
        <w:rPr>
          <w:spacing w:val="2"/>
          <w:w w:val="120"/>
          <w:sz w:val="20"/>
        </w:rPr>
        <w:t>seeking </w:t>
      </w:r>
      <w:r>
        <w:rPr>
          <w:w w:val="120"/>
          <w:sz w:val="20"/>
        </w:rPr>
        <w:t>to be renewed in the </w:t>
      </w:r>
      <w:r>
        <w:rPr>
          <w:spacing w:val="2"/>
          <w:w w:val="120"/>
          <w:sz w:val="20"/>
        </w:rPr>
        <w:t>particular </w:t>
      </w:r>
      <w:r>
        <w:rPr>
          <w:spacing w:val="3"/>
          <w:w w:val="120"/>
          <w:sz w:val="20"/>
        </w:rPr>
        <w:t>life-giving </w:t>
      </w:r>
      <w:r>
        <w:rPr>
          <w:spacing w:val="4"/>
          <w:w w:val="120"/>
          <w:sz w:val="20"/>
        </w:rPr>
        <w:t>gifts </w:t>
      </w:r>
      <w:r>
        <w:rPr>
          <w:w w:val="120"/>
          <w:sz w:val="20"/>
        </w:rPr>
        <w:t>that </w:t>
      </w:r>
      <w:r>
        <w:rPr>
          <w:spacing w:val="2"/>
          <w:w w:val="120"/>
          <w:sz w:val="20"/>
        </w:rPr>
        <w:t>God </w:t>
      </w:r>
      <w:r>
        <w:rPr>
          <w:w w:val="120"/>
          <w:sz w:val="20"/>
        </w:rPr>
        <w:t>has </w:t>
      </w:r>
      <w:r>
        <w:rPr>
          <w:spacing w:val="2"/>
          <w:w w:val="120"/>
          <w:sz w:val="20"/>
        </w:rPr>
        <w:t>offered </w:t>
      </w:r>
      <w:r>
        <w:rPr>
          <w:w w:val="120"/>
          <w:sz w:val="20"/>
        </w:rPr>
        <w:t>us, and </w:t>
      </w:r>
      <w:r>
        <w:rPr>
          <w:spacing w:val="2"/>
          <w:w w:val="120"/>
          <w:sz w:val="20"/>
        </w:rPr>
        <w:t>reaffirming </w:t>
      </w:r>
      <w:r>
        <w:rPr>
          <w:w w:val="120"/>
          <w:sz w:val="20"/>
        </w:rPr>
        <w:t>the United </w:t>
      </w:r>
      <w:r>
        <w:rPr>
          <w:spacing w:val="2"/>
          <w:w w:val="120"/>
          <w:sz w:val="20"/>
        </w:rPr>
        <w:t>Reformed </w:t>
      </w:r>
      <w:r>
        <w:rPr>
          <w:w w:val="120"/>
          <w:sz w:val="20"/>
        </w:rPr>
        <w:t>Church’s </w:t>
      </w:r>
      <w:r>
        <w:rPr>
          <w:spacing w:val="2"/>
          <w:w w:val="120"/>
          <w:sz w:val="20"/>
        </w:rPr>
        <w:t>prophetic </w:t>
      </w:r>
      <w:r>
        <w:rPr>
          <w:w w:val="120"/>
          <w:sz w:val="20"/>
        </w:rPr>
        <w:t>call to unity. Paper 2 affirms the United </w:t>
      </w:r>
      <w:r>
        <w:rPr>
          <w:spacing w:val="2"/>
          <w:w w:val="120"/>
          <w:sz w:val="20"/>
        </w:rPr>
        <w:t>Reformed </w:t>
      </w:r>
      <w:r>
        <w:rPr>
          <w:w w:val="120"/>
          <w:sz w:val="20"/>
        </w:rPr>
        <w:t>Church’s </w:t>
      </w:r>
      <w:r>
        <w:rPr>
          <w:spacing w:val="3"/>
          <w:w w:val="120"/>
          <w:sz w:val="20"/>
        </w:rPr>
        <w:t>gift </w:t>
      </w:r>
      <w:r>
        <w:rPr>
          <w:w w:val="120"/>
          <w:sz w:val="20"/>
        </w:rPr>
        <w:t>of conciliarity, </w:t>
      </w:r>
      <w:r>
        <w:rPr>
          <w:spacing w:val="2"/>
          <w:w w:val="120"/>
          <w:sz w:val="20"/>
        </w:rPr>
        <w:t>particularly </w:t>
      </w:r>
      <w:r>
        <w:rPr>
          <w:w w:val="120"/>
          <w:sz w:val="20"/>
        </w:rPr>
        <w:t>as </w:t>
      </w:r>
      <w:r>
        <w:rPr>
          <w:spacing w:val="2"/>
          <w:w w:val="120"/>
          <w:sz w:val="20"/>
        </w:rPr>
        <w:t>experienced </w:t>
      </w:r>
      <w:r>
        <w:rPr>
          <w:w w:val="120"/>
          <w:sz w:val="20"/>
        </w:rPr>
        <w:t>in church </w:t>
      </w:r>
      <w:r>
        <w:rPr>
          <w:spacing w:val="2"/>
          <w:w w:val="120"/>
          <w:sz w:val="20"/>
        </w:rPr>
        <w:t>meetings. </w:t>
      </w:r>
      <w:r>
        <w:rPr>
          <w:w w:val="120"/>
          <w:sz w:val="20"/>
        </w:rPr>
        <w:t>Paper 3, in </w:t>
      </w:r>
      <w:r>
        <w:rPr>
          <w:spacing w:val="2"/>
          <w:w w:val="120"/>
          <w:sz w:val="20"/>
        </w:rPr>
        <w:t>looking </w:t>
      </w:r>
      <w:r>
        <w:rPr>
          <w:w w:val="120"/>
          <w:sz w:val="20"/>
        </w:rPr>
        <w:t>at a </w:t>
      </w:r>
      <w:r>
        <w:rPr>
          <w:spacing w:val="2"/>
          <w:w w:val="120"/>
          <w:sz w:val="20"/>
        </w:rPr>
        <w:t>resolution </w:t>
      </w:r>
      <w:r>
        <w:rPr>
          <w:w w:val="120"/>
          <w:sz w:val="20"/>
        </w:rPr>
        <w:t>on ordained </w:t>
      </w:r>
      <w:r>
        <w:rPr>
          <w:spacing w:val="2"/>
          <w:w w:val="120"/>
          <w:sz w:val="20"/>
        </w:rPr>
        <w:t>local </w:t>
      </w:r>
      <w:r>
        <w:rPr>
          <w:spacing w:val="3"/>
          <w:w w:val="120"/>
          <w:sz w:val="20"/>
        </w:rPr>
        <w:t>ministry </w:t>
      </w:r>
      <w:r>
        <w:rPr>
          <w:spacing w:val="2"/>
          <w:w w:val="120"/>
          <w:sz w:val="20"/>
        </w:rPr>
        <w:t>from </w:t>
      </w:r>
      <w:r>
        <w:rPr>
          <w:w w:val="120"/>
          <w:sz w:val="20"/>
        </w:rPr>
        <w:t>the </w:t>
      </w:r>
      <w:r>
        <w:rPr>
          <w:spacing w:val="-6"/>
          <w:w w:val="120"/>
          <w:sz w:val="20"/>
        </w:rPr>
        <w:t>2012 </w:t>
      </w:r>
      <w:r>
        <w:rPr>
          <w:spacing w:val="2"/>
          <w:w w:val="120"/>
          <w:sz w:val="20"/>
        </w:rPr>
        <w:t>General </w:t>
      </w:r>
      <w:r>
        <w:rPr>
          <w:w w:val="120"/>
          <w:sz w:val="20"/>
        </w:rPr>
        <w:t>Assembly, affirms the </w:t>
      </w:r>
      <w:r>
        <w:rPr>
          <w:spacing w:val="3"/>
          <w:w w:val="120"/>
          <w:sz w:val="20"/>
        </w:rPr>
        <w:t>gift </w:t>
      </w:r>
      <w:r>
        <w:rPr>
          <w:w w:val="120"/>
          <w:sz w:val="20"/>
        </w:rPr>
        <w:t>of </w:t>
      </w:r>
      <w:r>
        <w:rPr>
          <w:spacing w:val="2"/>
          <w:w w:val="120"/>
          <w:sz w:val="20"/>
        </w:rPr>
        <w:t>elders. These papers, </w:t>
      </w:r>
      <w:r>
        <w:rPr>
          <w:w w:val="120"/>
          <w:sz w:val="20"/>
        </w:rPr>
        <w:t>with their</w:t>
      </w:r>
      <w:r>
        <w:rPr>
          <w:spacing w:val="11"/>
          <w:w w:val="120"/>
          <w:sz w:val="20"/>
        </w:rPr>
        <w:t> </w:t>
      </w:r>
      <w:r>
        <w:rPr>
          <w:w w:val="120"/>
          <w:sz w:val="20"/>
        </w:rPr>
        <w:t>affirmations,</w:t>
      </w:r>
    </w:p>
    <w:p>
      <w:pPr>
        <w:pStyle w:val="BodyText"/>
        <w:spacing w:line="235" w:lineRule="auto" w:before="6"/>
        <w:ind w:left="1955" w:right="1684"/>
      </w:pPr>
      <w:r>
        <w:rPr>
          <w:w w:val="120"/>
        </w:rPr>
        <w:t>are offered as a starting point for the reinvigoration of the United Reformed Church. However, to add a health warning at the start, they do not propose easy answers, quick fixes or specific programmes.</w:t>
      </w:r>
    </w:p>
    <w:p>
      <w:pPr>
        <w:pStyle w:val="ListParagraph"/>
        <w:numPr>
          <w:ilvl w:val="0"/>
          <w:numId w:val="56"/>
        </w:numPr>
        <w:tabs>
          <w:tab w:pos="2636" w:val="left" w:leader="none"/>
          <w:tab w:pos="2637" w:val="left" w:leader="none"/>
        </w:tabs>
        <w:spacing w:line="240" w:lineRule="auto" w:before="215" w:after="0"/>
        <w:ind w:left="2636" w:right="0" w:hanging="682"/>
        <w:jc w:val="left"/>
        <w:rPr>
          <w:rFonts w:ascii="Stone Sans II ITC Std Bk"/>
          <w:b/>
          <w:sz w:val="29"/>
        </w:rPr>
      </w:pPr>
      <w:r>
        <w:rPr>
          <w:rFonts w:ascii="Stone Sans II ITC Std Bk"/>
          <w:b/>
          <w:spacing w:val="3"/>
          <w:w w:val="110"/>
          <w:sz w:val="29"/>
        </w:rPr>
        <w:t>Background </w:t>
      </w:r>
      <w:r>
        <w:rPr>
          <w:rFonts w:ascii="Stone Sans II ITC Std Bk"/>
          <w:b/>
          <w:w w:val="110"/>
          <w:sz w:val="29"/>
        </w:rPr>
        <w:t>to </w:t>
      </w:r>
      <w:r>
        <w:rPr>
          <w:rFonts w:ascii="Stone Sans II ITC Std Bk"/>
          <w:b/>
          <w:spacing w:val="2"/>
          <w:w w:val="110"/>
          <w:sz w:val="29"/>
        </w:rPr>
        <w:t>this</w:t>
      </w:r>
      <w:r>
        <w:rPr>
          <w:rFonts w:ascii="Stone Sans II ITC Std Bk"/>
          <w:b/>
          <w:spacing w:val="35"/>
          <w:w w:val="110"/>
          <w:sz w:val="29"/>
        </w:rPr>
        <w:t> </w:t>
      </w:r>
      <w:r>
        <w:rPr>
          <w:rFonts w:ascii="Stone Sans II ITC Std Bk"/>
          <w:b/>
          <w:spacing w:val="3"/>
          <w:w w:val="110"/>
          <w:sz w:val="29"/>
        </w:rPr>
        <w:t>paper</w:t>
      </w:r>
    </w:p>
    <w:p>
      <w:pPr>
        <w:pStyle w:val="ListParagraph"/>
        <w:numPr>
          <w:ilvl w:val="1"/>
          <w:numId w:val="56"/>
        </w:numPr>
        <w:tabs>
          <w:tab w:pos="2636" w:val="left" w:leader="none"/>
          <w:tab w:pos="2637" w:val="left" w:leader="none"/>
        </w:tabs>
        <w:spacing w:line="235" w:lineRule="auto" w:before="69" w:after="0"/>
        <w:ind w:left="1955" w:right="1567" w:firstLine="0"/>
        <w:jc w:val="left"/>
        <w:rPr>
          <w:sz w:val="20"/>
        </w:rPr>
      </w:pPr>
      <w:r>
        <w:rPr>
          <w:w w:val="120"/>
          <w:sz w:val="20"/>
        </w:rPr>
        <w:t>In the autumn of </w:t>
      </w:r>
      <w:r>
        <w:rPr>
          <w:spacing w:val="-10"/>
          <w:w w:val="120"/>
          <w:sz w:val="20"/>
        </w:rPr>
        <w:t>2011, </w:t>
      </w:r>
      <w:r>
        <w:rPr>
          <w:w w:val="120"/>
          <w:sz w:val="20"/>
        </w:rPr>
        <w:t>the faith and order committee responded to a request to look at the United Reformed </w:t>
      </w:r>
      <w:r>
        <w:rPr>
          <w:spacing w:val="-3"/>
          <w:w w:val="120"/>
          <w:sz w:val="20"/>
        </w:rPr>
        <w:t>Church’s </w:t>
      </w:r>
      <w:r>
        <w:rPr>
          <w:w w:val="120"/>
          <w:sz w:val="20"/>
        </w:rPr>
        <w:t>understanding of church membership. Reflecting on membership led to wider reflections on the nature of the Church and the current viability of the United Reformed Church in particular. An invitation went out on the United Reformed Church website and through the synods to contribute papers on this theme. </w:t>
      </w:r>
      <w:r>
        <w:rPr>
          <w:spacing w:val="2"/>
          <w:w w:val="120"/>
          <w:sz w:val="20"/>
        </w:rPr>
        <w:t>Thirty </w:t>
      </w:r>
      <w:r>
        <w:rPr>
          <w:w w:val="120"/>
          <w:sz w:val="20"/>
        </w:rPr>
        <w:t>papers were received, covering a range of fruitful areas including:</w:t>
      </w:r>
      <w:r>
        <w:rPr>
          <w:spacing w:val="26"/>
          <w:w w:val="120"/>
          <w:sz w:val="20"/>
        </w:rPr>
        <w:t> </w:t>
      </w:r>
      <w:r>
        <w:rPr>
          <w:w w:val="120"/>
          <w:sz w:val="20"/>
        </w:rPr>
        <w:t>Theological</w:t>
      </w:r>
      <w:r>
        <w:rPr>
          <w:spacing w:val="27"/>
          <w:w w:val="120"/>
          <w:sz w:val="20"/>
        </w:rPr>
        <w:t> </w:t>
      </w:r>
      <w:r>
        <w:rPr>
          <w:w w:val="120"/>
          <w:sz w:val="20"/>
        </w:rPr>
        <w:t>perspectives;</w:t>
      </w:r>
      <w:r>
        <w:rPr>
          <w:spacing w:val="26"/>
          <w:w w:val="120"/>
          <w:sz w:val="20"/>
        </w:rPr>
        <w:t> </w:t>
      </w:r>
      <w:r>
        <w:rPr>
          <w:w w:val="120"/>
          <w:sz w:val="20"/>
        </w:rPr>
        <w:t>historical</w:t>
      </w:r>
      <w:r>
        <w:rPr>
          <w:spacing w:val="27"/>
          <w:w w:val="120"/>
          <w:sz w:val="20"/>
        </w:rPr>
        <w:t> </w:t>
      </w:r>
      <w:r>
        <w:rPr>
          <w:w w:val="120"/>
          <w:sz w:val="20"/>
        </w:rPr>
        <w:t>viewpoints;</w:t>
      </w:r>
      <w:r>
        <w:rPr>
          <w:spacing w:val="26"/>
          <w:w w:val="120"/>
          <w:sz w:val="20"/>
        </w:rPr>
        <w:t> </w:t>
      </w:r>
      <w:r>
        <w:rPr>
          <w:w w:val="120"/>
          <w:sz w:val="20"/>
        </w:rPr>
        <w:t>sociological,</w:t>
      </w:r>
      <w:r>
        <w:rPr>
          <w:spacing w:val="27"/>
          <w:w w:val="120"/>
          <w:sz w:val="20"/>
        </w:rPr>
        <w:t> </w:t>
      </w:r>
      <w:r>
        <w:rPr>
          <w:w w:val="120"/>
          <w:sz w:val="20"/>
        </w:rPr>
        <w:t>philosophical</w:t>
      </w:r>
    </w:p>
    <w:p>
      <w:pPr>
        <w:pStyle w:val="BodyText"/>
        <w:spacing w:line="235" w:lineRule="auto" w:before="5"/>
        <w:ind w:left="1955" w:right="1352"/>
        <w:rPr>
          <w:sz w:val="11"/>
        </w:rPr>
      </w:pPr>
      <w:r>
        <w:rPr>
          <w:w w:val="120"/>
        </w:rPr>
        <w:t>and contextual dimensions; and practical suggestions, including an interesting proposal that the United Reformed Church should become a pioneer missional movement or a Reformed order within another Church.</w:t>
      </w:r>
      <w:r>
        <w:rPr>
          <w:w w:val="120"/>
          <w:position w:val="7"/>
          <w:sz w:val="11"/>
        </w:rPr>
        <w:t>1</w:t>
      </w:r>
    </w:p>
    <w:p>
      <w:pPr>
        <w:pStyle w:val="BodyText"/>
        <w:spacing w:before="10"/>
        <w:rPr>
          <w:sz w:val="19"/>
        </w:rPr>
      </w:pPr>
    </w:p>
    <w:p>
      <w:pPr>
        <w:pStyle w:val="ListParagraph"/>
        <w:numPr>
          <w:ilvl w:val="1"/>
          <w:numId w:val="56"/>
        </w:numPr>
        <w:tabs>
          <w:tab w:pos="2636" w:val="left" w:leader="none"/>
          <w:tab w:pos="2637" w:val="left" w:leader="none"/>
        </w:tabs>
        <w:spacing w:line="235" w:lineRule="auto" w:before="0" w:after="0"/>
        <w:ind w:left="1955" w:right="1576" w:firstLine="0"/>
        <w:jc w:val="left"/>
        <w:rPr>
          <w:sz w:val="20"/>
        </w:rPr>
      </w:pPr>
      <w:r>
        <w:rPr>
          <w:w w:val="120"/>
          <w:sz w:val="20"/>
        </w:rPr>
        <w:t>A set of these papers was made available at General Assembly </w:t>
      </w:r>
      <w:r>
        <w:rPr>
          <w:spacing w:val="-7"/>
          <w:w w:val="120"/>
          <w:sz w:val="20"/>
        </w:rPr>
        <w:t>2012, </w:t>
      </w:r>
      <w:r>
        <w:rPr>
          <w:w w:val="120"/>
          <w:sz w:val="20"/>
        </w:rPr>
        <w:t>and there was a fringe meeting after the close of business one evening, attended by about 30 people, in which further comments and reflections were</w:t>
      </w:r>
      <w:r>
        <w:rPr>
          <w:spacing w:val="23"/>
          <w:w w:val="120"/>
          <w:sz w:val="20"/>
        </w:rPr>
        <w:t> </w:t>
      </w:r>
      <w:r>
        <w:rPr>
          <w:w w:val="120"/>
          <w:sz w:val="20"/>
        </w:rPr>
        <w:t>invited.</w:t>
      </w:r>
    </w:p>
    <w:p>
      <w:pPr>
        <w:pStyle w:val="Heading4"/>
        <w:numPr>
          <w:ilvl w:val="0"/>
          <w:numId w:val="56"/>
        </w:numPr>
        <w:tabs>
          <w:tab w:pos="2636" w:val="left" w:leader="none"/>
          <w:tab w:pos="2637" w:val="left" w:leader="none"/>
        </w:tabs>
        <w:spacing w:line="240" w:lineRule="auto" w:before="215" w:after="0"/>
        <w:ind w:left="2636" w:right="0" w:hanging="682"/>
        <w:jc w:val="left"/>
      </w:pPr>
      <w:r>
        <w:rPr>
          <w:spacing w:val="3"/>
          <w:w w:val="110"/>
        </w:rPr>
        <w:t>Scenarios</w:t>
      </w:r>
    </w:p>
    <w:p>
      <w:pPr>
        <w:pStyle w:val="ListParagraph"/>
        <w:numPr>
          <w:ilvl w:val="1"/>
          <w:numId w:val="56"/>
        </w:numPr>
        <w:tabs>
          <w:tab w:pos="2636" w:val="left" w:leader="none"/>
          <w:tab w:pos="2637" w:val="left" w:leader="none"/>
        </w:tabs>
        <w:spacing w:line="235" w:lineRule="auto" w:before="69" w:after="0"/>
        <w:ind w:left="1955" w:right="1276" w:firstLine="0"/>
        <w:jc w:val="left"/>
        <w:rPr>
          <w:sz w:val="20"/>
        </w:rPr>
      </w:pPr>
      <w:r>
        <w:rPr/>
        <w:pict>
          <v:shape style="position:absolute;margin-left:97.795303pt;margin-top:45.872257pt;width:72pt;height:.1pt;mso-position-horizontal-relative:page;mso-position-vertical-relative:paragraph;z-index:-251372544;mso-wrap-distance-left:0;mso-wrap-distance-right:0" coordorigin="1956,917" coordsize="1440,0" path="m1956,917l3396,917e" filled="false" stroked="true" strokeweight="1pt" strokecolor="#000000">
            <v:path arrowok="t"/>
            <v:stroke dashstyle="solid"/>
            <w10:wrap type="topAndBottom"/>
          </v:shape>
        </w:pict>
      </w:r>
      <w:r>
        <w:rPr>
          <w:w w:val="120"/>
          <w:sz w:val="20"/>
        </w:rPr>
        <w:t>Out of these responses, the faith and order committee offered to Mission Council a set of five possible scenarios </w:t>
      </w:r>
      <w:r>
        <w:rPr>
          <w:spacing w:val="-6"/>
          <w:w w:val="120"/>
          <w:sz w:val="20"/>
        </w:rPr>
        <w:t>(to </w:t>
      </w:r>
      <w:r>
        <w:rPr>
          <w:w w:val="120"/>
          <w:sz w:val="20"/>
        </w:rPr>
        <w:t>which a sixth scenario was subsequently added) as to the way forward. They are summarised below and available in full on the URC</w:t>
      </w:r>
      <w:r>
        <w:rPr>
          <w:spacing w:val="39"/>
          <w:w w:val="120"/>
          <w:sz w:val="20"/>
        </w:rPr>
        <w:t> </w:t>
      </w:r>
      <w:r>
        <w:rPr>
          <w:w w:val="120"/>
          <w:sz w:val="20"/>
        </w:rPr>
        <w:t>website</w:t>
      </w:r>
    </w:p>
    <w:p>
      <w:pPr>
        <w:tabs>
          <w:tab w:pos="2409" w:val="left" w:leader="none"/>
        </w:tabs>
        <w:spacing w:before="9"/>
        <w:ind w:left="2409" w:right="1521" w:hanging="454"/>
        <w:jc w:val="left"/>
        <w:rPr>
          <w:sz w:val="18"/>
        </w:rPr>
      </w:pPr>
      <w:r>
        <w:rPr>
          <w:w w:val="120"/>
          <w:sz w:val="18"/>
        </w:rPr>
        <w:t>1</w:t>
        <w:tab/>
        <w:t>Copies of the full set of responses and a summary paper of the responses may be obtained by email to Helen Garton: </w:t>
      </w:r>
      <w:hyperlink r:id="rId250">
        <w:r>
          <w:rPr>
            <w:w w:val="120"/>
            <w:sz w:val="18"/>
          </w:rPr>
          <w:t>helen.garton@urc.org.uk. </w:t>
        </w:r>
      </w:hyperlink>
      <w:r>
        <w:rPr>
          <w:w w:val="120"/>
          <w:sz w:val="18"/>
        </w:rPr>
        <w:t>Helen can also provide copies of the appendices for those who are unable to access them on the</w:t>
      </w:r>
      <w:r>
        <w:rPr>
          <w:spacing w:val="10"/>
          <w:w w:val="120"/>
          <w:sz w:val="18"/>
        </w:rPr>
        <w:t> </w:t>
      </w:r>
      <w:r>
        <w:rPr>
          <w:w w:val="120"/>
          <w:sz w:val="18"/>
        </w:rPr>
        <w:t>internet.</w:t>
      </w:r>
    </w:p>
    <w:p>
      <w:pPr>
        <w:spacing w:after="0"/>
        <w:jc w:val="left"/>
        <w:rPr>
          <w:sz w:val="18"/>
        </w:rPr>
        <w:sectPr>
          <w:headerReference w:type="default" r:id="rId247"/>
          <w:footerReference w:type="default" r:id="rId248"/>
          <w:footerReference w:type="even" r:id="rId249"/>
          <w:pgSz w:w="11910" w:h="16840"/>
          <w:pgMar w:header="0" w:footer="647" w:top="0" w:bottom="840" w:left="0" w:right="0"/>
          <w:pgNumType w:start="103"/>
        </w:sectPr>
      </w:pPr>
    </w:p>
    <w:p>
      <w:pPr>
        <w:pStyle w:val="BodyText"/>
      </w:pPr>
      <w:r>
        <w:rPr/>
        <w:drawing>
          <wp:anchor distT="0" distB="0" distL="0" distR="0" allowOverlap="1" layoutInCell="1" locked="0" behindDoc="0" simplePos="0" relativeHeight="251947008">
            <wp:simplePos x="0" y="0"/>
            <wp:positionH relativeFrom="page">
              <wp:posOffset>0</wp:posOffset>
            </wp:positionH>
            <wp:positionV relativeFrom="page">
              <wp:posOffset>0</wp:posOffset>
            </wp:positionV>
            <wp:extent cx="594067" cy="10692003"/>
            <wp:effectExtent l="0" t="0" r="0" b="0"/>
            <wp:wrapNone/>
            <wp:docPr id="191" name="image28.png"/>
            <wp:cNvGraphicFramePr>
              <a:graphicFrameLocks noChangeAspect="1"/>
            </wp:cNvGraphicFramePr>
            <a:graphic>
              <a:graphicData uri="http://schemas.openxmlformats.org/drawingml/2006/picture">
                <pic:pic>
                  <pic:nvPicPr>
                    <pic:cNvPr id="192" name="image28.png"/>
                    <pic:cNvPicPr/>
                  </pic:nvPicPr>
                  <pic:blipFill>
                    <a:blip r:embed="rId198"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shape style="position:absolute;margin-left:20.519100pt;margin-top:22.593945pt;width:25.9pt;height:266.2pt;mso-position-horizontal-relative:page;mso-position-vertical-relative:paragraph;z-index:251948032" type="#_x0000_t202" filled="false" stroked="false">
            <v:textbox inset="0,0,0,0" style="layout-flow:vertical">
              <w:txbxContent>
                <w:p>
                  <w:pPr>
                    <w:spacing w:before="27"/>
                    <w:ind w:left="20" w:right="0" w:firstLine="0"/>
                    <w:jc w:val="left"/>
                    <w:rPr>
                      <w:sz w:val="39"/>
                    </w:rPr>
                  </w:pPr>
                  <w:r>
                    <w:rPr>
                      <w:color w:val="FFFFFF"/>
                      <w:spacing w:val="12"/>
                      <w:w w:val="120"/>
                      <w:sz w:val="39"/>
                    </w:rPr>
                    <w:t>Affirming </w:t>
                  </w:r>
                  <w:r>
                    <w:rPr>
                      <w:color w:val="FFFFFF"/>
                      <w:spacing w:val="8"/>
                      <w:w w:val="120"/>
                      <w:sz w:val="39"/>
                    </w:rPr>
                    <w:t>the </w:t>
                  </w:r>
                  <w:r>
                    <w:rPr>
                      <w:color w:val="FFFFFF"/>
                      <w:spacing w:val="-4"/>
                      <w:w w:val="120"/>
                      <w:sz w:val="39"/>
                    </w:rPr>
                    <w:t>URC’s</w:t>
                  </w:r>
                  <w:r>
                    <w:rPr>
                      <w:color w:val="FFFFFF"/>
                      <w:spacing w:val="78"/>
                      <w:w w:val="120"/>
                      <w:sz w:val="39"/>
                    </w:rPr>
                    <w:t> </w:t>
                  </w:r>
                  <w:r>
                    <w:rPr>
                      <w:color w:val="FFFFFF"/>
                      <w:spacing w:val="8"/>
                      <w:w w:val="120"/>
                      <w:sz w:val="39"/>
                    </w:rPr>
                    <w:t>future</w:t>
                  </w:r>
                </w:p>
              </w:txbxContent>
            </v:textbox>
            <w10:wrap type="none"/>
          </v:shape>
        </w:pict>
      </w:r>
      <w:r>
        <w:rPr>
          <w:color w:val="7EAABF"/>
          <w:w w:val="115"/>
        </w:rPr>
        <w:t>Faith and order</w:t>
      </w:r>
    </w:p>
    <w:p>
      <w:pPr>
        <w:pStyle w:val="BodyText"/>
        <w:spacing w:line="235" w:lineRule="auto" w:before="222"/>
        <w:ind w:left="1247" w:right="2004"/>
      </w:pPr>
      <w:r>
        <w:rPr>
          <w:w w:val="120"/>
        </w:rPr>
        <w:t>in a document linked to this paper (appendix A). The scenarios were offered to focus discussion around the issues that arise when thinking about the future of the United Reformed Church, and they have been discussed with groups of churches and ministers in different parts of the three nations. Responses received are as follows:</w:t>
      </w:r>
    </w:p>
    <w:p>
      <w:pPr>
        <w:pStyle w:val="BodyText"/>
        <w:spacing w:before="7"/>
        <w:rPr>
          <w:sz w:val="19"/>
        </w:rPr>
      </w:pPr>
    </w:p>
    <w:p>
      <w:pPr>
        <w:pStyle w:val="ListParagraph"/>
        <w:numPr>
          <w:ilvl w:val="0"/>
          <w:numId w:val="57"/>
        </w:numPr>
        <w:tabs>
          <w:tab w:pos="2721" w:val="left" w:leader="none"/>
          <w:tab w:pos="2722" w:val="left" w:leader="none"/>
        </w:tabs>
        <w:spacing w:line="242" w:lineRule="exact" w:before="0" w:after="0"/>
        <w:ind w:left="2721" w:right="0" w:hanging="795"/>
        <w:jc w:val="left"/>
        <w:rPr>
          <w:sz w:val="20"/>
        </w:rPr>
      </w:pPr>
      <w:r>
        <w:rPr>
          <w:w w:val="120"/>
          <w:sz w:val="20"/>
        </w:rPr>
        <w:t>‘Steady as she goes, being realistic about ongoing decline’</w:t>
      </w:r>
      <w:r>
        <w:rPr>
          <w:spacing w:val="32"/>
          <w:w w:val="120"/>
          <w:sz w:val="20"/>
        </w:rPr>
        <w:t> </w:t>
      </w:r>
      <w:r>
        <w:rPr>
          <w:w w:val="120"/>
          <w:sz w:val="20"/>
        </w:rPr>
        <w:t>–</w:t>
      </w:r>
    </w:p>
    <w:p>
      <w:pPr>
        <w:pStyle w:val="BodyText"/>
        <w:spacing w:line="235" w:lineRule="auto" w:before="2"/>
        <w:ind w:left="2721" w:right="2412"/>
      </w:pPr>
      <w:r>
        <w:rPr>
          <w:w w:val="120"/>
        </w:rPr>
        <w:t>i.e. more or less staying the same. This scenario gained the least support from Mission Council.</w:t>
      </w:r>
    </w:p>
    <w:p>
      <w:pPr>
        <w:pStyle w:val="BodyText"/>
        <w:spacing w:before="9"/>
        <w:rPr>
          <w:sz w:val="19"/>
        </w:rPr>
      </w:pPr>
    </w:p>
    <w:p>
      <w:pPr>
        <w:pStyle w:val="ListParagraph"/>
        <w:numPr>
          <w:ilvl w:val="0"/>
          <w:numId w:val="57"/>
        </w:numPr>
        <w:tabs>
          <w:tab w:pos="2721" w:val="left" w:leader="none"/>
          <w:tab w:pos="2722" w:val="left" w:leader="none"/>
        </w:tabs>
        <w:spacing w:line="235" w:lineRule="auto" w:before="0" w:after="0"/>
        <w:ind w:left="2721" w:right="2465" w:hanging="794"/>
        <w:jc w:val="left"/>
        <w:rPr>
          <w:sz w:val="20"/>
        </w:rPr>
      </w:pPr>
      <w:r>
        <w:rPr>
          <w:w w:val="120"/>
          <w:sz w:val="20"/>
        </w:rPr>
        <w:t>The Uniting Churches of/in Great Britain – Anglicans, Methodist and United Reformed Church uniting across the three nations, leading   to a major sell-off of buildings and the development of new</w:t>
      </w:r>
      <w:r>
        <w:rPr>
          <w:spacing w:val="41"/>
          <w:w w:val="120"/>
          <w:sz w:val="20"/>
        </w:rPr>
        <w:t> </w:t>
      </w:r>
      <w:r>
        <w:rPr>
          <w:w w:val="120"/>
          <w:sz w:val="20"/>
        </w:rPr>
        <w:t>vibrant</w:t>
      </w:r>
    </w:p>
    <w:p>
      <w:pPr>
        <w:pStyle w:val="BodyText"/>
        <w:spacing w:line="235" w:lineRule="auto" w:before="2"/>
        <w:ind w:left="2721" w:right="2200"/>
      </w:pPr>
      <w:r>
        <w:rPr>
          <w:w w:val="120"/>
        </w:rPr>
        <w:t>congregations. There were strongly divided views on this, with some folk very much in favour and others against, feeling it to be unrealistic and liable to a loss of United Reformed identity.</w:t>
      </w:r>
    </w:p>
    <w:p>
      <w:pPr>
        <w:pStyle w:val="BodyText"/>
        <w:spacing w:before="10"/>
        <w:rPr>
          <w:sz w:val="19"/>
        </w:rPr>
      </w:pPr>
    </w:p>
    <w:p>
      <w:pPr>
        <w:pStyle w:val="ListParagraph"/>
        <w:numPr>
          <w:ilvl w:val="0"/>
          <w:numId w:val="57"/>
        </w:numPr>
        <w:tabs>
          <w:tab w:pos="2721" w:val="left" w:leader="none"/>
          <w:tab w:pos="2722" w:val="left" w:leader="none"/>
        </w:tabs>
        <w:spacing w:line="235" w:lineRule="auto" w:before="1" w:after="0"/>
        <w:ind w:left="2721" w:right="2498" w:hanging="794"/>
        <w:jc w:val="left"/>
        <w:rPr>
          <w:sz w:val="20"/>
        </w:rPr>
      </w:pPr>
      <w:r>
        <w:rPr>
          <w:w w:val="120"/>
          <w:sz w:val="20"/>
        </w:rPr>
        <w:t>Encouraging local unions in each place. Some objected that this too would lead to a loss of United Reformed</w:t>
      </w:r>
      <w:r>
        <w:rPr>
          <w:spacing w:val="14"/>
          <w:w w:val="120"/>
          <w:sz w:val="20"/>
        </w:rPr>
        <w:t> </w:t>
      </w:r>
      <w:r>
        <w:rPr>
          <w:w w:val="120"/>
          <w:sz w:val="20"/>
        </w:rPr>
        <w:t>identity.</w:t>
      </w:r>
    </w:p>
    <w:p>
      <w:pPr>
        <w:pStyle w:val="BodyText"/>
        <w:spacing w:before="9"/>
        <w:rPr>
          <w:sz w:val="19"/>
        </w:rPr>
      </w:pPr>
    </w:p>
    <w:p>
      <w:pPr>
        <w:pStyle w:val="ListParagraph"/>
        <w:numPr>
          <w:ilvl w:val="0"/>
          <w:numId w:val="57"/>
        </w:numPr>
        <w:tabs>
          <w:tab w:pos="2721" w:val="left" w:leader="none"/>
          <w:tab w:pos="2722" w:val="left" w:leader="none"/>
        </w:tabs>
        <w:spacing w:line="235" w:lineRule="auto" w:before="0" w:after="0"/>
        <w:ind w:left="2721" w:right="2121" w:hanging="794"/>
        <w:jc w:val="left"/>
        <w:rPr>
          <w:sz w:val="20"/>
        </w:rPr>
      </w:pPr>
      <w:r>
        <w:rPr>
          <w:w w:val="120"/>
          <w:sz w:val="20"/>
        </w:rPr>
        <w:t>The development of ‘pastorate churches’ of </w:t>
      </w:r>
      <w:r>
        <w:rPr>
          <w:spacing w:val="-6"/>
          <w:w w:val="120"/>
          <w:sz w:val="20"/>
        </w:rPr>
        <w:t>10 </w:t>
      </w:r>
      <w:r>
        <w:rPr>
          <w:w w:val="120"/>
          <w:sz w:val="20"/>
        </w:rPr>
        <w:t>to </w:t>
      </w:r>
      <w:r>
        <w:rPr>
          <w:spacing w:val="-9"/>
          <w:w w:val="120"/>
          <w:sz w:val="20"/>
        </w:rPr>
        <w:t>15 </w:t>
      </w:r>
      <w:r>
        <w:rPr>
          <w:w w:val="120"/>
          <w:sz w:val="20"/>
        </w:rPr>
        <w:t>congregations, each pastorate having one central church building hosting a monthly united service with cell group meetings inbetween.  Funds  from  the sale of church buildings would be released to support staff and a lively programme at the central church. Views on this one were mixed, with a strong resistance to a major structural</w:t>
      </w:r>
      <w:r>
        <w:rPr>
          <w:spacing w:val="10"/>
          <w:w w:val="120"/>
          <w:sz w:val="20"/>
        </w:rPr>
        <w:t> </w:t>
      </w:r>
      <w:r>
        <w:rPr>
          <w:w w:val="120"/>
          <w:sz w:val="20"/>
        </w:rPr>
        <w:t>re-organisation.</w:t>
      </w:r>
    </w:p>
    <w:p>
      <w:pPr>
        <w:pStyle w:val="BodyText"/>
      </w:pPr>
    </w:p>
    <w:p>
      <w:pPr>
        <w:pStyle w:val="ListParagraph"/>
        <w:numPr>
          <w:ilvl w:val="0"/>
          <w:numId w:val="57"/>
        </w:numPr>
        <w:tabs>
          <w:tab w:pos="2721" w:val="left" w:leader="none"/>
          <w:tab w:pos="2722" w:val="left" w:leader="none"/>
        </w:tabs>
        <w:spacing w:line="235" w:lineRule="auto" w:before="0" w:after="0"/>
        <w:ind w:left="2721" w:right="2594" w:hanging="794"/>
        <w:jc w:val="left"/>
        <w:rPr>
          <w:sz w:val="20"/>
        </w:rPr>
      </w:pPr>
      <w:r>
        <w:rPr>
          <w:w w:val="120"/>
          <w:sz w:val="20"/>
        </w:rPr>
        <w:t>New forms of Christian communities predominate, such as migrant churches, Fresh Expressions and ‘de-branded’ churches, leading to a great variety and only a handful </w:t>
      </w:r>
      <w:r>
        <w:rPr>
          <w:spacing w:val="2"/>
          <w:w w:val="120"/>
          <w:sz w:val="20"/>
        </w:rPr>
        <w:t>left </w:t>
      </w:r>
      <w:r>
        <w:rPr>
          <w:w w:val="120"/>
          <w:sz w:val="20"/>
        </w:rPr>
        <w:t>with a recognisable United Reformed identity. Respondents recognised that such variety was already a</w:t>
      </w:r>
      <w:r>
        <w:rPr>
          <w:spacing w:val="3"/>
          <w:w w:val="120"/>
          <w:sz w:val="20"/>
        </w:rPr>
        <w:t> </w:t>
      </w:r>
      <w:r>
        <w:rPr>
          <w:w w:val="120"/>
          <w:sz w:val="20"/>
        </w:rPr>
        <w:t>reality.</w:t>
      </w:r>
    </w:p>
    <w:p>
      <w:pPr>
        <w:pStyle w:val="BodyText"/>
      </w:pPr>
    </w:p>
    <w:p>
      <w:pPr>
        <w:pStyle w:val="ListParagraph"/>
        <w:numPr>
          <w:ilvl w:val="0"/>
          <w:numId w:val="57"/>
        </w:numPr>
        <w:tabs>
          <w:tab w:pos="2721" w:val="left" w:leader="none"/>
          <w:tab w:pos="2722" w:val="left" w:leader="none"/>
        </w:tabs>
        <w:spacing w:line="235" w:lineRule="auto" w:before="0" w:after="0"/>
        <w:ind w:left="2721" w:right="2007" w:hanging="794"/>
        <w:jc w:val="left"/>
        <w:rPr>
          <w:sz w:val="20"/>
        </w:rPr>
      </w:pPr>
      <w:r>
        <w:rPr>
          <w:w w:val="120"/>
          <w:sz w:val="20"/>
        </w:rPr>
        <w:t>‘Cyber-church’ dependent on the development of social networking and new technology, creating the possibility of online communities. (This   was not offered to Mission Council but was explored in the subsequent faith and order</w:t>
      </w:r>
      <w:r>
        <w:rPr>
          <w:spacing w:val="6"/>
          <w:w w:val="120"/>
          <w:sz w:val="20"/>
        </w:rPr>
        <w:t> </w:t>
      </w:r>
      <w:r>
        <w:rPr>
          <w:w w:val="120"/>
          <w:sz w:val="20"/>
        </w:rPr>
        <w:t>meeting.)</w:t>
      </w:r>
    </w:p>
    <w:p>
      <w:pPr>
        <w:pStyle w:val="BodyText"/>
        <w:spacing w:before="11"/>
        <w:rPr>
          <w:sz w:val="19"/>
        </w:rPr>
      </w:pPr>
    </w:p>
    <w:p>
      <w:pPr>
        <w:pStyle w:val="ListParagraph"/>
        <w:numPr>
          <w:ilvl w:val="1"/>
          <w:numId w:val="56"/>
        </w:numPr>
        <w:tabs>
          <w:tab w:pos="1927" w:val="left" w:leader="none"/>
          <w:tab w:pos="1928" w:val="left" w:leader="none"/>
        </w:tabs>
        <w:spacing w:line="235" w:lineRule="auto" w:before="0" w:after="0"/>
        <w:ind w:left="1247" w:right="2001" w:firstLine="0"/>
        <w:jc w:val="left"/>
        <w:rPr>
          <w:sz w:val="20"/>
        </w:rPr>
      </w:pPr>
      <w:r>
        <w:rPr>
          <w:w w:val="120"/>
          <w:sz w:val="20"/>
        </w:rPr>
        <w:t>Discussion was lively! Mission Council did not feel that structural re-organisation, whether within the United Reformed Church or with ecumenical partners, was the primary way to renew the life of the Church. Rather there was a desire to re-focus on: Spirituality, embracing a renewal of prayer and worship, and seeing the ways in which spirituality connects with the whole of life; on theological reflection, giving time to consider the </w:t>
      </w:r>
      <w:r>
        <w:rPr>
          <w:spacing w:val="2"/>
          <w:w w:val="120"/>
          <w:sz w:val="20"/>
        </w:rPr>
        <w:t>gifts </w:t>
      </w:r>
      <w:r>
        <w:rPr>
          <w:w w:val="120"/>
          <w:sz w:val="20"/>
        </w:rPr>
        <w:t>of the United Reformed </w:t>
      </w:r>
      <w:r>
        <w:rPr>
          <w:spacing w:val="-3"/>
          <w:w w:val="120"/>
          <w:sz w:val="20"/>
        </w:rPr>
        <w:t>Church’s </w:t>
      </w:r>
      <w:r>
        <w:rPr>
          <w:w w:val="120"/>
          <w:sz w:val="20"/>
        </w:rPr>
        <w:t>particular Reformed heritage and  the way those </w:t>
      </w:r>
      <w:r>
        <w:rPr>
          <w:spacing w:val="2"/>
          <w:w w:val="120"/>
          <w:sz w:val="20"/>
        </w:rPr>
        <w:t>gifts </w:t>
      </w:r>
      <w:r>
        <w:rPr>
          <w:w w:val="120"/>
          <w:sz w:val="20"/>
        </w:rPr>
        <w:t>shape and invigorate our shared life today; and on practical local initiatives – reaching out to meet material and spiritual need in each</w:t>
      </w:r>
      <w:r>
        <w:rPr>
          <w:spacing w:val="22"/>
          <w:w w:val="120"/>
          <w:sz w:val="20"/>
        </w:rPr>
        <w:t> </w:t>
      </w:r>
      <w:r>
        <w:rPr>
          <w:w w:val="120"/>
          <w:sz w:val="20"/>
        </w:rPr>
        <w:t>community.</w:t>
      </w:r>
    </w:p>
    <w:p>
      <w:pPr>
        <w:pStyle w:val="BodyText"/>
        <w:spacing w:before="11"/>
        <w:rPr>
          <w:sz w:val="17"/>
        </w:rPr>
      </w:pPr>
    </w:p>
    <w:p>
      <w:pPr>
        <w:pStyle w:val="Heading4"/>
        <w:numPr>
          <w:ilvl w:val="0"/>
          <w:numId w:val="58"/>
        </w:numPr>
        <w:tabs>
          <w:tab w:pos="1927" w:val="left" w:leader="none"/>
          <w:tab w:pos="1928" w:val="left" w:leader="none"/>
        </w:tabs>
        <w:spacing w:line="240" w:lineRule="auto" w:before="0" w:after="0"/>
        <w:ind w:left="1927" w:right="0" w:hanging="681"/>
        <w:jc w:val="left"/>
      </w:pPr>
      <w:r>
        <w:rPr>
          <w:spacing w:val="3"/>
          <w:w w:val="110"/>
        </w:rPr>
        <w:t>United </w:t>
      </w:r>
      <w:r>
        <w:rPr>
          <w:spacing w:val="4"/>
          <w:w w:val="110"/>
        </w:rPr>
        <w:t>Reformed </w:t>
      </w:r>
      <w:r>
        <w:rPr>
          <w:spacing w:val="3"/>
          <w:w w:val="110"/>
        </w:rPr>
        <w:t>Church</w:t>
      </w:r>
      <w:r>
        <w:rPr>
          <w:spacing w:val="31"/>
          <w:w w:val="110"/>
        </w:rPr>
        <w:t> </w:t>
      </w:r>
      <w:r>
        <w:rPr>
          <w:spacing w:val="4"/>
          <w:w w:val="110"/>
        </w:rPr>
        <w:t>identity</w:t>
      </w:r>
    </w:p>
    <w:p>
      <w:pPr>
        <w:pStyle w:val="Heading9"/>
        <w:numPr>
          <w:ilvl w:val="1"/>
          <w:numId w:val="58"/>
        </w:numPr>
        <w:tabs>
          <w:tab w:pos="1927" w:val="left" w:leader="none"/>
          <w:tab w:pos="1928" w:val="left" w:leader="none"/>
        </w:tabs>
        <w:spacing w:line="261" w:lineRule="exact" w:before="52" w:after="0"/>
        <w:ind w:left="1927" w:right="0" w:hanging="681"/>
        <w:jc w:val="left"/>
      </w:pPr>
      <w:r>
        <w:rPr>
          <w:w w:val="110"/>
        </w:rPr>
        <w:t>Context and</w:t>
      </w:r>
      <w:r>
        <w:rPr>
          <w:spacing w:val="-1"/>
          <w:w w:val="110"/>
        </w:rPr>
        <w:t> </w:t>
      </w:r>
      <w:r>
        <w:rPr>
          <w:w w:val="110"/>
        </w:rPr>
        <w:t>realism</w:t>
      </w:r>
    </w:p>
    <w:p>
      <w:pPr>
        <w:pStyle w:val="ListParagraph"/>
        <w:numPr>
          <w:ilvl w:val="2"/>
          <w:numId w:val="58"/>
        </w:numPr>
        <w:tabs>
          <w:tab w:pos="1927" w:val="left" w:leader="none"/>
          <w:tab w:pos="1928" w:val="left" w:leader="none"/>
        </w:tabs>
        <w:spacing w:line="235" w:lineRule="auto" w:before="0" w:after="0"/>
        <w:ind w:left="1247" w:right="2069" w:firstLine="0"/>
        <w:jc w:val="left"/>
        <w:rPr>
          <w:sz w:val="20"/>
        </w:rPr>
      </w:pPr>
      <w:r>
        <w:rPr>
          <w:w w:val="120"/>
          <w:sz w:val="20"/>
        </w:rPr>
        <w:t>These are challenging and changing times for the Christian faith across Europe, where traditional churchgoing has been in steady decline. The United Reformed   Church across its three nations has not been immune from this experience. The Christian faith is being challenged on many sides, significantly from a militant atheist perspective. There are challenges which arise out of the western enlightenment and post-enlightenment world: About the role of reason and experience, the nature of authority and institutions, approaches to scripture, the tension between personal autonomy and community, and the place of structures in the life of the Church. Various </w:t>
      </w:r>
      <w:r>
        <w:rPr>
          <w:spacing w:val="2"/>
          <w:w w:val="120"/>
          <w:sz w:val="20"/>
        </w:rPr>
        <w:t>shifts </w:t>
      </w:r>
      <w:r>
        <w:rPr>
          <w:w w:val="120"/>
          <w:sz w:val="20"/>
        </w:rPr>
        <w:t>have taken place. There has been a shift away from a providential understanding of</w:t>
      </w:r>
      <w:r>
        <w:rPr>
          <w:spacing w:val="7"/>
          <w:w w:val="120"/>
          <w:sz w:val="20"/>
        </w:rPr>
        <w:t> </w:t>
      </w:r>
      <w:r>
        <w:rPr>
          <w:w w:val="120"/>
          <w:sz w:val="20"/>
        </w:rPr>
        <w:t>God,</w:t>
      </w:r>
      <w:r>
        <w:rPr>
          <w:spacing w:val="8"/>
          <w:w w:val="120"/>
          <w:sz w:val="20"/>
        </w:rPr>
        <w:t> </w:t>
      </w:r>
      <w:r>
        <w:rPr>
          <w:w w:val="120"/>
          <w:sz w:val="20"/>
        </w:rPr>
        <w:t>acting</w:t>
      </w:r>
      <w:r>
        <w:rPr>
          <w:spacing w:val="7"/>
          <w:w w:val="120"/>
          <w:sz w:val="20"/>
        </w:rPr>
        <w:t> </w:t>
      </w:r>
      <w:r>
        <w:rPr>
          <w:w w:val="120"/>
          <w:sz w:val="20"/>
        </w:rPr>
        <w:t>in</w:t>
      </w:r>
      <w:r>
        <w:rPr>
          <w:spacing w:val="8"/>
          <w:w w:val="120"/>
          <w:sz w:val="20"/>
        </w:rPr>
        <w:t> </w:t>
      </w:r>
      <w:r>
        <w:rPr>
          <w:w w:val="120"/>
          <w:sz w:val="20"/>
        </w:rPr>
        <w:t>history</w:t>
      </w:r>
      <w:r>
        <w:rPr>
          <w:spacing w:val="7"/>
          <w:w w:val="120"/>
          <w:sz w:val="20"/>
        </w:rPr>
        <w:t> </w:t>
      </w:r>
      <w:r>
        <w:rPr>
          <w:w w:val="120"/>
          <w:sz w:val="20"/>
        </w:rPr>
        <w:t>and</w:t>
      </w:r>
      <w:r>
        <w:rPr>
          <w:spacing w:val="8"/>
          <w:w w:val="120"/>
          <w:sz w:val="20"/>
        </w:rPr>
        <w:t> </w:t>
      </w:r>
      <w:r>
        <w:rPr>
          <w:w w:val="120"/>
          <w:sz w:val="20"/>
        </w:rPr>
        <w:t>providing</w:t>
      </w:r>
      <w:r>
        <w:rPr>
          <w:spacing w:val="8"/>
          <w:w w:val="120"/>
          <w:sz w:val="20"/>
        </w:rPr>
        <w:t> </w:t>
      </w:r>
      <w:r>
        <w:rPr>
          <w:w w:val="120"/>
          <w:sz w:val="20"/>
        </w:rPr>
        <w:t>for</w:t>
      </w:r>
      <w:r>
        <w:rPr>
          <w:spacing w:val="7"/>
          <w:w w:val="120"/>
          <w:sz w:val="20"/>
        </w:rPr>
        <w:t> </w:t>
      </w:r>
      <w:r>
        <w:rPr>
          <w:w w:val="120"/>
          <w:sz w:val="20"/>
        </w:rPr>
        <w:t>God’s</w:t>
      </w:r>
      <w:r>
        <w:rPr>
          <w:spacing w:val="8"/>
          <w:w w:val="120"/>
          <w:sz w:val="20"/>
        </w:rPr>
        <w:t> </w:t>
      </w:r>
      <w:r>
        <w:rPr>
          <w:w w:val="120"/>
          <w:sz w:val="20"/>
        </w:rPr>
        <w:t>people</w:t>
      </w:r>
      <w:r>
        <w:rPr>
          <w:spacing w:val="7"/>
          <w:w w:val="120"/>
          <w:sz w:val="20"/>
        </w:rPr>
        <w:t> </w:t>
      </w:r>
      <w:r>
        <w:rPr>
          <w:w w:val="120"/>
          <w:sz w:val="20"/>
        </w:rPr>
        <w:t>in</w:t>
      </w:r>
      <w:r>
        <w:rPr>
          <w:spacing w:val="8"/>
          <w:w w:val="120"/>
          <w:sz w:val="20"/>
        </w:rPr>
        <w:t> </w:t>
      </w:r>
      <w:r>
        <w:rPr>
          <w:w w:val="120"/>
          <w:sz w:val="20"/>
        </w:rPr>
        <w:t>a</w:t>
      </w:r>
      <w:r>
        <w:rPr>
          <w:spacing w:val="8"/>
          <w:w w:val="120"/>
          <w:sz w:val="20"/>
        </w:rPr>
        <w:t> </w:t>
      </w:r>
      <w:r>
        <w:rPr>
          <w:w w:val="120"/>
          <w:sz w:val="20"/>
        </w:rPr>
        <w:t>variety</w:t>
      </w:r>
      <w:r>
        <w:rPr>
          <w:spacing w:val="7"/>
          <w:w w:val="120"/>
          <w:sz w:val="20"/>
        </w:rPr>
        <w:t> </w:t>
      </w:r>
      <w:r>
        <w:rPr>
          <w:w w:val="120"/>
          <w:sz w:val="20"/>
        </w:rPr>
        <w:t>of</w:t>
      </w:r>
      <w:r>
        <w:rPr>
          <w:spacing w:val="8"/>
          <w:w w:val="120"/>
          <w:sz w:val="20"/>
        </w:rPr>
        <w:t> </w:t>
      </w:r>
      <w:r>
        <w:rPr>
          <w:w w:val="120"/>
          <w:sz w:val="20"/>
        </w:rPr>
        <w:t>ways,</w:t>
      </w:r>
      <w:r>
        <w:rPr>
          <w:spacing w:val="7"/>
          <w:w w:val="120"/>
          <w:sz w:val="20"/>
        </w:rPr>
        <w:t> </w:t>
      </w:r>
      <w:r>
        <w:rPr>
          <w:w w:val="120"/>
          <w:sz w:val="20"/>
        </w:rPr>
        <w:t>to</w:t>
      </w:r>
      <w:r>
        <w:rPr>
          <w:spacing w:val="8"/>
          <w:w w:val="120"/>
          <w:sz w:val="20"/>
        </w:rPr>
        <w:t> </w:t>
      </w:r>
      <w:r>
        <w:rPr>
          <w:w w:val="120"/>
          <w:sz w:val="20"/>
        </w:rPr>
        <w:t>a</w:t>
      </w:r>
      <w:r>
        <w:rPr>
          <w:spacing w:val="8"/>
          <w:w w:val="120"/>
          <w:sz w:val="20"/>
        </w:rPr>
        <w:t> </w:t>
      </w:r>
      <w:r>
        <w:rPr>
          <w:w w:val="120"/>
          <w:sz w:val="20"/>
        </w:rPr>
        <w:t>belief</w:t>
      </w:r>
    </w:p>
    <w:p>
      <w:pPr>
        <w:spacing w:after="0" w:line="235" w:lineRule="auto"/>
        <w:jc w:val="left"/>
        <w:rPr>
          <w:sz w:val="20"/>
        </w:rPr>
        <w:sectPr>
          <w:headerReference w:type="even" r:id="rId251"/>
          <w:pgSz w:w="11910" w:h="16840"/>
          <w:pgMar w:header="0" w:footer="647" w:top="0" w:bottom="840" w:left="0" w:right="0"/>
        </w:sectPr>
      </w:pPr>
    </w:p>
    <w:p>
      <w:pPr>
        <w:pStyle w:val="BodyText"/>
      </w:pPr>
      <w:r>
        <w:rPr/>
        <w:drawing>
          <wp:anchor distT="0" distB="0" distL="0" distR="0" allowOverlap="1" layoutInCell="1" locked="0" behindDoc="0" simplePos="0" relativeHeight="251949056">
            <wp:simplePos x="0" y="0"/>
            <wp:positionH relativeFrom="page">
              <wp:posOffset>6974928</wp:posOffset>
            </wp:positionH>
            <wp:positionV relativeFrom="page">
              <wp:posOffset>0</wp:posOffset>
            </wp:positionV>
            <wp:extent cx="585063" cy="10692003"/>
            <wp:effectExtent l="0" t="0" r="0" b="0"/>
            <wp:wrapNone/>
            <wp:docPr id="193" name="image25.png"/>
            <wp:cNvGraphicFramePr>
              <a:graphicFrameLocks noChangeAspect="1"/>
            </wp:cNvGraphicFramePr>
            <a:graphic>
              <a:graphicData uri="http://schemas.openxmlformats.org/drawingml/2006/picture">
                <pic:pic>
                  <pic:nvPicPr>
                    <pic:cNvPr id="194" name="image25.png"/>
                    <pic:cNvPicPr/>
                  </pic:nvPicPr>
                  <pic:blipFill>
                    <a:blip r:embed="rId192"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266.2pt;mso-position-horizontal-relative:page;mso-position-vertical-relative:paragraph;z-index:251950080" type="#_x0000_t202" filled="false" stroked="false">
            <v:textbox inset="0,0,0,0" style="layout-flow:vertical">
              <w:txbxContent>
                <w:p>
                  <w:pPr>
                    <w:spacing w:before="27"/>
                    <w:ind w:left="20" w:right="0" w:firstLine="0"/>
                    <w:jc w:val="left"/>
                    <w:rPr>
                      <w:sz w:val="39"/>
                    </w:rPr>
                  </w:pPr>
                  <w:r>
                    <w:rPr>
                      <w:color w:val="FFFFFF"/>
                      <w:spacing w:val="12"/>
                      <w:w w:val="120"/>
                      <w:sz w:val="39"/>
                    </w:rPr>
                    <w:t>Affirming </w:t>
                  </w:r>
                  <w:r>
                    <w:rPr>
                      <w:color w:val="FFFFFF"/>
                      <w:spacing w:val="8"/>
                      <w:w w:val="120"/>
                      <w:sz w:val="39"/>
                    </w:rPr>
                    <w:t>the </w:t>
                  </w:r>
                  <w:r>
                    <w:rPr>
                      <w:color w:val="FFFFFF"/>
                      <w:spacing w:val="-4"/>
                      <w:w w:val="120"/>
                      <w:sz w:val="39"/>
                    </w:rPr>
                    <w:t>URC’s</w:t>
                  </w:r>
                  <w:r>
                    <w:rPr>
                      <w:color w:val="FFFFFF"/>
                      <w:spacing w:val="78"/>
                      <w:w w:val="120"/>
                      <w:sz w:val="39"/>
                    </w:rPr>
                    <w:t> </w:t>
                  </w:r>
                  <w:r>
                    <w:rPr>
                      <w:color w:val="FFFFFF"/>
                      <w:spacing w:val="8"/>
                      <w:w w:val="120"/>
                      <w:sz w:val="39"/>
                    </w:rPr>
                    <w:t>future</w:t>
                  </w:r>
                </w:p>
              </w:txbxContent>
            </v:textbox>
            <w10:wrap type="none"/>
          </v:shape>
        </w:pict>
      </w:r>
      <w:r>
        <w:rPr>
          <w:color w:val="7EAABF"/>
          <w:w w:val="115"/>
          <w:sz w:val="26"/>
        </w:rPr>
        <w:t>Faith and order</w:t>
      </w:r>
    </w:p>
    <w:p>
      <w:pPr>
        <w:pStyle w:val="BodyText"/>
        <w:spacing w:line="235" w:lineRule="auto" w:before="222"/>
        <w:ind w:left="1984" w:right="1257"/>
      </w:pPr>
      <w:r>
        <w:rPr>
          <w:w w:val="120"/>
        </w:rPr>
        <w:t>in causality. There has been a move away from institutions to a focus on the self, with an emphasis on self-expression and self-realisation rather than on the security of religious institutions, rules or mutual belonging.</w:t>
      </w:r>
    </w:p>
    <w:p>
      <w:pPr>
        <w:pStyle w:val="BodyText"/>
        <w:spacing w:before="10"/>
        <w:rPr>
          <w:sz w:val="19"/>
        </w:rPr>
      </w:pPr>
    </w:p>
    <w:p>
      <w:pPr>
        <w:pStyle w:val="ListParagraph"/>
        <w:numPr>
          <w:ilvl w:val="2"/>
          <w:numId w:val="58"/>
        </w:numPr>
        <w:tabs>
          <w:tab w:pos="2664" w:val="left" w:leader="none"/>
          <w:tab w:pos="2665" w:val="left" w:leader="none"/>
        </w:tabs>
        <w:spacing w:line="235" w:lineRule="auto" w:before="0" w:after="0"/>
        <w:ind w:left="1984" w:right="1251" w:firstLine="0"/>
        <w:jc w:val="left"/>
        <w:rPr>
          <w:sz w:val="20"/>
        </w:rPr>
      </w:pPr>
      <w:r>
        <w:rPr>
          <w:w w:val="120"/>
          <w:sz w:val="20"/>
        </w:rPr>
        <w:t>Much has been written about the decline of the Church and the Christian faith from sociological, philosophical and theological approaches, and about possible responses. It is clear that there are no quick fix answers. If there were, Churches across Europe would have found them and would be acting on them. Not having easy answers is itself a challenge in this contemporary age, which </w:t>
      </w:r>
      <w:r>
        <w:rPr>
          <w:spacing w:val="2"/>
          <w:w w:val="120"/>
          <w:sz w:val="20"/>
        </w:rPr>
        <w:t>expects </w:t>
      </w:r>
      <w:r>
        <w:rPr>
          <w:w w:val="120"/>
          <w:sz w:val="20"/>
        </w:rPr>
        <w:t>ever quicker solutions. This means that seeking God’s guidance for the future of the Church is not going to be an easy road. It is a path that will require hard work and commitment. </w:t>
      </w:r>
      <w:r>
        <w:rPr>
          <w:spacing w:val="-3"/>
          <w:w w:val="120"/>
          <w:sz w:val="20"/>
        </w:rPr>
        <w:t>Yet, </w:t>
      </w:r>
      <w:r>
        <w:rPr>
          <w:w w:val="120"/>
          <w:sz w:val="20"/>
        </w:rPr>
        <w:t>in responding   to these contemporary challenges, the Church offers a glimpse of eternity in the   present moment – a different way of living from the relentlessly increasing pace of life. In the presence of God; it is possible to go beneath the surface of life, drinking deeply from the wells which give life (John</w:t>
      </w:r>
      <w:r>
        <w:rPr>
          <w:spacing w:val="17"/>
          <w:w w:val="120"/>
          <w:sz w:val="20"/>
        </w:rPr>
        <w:t> </w:t>
      </w:r>
      <w:r>
        <w:rPr>
          <w:spacing w:val="-5"/>
          <w:w w:val="120"/>
          <w:sz w:val="20"/>
        </w:rPr>
        <w:t>4).</w:t>
      </w:r>
    </w:p>
    <w:p>
      <w:pPr>
        <w:pStyle w:val="BodyText"/>
        <w:spacing w:before="4"/>
      </w:pPr>
    </w:p>
    <w:p>
      <w:pPr>
        <w:pStyle w:val="ListParagraph"/>
        <w:numPr>
          <w:ilvl w:val="2"/>
          <w:numId w:val="58"/>
        </w:numPr>
        <w:tabs>
          <w:tab w:pos="2664" w:val="left" w:leader="none"/>
          <w:tab w:pos="2665" w:val="left" w:leader="none"/>
        </w:tabs>
        <w:spacing w:line="235" w:lineRule="auto" w:before="0" w:after="0"/>
        <w:ind w:left="1984" w:right="1256" w:firstLine="0"/>
        <w:jc w:val="left"/>
        <w:rPr>
          <w:sz w:val="20"/>
        </w:rPr>
      </w:pPr>
      <w:r>
        <w:rPr>
          <w:w w:val="120"/>
          <w:sz w:val="20"/>
        </w:rPr>
        <w:t>There are two dilemmas that can hold the Church back from responding to   God’s call in the present situation. One is the sense of despair and negativity that afflicts organisations which feel they are in decline, leading to helplessness and hopelessness. The second is a desire to focus on details and activities instead of the bigger picture.   The faith and order committee wants to be realistic about the range of fears and anxieties that people face across the Church and to give opportunities for these to be named. However, in what the committee is bringing, there is a focus on the joy of</w:t>
      </w:r>
      <w:r>
        <w:rPr>
          <w:spacing w:val="42"/>
          <w:w w:val="120"/>
          <w:sz w:val="20"/>
        </w:rPr>
        <w:t> </w:t>
      </w:r>
      <w:r>
        <w:rPr>
          <w:w w:val="120"/>
          <w:sz w:val="20"/>
        </w:rPr>
        <w:t>life</w:t>
      </w:r>
    </w:p>
    <w:p>
      <w:pPr>
        <w:pStyle w:val="BodyText"/>
        <w:spacing w:line="235" w:lineRule="auto" w:before="5"/>
        <w:ind w:left="1984" w:right="1616"/>
      </w:pPr>
      <w:r>
        <w:rPr>
          <w:w w:val="120"/>
        </w:rPr>
        <w:t>in Christ, the energy the Holy Spirit offers and the vision of what God holds in front of us. We assert that it is out of vision that strategy emerges, and out of strategy that management</w:t>
      </w:r>
      <w:r>
        <w:rPr>
          <w:spacing w:val="2"/>
          <w:w w:val="120"/>
        </w:rPr>
        <w:t> </w:t>
      </w:r>
      <w:r>
        <w:rPr>
          <w:w w:val="120"/>
        </w:rPr>
        <w:t>develops.</w:t>
      </w:r>
    </w:p>
    <w:p>
      <w:pPr>
        <w:pStyle w:val="BodyText"/>
        <w:spacing w:before="10"/>
        <w:rPr>
          <w:sz w:val="19"/>
        </w:rPr>
      </w:pPr>
    </w:p>
    <w:p>
      <w:pPr>
        <w:pStyle w:val="ListParagraph"/>
        <w:numPr>
          <w:ilvl w:val="2"/>
          <w:numId w:val="58"/>
        </w:numPr>
        <w:tabs>
          <w:tab w:pos="2664" w:val="left" w:leader="none"/>
          <w:tab w:pos="2665" w:val="left" w:leader="none"/>
        </w:tabs>
        <w:spacing w:line="235" w:lineRule="auto" w:before="0" w:after="0"/>
        <w:ind w:left="1984" w:right="1602" w:firstLine="0"/>
        <w:jc w:val="left"/>
        <w:rPr>
          <w:sz w:val="20"/>
        </w:rPr>
      </w:pPr>
      <w:r>
        <w:rPr>
          <w:w w:val="120"/>
          <w:sz w:val="20"/>
        </w:rPr>
        <w:t>The faith and order committee could have added another two scenarios. One is the possibility that we are about to die as a church. The committee is not offering  a</w:t>
      </w:r>
      <w:r>
        <w:rPr>
          <w:spacing w:val="8"/>
          <w:w w:val="120"/>
          <w:sz w:val="20"/>
        </w:rPr>
        <w:t> </w:t>
      </w:r>
      <w:r>
        <w:rPr>
          <w:w w:val="120"/>
          <w:sz w:val="20"/>
        </w:rPr>
        <w:t>strategy</w:t>
      </w:r>
      <w:r>
        <w:rPr>
          <w:spacing w:val="8"/>
          <w:w w:val="120"/>
          <w:sz w:val="20"/>
        </w:rPr>
        <w:t> </w:t>
      </w:r>
      <w:r>
        <w:rPr>
          <w:w w:val="120"/>
          <w:sz w:val="20"/>
        </w:rPr>
        <w:t>for</w:t>
      </w:r>
      <w:r>
        <w:rPr>
          <w:spacing w:val="9"/>
          <w:w w:val="120"/>
          <w:sz w:val="20"/>
        </w:rPr>
        <w:t> </w:t>
      </w:r>
      <w:r>
        <w:rPr>
          <w:w w:val="120"/>
          <w:sz w:val="20"/>
        </w:rPr>
        <w:t>closing</w:t>
      </w:r>
      <w:r>
        <w:rPr>
          <w:spacing w:val="8"/>
          <w:w w:val="120"/>
          <w:sz w:val="20"/>
        </w:rPr>
        <w:t> </w:t>
      </w:r>
      <w:r>
        <w:rPr>
          <w:w w:val="120"/>
          <w:sz w:val="20"/>
        </w:rPr>
        <w:t>churches</w:t>
      </w:r>
      <w:r>
        <w:rPr>
          <w:spacing w:val="9"/>
          <w:w w:val="120"/>
          <w:sz w:val="20"/>
        </w:rPr>
        <w:t> </w:t>
      </w:r>
      <w:r>
        <w:rPr>
          <w:w w:val="120"/>
          <w:sz w:val="20"/>
        </w:rPr>
        <w:t>–</w:t>
      </w:r>
      <w:r>
        <w:rPr>
          <w:spacing w:val="8"/>
          <w:w w:val="120"/>
          <w:sz w:val="20"/>
        </w:rPr>
        <w:t> </w:t>
      </w:r>
      <w:r>
        <w:rPr>
          <w:w w:val="120"/>
          <w:sz w:val="20"/>
        </w:rPr>
        <w:t>an</w:t>
      </w:r>
      <w:r>
        <w:rPr>
          <w:spacing w:val="8"/>
          <w:w w:val="120"/>
          <w:sz w:val="20"/>
        </w:rPr>
        <w:t> </w:t>
      </w:r>
      <w:r>
        <w:rPr>
          <w:w w:val="120"/>
          <w:sz w:val="20"/>
        </w:rPr>
        <w:t>option</w:t>
      </w:r>
      <w:r>
        <w:rPr>
          <w:spacing w:val="9"/>
          <w:w w:val="120"/>
          <w:sz w:val="20"/>
        </w:rPr>
        <w:t> </w:t>
      </w:r>
      <w:r>
        <w:rPr>
          <w:w w:val="120"/>
          <w:sz w:val="20"/>
        </w:rPr>
        <w:t>which</w:t>
      </w:r>
      <w:r>
        <w:rPr>
          <w:spacing w:val="8"/>
          <w:w w:val="120"/>
          <w:sz w:val="20"/>
        </w:rPr>
        <w:t> </w:t>
      </w:r>
      <w:r>
        <w:rPr>
          <w:w w:val="120"/>
          <w:sz w:val="20"/>
        </w:rPr>
        <w:t>is</w:t>
      </w:r>
      <w:r>
        <w:rPr>
          <w:spacing w:val="9"/>
          <w:w w:val="120"/>
          <w:sz w:val="20"/>
        </w:rPr>
        <w:t> </w:t>
      </w:r>
      <w:r>
        <w:rPr>
          <w:w w:val="120"/>
          <w:sz w:val="20"/>
        </w:rPr>
        <w:t>time-consuming</w:t>
      </w:r>
      <w:r>
        <w:rPr>
          <w:spacing w:val="8"/>
          <w:w w:val="120"/>
          <w:sz w:val="20"/>
        </w:rPr>
        <w:t> </w:t>
      </w:r>
      <w:r>
        <w:rPr>
          <w:w w:val="120"/>
          <w:sz w:val="20"/>
        </w:rPr>
        <w:t>and</w:t>
      </w:r>
      <w:r>
        <w:rPr>
          <w:spacing w:val="8"/>
          <w:w w:val="120"/>
          <w:sz w:val="20"/>
        </w:rPr>
        <w:t> </w:t>
      </w:r>
      <w:r>
        <w:rPr>
          <w:w w:val="120"/>
          <w:sz w:val="20"/>
        </w:rPr>
        <w:t>painful</w:t>
      </w:r>
      <w:r>
        <w:rPr>
          <w:spacing w:val="9"/>
          <w:w w:val="120"/>
          <w:sz w:val="20"/>
        </w:rPr>
        <w:t> </w:t>
      </w:r>
      <w:r>
        <w:rPr>
          <w:w w:val="120"/>
          <w:sz w:val="20"/>
        </w:rPr>
        <w:t>and</w:t>
      </w:r>
    </w:p>
    <w:p>
      <w:pPr>
        <w:pStyle w:val="BodyText"/>
        <w:spacing w:line="235" w:lineRule="auto" w:before="3"/>
        <w:ind w:left="1984" w:right="1301"/>
      </w:pPr>
      <w:r>
        <w:rPr>
          <w:w w:val="120"/>
        </w:rPr>
        <w:t>takes the Church away from the more fruitful business of letting the Spirit grow among us. We believe that while death is </w:t>
      </w:r>
      <w:r>
        <w:rPr>
          <w:spacing w:val="2"/>
          <w:w w:val="120"/>
        </w:rPr>
        <w:t>part </w:t>
      </w:r>
      <w:r>
        <w:rPr>
          <w:w w:val="120"/>
        </w:rPr>
        <w:t>of the natural cycle of life, the energy of the Resurrection and the Holy Spirit leads us to focus on growth and fruitfulness. So this paper is not offering an option that talks about death. Nor are we offering a scenario that says we are about to double in size. While for some congregations, especially those with people from a range of ethnic backgrounds, this may be the case, there are more congregations which are declining or just holding their own. This paper aims to sound a note of realism about the present</w:t>
      </w:r>
      <w:r>
        <w:rPr>
          <w:spacing w:val="8"/>
          <w:w w:val="120"/>
        </w:rPr>
        <w:t> </w:t>
      </w:r>
      <w:r>
        <w:rPr>
          <w:w w:val="120"/>
        </w:rPr>
        <w:t>situation.</w:t>
      </w:r>
    </w:p>
    <w:p>
      <w:pPr>
        <w:pStyle w:val="BodyText"/>
        <w:spacing w:before="9"/>
        <w:rPr>
          <w:sz w:val="18"/>
        </w:rPr>
      </w:pPr>
    </w:p>
    <w:p>
      <w:pPr>
        <w:pStyle w:val="Heading9"/>
        <w:numPr>
          <w:ilvl w:val="1"/>
          <w:numId w:val="58"/>
        </w:numPr>
        <w:tabs>
          <w:tab w:pos="2664" w:val="left" w:leader="none"/>
          <w:tab w:pos="2665" w:val="left" w:leader="none"/>
        </w:tabs>
        <w:spacing w:line="261" w:lineRule="exact" w:before="0" w:after="0"/>
        <w:ind w:left="2664" w:right="0" w:hanging="681"/>
        <w:jc w:val="left"/>
      </w:pPr>
      <w:r>
        <w:rPr>
          <w:w w:val="110"/>
        </w:rPr>
        <w:t>Identity – being United and being Reformed</w:t>
      </w:r>
    </w:p>
    <w:p>
      <w:pPr>
        <w:pStyle w:val="ListParagraph"/>
        <w:numPr>
          <w:ilvl w:val="2"/>
          <w:numId w:val="58"/>
        </w:numPr>
        <w:tabs>
          <w:tab w:pos="2665" w:val="left" w:leader="none"/>
        </w:tabs>
        <w:spacing w:line="235" w:lineRule="auto" w:before="0" w:after="0"/>
        <w:ind w:left="1984" w:right="1500" w:firstLine="0"/>
        <w:jc w:val="left"/>
        <w:rPr>
          <w:sz w:val="20"/>
        </w:rPr>
      </w:pPr>
      <w:r>
        <w:rPr>
          <w:w w:val="120"/>
          <w:sz w:val="20"/>
        </w:rPr>
        <w:t>Discussion on the scenarios led to reflections about the United Reformed </w:t>
      </w:r>
      <w:r>
        <w:rPr>
          <w:spacing w:val="-3"/>
          <w:w w:val="120"/>
          <w:sz w:val="20"/>
        </w:rPr>
        <w:t>Church’s </w:t>
      </w:r>
      <w:r>
        <w:rPr>
          <w:w w:val="120"/>
          <w:sz w:val="20"/>
        </w:rPr>
        <w:t>identity. Do we have an identity? Do we need one? There were strong views on both sides. Some felt that we should discover the United Reformed </w:t>
      </w:r>
      <w:r>
        <w:rPr>
          <w:spacing w:val="-3"/>
          <w:w w:val="120"/>
          <w:sz w:val="20"/>
        </w:rPr>
        <w:t>Church’s </w:t>
      </w:r>
      <w:r>
        <w:rPr>
          <w:w w:val="120"/>
          <w:sz w:val="20"/>
        </w:rPr>
        <w:t>unique selling point (UPS). Others said that the United Reformed </w:t>
      </w:r>
      <w:r>
        <w:rPr>
          <w:spacing w:val="-3"/>
          <w:w w:val="120"/>
          <w:sz w:val="20"/>
        </w:rPr>
        <w:t>Church’s </w:t>
      </w:r>
      <w:r>
        <w:rPr>
          <w:w w:val="120"/>
          <w:sz w:val="20"/>
        </w:rPr>
        <w:t>USP is in   its particular combination of </w:t>
      </w:r>
      <w:r>
        <w:rPr>
          <w:spacing w:val="2"/>
          <w:w w:val="120"/>
          <w:sz w:val="20"/>
        </w:rPr>
        <w:t>gifts. </w:t>
      </w:r>
      <w:r>
        <w:rPr>
          <w:w w:val="120"/>
          <w:sz w:val="20"/>
        </w:rPr>
        <w:t>Any identity we articulate will need to enable us to celebrate our diversity as we seek to hold together across congregations and</w:t>
      </w:r>
      <w:r>
        <w:rPr>
          <w:spacing w:val="43"/>
          <w:w w:val="120"/>
          <w:sz w:val="20"/>
        </w:rPr>
        <w:t> </w:t>
      </w:r>
      <w:r>
        <w:rPr>
          <w:w w:val="120"/>
          <w:sz w:val="20"/>
        </w:rPr>
        <w:t>nations.</w:t>
      </w:r>
    </w:p>
    <w:p>
      <w:pPr>
        <w:pStyle w:val="BodyText"/>
        <w:spacing w:before="8"/>
        <w:rPr>
          <w:sz w:val="19"/>
        </w:rPr>
      </w:pPr>
    </w:p>
    <w:p>
      <w:pPr>
        <w:pStyle w:val="ListParagraph"/>
        <w:numPr>
          <w:ilvl w:val="2"/>
          <w:numId w:val="58"/>
        </w:numPr>
        <w:tabs>
          <w:tab w:pos="2665" w:val="left" w:leader="none"/>
        </w:tabs>
        <w:spacing w:line="235" w:lineRule="auto" w:before="0" w:after="0"/>
        <w:ind w:left="1984" w:right="1257" w:firstLine="0"/>
        <w:jc w:val="left"/>
        <w:rPr>
          <w:sz w:val="20"/>
        </w:rPr>
      </w:pPr>
      <w:r>
        <w:rPr>
          <w:w w:val="120"/>
          <w:sz w:val="20"/>
        </w:rPr>
        <w:t>The source of Christian renewal is in the </w:t>
      </w:r>
      <w:r>
        <w:rPr>
          <w:spacing w:val="2"/>
          <w:w w:val="120"/>
          <w:sz w:val="20"/>
        </w:rPr>
        <w:t>gift </w:t>
      </w:r>
      <w:r>
        <w:rPr>
          <w:w w:val="120"/>
          <w:sz w:val="20"/>
        </w:rPr>
        <w:t>of God’s love, and the United Reformed Church shares the same origins – as do all Churches – in the life and death of Jesus, the Resurrection and Pentecost. It is by this Gospel that all Churches emerge and are shaped, taking form in different ways at different times in human history in response to changing circumstances. In the </w:t>
      </w:r>
      <w:r>
        <w:rPr>
          <w:spacing w:val="-7"/>
          <w:w w:val="120"/>
          <w:sz w:val="20"/>
        </w:rPr>
        <w:t>17th </w:t>
      </w:r>
      <w:r>
        <w:rPr>
          <w:w w:val="120"/>
          <w:sz w:val="20"/>
        </w:rPr>
        <w:t>century in England, some of our ancestors rediscovered the </w:t>
      </w:r>
      <w:r>
        <w:rPr>
          <w:spacing w:val="2"/>
          <w:w w:val="120"/>
          <w:sz w:val="20"/>
        </w:rPr>
        <w:t>gift </w:t>
      </w:r>
      <w:r>
        <w:rPr>
          <w:w w:val="120"/>
          <w:sz w:val="20"/>
        </w:rPr>
        <w:t>of the Spirit in particular personal and local community</w:t>
      </w:r>
      <w:r>
        <w:rPr>
          <w:spacing w:val="38"/>
          <w:w w:val="120"/>
          <w:sz w:val="20"/>
        </w:rPr>
        <w:t> </w:t>
      </w:r>
      <w:r>
        <w:rPr>
          <w:w w:val="120"/>
          <w:sz w:val="20"/>
        </w:rPr>
        <w:t>ways;</w:t>
      </w:r>
    </w:p>
    <w:p>
      <w:pPr>
        <w:pStyle w:val="BodyText"/>
        <w:spacing w:line="235" w:lineRule="auto" w:before="4"/>
        <w:ind w:left="1984" w:right="1521"/>
      </w:pPr>
      <w:r>
        <w:rPr>
          <w:w w:val="120"/>
        </w:rPr>
        <w:t>in the last 40 years we discovered it in the challenge to unity. Some say that Christian faith can be held personally without any need for Church. However, the faith and order committee wants to affirm that being a Christian means being rooted in mutual belonging within the body of Christ, and that Churches are the embodiment of God’s purpose in Jesus Christ for the sake of the</w:t>
      </w:r>
      <w:r>
        <w:rPr>
          <w:spacing w:val="15"/>
          <w:w w:val="120"/>
        </w:rPr>
        <w:t> </w:t>
      </w:r>
      <w:r>
        <w:rPr>
          <w:w w:val="120"/>
        </w:rPr>
        <w:t>world.</w:t>
      </w:r>
    </w:p>
    <w:p>
      <w:pPr>
        <w:spacing w:after="0" w:line="235" w:lineRule="auto"/>
        <w:sectPr>
          <w:headerReference w:type="default" r:id="rId252"/>
          <w:footerReference w:type="default" r:id="rId253"/>
          <w:footerReference w:type="even" r:id="rId254"/>
          <w:pgSz w:w="11910" w:h="16840"/>
          <w:pgMar w:header="0" w:footer="647" w:top="0" w:bottom="840" w:left="0" w:right="0"/>
          <w:pgNumType w:start="105"/>
        </w:sectPr>
      </w:pPr>
    </w:p>
    <w:p>
      <w:pPr>
        <w:pStyle w:val="BodyText"/>
      </w:pPr>
      <w:r>
        <w:rPr/>
        <w:drawing>
          <wp:anchor distT="0" distB="0" distL="0" distR="0" allowOverlap="1" layoutInCell="1" locked="0" behindDoc="0" simplePos="0" relativeHeight="251951104">
            <wp:simplePos x="0" y="0"/>
            <wp:positionH relativeFrom="page">
              <wp:posOffset>0</wp:posOffset>
            </wp:positionH>
            <wp:positionV relativeFrom="page">
              <wp:posOffset>0</wp:posOffset>
            </wp:positionV>
            <wp:extent cx="594067" cy="10692003"/>
            <wp:effectExtent l="0" t="0" r="0" b="0"/>
            <wp:wrapNone/>
            <wp:docPr id="195" name="image28.png"/>
            <wp:cNvGraphicFramePr>
              <a:graphicFrameLocks noChangeAspect="1"/>
            </wp:cNvGraphicFramePr>
            <a:graphic>
              <a:graphicData uri="http://schemas.openxmlformats.org/drawingml/2006/picture">
                <pic:pic>
                  <pic:nvPicPr>
                    <pic:cNvPr id="196" name="image28.png"/>
                    <pic:cNvPicPr/>
                  </pic:nvPicPr>
                  <pic:blipFill>
                    <a:blip r:embed="rId198"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shape style="position:absolute;margin-left:20.519100pt;margin-top:22.593945pt;width:25.9pt;height:266.2pt;mso-position-horizontal-relative:page;mso-position-vertical-relative:paragraph;z-index:251952128" type="#_x0000_t202" filled="false" stroked="false">
            <v:textbox inset="0,0,0,0" style="layout-flow:vertical">
              <w:txbxContent>
                <w:p>
                  <w:pPr>
                    <w:spacing w:before="27"/>
                    <w:ind w:left="20" w:right="0" w:firstLine="0"/>
                    <w:jc w:val="left"/>
                    <w:rPr>
                      <w:sz w:val="39"/>
                    </w:rPr>
                  </w:pPr>
                  <w:r>
                    <w:rPr>
                      <w:color w:val="FFFFFF"/>
                      <w:spacing w:val="12"/>
                      <w:w w:val="120"/>
                      <w:sz w:val="39"/>
                    </w:rPr>
                    <w:t>Affirming </w:t>
                  </w:r>
                  <w:r>
                    <w:rPr>
                      <w:color w:val="FFFFFF"/>
                      <w:spacing w:val="8"/>
                      <w:w w:val="120"/>
                      <w:sz w:val="39"/>
                    </w:rPr>
                    <w:t>the </w:t>
                  </w:r>
                  <w:r>
                    <w:rPr>
                      <w:color w:val="FFFFFF"/>
                      <w:spacing w:val="-4"/>
                      <w:w w:val="120"/>
                      <w:sz w:val="39"/>
                    </w:rPr>
                    <w:t>URC’s</w:t>
                  </w:r>
                  <w:r>
                    <w:rPr>
                      <w:color w:val="FFFFFF"/>
                      <w:spacing w:val="78"/>
                      <w:w w:val="120"/>
                      <w:sz w:val="39"/>
                    </w:rPr>
                    <w:t> </w:t>
                  </w:r>
                  <w:r>
                    <w:rPr>
                      <w:color w:val="FFFFFF"/>
                      <w:spacing w:val="8"/>
                      <w:w w:val="120"/>
                      <w:sz w:val="39"/>
                    </w:rPr>
                    <w:t>future</w:t>
                  </w:r>
                </w:p>
              </w:txbxContent>
            </v:textbox>
            <w10:wrap type="none"/>
          </v:shape>
        </w:pict>
      </w:r>
      <w:r>
        <w:rPr>
          <w:color w:val="7EAABF"/>
          <w:w w:val="115"/>
        </w:rPr>
        <w:t>Faith and order</w:t>
      </w:r>
    </w:p>
    <w:p>
      <w:pPr>
        <w:pStyle w:val="ListParagraph"/>
        <w:numPr>
          <w:ilvl w:val="2"/>
          <w:numId w:val="58"/>
        </w:numPr>
        <w:tabs>
          <w:tab w:pos="1928" w:val="left" w:leader="none"/>
        </w:tabs>
        <w:spacing w:line="235" w:lineRule="auto" w:before="222" w:after="0"/>
        <w:ind w:left="1247" w:right="2444" w:firstLine="0"/>
        <w:jc w:val="left"/>
        <w:rPr>
          <w:sz w:val="20"/>
        </w:rPr>
      </w:pPr>
      <w:r>
        <w:rPr>
          <w:w w:val="120"/>
          <w:sz w:val="20"/>
        </w:rPr>
        <w:t>The question before us now is: Where is God taking this particular </w:t>
      </w:r>
      <w:r>
        <w:rPr>
          <w:spacing w:val="2"/>
          <w:w w:val="120"/>
          <w:sz w:val="20"/>
        </w:rPr>
        <w:t>part </w:t>
      </w:r>
      <w:r>
        <w:rPr>
          <w:w w:val="120"/>
          <w:sz w:val="20"/>
        </w:rPr>
        <w:t>of  the body of Christ </w:t>
      </w:r>
      <w:r>
        <w:rPr>
          <w:spacing w:val="-3"/>
          <w:w w:val="120"/>
          <w:sz w:val="20"/>
        </w:rPr>
        <w:t>today? </w:t>
      </w:r>
      <w:r>
        <w:rPr>
          <w:w w:val="120"/>
          <w:sz w:val="20"/>
        </w:rPr>
        <w:t>Is the combination of </w:t>
      </w:r>
      <w:r>
        <w:rPr>
          <w:spacing w:val="2"/>
          <w:w w:val="120"/>
          <w:sz w:val="20"/>
        </w:rPr>
        <w:t>gifts </w:t>
      </w:r>
      <w:r>
        <w:rPr>
          <w:w w:val="120"/>
          <w:sz w:val="20"/>
        </w:rPr>
        <w:t>that we have received over</w:t>
      </w:r>
      <w:r>
        <w:rPr>
          <w:spacing w:val="40"/>
          <w:w w:val="120"/>
          <w:sz w:val="20"/>
        </w:rPr>
        <w:t> </w:t>
      </w:r>
      <w:r>
        <w:rPr>
          <w:w w:val="120"/>
          <w:sz w:val="20"/>
        </w:rPr>
        <w:t>the</w:t>
      </w:r>
    </w:p>
    <w:p>
      <w:pPr>
        <w:pStyle w:val="BodyText"/>
        <w:spacing w:line="235" w:lineRule="auto" w:before="1"/>
        <w:ind w:left="1247" w:right="2004"/>
      </w:pPr>
      <w:r>
        <w:rPr>
          <w:w w:val="120"/>
        </w:rPr>
        <w:t>centuries and in the last four decades still a combination that we are distinctively called to offer to a needy world?</w:t>
      </w:r>
    </w:p>
    <w:p>
      <w:pPr>
        <w:pStyle w:val="BodyText"/>
        <w:spacing w:before="5"/>
        <w:rPr>
          <w:sz w:val="18"/>
        </w:rPr>
      </w:pPr>
    </w:p>
    <w:p>
      <w:pPr>
        <w:pStyle w:val="Heading9"/>
        <w:numPr>
          <w:ilvl w:val="1"/>
          <w:numId w:val="58"/>
        </w:numPr>
        <w:tabs>
          <w:tab w:pos="1927" w:val="left" w:leader="none"/>
          <w:tab w:pos="1928" w:val="left" w:leader="none"/>
        </w:tabs>
        <w:spacing w:line="261" w:lineRule="exact" w:before="0" w:after="0"/>
        <w:ind w:left="1927" w:right="0" w:hanging="681"/>
        <w:jc w:val="left"/>
      </w:pPr>
      <w:r>
        <w:rPr>
          <w:w w:val="110"/>
        </w:rPr>
        <w:t>The values and passions of the United Reformed</w:t>
      </w:r>
      <w:r>
        <w:rPr>
          <w:spacing w:val="-1"/>
          <w:w w:val="110"/>
        </w:rPr>
        <w:t> </w:t>
      </w:r>
      <w:r>
        <w:rPr>
          <w:w w:val="110"/>
        </w:rPr>
        <w:t>Church</w:t>
      </w:r>
    </w:p>
    <w:p>
      <w:pPr>
        <w:pStyle w:val="BodyText"/>
        <w:spacing w:line="233" w:lineRule="exact"/>
        <w:ind w:left="1247"/>
        <w:jc w:val="both"/>
      </w:pPr>
      <w:r>
        <w:rPr>
          <w:w w:val="120"/>
        </w:rPr>
        <w:t>We asked people to name the things the URC is passionate about. Here is what they said:</w:t>
      </w:r>
    </w:p>
    <w:p>
      <w:pPr>
        <w:pStyle w:val="ListParagraph"/>
        <w:numPr>
          <w:ilvl w:val="0"/>
          <w:numId w:val="46"/>
        </w:numPr>
        <w:tabs>
          <w:tab w:pos="1927" w:val="left" w:leader="none"/>
          <w:tab w:pos="1928" w:val="left" w:leader="none"/>
        </w:tabs>
        <w:spacing w:line="235" w:lineRule="auto" w:before="2" w:after="0"/>
        <w:ind w:left="1927" w:right="2226" w:hanging="681"/>
        <w:jc w:val="both"/>
        <w:rPr>
          <w:sz w:val="20"/>
        </w:rPr>
      </w:pPr>
      <w:r>
        <w:rPr>
          <w:w w:val="120"/>
          <w:sz w:val="20"/>
        </w:rPr>
        <w:t>freedom in Christ – freedom to decide, freedom to worship, liturgical freedom and freedom of conscience, each one tested against authority of Scripture and church</w:t>
      </w:r>
      <w:r>
        <w:rPr>
          <w:spacing w:val="2"/>
          <w:w w:val="120"/>
          <w:sz w:val="20"/>
        </w:rPr>
        <w:t> </w:t>
      </w:r>
      <w:r>
        <w:rPr>
          <w:w w:val="120"/>
          <w:sz w:val="20"/>
        </w:rPr>
        <w:t>meeting</w:t>
      </w:r>
    </w:p>
    <w:p>
      <w:pPr>
        <w:pStyle w:val="ListParagraph"/>
        <w:numPr>
          <w:ilvl w:val="0"/>
          <w:numId w:val="46"/>
        </w:numPr>
        <w:tabs>
          <w:tab w:pos="1927" w:val="left" w:leader="none"/>
          <w:tab w:pos="1928" w:val="left" w:leader="none"/>
        </w:tabs>
        <w:spacing w:line="235" w:lineRule="auto" w:before="2" w:after="0"/>
        <w:ind w:left="1927" w:right="2037" w:hanging="681"/>
        <w:jc w:val="left"/>
        <w:rPr>
          <w:sz w:val="20"/>
        </w:rPr>
      </w:pPr>
      <w:r>
        <w:rPr>
          <w:w w:val="120"/>
          <w:sz w:val="20"/>
        </w:rPr>
        <w:t>decision-making processes that challenge us to seek the mind of Christ together, even against a majority</w:t>
      </w:r>
      <w:r>
        <w:rPr>
          <w:spacing w:val="7"/>
          <w:w w:val="120"/>
          <w:sz w:val="20"/>
        </w:rPr>
        <w:t> </w:t>
      </w:r>
      <w:r>
        <w:rPr>
          <w:w w:val="120"/>
          <w:sz w:val="20"/>
        </w:rPr>
        <w:t>view</w:t>
      </w:r>
    </w:p>
    <w:p>
      <w:pPr>
        <w:pStyle w:val="ListParagraph"/>
        <w:numPr>
          <w:ilvl w:val="0"/>
          <w:numId w:val="46"/>
        </w:numPr>
        <w:tabs>
          <w:tab w:pos="1927" w:val="left" w:leader="none"/>
          <w:tab w:pos="1928" w:val="left" w:leader="none"/>
        </w:tabs>
        <w:spacing w:line="240" w:lineRule="exact" w:before="0" w:after="0"/>
        <w:ind w:left="1927" w:right="0" w:hanging="681"/>
        <w:jc w:val="left"/>
        <w:rPr>
          <w:sz w:val="20"/>
        </w:rPr>
      </w:pPr>
      <w:r>
        <w:rPr>
          <w:w w:val="120"/>
          <w:sz w:val="20"/>
        </w:rPr>
        <w:t>informality</w:t>
      </w:r>
    </w:p>
    <w:p>
      <w:pPr>
        <w:pStyle w:val="ListParagraph"/>
        <w:numPr>
          <w:ilvl w:val="0"/>
          <w:numId w:val="46"/>
        </w:numPr>
        <w:tabs>
          <w:tab w:pos="1927" w:val="left" w:leader="none"/>
          <w:tab w:pos="1928" w:val="left" w:leader="none"/>
        </w:tabs>
        <w:spacing w:line="240" w:lineRule="exact" w:before="0" w:after="0"/>
        <w:ind w:left="1927" w:right="0" w:hanging="681"/>
        <w:jc w:val="left"/>
        <w:rPr>
          <w:sz w:val="20"/>
        </w:rPr>
      </w:pPr>
      <w:r>
        <w:rPr>
          <w:w w:val="120"/>
          <w:sz w:val="20"/>
        </w:rPr>
        <w:t>the relationship to the Word of God in the</w:t>
      </w:r>
      <w:r>
        <w:rPr>
          <w:spacing w:val="18"/>
          <w:w w:val="120"/>
          <w:sz w:val="20"/>
        </w:rPr>
        <w:t> </w:t>
      </w:r>
      <w:r>
        <w:rPr>
          <w:w w:val="120"/>
          <w:sz w:val="20"/>
        </w:rPr>
        <w:t>Bible</w:t>
      </w:r>
    </w:p>
    <w:p>
      <w:pPr>
        <w:pStyle w:val="ListParagraph"/>
        <w:numPr>
          <w:ilvl w:val="0"/>
          <w:numId w:val="46"/>
        </w:numPr>
        <w:tabs>
          <w:tab w:pos="1927" w:val="left" w:leader="none"/>
          <w:tab w:pos="1928" w:val="left" w:leader="none"/>
        </w:tabs>
        <w:spacing w:line="240" w:lineRule="exact" w:before="0" w:after="0"/>
        <w:ind w:left="1927" w:right="0" w:hanging="681"/>
        <w:jc w:val="left"/>
        <w:rPr>
          <w:sz w:val="20"/>
        </w:rPr>
      </w:pPr>
      <w:r>
        <w:rPr>
          <w:w w:val="120"/>
          <w:sz w:val="20"/>
        </w:rPr>
        <w:t>the commitment to social</w:t>
      </w:r>
      <w:r>
        <w:rPr>
          <w:spacing w:val="7"/>
          <w:w w:val="120"/>
          <w:sz w:val="20"/>
        </w:rPr>
        <w:t> </w:t>
      </w:r>
      <w:r>
        <w:rPr>
          <w:w w:val="120"/>
          <w:sz w:val="20"/>
        </w:rPr>
        <w:t>justice</w:t>
      </w:r>
    </w:p>
    <w:p>
      <w:pPr>
        <w:pStyle w:val="ListParagraph"/>
        <w:numPr>
          <w:ilvl w:val="0"/>
          <w:numId w:val="46"/>
        </w:numPr>
        <w:tabs>
          <w:tab w:pos="1927" w:val="left" w:leader="none"/>
          <w:tab w:pos="1928" w:val="left" w:leader="none"/>
        </w:tabs>
        <w:spacing w:line="240" w:lineRule="exact" w:before="0" w:after="0"/>
        <w:ind w:left="1927" w:right="0" w:hanging="681"/>
        <w:jc w:val="left"/>
        <w:rPr>
          <w:sz w:val="20"/>
        </w:rPr>
      </w:pPr>
      <w:r>
        <w:rPr>
          <w:w w:val="120"/>
          <w:sz w:val="20"/>
        </w:rPr>
        <w:t>our willingness to die as a</w:t>
      </w:r>
      <w:r>
        <w:rPr>
          <w:spacing w:val="12"/>
          <w:w w:val="120"/>
          <w:sz w:val="20"/>
        </w:rPr>
        <w:t> </w:t>
      </w:r>
      <w:r>
        <w:rPr>
          <w:w w:val="120"/>
          <w:sz w:val="20"/>
        </w:rPr>
        <w:t>denomination</w:t>
      </w:r>
    </w:p>
    <w:p>
      <w:pPr>
        <w:pStyle w:val="ListParagraph"/>
        <w:numPr>
          <w:ilvl w:val="0"/>
          <w:numId w:val="46"/>
        </w:numPr>
        <w:tabs>
          <w:tab w:pos="1927" w:val="left" w:leader="none"/>
          <w:tab w:pos="1928" w:val="left" w:leader="none"/>
        </w:tabs>
        <w:spacing w:line="240" w:lineRule="exact" w:before="0" w:after="0"/>
        <w:ind w:left="1927" w:right="0" w:hanging="681"/>
        <w:jc w:val="left"/>
        <w:rPr>
          <w:sz w:val="20"/>
        </w:rPr>
      </w:pPr>
      <w:r>
        <w:rPr>
          <w:w w:val="120"/>
          <w:sz w:val="20"/>
        </w:rPr>
        <w:t>inclusivity and</w:t>
      </w:r>
      <w:r>
        <w:rPr>
          <w:spacing w:val="4"/>
          <w:w w:val="120"/>
          <w:sz w:val="20"/>
        </w:rPr>
        <w:t> </w:t>
      </w:r>
      <w:r>
        <w:rPr>
          <w:w w:val="120"/>
          <w:sz w:val="20"/>
        </w:rPr>
        <w:t>tolerance</w:t>
      </w:r>
    </w:p>
    <w:p>
      <w:pPr>
        <w:pStyle w:val="ListParagraph"/>
        <w:numPr>
          <w:ilvl w:val="0"/>
          <w:numId w:val="46"/>
        </w:numPr>
        <w:tabs>
          <w:tab w:pos="1927" w:val="left" w:leader="none"/>
          <w:tab w:pos="1928" w:val="left" w:leader="none"/>
        </w:tabs>
        <w:spacing w:line="240" w:lineRule="exact" w:before="0" w:after="0"/>
        <w:ind w:left="1927" w:right="0" w:hanging="681"/>
        <w:jc w:val="left"/>
        <w:rPr>
          <w:sz w:val="20"/>
        </w:rPr>
      </w:pPr>
      <w:r>
        <w:rPr>
          <w:spacing w:val="-3"/>
          <w:w w:val="120"/>
          <w:sz w:val="20"/>
        </w:rPr>
        <w:t>lively, </w:t>
      </w:r>
      <w:r>
        <w:rPr>
          <w:w w:val="120"/>
          <w:sz w:val="20"/>
        </w:rPr>
        <w:t>imaginative local</w:t>
      </w:r>
      <w:r>
        <w:rPr>
          <w:spacing w:val="9"/>
          <w:w w:val="120"/>
          <w:sz w:val="20"/>
        </w:rPr>
        <w:t> </w:t>
      </w:r>
      <w:r>
        <w:rPr>
          <w:w w:val="120"/>
          <w:sz w:val="20"/>
        </w:rPr>
        <w:t>churches</w:t>
      </w:r>
    </w:p>
    <w:p>
      <w:pPr>
        <w:pStyle w:val="ListParagraph"/>
        <w:numPr>
          <w:ilvl w:val="0"/>
          <w:numId w:val="46"/>
        </w:numPr>
        <w:tabs>
          <w:tab w:pos="1927" w:val="left" w:leader="none"/>
          <w:tab w:pos="1928" w:val="left" w:leader="none"/>
        </w:tabs>
        <w:spacing w:line="240" w:lineRule="exact" w:before="0" w:after="0"/>
        <w:ind w:left="1927" w:right="0" w:hanging="681"/>
        <w:jc w:val="left"/>
        <w:rPr>
          <w:sz w:val="20"/>
        </w:rPr>
      </w:pPr>
      <w:r>
        <w:rPr>
          <w:w w:val="120"/>
          <w:sz w:val="20"/>
        </w:rPr>
        <w:t>allowing individuals to express faith commitment</w:t>
      </w:r>
      <w:r>
        <w:rPr>
          <w:spacing w:val="16"/>
          <w:w w:val="120"/>
          <w:sz w:val="20"/>
        </w:rPr>
        <w:t> </w:t>
      </w:r>
      <w:r>
        <w:rPr>
          <w:w w:val="120"/>
          <w:sz w:val="20"/>
        </w:rPr>
        <w:t>(bottom-up)</w:t>
      </w:r>
    </w:p>
    <w:p>
      <w:pPr>
        <w:pStyle w:val="ListParagraph"/>
        <w:numPr>
          <w:ilvl w:val="0"/>
          <w:numId w:val="46"/>
        </w:numPr>
        <w:tabs>
          <w:tab w:pos="1927" w:val="left" w:leader="none"/>
          <w:tab w:pos="1928" w:val="left" w:leader="none"/>
        </w:tabs>
        <w:spacing w:line="240" w:lineRule="exact" w:before="0" w:after="0"/>
        <w:ind w:left="1927" w:right="0" w:hanging="681"/>
        <w:jc w:val="left"/>
        <w:rPr>
          <w:sz w:val="20"/>
        </w:rPr>
      </w:pPr>
      <w:r>
        <w:rPr>
          <w:w w:val="120"/>
          <w:sz w:val="20"/>
        </w:rPr>
        <w:t>local church deciding who its members</w:t>
      </w:r>
      <w:r>
        <w:rPr>
          <w:spacing w:val="15"/>
          <w:w w:val="120"/>
          <w:sz w:val="20"/>
        </w:rPr>
        <w:t> </w:t>
      </w:r>
      <w:r>
        <w:rPr>
          <w:w w:val="120"/>
          <w:sz w:val="20"/>
        </w:rPr>
        <w:t>are</w:t>
      </w:r>
    </w:p>
    <w:p>
      <w:pPr>
        <w:pStyle w:val="ListParagraph"/>
        <w:numPr>
          <w:ilvl w:val="0"/>
          <w:numId w:val="46"/>
        </w:numPr>
        <w:tabs>
          <w:tab w:pos="1927" w:val="left" w:leader="none"/>
          <w:tab w:pos="1928" w:val="left" w:leader="none"/>
        </w:tabs>
        <w:spacing w:line="240" w:lineRule="exact" w:before="0" w:after="0"/>
        <w:ind w:left="1927" w:right="0" w:hanging="681"/>
        <w:jc w:val="left"/>
        <w:rPr>
          <w:sz w:val="20"/>
        </w:rPr>
      </w:pPr>
      <w:r>
        <w:rPr>
          <w:w w:val="120"/>
          <w:sz w:val="20"/>
        </w:rPr>
        <w:t>children and young people as equal</w:t>
      </w:r>
      <w:r>
        <w:rPr>
          <w:spacing w:val="15"/>
          <w:w w:val="120"/>
          <w:sz w:val="20"/>
        </w:rPr>
        <w:t> </w:t>
      </w:r>
      <w:r>
        <w:rPr>
          <w:w w:val="120"/>
          <w:sz w:val="20"/>
        </w:rPr>
        <w:t>partners</w:t>
      </w:r>
    </w:p>
    <w:p>
      <w:pPr>
        <w:pStyle w:val="ListParagraph"/>
        <w:numPr>
          <w:ilvl w:val="0"/>
          <w:numId w:val="46"/>
        </w:numPr>
        <w:tabs>
          <w:tab w:pos="1927" w:val="left" w:leader="none"/>
          <w:tab w:pos="1928" w:val="left" w:leader="none"/>
        </w:tabs>
        <w:spacing w:line="240" w:lineRule="exact" w:before="0" w:after="0"/>
        <w:ind w:left="1927" w:right="0" w:hanging="681"/>
        <w:jc w:val="left"/>
        <w:rPr>
          <w:sz w:val="20"/>
        </w:rPr>
      </w:pPr>
      <w:r>
        <w:rPr>
          <w:w w:val="120"/>
          <w:sz w:val="20"/>
        </w:rPr>
        <w:t>the Holy Spirit working through</w:t>
      </w:r>
      <w:r>
        <w:rPr>
          <w:spacing w:val="12"/>
          <w:w w:val="120"/>
          <w:sz w:val="20"/>
        </w:rPr>
        <w:t> </w:t>
      </w:r>
      <w:r>
        <w:rPr>
          <w:spacing w:val="-3"/>
          <w:w w:val="120"/>
          <w:sz w:val="20"/>
        </w:rPr>
        <w:t>all/any</w:t>
      </w:r>
    </w:p>
    <w:p>
      <w:pPr>
        <w:pStyle w:val="ListParagraph"/>
        <w:numPr>
          <w:ilvl w:val="0"/>
          <w:numId w:val="46"/>
        </w:numPr>
        <w:tabs>
          <w:tab w:pos="1927" w:val="left" w:leader="none"/>
          <w:tab w:pos="1928" w:val="left" w:leader="none"/>
        </w:tabs>
        <w:spacing w:line="240" w:lineRule="exact" w:before="0" w:after="0"/>
        <w:ind w:left="1927" w:right="0" w:hanging="681"/>
        <w:jc w:val="left"/>
        <w:rPr>
          <w:sz w:val="20"/>
        </w:rPr>
      </w:pPr>
      <w:r>
        <w:rPr>
          <w:w w:val="120"/>
          <w:sz w:val="20"/>
        </w:rPr>
        <w:t>the discernment we exercise in calling a</w:t>
      </w:r>
      <w:r>
        <w:rPr>
          <w:spacing w:val="13"/>
          <w:w w:val="120"/>
          <w:sz w:val="20"/>
        </w:rPr>
        <w:t> </w:t>
      </w:r>
      <w:r>
        <w:rPr>
          <w:w w:val="120"/>
          <w:sz w:val="20"/>
        </w:rPr>
        <w:t>minister</w:t>
      </w:r>
    </w:p>
    <w:p>
      <w:pPr>
        <w:pStyle w:val="ListParagraph"/>
        <w:numPr>
          <w:ilvl w:val="0"/>
          <w:numId w:val="46"/>
        </w:numPr>
        <w:tabs>
          <w:tab w:pos="1927" w:val="left" w:leader="none"/>
          <w:tab w:pos="1928" w:val="left" w:leader="none"/>
        </w:tabs>
        <w:spacing w:line="240" w:lineRule="exact" w:before="0" w:after="0"/>
        <w:ind w:left="1927" w:right="0" w:hanging="681"/>
        <w:jc w:val="left"/>
        <w:rPr>
          <w:sz w:val="20"/>
        </w:rPr>
      </w:pPr>
      <w:r>
        <w:rPr>
          <w:w w:val="120"/>
          <w:sz w:val="20"/>
        </w:rPr>
        <w:t>flexibility – </w:t>
      </w:r>
      <w:r>
        <w:rPr>
          <w:spacing w:val="3"/>
          <w:w w:val="120"/>
          <w:sz w:val="20"/>
        </w:rPr>
        <w:t>try </w:t>
      </w:r>
      <w:r>
        <w:rPr>
          <w:w w:val="120"/>
          <w:sz w:val="20"/>
        </w:rPr>
        <w:t>it and</w:t>
      </w:r>
      <w:r>
        <w:rPr>
          <w:spacing w:val="6"/>
          <w:w w:val="120"/>
          <w:sz w:val="20"/>
        </w:rPr>
        <w:t> </w:t>
      </w:r>
      <w:r>
        <w:rPr>
          <w:w w:val="120"/>
          <w:sz w:val="20"/>
        </w:rPr>
        <w:t>see</w:t>
      </w:r>
    </w:p>
    <w:p>
      <w:pPr>
        <w:pStyle w:val="ListParagraph"/>
        <w:numPr>
          <w:ilvl w:val="0"/>
          <w:numId w:val="46"/>
        </w:numPr>
        <w:tabs>
          <w:tab w:pos="1927" w:val="left" w:leader="none"/>
          <w:tab w:pos="1928" w:val="left" w:leader="none"/>
        </w:tabs>
        <w:spacing w:line="235" w:lineRule="auto" w:before="2" w:after="0"/>
        <w:ind w:left="1927" w:right="3171" w:hanging="681"/>
        <w:jc w:val="left"/>
        <w:rPr>
          <w:sz w:val="20"/>
        </w:rPr>
      </w:pPr>
      <w:r>
        <w:rPr>
          <w:w w:val="120"/>
          <w:sz w:val="20"/>
        </w:rPr>
        <w:t>the sovereignty of God </w:t>
      </w:r>
      <w:r>
        <w:rPr>
          <w:spacing w:val="-5"/>
          <w:w w:val="120"/>
          <w:sz w:val="20"/>
        </w:rPr>
        <w:t>(can </w:t>
      </w:r>
      <w:r>
        <w:rPr>
          <w:w w:val="120"/>
          <w:sz w:val="20"/>
        </w:rPr>
        <w:t>we find </w:t>
      </w:r>
      <w:r>
        <w:rPr>
          <w:w w:val="120"/>
          <w:sz w:val="20"/>
          <w:u w:val="single"/>
        </w:rPr>
        <w:t>our</w:t>
      </w:r>
      <w:r>
        <w:rPr>
          <w:w w:val="120"/>
          <w:sz w:val="20"/>
        </w:rPr>
        <w:t> way of saying “God gave me this</w:t>
      </w:r>
      <w:r>
        <w:rPr>
          <w:spacing w:val="2"/>
          <w:w w:val="120"/>
          <w:sz w:val="20"/>
        </w:rPr>
        <w:t> </w:t>
      </w:r>
      <w:r>
        <w:rPr>
          <w:w w:val="120"/>
          <w:sz w:val="20"/>
        </w:rPr>
        <w:t>word”?)</w:t>
      </w:r>
    </w:p>
    <w:p>
      <w:pPr>
        <w:pStyle w:val="ListParagraph"/>
        <w:numPr>
          <w:ilvl w:val="0"/>
          <w:numId w:val="46"/>
        </w:numPr>
        <w:tabs>
          <w:tab w:pos="1927" w:val="left" w:leader="none"/>
          <w:tab w:pos="1928" w:val="left" w:leader="none"/>
        </w:tabs>
        <w:spacing w:line="235" w:lineRule="auto" w:before="2" w:after="0"/>
        <w:ind w:left="1927" w:right="2796" w:hanging="681"/>
        <w:jc w:val="left"/>
        <w:rPr>
          <w:sz w:val="20"/>
        </w:rPr>
      </w:pPr>
      <w:r>
        <w:rPr>
          <w:w w:val="120"/>
          <w:sz w:val="20"/>
        </w:rPr>
        <w:t>the sharing of </w:t>
      </w:r>
      <w:r>
        <w:rPr>
          <w:spacing w:val="2"/>
          <w:w w:val="120"/>
          <w:sz w:val="20"/>
        </w:rPr>
        <w:t>gifts </w:t>
      </w:r>
      <w:r>
        <w:rPr>
          <w:w w:val="120"/>
          <w:sz w:val="20"/>
        </w:rPr>
        <w:t>as seen in the ministry and mission fund and resource sharing between the</w:t>
      </w:r>
      <w:r>
        <w:rPr>
          <w:spacing w:val="7"/>
          <w:w w:val="120"/>
          <w:sz w:val="20"/>
        </w:rPr>
        <w:t> </w:t>
      </w:r>
      <w:r>
        <w:rPr>
          <w:w w:val="120"/>
          <w:sz w:val="20"/>
        </w:rPr>
        <w:t>synods.</w:t>
      </w:r>
    </w:p>
    <w:p>
      <w:pPr>
        <w:pStyle w:val="BodyText"/>
        <w:spacing w:before="5"/>
        <w:rPr>
          <w:sz w:val="18"/>
        </w:rPr>
      </w:pPr>
    </w:p>
    <w:p>
      <w:pPr>
        <w:pStyle w:val="Heading9"/>
        <w:numPr>
          <w:ilvl w:val="1"/>
          <w:numId w:val="58"/>
        </w:numPr>
        <w:tabs>
          <w:tab w:pos="1927" w:val="left" w:leader="none"/>
          <w:tab w:pos="1928" w:val="left" w:leader="none"/>
        </w:tabs>
        <w:spacing w:line="261" w:lineRule="exact" w:before="0" w:after="0"/>
        <w:ind w:left="1927" w:right="0" w:hanging="681"/>
        <w:jc w:val="left"/>
      </w:pPr>
      <w:r>
        <w:rPr>
          <w:w w:val="110"/>
        </w:rPr>
        <w:t>Discovering the Holy</w:t>
      </w:r>
      <w:r>
        <w:rPr>
          <w:spacing w:val="-1"/>
          <w:w w:val="110"/>
        </w:rPr>
        <w:t> </w:t>
      </w:r>
      <w:r>
        <w:rPr>
          <w:w w:val="110"/>
        </w:rPr>
        <w:t>Spirit</w:t>
      </w:r>
    </w:p>
    <w:p>
      <w:pPr>
        <w:pStyle w:val="ListParagraph"/>
        <w:numPr>
          <w:ilvl w:val="2"/>
          <w:numId w:val="58"/>
        </w:numPr>
        <w:tabs>
          <w:tab w:pos="1927" w:val="left" w:leader="none"/>
          <w:tab w:pos="1928" w:val="left" w:leader="none"/>
        </w:tabs>
        <w:spacing w:line="235" w:lineRule="auto" w:before="0" w:after="0"/>
        <w:ind w:left="1247" w:right="2722" w:firstLine="0"/>
        <w:jc w:val="left"/>
        <w:rPr>
          <w:sz w:val="20"/>
        </w:rPr>
      </w:pPr>
      <w:r>
        <w:rPr>
          <w:w w:val="120"/>
          <w:sz w:val="20"/>
        </w:rPr>
        <w:t>We also asked where people experienced the Holy Spirit, individually and collectively. Here are some of their</w:t>
      </w:r>
      <w:r>
        <w:rPr>
          <w:spacing w:val="9"/>
          <w:w w:val="120"/>
          <w:sz w:val="20"/>
        </w:rPr>
        <w:t> </w:t>
      </w:r>
      <w:r>
        <w:rPr>
          <w:w w:val="120"/>
          <w:sz w:val="20"/>
        </w:rPr>
        <w:t>answers:</w:t>
      </w:r>
    </w:p>
    <w:p>
      <w:pPr>
        <w:pStyle w:val="ListParagraph"/>
        <w:numPr>
          <w:ilvl w:val="0"/>
          <w:numId w:val="46"/>
        </w:numPr>
        <w:tabs>
          <w:tab w:pos="1927" w:val="left" w:leader="none"/>
          <w:tab w:pos="1928" w:val="left" w:leader="none"/>
        </w:tabs>
        <w:spacing w:line="240" w:lineRule="exact" w:before="0" w:after="0"/>
        <w:ind w:left="1927" w:right="0" w:hanging="681"/>
        <w:jc w:val="left"/>
        <w:rPr>
          <w:sz w:val="20"/>
        </w:rPr>
      </w:pPr>
      <w:r>
        <w:rPr>
          <w:w w:val="120"/>
          <w:sz w:val="20"/>
        </w:rPr>
        <w:t>in our shared</w:t>
      </w:r>
      <w:r>
        <w:rPr>
          <w:spacing w:val="5"/>
          <w:w w:val="120"/>
          <w:sz w:val="20"/>
        </w:rPr>
        <w:t> </w:t>
      </w:r>
      <w:r>
        <w:rPr>
          <w:w w:val="120"/>
          <w:sz w:val="20"/>
        </w:rPr>
        <w:t>discernment</w:t>
      </w:r>
    </w:p>
    <w:p>
      <w:pPr>
        <w:pStyle w:val="ListParagraph"/>
        <w:numPr>
          <w:ilvl w:val="0"/>
          <w:numId w:val="46"/>
        </w:numPr>
        <w:tabs>
          <w:tab w:pos="1927" w:val="left" w:leader="none"/>
          <w:tab w:pos="1928" w:val="left" w:leader="none"/>
        </w:tabs>
        <w:spacing w:line="240" w:lineRule="exact" w:before="0" w:after="0"/>
        <w:ind w:left="1927" w:right="0" w:hanging="681"/>
        <w:jc w:val="left"/>
        <w:rPr>
          <w:sz w:val="20"/>
        </w:rPr>
      </w:pPr>
      <w:r>
        <w:rPr>
          <w:w w:val="120"/>
          <w:sz w:val="20"/>
        </w:rPr>
        <w:t>when we come</w:t>
      </w:r>
      <w:r>
        <w:rPr>
          <w:spacing w:val="6"/>
          <w:w w:val="120"/>
          <w:sz w:val="20"/>
        </w:rPr>
        <w:t> </w:t>
      </w:r>
      <w:r>
        <w:rPr>
          <w:w w:val="120"/>
          <w:sz w:val="20"/>
        </w:rPr>
        <w:t>together</w:t>
      </w:r>
    </w:p>
    <w:p>
      <w:pPr>
        <w:pStyle w:val="ListParagraph"/>
        <w:numPr>
          <w:ilvl w:val="0"/>
          <w:numId w:val="46"/>
        </w:numPr>
        <w:tabs>
          <w:tab w:pos="1927" w:val="left" w:leader="none"/>
          <w:tab w:pos="1928" w:val="left" w:leader="none"/>
        </w:tabs>
        <w:spacing w:line="240" w:lineRule="exact" w:before="0" w:after="0"/>
        <w:ind w:left="1927" w:right="0" w:hanging="681"/>
        <w:jc w:val="left"/>
        <w:rPr>
          <w:sz w:val="20"/>
        </w:rPr>
      </w:pPr>
      <w:r>
        <w:rPr>
          <w:w w:val="120"/>
          <w:sz w:val="20"/>
        </w:rPr>
        <w:t>listening to one another, prayer, moving into</w:t>
      </w:r>
      <w:r>
        <w:rPr>
          <w:spacing w:val="15"/>
          <w:w w:val="120"/>
          <w:sz w:val="20"/>
        </w:rPr>
        <w:t> </w:t>
      </w:r>
      <w:r>
        <w:rPr>
          <w:w w:val="120"/>
          <w:sz w:val="20"/>
        </w:rPr>
        <w:t>grace</w:t>
      </w:r>
    </w:p>
    <w:p>
      <w:pPr>
        <w:pStyle w:val="ListParagraph"/>
        <w:numPr>
          <w:ilvl w:val="0"/>
          <w:numId w:val="46"/>
        </w:numPr>
        <w:tabs>
          <w:tab w:pos="1927" w:val="left" w:leader="none"/>
          <w:tab w:pos="1928" w:val="left" w:leader="none"/>
        </w:tabs>
        <w:spacing w:line="240" w:lineRule="exact" w:before="0" w:after="0"/>
        <w:ind w:left="1927" w:right="0" w:hanging="681"/>
        <w:jc w:val="left"/>
        <w:rPr>
          <w:sz w:val="20"/>
        </w:rPr>
      </w:pPr>
      <w:r>
        <w:rPr>
          <w:w w:val="120"/>
          <w:sz w:val="20"/>
        </w:rPr>
        <w:t>when a person is at peace with him or</w:t>
      </w:r>
      <w:r>
        <w:rPr>
          <w:spacing w:val="16"/>
          <w:w w:val="120"/>
          <w:sz w:val="20"/>
        </w:rPr>
        <w:t> </w:t>
      </w:r>
      <w:r>
        <w:rPr>
          <w:w w:val="120"/>
          <w:sz w:val="20"/>
        </w:rPr>
        <w:t>herself</w:t>
      </w:r>
    </w:p>
    <w:p>
      <w:pPr>
        <w:pStyle w:val="ListParagraph"/>
        <w:numPr>
          <w:ilvl w:val="0"/>
          <w:numId w:val="46"/>
        </w:numPr>
        <w:tabs>
          <w:tab w:pos="1927" w:val="left" w:leader="none"/>
          <w:tab w:pos="1928" w:val="left" w:leader="none"/>
        </w:tabs>
        <w:spacing w:line="240" w:lineRule="exact" w:before="0" w:after="0"/>
        <w:ind w:left="1927" w:right="0" w:hanging="681"/>
        <w:jc w:val="left"/>
        <w:rPr>
          <w:sz w:val="20"/>
        </w:rPr>
      </w:pPr>
      <w:r>
        <w:rPr>
          <w:w w:val="120"/>
          <w:sz w:val="20"/>
        </w:rPr>
        <w:t>awareness of learning and</w:t>
      </w:r>
      <w:r>
        <w:rPr>
          <w:spacing w:val="8"/>
          <w:w w:val="120"/>
          <w:sz w:val="20"/>
        </w:rPr>
        <w:t> </w:t>
      </w:r>
      <w:r>
        <w:rPr>
          <w:w w:val="120"/>
          <w:sz w:val="20"/>
        </w:rPr>
        <w:t>growth</w:t>
      </w:r>
    </w:p>
    <w:p>
      <w:pPr>
        <w:pStyle w:val="ListParagraph"/>
        <w:numPr>
          <w:ilvl w:val="0"/>
          <w:numId w:val="46"/>
        </w:numPr>
        <w:tabs>
          <w:tab w:pos="1927" w:val="left" w:leader="none"/>
          <w:tab w:pos="1928" w:val="left" w:leader="none"/>
        </w:tabs>
        <w:spacing w:line="240" w:lineRule="exact" w:before="0" w:after="0"/>
        <w:ind w:left="1927" w:right="0" w:hanging="681"/>
        <w:jc w:val="left"/>
        <w:rPr>
          <w:sz w:val="20"/>
        </w:rPr>
      </w:pPr>
      <w:r>
        <w:rPr>
          <w:w w:val="120"/>
          <w:sz w:val="20"/>
        </w:rPr>
        <w:t>in times when inspired and</w:t>
      </w:r>
      <w:r>
        <w:rPr>
          <w:spacing w:val="10"/>
          <w:w w:val="120"/>
          <w:sz w:val="20"/>
        </w:rPr>
        <w:t> </w:t>
      </w:r>
      <w:r>
        <w:rPr>
          <w:w w:val="120"/>
          <w:sz w:val="20"/>
        </w:rPr>
        <w:t>excited</w:t>
      </w:r>
    </w:p>
    <w:p>
      <w:pPr>
        <w:pStyle w:val="ListParagraph"/>
        <w:numPr>
          <w:ilvl w:val="0"/>
          <w:numId w:val="46"/>
        </w:numPr>
        <w:tabs>
          <w:tab w:pos="1927" w:val="left" w:leader="none"/>
          <w:tab w:pos="1928" w:val="left" w:leader="none"/>
        </w:tabs>
        <w:spacing w:line="240" w:lineRule="exact" w:before="0" w:after="0"/>
        <w:ind w:left="1927" w:right="0" w:hanging="681"/>
        <w:jc w:val="left"/>
        <w:rPr>
          <w:sz w:val="20"/>
        </w:rPr>
      </w:pPr>
      <w:r>
        <w:rPr>
          <w:w w:val="120"/>
          <w:sz w:val="20"/>
        </w:rPr>
        <w:t>there at the edges of</w:t>
      </w:r>
      <w:r>
        <w:rPr>
          <w:spacing w:val="10"/>
          <w:w w:val="120"/>
          <w:sz w:val="20"/>
        </w:rPr>
        <w:t> </w:t>
      </w:r>
      <w:r>
        <w:rPr>
          <w:w w:val="120"/>
          <w:sz w:val="20"/>
        </w:rPr>
        <w:t>experience</w:t>
      </w:r>
    </w:p>
    <w:p>
      <w:pPr>
        <w:pStyle w:val="ListParagraph"/>
        <w:numPr>
          <w:ilvl w:val="0"/>
          <w:numId w:val="46"/>
        </w:numPr>
        <w:tabs>
          <w:tab w:pos="1927" w:val="left" w:leader="none"/>
          <w:tab w:pos="1928" w:val="left" w:leader="none"/>
        </w:tabs>
        <w:spacing w:line="240" w:lineRule="exact" w:before="0" w:after="0"/>
        <w:ind w:left="1927" w:right="0" w:hanging="681"/>
        <w:jc w:val="left"/>
        <w:rPr>
          <w:sz w:val="20"/>
        </w:rPr>
      </w:pPr>
      <w:r>
        <w:rPr>
          <w:w w:val="120"/>
          <w:sz w:val="20"/>
        </w:rPr>
        <w:t>when people are ready to be</w:t>
      </w:r>
      <w:r>
        <w:rPr>
          <w:spacing w:val="14"/>
          <w:w w:val="120"/>
          <w:sz w:val="20"/>
        </w:rPr>
        <w:t> </w:t>
      </w:r>
      <w:r>
        <w:rPr>
          <w:w w:val="120"/>
          <w:sz w:val="20"/>
        </w:rPr>
        <w:t>courageous</w:t>
      </w:r>
    </w:p>
    <w:p>
      <w:pPr>
        <w:pStyle w:val="ListParagraph"/>
        <w:numPr>
          <w:ilvl w:val="0"/>
          <w:numId w:val="46"/>
        </w:numPr>
        <w:tabs>
          <w:tab w:pos="1927" w:val="left" w:leader="none"/>
          <w:tab w:pos="1928" w:val="left" w:leader="none"/>
        </w:tabs>
        <w:spacing w:line="240" w:lineRule="exact" w:before="0" w:after="0"/>
        <w:ind w:left="1927" w:right="0" w:hanging="681"/>
        <w:jc w:val="left"/>
        <w:rPr>
          <w:sz w:val="20"/>
        </w:rPr>
      </w:pPr>
      <w:r>
        <w:rPr>
          <w:w w:val="125"/>
          <w:sz w:val="20"/>
        </w:rPr>
        <w:t>in being</w:t>
      </w:r>
      <w:r>
        <w:rPr>
          <w:spacing w:val="-1"/>
          <w:w w:val="125"/>
          <w:sz w:val="20"/>
        </w:rPr>
        <w:t> </w:t>
      </w:r>
      <w:r>
        <w:rPr>
          <w:w w:val="125"/>
          <w:sz w:val="20"/>
        </w:rPr>
        <w:t>disturbed</w:t>
      </w:r>
    </w:p>
    <w:p>
      <w:pPr>
        <w:pStyle w:val="ListParagraph"/>
        <w:numPr>
          <w:ilvl w:val="0"/>
          <w:numId w:val="46"/>
        </w:numPr>
        <w:tabs>
          <w:tab w:pos="1927" w:val="left" w:leader="none"/>
          <w:tab w:pos="1928" w:val="left" w:leader="none"/>
        </w:tabs>
        <w:spacing w:line="240" w:lineRule="exact" w:before="0" w:after="0"/>
        <w:ind w:left="1927" w:right="0" w:hanging="681"/>
        <w:jc w:val="left"/>
        <w:rPr>
          <w:sz w:val="20"/>
        </w:rPr>
      </w:pPr>
      <w:r>
        <w:rPr>
          <w:w w:val="120"/>
          <w:sz w:val="20"/>
        </w:rPr>
        <w:t>in</w:t>
      </w:r>
      <w:r>
        <w:rPr>
          <w:spacing w:val="2"/>
          <w:w w:val="120"/>
          <w:sz w:val="20"/>
        </w:rPr>
        <w:t> </w:t>
      </w:r>
      <w:r>
        <w:rPr>
          <w:w w:val="120"/>
          <w:sz w:val="20"/>
        </w:rPr>
        <w:t>openness</w:t>
      </w:r>
    </w:p>
    <w:p>
      <w:pPr>
        <w:pStyle w:val="ListParagraph"/>
        <w:numPr>
          <w:ilvl w:val="0"/>
          <w:numId w:val="46"/>
        </w:numPr>
        <w:tabs>
          <w:tab w:pos="1927" w:val="left" w:leader="none"/>
          <w:tab w:pos="1928" w:val="left" w:leader="none"/>
        </w:tabs>
        <w:spacing w:line="242" w:lineRule="exact" w:before="0" w:after="0"/>
        <w:ind w:left="1927" w:right="0" w:hanging="681"/>
        <w:jc w:val="left"/>
        <w:rPr>
          <w:sz w:val="20"/>
        </w:rPr>
      </w:pPr>
      <w:r>
        <w:rPr>
          <w:w w:val="120"/>
          <w:sz w:val="20"/>
        </w:rPr>
        <w:t>in excitement and</w:t>
      </w:r>
      <w:r>
        <w:rPr>
          <w:spacing w:val="6"/>
          <w:w w:val="120"/>
          <w:sz w:val="20"/>
        </w:rPr>
        <w:t> </w:t>
      </w:r>
      <w:r>
        <w:rPr>
          <w:w w:val="120"/>
          <w:sz w:val="20"/>
        </w:rPr>
        <w:t>caution.</w:t>
      </w:r>
    </w:p>
    <w:p>
      <w:pPr>
        <w:pStyle w:val="BodyText"/>
        <w:spacing w:before="2"/>
        <w:rPr>
          <w:sz w:val="19"/>
        </w:rPr>
      </w:pPr>
    </w:p>
    <w:p>
      <w:pPr>
        <w:pStyle w:val="ListParagraph"/>
        <w:numPr>
          <w:ilvl w:val="2"/>
          <w:numId w:val="58"/>
        </w:numPr>
        <w:tabs>
          <w:tab w:pos="1928" w:val="left" w:leader="none"/>
        </w:tabs>
        <w:spacing w:line="235" w:lineRule="auto" w:before="1" w:after="0"/>
        <w:ind w:left="1247" w:right="2121" w:firstLine="0"/>
        <w:jc w:val="left"/>
        <w:rPr>
          <w:sz w:val="20"/>
        </w:rPr>
      </w:pPr>
      <w:r>
        <w:rPr>
          <w:w w:val="120"/>
          <w:sz w:val="20"/>
        </w:rPr>
        <w:t>We heard stories about the movement of the Holy Spirit in people’s experience: Passionate ecumenism in Hungary, faith in action in Sierra Leone, new life after a church fire or a decision to relocate, fruitful community engagement, transformation after congregational conflict, and the Mission Council experience that led to</w:t>
      </w:r>
      <w:r>
        <w:rPr>
          <w:spacing w:val="10"/>
          <w:w w:val="120"/>
          <w:sz w:val="20"/>
        </w:rPr>
        <w:t> </w:t>
      </w:r>
      <w:r>
        <w:rPr>
          <w:w w:val="120"/>
          <w:sz w:val="20"/>
        </w:rPr>
        <w:t>Catch</w:t>
      </w:r>
    </w:p>
    <w:p>
      <w:pPr>
        <w:pStyle w:val="BodyText"/>
        <w:spacing w:line="235" w:lineRule="auto" w:before="3"/>
        <w:ind w:left="1247" w:right="2004"/>
      </w:pPr>
      <w:r>
        <w:rPr>
          <w:w w:val="120"/>
        </w:rPr>
        <w:t>the Vision. None of the stories was about programmes or restructuring. Rather, we recognise the Spirit in signs of hope and possibilities of growth. We begin by seeking to discern together.</w:t>
      </w:r>
    </w:p>
    <w:p>
      <w:pPr>
        <w:pStyle w:val="BodyText"/>
        <w:spacing w:before="6"/>
        <w:rPr>
          <w:sz w:val="18"/>
        </w:rPr>
      </w:pPr>
    </w:p>
    <w:p>
      <w:pPr>
        <w:pStyle w:val="Heading9"/>
        <w:numPr>
          <w:ilvl w:val="1"/>
          <w:numId w:val="58"/>
        </w:numPr>
        <w:tabs>
          <w:tab w:pos="1927" w:val="left" w:leader="none"/>
          <w:tab w:pos="1928" w:val="left" w:leader="none"/>
        </w:tabs>
        <w:spacing w:line="261" w:lineRule="exact" w:before="0" w:after="0"/>
        <w:ind w:left="1927" w:right="0" w:hanging="681"/>
        <w:jc w:val="left"/>
        <w:rPr>
          <w:rFonts w:ascii="Calibri"/>
        </w:rPr>
      </w:pPr>
      <w:r>
        <w:rPr>
          <w:w w:val="110"/>
        </w:rPr>
        <w:t>Conciliarity</w:t>
      </w:r>
    </w:p>
    <w:p>
      <w:pPr>
        <w:pStyle w:val="BodyText"/>
        <w:spacing w:line="235" w:lineRule="auto"/>
        <w:ind w:left="1247" w:right="2167"/>
      </w:pPr>
      <w:r>
        <w:rPr>
          <w:w w:val="120"/>
        </w:rPr>
        <w:t>One of the Spirit’s particular gifts is the way in which the United Reformed Church embodies conciliarity. A separate paper will address conciliarity and the church meeting, examining both the gifts of conciliarity and some of the challenges that the United Reformed Church faces in embodying conciliarity in each place.</w:t>
      </w:r>
    </w:p>
    <w:p>
      <w:pPr>
        <w:spacing w:after="0" w:line="235" w:lineRule="auto"/>
        <w:sectPr>
          <w:headerReference w:type="even" r:id="rId255"/>
          <w:pgSz w:w="11910" w:h="16840"/>
          <w:pgMar w:header="0" w:footer="647" w:top="0" w:bottom="840" w:left="0" w:right="0"/>
        </w:sectPr>
      </w:pPr>
    </w:p>
    <w:p>
      <w:pPr>
        <w:pStyle w:val="BodyText"/>
      </w:pPr>
    </w:p>
    <w:p>
      <w:pPr>
        <w:pStyle w:val="BodyText"/>
        <w:spacing w:before="7"/>
        <w:rPr>
          <w:sz w:val="21"/>
        </w:rPr>
      </w:pPr>
    </w:p>
    <w:p>
      <w:pPr>
        <w:spacing w:after="0"/>
        <w:rPr>
          <w:sz w:val="21"/>
        </w:rPr>
        <w:sectPr>
          <w:headerReference w:type="default" r:id="rId256"/>
          <w:footerReference w:type="default" r:id="rId257"/>
          <w:footerReference w:type="even" r:id="rId258"/>
          <w:pgSz w:w="11910" w:h="16840"/>
          <w:pgMar w:header="0" w:footer="647" w:top="0" w:bottom="840" w:left="0" w:right="0"/>
          <w:pgNumType w:start="107"/>
        </w:sectPr>
      </w:pPr>
    </w:p>
    <w:p>
      <w:pPr>
        <w:pStyle w:val="BodyText"/>
        <w:rPr>
          <w:sz w:val="24"/>
        </w:rPr>
      </w:pPr>
    </w:p>
    <w:p>
      <w:pPr>
        <w:pStyle w:val="BodyText"/>
        <w:spacing w:before="6"/>
        <w:rPr>
          <w:sz w:val="27"/>
        </w:rPr>
      </w:pPr>
    </w:p>
    <w:p>
      <w:pPr>
        <w:pStyle w:val="Heading9"/>
        <w:numPr>
          <w:ilvl w:val="1"/>
          <w:numId w:val="58"/>
        </w:numPr>
        <w:tabs>
          <w:tab w:pos="2664" w:val="left" w:leader="none"/>
          <w:tab w:pos="2665" w:val="left" w:leader="none"/>
        </w:tabs>
        <w:spacing w:line="253" w:lineRule="exact" w:before="0" w:after="0"/>
        <w:ind w:left="2664" w:right="0" w:hanging="681"/>
        <w:jc w:val="left"/>
      </w:pPr>
      <w:r>
        <w:rPr/>
        <w:pict>
          <v:shape style="position:absolute;margin-left:554.141174pt;margin-top:-8.818079pt;width:25.9pt;height:266.2pt;mso-position-horizontal-relative:page;mso-position-vertical-relative:paragraph;z-index:251954176" type="#_x0000_t202" filled="false" stroked="false">
            <v:textbox inset="0,0,0,0" style="layout-flow:vertical">
              <w:txbxContent>
                <w:p>
                  <w:pPr>
                    <w:spacing w:before="27"/>
                    <w:ind w:left="20" w:right="0" w:firstLine="0"/>
                    <w:jc w:val="left"/>
                    <w:rPr>
                      <w:sz w:val="39"/>
                    </w:rPr>
                  </w:pPr>
                  <w:r>
                    <w:rPr>
                      <w:color w:val="FFFFFF"/>
                      <w:spacing w:val="12"/>
                      <w:w w:val="120"/>
                      <w:sz w:val="39"/>
                    </w:rPr>
                    <w:t>Affirming </w:t>
                  </w:r>
                  <w:r>
                    <w:rPr>
                      <w:color w:val="FFFFFF"/>
                      <w:spacing w:val="8"/>
                      <w:w w:val="120"/>
                      <w:sz w:val="39"/>
                    </w:rPr>
                    <w:t>the </w:t>
                  </w:r>
                  <w:r>
                    <w:rPr>
                      <w:color w:val="FFFFFF"/>
                      <w:spacing w:val="-4"/>
                      <w:w w:val="120"/>
                      <w:sz w:val="39"/>
                    </w:rPr>
                    <w:t>URC’s</w:t>
                  </w:r>
                  <w:r>
                    <w:rPr>
                      <w:color w:val="FFFFFF"/>
                      <w:spacing w:val="78"/>
                      <w:w w:val="120"/>
                      <w:sz w:val="39"/>
                    </w:rPr>
                    <w:t> </w:t>
                  </w:r>
                  <w:r>
                    <w:rPr>
                      <w:color w:val="FFFFFF"/>
                      <w:spacing w:val="8"/>
                      <w:w w:val="120"/>
                      <w:sz w:val="39"/>
                    </w:rPr>
                    <w:t>future</w:t>
                  </w:r>
                </w:p>
              </w:txbxContent>
            </v:textbox>
            <w10:wrap type="none"/>
          </v:shape>
        </w:pict>
      </w:r>
      <w:r>
        <w:rPr>
          <w:w w:val="110"/>
        </w:rPr>
        <w:t>Eldership</w:t>
      </w:r>
    </w:p>
    <w:p>
      <w:pPr>
        <w:spacing w:before="106"/>
        <w:ind w:left="1984" w:right="0" w:firstLine="0"/>
        <w:jc w:val="left"/>
        <w:rPr>
          <w:sz w:val="26"/>
        </w:rPr>
      </w:pPr>
      <w:r>
        <w:rPr/>
        <w:br w:type="column"/>
      </w:r>
      <w:r>
        <w:rPr>
          <w:color w:val="7EAABF"/>
          <w:w w:val="115"/>
          <w:sz w:val="26"/>
        </w:rPr>
        <w:t>Faith and order</w:t>
      </w:r>
    </w:p>
    <w:p>
      <w:pPr>
        <w:spacing w:after="0"/>
        <w:jc w:val="left"/>
        <w:rPr>
          <w:sz w:val="26"/>
        </w:rPr>
        <w:sectPr>
          <w:type w:val="continuous"/>
          <w:pgSz w:w="11910" w:h="16840"/>
          <w:pgMar w:top="680" w:bottom="280" w:left="0" w:right="0"/>
          <w:cols w:num="2" w:equalWidth="0">
            <w:col w:w="3710" w:space="3105"/>
            <w:col w:w="5095"/>
          </w:cols>
        </w:sectPr>
      </w:pPr>
    </w:p>
    <w:p>
      <w:pPr>
        <w:pStyle w:val="BodyText"/>
        <w:spacing w:line="235" w:lineRule="auto" w:before="4"/>
        <w:ind w:left="1984" w:right="1244"/>
      </w:pPr>
      <w:r>
        <w:rPr/>
        <w:drawing>
          <wp:anchor distT="0" distB="0" distL="0" distR="0" allowOverlap="1" layoutInCell="1" locked="0" behindDoc="0" simplePos="0" relativeHeight="251953152">
            <wp:simplePos x="0" y="0"/>
            <wp:positionH relativeFrom="page">
              <wp:posOffset>6974928</wp:posOffset>
            </wp:positionH>
            <wp:positionV relativeFrom="page">
              <wp:posOffset>0</wp:posOffset>
            </wp:positionV>
            <wp:extent cx="585063" cy="10692003"/>
            <wp:effectExtent l="0" t="0" r="0" b="0"/>
            <wp:wrapNone/>
            <wp:docPr id="197" name="image25.png"/>
            <wp:cNvGraphicFramePr>
              <a:graphicFrameLocks noChangeAspect="1"/>
            </wp:cNvGraphicFramePr>
            <a:graphic>
              <a:graphicData uri="http://schemas.openxmlformats.org/drawingml/2006/picture">
                <pic:pic>
                  <pic:nvPicPr>
                    <pic:cNvPr id="198" name="image25.png"/>
                    <pic:cNvPicPr/>
                  </pic:nvPicPr>
                  <pic:blipFill>
                    <a:blip r:embed="rId192" cstate="print"/>
                    <a:stretch>
                      <a:fillRect/>
                    </a:stretch>
                  </pic:blipFill>
                  <pic:spPr>
                    <a:xfrm>
                      <a:off x="0" y="0"/>
                      <a:ext cx="585063" cy="10692003"/>
                    </a:xfrm>
                    <a:prstGeom prst="rect">
                      <a:avLst/>
                    </a:prstGeom>
                  </pic:spPr>
                </pic:pic>
              </a:graphicData>
            </a:graphic>
          </wp:anchor>
        </w:drawing>
      </w:r>
      <w:r>
        <w:rPr>
          <w:w w:val="120"/>
        </w:rPr>
        <w:t>Elders are also a </w:t>
      </w:r>
      <w:r>
        <w:rPr>
          <w:spacing w:val="2"/>
          <w:w w:val="120"/>
        </w:rPr>
        <w:t>gift </w:t>
      </w:r>
      <w:r>
        <w:rPr>
          <w:w w:val="120"/>
        </w:rPr>
        <w:t>as local ordained leaders in each congregation and this too is the subject of a separate paper. General Assembly </w:t>
      </w:r>
      <w:r>
        <w:rPr>
          <w:spacing w:val="-7"/>
          <w:w w:val="120"/>
        </w:rPr>
        <w:t>2012 </w:t>
      </w:r>
      <w:r>
        <w:rPr>
          <w:w w:val="120"/>
        </w:rPr>
        <w:t>voted to consider the implications  of creating an order of ordained local ministers. At the same time, the Synod of   Scotland had requested that more work be done on lay presidency. </w:t>
      </w:r>
      <w:r>
        <w:rPr>
          <w:spacing w:val="3"/>
          <w:w w:val="120"/>
        </w:rPr>
        <w:t>As </w:t>
      </w:r>
      <w:r>
        <w:rPr>
          <w:w w:val="120"/>
        </w:rPr>
        <w:t>a result of extensive deliberations on these two areas, the paper entitled ‘Ordained local ministers’ affirms the role and ministry of</w:t>
      </w:r>
      <w:r>
        <w:rPr>
          <w:spacing w:val="10"/>
          <w:w w:val="120"/>
        </w:rPr>
        <w:t> </w:t>
      </w:r>
      <w:r>
        <w:rPr>
          <w:w w:val="120"/>
        </w:rPr>
        <w:t>elders.</w:t>
      </w:r>
    </w:p>
    <w:p>
      <w:pPr>
        <w:pStyle w:val="BodyText"/>
        <w:spacing w:before="8"/>
        <w:rPr>
          <w:sz w:val="18"/>
        </w:rPr>
      </w:pPr>
    </w:p>
    <w:p>
      <w:pPr>
        <w:pStyle w:val="Heading9"/>
        <w:numPr>
          <w:ilvl w:val="1"/>
          <w:numId w:val="58"/>
        </w:numPr>
        <w:tabs>
          <w:tab w:pos="2664" w:val="left" w:leader="none"/>
          <w:tab w:pos="2665" w:val="left" w:leader="none"/>
        </w:tabs>
        <w:spacing w:line="261" w:lineRule="exact" w:before="0" w:after="0"/>
        <w:ind w:left="2664" w:right="0" w:hanging="681"/>
        <w:jc w:val="left"/>
      </w:pPr>
      <w:r>
        <w:rPr>
          <w:w w:val="110"/>
        </w:rPr>
        <w:t>United and</w:t>
      </w:r>
      <w:r>
        <w:rPr>
          <w:spacing w:val="-1"/>
          <w:w w:val="110"/>
        </w:rPr>
        <w:t> </w:t>
      </w:r>
      <w:r>
        <w:rPr>
          <w:w w:val="110"/>
        </w:rPr>
        <w:t>Reformed</w:t>
      </w:r>
    </w:p>
    <w:p>
      <w:pPr>
        <w:pStyle w:val="BodyText"/>
        <w:spacing w:line="235" w:lineRule="auto"/>
        <w:ind w:left="1984" w:right="1554"/>
      </w:pPr>
      <w:r>
        <w:rPr>
          <w:w w:val="120"/>
        </w:rPr>
        <w:t>One thread in the discussion at Mission Council described United Reformed Church identity as being about a distinctive combination of characteristics – like a recipe or   a culture. It is not that the United Reformed Church has characteristics which are not individually shared with other Churches; it is that the particular combination of</w:t>
      </w:r>
      <w:r>
        <w:rPr>
          <w:spacing w:val="35"/>
          <w:w w:val="120"/>
        </w:rPr>
        <w:t> </w:t>
      </w:r>
      <w:r>
        <w:rPr>
          <w:w w:val="120"/>
        </w:rPr>
        <w:t>these</w:t>
      </w:r>
    </w:p>
    <w:p>
      <w:pPr>
        <w:pStyle w:val="BodyText"/>
        <w:spacing w:line="235" w:lineRule="auto"/>
        <w:ind w:left="1984" w:right="1352"/>
      </w:pPr>
      <w:r>
        <w:rPr>
          <w:w w:val="120"/>
        </w:rPr>
        <w:t>characteristics constitute our distinct identity. This paper will now move on to consider the two separate but inextricably intertwined strands of being Reformed and being united, in order to affirm God’s particular calling to the Church at this time.</w:t>
      </w:r>
    </w:p>
    <w:p>
      <w:pPr>
        <w:pStyle w:val="Heading4"/>
        <w:numPr>
          <w:ilvl w:val="0"/>
          <w:numId w:val="58"/>
        </w:numPr>
        <w:tabs>
          <w:tab w:pos="2664" w:val="left" w:leader="none"/>
          <w:tab w:pos="2665" w:val="left" w:leader="none"/>
        </w:tabs>
        <w:spacing w:line="240" w:lineRule="auto" w:before="212" w:after="0"/>
        <w:ind w:left="2664" w:right="0" w:hanging="681"/>
        <w:jc w:val="left"/>
      </w:pPr>
      <w:r>
        <w:rPr>
          <w:spacing w:val="4"/>
          <w:w w:val="110"/>
        </w:rPr>
        <w:t>Reformed</w:t>
      </w:r>
      <w:r>
        <w:rPr>
          <w:spacing w:val="12"/>
          <w:w w:val="110"/>
        </w:rPr>
        <w:t> </w:t>
      </w:r>
      <w:r>
        <w:rPr>
          <w:spacing w:val="4"/>
          <w:w w:val="110"/>
        </w:rPr>
        <w:t>identity</w:t>
      </w:r>
    </w:p>
    <w:p>
      <w:pPr>
        <w:pStyle w:val="ListParagraph"/>
        <w:numPr>
          <w:ilvl w:val="1"/>
          <w:numId w:val="58"/>
        </w:numPr>
        <w:tabs>
          <w:tab w:pos="2664" w:val="left" w:leader="none"/>
          <w:tab w:pos="2665" w:val="left" w:leader="none"/>
        </w:tabs>
        <w:spacing w:line="235" w:lineRule="auto" w:before="69" w:after="0"/>
        <w:ind w:left="1984" w:right="1515" w:firstLine="0"/>
        <w:jc w:val="left"/>
        <w:rPr>
          <w:sz w:val="20"/>
        </w:rPr>
      </w:pPr>
      <w:r>
        <w:rPr>
          <w:w w:val="120"/>
          <w:sz w:val="20"/>
        </w:rPr>
        <w:t>What do we understand as the </w:t>
      </w:r>
      <w:r>
        <w:rPr>
          <w:spacing w:val="-3"/>
          <w:w w:val="120"/>
          <w:sz w:val="20"/>
        </w:rPr>
        <w:t>essence </w:t>
      </w:r>
      <w:r>
        <w:rPr>
          <w:w w:val="120"/>
          <w:sz w:val="20"/>
        </w:rPr>
        <w:t>of our Reformed </w:t>
      </w:r>
      <w:r>
        <w:rPr>
          <w:spacing w:val="-4"/>
          <w:w w:val="120"/>
          <w:sz w:val="20"/>
        </w:rPr>
        <w:t>identity? </w:t>
      </w:r>
      <w:r>
        <w:rPr>
          <w:w w:val="120"/>
          <w:sz w:val="20"/>
        </w:rPr>
        <w:t>In part </w:t>
      </w:r>
      <w:r>
        <w:rPr>
          <w:spacing w:val="-3"/>
          <w:w w:val="120"/>
          <w:sz w:val="20"/>
        </w:rPr>
        <w:t>this </w:t>
      </w:r>
      <w:r>
        <w:rPr>
          <w:w w:val="120"/>
          <w:sz w:val="20"/>
        </w:rPr>
        <w:t>is a political question. In </w:t>
      </w:r>
      <w:r>
        <w:rPr>
          <w:spacing w:val="-3"/>
          <w:w w:val="120"/>
          <w:sz w:val="20"/>
        </w:rPr>
        <w:t>Scotland, </w:t>
      </w:r>
      <w:r>
        <w:rPr>
          <w:w w:val="120"/>
          <w:sz w:val="20"/>
        </w:rPr>
        <w:t>the </w:t>
      </w:r>
      <w:r>
        <w:rPr>
          <w:spacing w:val="-3"/>
          <w:w w:val="120"/>
          <w:sz w:val="20"/>
        </w:rPr>
        <w:t>Church </w:t>
      </w:r>
      <w:r>
        <w:rPr>
          <w:w w:val="120"/>
          <w:sz w:val="20"/>
        </w:rPr>
        <w:t>of </w:t>
      </w:r>
      <w:r>
        <w:rPr>
          <w:spacing w:val="-3"/>
          <w:w w:val="120"/>
          <w:sz w:val="20"/>
        </w:rPr>
        <w:t>Scotland </w:t>
      </w:r>
      <w:r>
        <w:rPr>
          <w:w w:val="120"/>
          <w:sz w:val="20"/>
        </w:rPr>
        <w:t>is the </w:t>
      </w:r>
      <w:r>
        <w:rPr>
          <w:spacing w:val="-3"/>
          <w:w w:val="120"/>
          <w:sz w:val="20"/>
        </w:rPr>
        <w:t>national Church, </w:t>
      </w:r>
      <w:r>
        <w:rPr>
          <w:w w:val="120"/>
          <w:sz w:val="20"/>
        </w:rPr>
        <w:t>and as</w:t>
      </w:r>
      <w:r>
        <w:rPr>
          <w:spacing w:val="22"/>
          <w:w w:val="120"/>
          <w:sz w:val="20"/>
        </w:rPr>
        <w:t> </w:t>
      </w:r>
      <w:r>
        <w:rPr>
          <w:w w:val="120"/>
          <w:sz w:val="20"/>
        </w:rPr>
        <w:t>a</w:t>
      </w:r>
    </w:p>
    <w:p>
      <w:pPr>
        <w:pStyle w:val="BodyText"/>
        <w:spacing w:line="235" w:lineRule="auto" w:before="2"/>
        <w:ind w:left="1984" w:right="1244"/>
      </w:pPr>
      <w:r>
        <w:rPr>
          <w:w w:val="120"/>
        </w:rPr>
        <w:t>Reformed </w:t>
      </w:r>
      <w:r>
        <w:rPr>
          <w:spacing w:val="-3"/>
          <w:w w:val="120"/>
        </w:rPr>
        <w:t>Church, </w:t>
      </w:r>
      <w:r>
        <w:rPr>
          <w:w w:val="120"/>
        </w:rPr>
        <w:t>carries with it a particular understanding of the Reformed </w:t>
      </w:r>
      <w:r>
        <w:rPr>
          <w:spacing w:val="-3"/>
          <w:w w:val="120"/>
        </w:rPr>
        <w:t>relationship to </w:t>
      </w:r>
      <w:r>
        <w:rPr>
          <w:w w:val="120"/>
        </w:rPr>
        <w:t>the </w:t>
      </w:r>
      <w:r>
        <w:rPr>
          <w:spacing w:val="-3"/>
          <w:w w:val="120"/>
        </w:rPr>
        <w:t>nation. </w:t>
      </w:r>
      <w:r>
        <w:rPr>
          <w:w w:val="120"/>
        </w:rPr>
        <w:t>In England, the </w:t>
      </w:r>
      <w:r>
        <w:rPr>
          <w:spacing w:val="-3"/>
          <w:w w:val="120"/>
        </w:rPr>
        <w:t>Church </w:t>
      </w:r>
      <w:r>
        <w:rPr>
          <w:w w:val="120"/>
        </w:rPr>
        <w:t>of England is both Catholic and Reformed, with</w:t>
      </w:r>
    </w:p>
    <w:p>
      <w:pPr>
        <w:pStyle w:val="BodyText"/>
        <w:spacing w:line="235" w:lineRule="auto" w:before="1"/>
        <w:ind w:left="1984" w:right="1244"/>
      </w:pPr>
      <w:r>
        <w:rPr>
          <w:w w:val="120"/>
        </w:rPr>
        <w:t>its </w:t>
      </w:r>
      <w:r>
        <w:rPr>
          <w:spacing w:val="-2"/>
          <w:w w:val="120"/>
        </w:rPr>
        <w:t>own </w:t>
      </w:r>
      <w:r>
        <w:rPr>
          <w:w w:val="120"/>
        </w:rPr>
        <w:t>particular role </w:t>
      </w:r>
      <w:r>
        <w:rPr>
          <w:spacing w:val="-3"/>
          <w:w w:val="120"/>
        </w:rPr>
        <w:t>to </w:t>
      </w:r>
      <w:r>
        <w:rPr>
          <w:w w:val="120"/>
        </w:rPr>
        <w:t>play in relation </w:t>
      </w:r>
      <w:r>
        <w:rPr>
          <w:spacing w:val="-3"/>
          <w:w w:val="120"/>
        </w:rPr>
        <w:t>to </w:t>
      </w:r>
      <w:r>
        <w:rPr>
          <w:w w:val="120"/>
        </w:rPr>
        <w:t>the </w:t>
      </w:r>
      <w:r>
        <w:rPr>
          <w:spacing w:val="-3"/>
          <w:w w:val="120"/>
        </w:rPr>
        <w:t>state. English </w:t>
      </w:r>
      <w:r>
        <w:rPr>
          <w:w w:val="120"/>
        </w:rPr>
        <w:t>forebears of the </w:t>
      </w:r>
      <w:r>
        <w:rPr>
          <w:spacing w:val="-3"/>
          <w:w w:val="120"/>
        </w:rPr>
        <w:t>United </w:t>
      </w:r>
      <w:r>
        <w:rPr>
          <w:w w:val="120"/>
        </w:rPr>
        <w:t>Reformed </w:t>
      </w:r>
      <w:r>
        <w:rPr>
          <w:spacing w:val="-3"/>
          <w:w w:val="120"/>
        </w:rPr>
        <w:t>Church </w:t>
      </w:r>
      <w:r>
        <w:rPr>
          <w:w w:val="120"/>
        </w:rPr>
        <w:t>came in part out of a separatist </w:t>
      </w:r>
      <w:r>
        <w:rPr>
          <w:spacing w:val="-3"/>
          <w:w w:val="120"/>
        </w:rPr>
        <w:t>dissenting </w:t>
      </w:r>
      <w:r>
        <w:rPr>
          <w:w w:val="120"/>
        </w:rPr>
        <w:t>tradition in the </w:t>
      </w:r>
      <w:r>
        <w:rPr>
          <w:spacing w:val="-8"/>
          <w:w w:val="120"/>
        </w:rPr>
        <w:t>17th </w:t>
      </w:r>
      <w:r>
        <w:rPr>
          <w:spacing w:val="-4"/>
          <w:w w:val="120"/>
        </w:rPr>
        <w:t>century, </w:t>
      </w:r>
      <w:r>
        <w:rPr>
          <w:w w:val="120"/>
        </w:rPr>
        <w:t>holding </w:t>
      </w:r>
      <w:r>
        <w:rPr>
          <w:spacing w:val="-3"/>
          <w:w w:val="120"/>
        </w:rPr>
        <w:t>to </w:t>
      </w:r>
      <w:r>
        <w:rPr>
          <w:w w:val="120"/>
        </w:rPr>
        <w:t>a particular view of the role of the </w:t>
      </w:r>
      <w:r>
        <w:rPr>
          <w:spacing w:val="-3"/>
          <w:w w:val="120"/>
        </w:rPr>
        <w:t>Church </w:t>
      </w:r>
      <w:r>
        <w:rPr>
          <w:w w:val="120"/>
        </w:rPr>
        <w:t>as </w:t>
      </w:r>
      <w:r>
        <w:rPr>
          <w:spacing w:val="-3"/>
          <w:w w:val="120"/>
        </w:rPr>
        <w:t>over </w:t>
      </w:r>
      <w:r>
        <w:rPr>
          <w:w w:val="120"/>
        </w:rPr>
        <w:t>against the </w:t>
      </w:r>
      <w:r>
        <w:rPr>
          <w:spacing w:val="-3"/>
          <w:w w:val="120"/>
        </w:rPr>
        <w:t>state. </w:t>
      </w:r>
      <w:r>
        <w:rPr>
          <w:w w:val="120"/>
        </w:rPr>
        <w:t>In </w:t>
      </w:r>
      <w:r>
        <w:rPr>
          <w:spacing w:val="-3"/>
          <w:w w:val="120"/>
        </w:rPr>
        <w:t>Wales, </w:t>
      </w:r>
      <w:r>
        <w:rPr>
          <w:w w:val="120"/>
        </w:rPr>
        <w:t>there is no established </w:t>
      </w:r>
      <w:r>
        <w:rPr>
          <w:spacing w:val="-3"/>
          <w:w w:val="120"/>
        </w:rPr>
        <w:t>Church, </w:t>
      </w:r>
      <w:r>
        <w:rPr>
          <w:w w:val="120"/>
        </w:rPr>
        <w:t>so each </w:t>
      </w:r>
      <w:r>
        <w:rPr>
          <w:spacing w:val="-3"/>
          <w:w w:val="120"/>
        </w:rPr>
        <w:t>Church </w:t>
      </w:r>
      <w:r>
        <w:rPr>
          <w:w w:val="120"/>
        </w:rPr>
        <w:t>is free </w:t>
      </w:r>
      <w:r>
        <w:rPr>
          <w:spacing w:val="-3"/>
          <w:w w:val="120"/>
        </w:rPr>
        <w:t>to relate to </w:t>
      </w:r>
      <w:r>
        <w:rPr>
          <w:w w:val="120"/>
        </w:rPr>
        <w:t>political authorities as it feels led. The view </w:t>
      </w:r>
      <w:r>
        <w:rPr>
          <w:spacing w:val="-3"/>
          <w:w w:val="120"/>
        </w:rPr>
        <w:t>across </w:t>
      </w:r>
      <w:r>
        <w:rPr>
          <w:w w:val="120"/>
        </w:rPr>
        <w:t>the </w:t>
      </w:r>
      <w:r>
        <w:rPr>
          <w:spacing w:val="-3"/>
          <w:w w:val="120"/>
        </w:rPr>
        <w:t>United </w:t>
      </w:r>
      <w:r>
        <w:rPr>
          <w:w w:val="120"/>
        </w:rPr>
        <w:t>Reformed </w:t>
      </w:r>
      <w:r>
        <w:rPr>
          <w:spacing w:val="-3"/>
          <w:w w:val="120"/>
        </w:rPr>
        <w:t>church </w:t>
      </w:r>
      <w:r>
        <w:rPr>
          <w:w w:val="120"/>
        </w:rPr>
        <w:t>is a mixed one, </w:t>
      </w:r>
      <w:r>
        <w:rPr>
          <w:spacing w:val="-2"/>
          <w:w w:val="120"/>
        </w:rPr>
        <w:t>not </w:t>
      </w:r>
      <w:r>
        <w:rPr>
          <w:w w:val="120"/>
        </w:rPr>
        <w:t>least because of the differing </w:t>
      </w:r>
      <w:r>
        <w:rPr>
          <w:spacing w:val="-3"/>
          <w:w w:val="120"/>
        </w:rPr>
        <w:t>national </w:t>
      </w:r>
      <w:r>
        <w:rPr>
          <w:w w:val="120"/>
        </w:rPr>
        <w:t>contexts </w:t>
      </w:r>
      <w:r>
        <w:rPr>
          <w:spacing w:val="-3"/>
          <w:w w:val="120"/>
        </w:rPr>
        <w:t>within </w:t>
      </w:r>
      <w:r>
        <w:rPr>
          <w:w w:val="120"/>
        </w:rPr>
        <w:t>which it finds itself.</w:t>
      </w:r>
    </w:p>
    <w:p>
      <w:pPr>
        <w:pStyle w:val="BodyText"/>
        <w:spacing w:before="1"/>
      </w:pPr>
    </w:p>
    <w:p>
      <w:pPr>
        <w:pStyle w:val="ListParagraph"/>
        <w:numPr>
          <w:ilvl w:val="1"/>
          <w:numId w:val="58"/>
        </w:numPr>
        <w:tabs>
          <w:tab w:pos="2664" w:val="left" w:leader="none"/>
          <w:tab w:pos="2665" w:val="left" w:leader="none"/>
        </w:tabs>
        <w:spacing w:line="235" w:lineRule="auto" w:before="0" w:after="0"/>
        <w:ind w:left="1984" w:right="1383" w:firstLine="0"/>
        <w:jc w:val="left"/>
        <w:rPr>
          <w:sz w:val="20"/>
        </w:rPr>
      </w:pPr>
      <w:r>
        <w:rPr>
          <w:w w:val="120"/>
          <w:sz w:val="20"/>
        </w:rPr>
        <w:t>Does the United Reformed Church live in the present or build on the past? How do we ask this question without losing confidence in the way in which faith held over generations gives us our roots? What would we learn if we returned to our</w:t>
      </w:r>
      <w:r>
        <w:rPr>
          <w:spacing w:val="12"/>
          <w:w w:val="120"/>
          <w:sz w:val="20"/>
        </w:rPr>
        <w:t> </w:t>
      </w:r>
      <w:r>
        <w:rPr>
          <w:w w:val="120"/>
          <w:sz w:val="20"/>
        </w:rPr>
        <w:t>stories,</w:t>
      </w:r>
    </w:p>
    <w:p>
      <w:pPr>
        <w:pStyle w:val="BodyText"/>
        <w:spacing w:line="235" w:lineRule="auto" w:before="2"/>
        <w:ind w:left="1984" w:right="1352"/>
      </w:pPr>
      <w:r>
        <w:rPr>
          <w:w w:val="120"/>
        </w:rPr>
        <w:t>not least reminding ourselves of the issues for which our Reformed ancestors were prepared to die?</w:t>
      </w:r>
    </w:p>
    <w:p>
      <w:pPr>
        <w:pStyle w:val="BodyText"/>
        <w:spacing w:before="9"/>
        <w:rPr>
          <w:sz w:val="19"/>
        </w:rPr>
      </w:pPr>
    </w:p>
    <w:p>
      <w:pPr>
        <w:pStyle w:val="ListParagraph"/>
        <w:numPr>
          <w:ilvl w:val="1"/>
          <w:numId w:val="58"/>
        </w:numPr>
        <w:tabs>
          <w:tab w:pos="2664" w:val="left" w:leader="none"/>
          <w:tab w:pos="2665" w:val="left" w:leader="none"/>
        </w:tabs>
        <w:spacing w:line="235" w:lineRule="auto" w:before="0" w:after="0"/>
        <w:ind w:left="1984" w:right="1309" w:firstLine="0"/>
        <w:jc w:val="left"/>
        <w:rPr>
          <w:sz w:val="20"/>
        </w:rPr>
      </w:pPr>
      <w:r>
        <w:rPr>
          <w:w w:val="125"/>
          <w:sz w:val="20"/>
        </w:rPr>
        <w:t>Churches are </w:t>
      </w:r>
      <w:r>
        <w:rPr>
          <w:spacing w:val="2"/>
          <w:w w:val="125"/>
          <w:sz w:val="20"/>
        </w:rPr>
        <w:t>shaped </w:t>
      </w:r>
      <w:r>
        <w:rPr>
          <w:w w:val="125"/>
          <w:sz w:val="20"/>
        </w:rPr>
        <w:t>and </w:t>
      </w:r>
      <w:r>
        <w:rPr>
          <w:spacing w:val="2"/>
          <w:w w:val="125"/>
          <w:sz w:val="20"/>
        </w:rPr>
        <w:t>re-shaped </w:t>
      </w:r>
      <w:r>
        <w:rPr>
          <w:w w:val="125"/>
          <w:sz w:val="20"/>
        </w:rPr>
        <w:t>by their </w:t>
      </w:r>
      <w:r>
        <w:rPr>
          <w:spacing w:val="2"/>
          <w:w w:val="125"/>
          <w:sz w:val="20"/>
        </w:rPr>
        <w:t>connection </w:t>
      </w:r>
      <w:r>
        <w:rPr>
          <w:w w:val="125"/>
          <w:sz w:val="20"/>
        </w:rPr>
        <w:t>with Jesus </w:t>
      </w:r>
      <w:r>
        <w:rPr>
          <w:spacing w:val="2"/>
          <w:w w:val="125"/>
          <w:sz w:val="20"/>
        </w:rPr>
        <w:t>Christ, </w:t>
      </w:r>
      <w:r>
        <w:rPr>
          <w:w w:val="125"/>
          <w:sz w:val="20"/>
        </w:rPr>
        <w:t>in the</w:t>
      </w:r>
      <w:r>
        <w:rPr>
          <w:spacing w:val="-10"/>
          <w:w w:val="125"/>
          <w:sz w:val="20"/>
        </w:rPr>
        <w:t> </w:t>
      </w:r>
      <w:r>
        <w:rPr>
          <w:w w:val="125"/>
          <w:sz w:val="20"/>
        </w:rPr>
        <w:t>power</w:t>
      </w:r>
      <w:r>
        <w:rPr>
          <w:spacing w:val="-10"/>
          <w:w w:val="125"/>
          <w:sz w:val="20"/>
        </w:rPr>
        <w:t> </w:t>
      </w:r>
      <w:r>
        <w:rPr>
          <w:w w:val="125"/>
          <w:sz w:val="20"/>
        </w:rPr>
        <w:t>of</w:t>
      </w:r>
      <w:r>
        <w:rPr>
          <w:spacing w:val="-10"/>
          <w:w w:val="125"/>
          <w:sz w:val="20"/>
        </w:rPr>
        <w:t> </w:t>
      </w:r>
      <w:r>
        <w:rPr>
          <w:w w:val="125"/>
          <w:sz w:val="20"/>
        </w:rPr>
        <w:t>the</w:t>
      </w:r>
      <w:r>
        <w:rPr>
          <w:spacing w:val="-10"/>
          <w:w w:val="125"/>
          <w:sz w:val="20"/>
        </w:rPr>
        <w:t> </w:t>
      </w:r>
      <w:r>
        <w:rPr>
          <w:spacing w:val="2"/>
          <w:w w:val="125"/>
          <w:sz w:val="20"/>
        </w:rPr>
        <w:t>Holy</w:t>
      </w:r>
      <w:r>
        <w:rPr>
          <w:spacing w:val="-9"/>
          <w:w w:val="125"/>
          <w:sz w:val="20"/>
        </w:rPr>
        <w:t> </w:t>
      </w:r>
      <w:r>
        <w:rPr>
          <w:w w:val="125"/>
          <w:sz w:val="20"/>
        </w:rPr>
        <w:t>Spirit,</w:t>
      </w:r>
      <w:r>
        <w:rPr>
          <w:spacing w:val="-10"/>
          <w:w w:val="125"/>
          <w:sz w:val="20"/>
        </w:rPr>
        <w:t> </w:t>
      </w:r>
      <w:r>
        <w:rPr>
          <w:spacing w:val="2"/>
          <w:w w:val="125"/>
          <w:sz w:val="20"/>
        </w:rPr>
        <w:t>through</w:t>
      </w:r>
      <w:r>
        <w:rPr>
          <w:spacing w:val="-10"/>
          <w:w w:val="125"/>
          <w:sz w:val="20"/>
        </w:rPr>
        <w:t> </w:t>
      </w:r>
      <w:r>
        <w:rPr>
          <w:w w:val="125"/>
          <w:sz w:val="20"/>
        </w:rPr>
        <w:t>the</w:t>
      </w:r>
      <w:r>
        <w:rPr>
          <w:spacing w:val="-10"/>
          <w:w w:val="125"/>
          <w:sz w:val="20"/>
        </w:rPr>
        <w:t> </w:t>
      </w:r>
      <w:r>
        <w:rPr>
          <w:spacing w:val="2"/>
          <w:w w:val="125"/>
          <w:sz w:val="20"/>
        </w:rPr>
        <w:t>histories</w:t>
      </w:r>
      <w:r>
        <w:rPr>
          <w:spacing w:val="-10"/>
          <w:w w:val="125"/>
          <w:sz w:val="20"/>
        </w:rPr>
        <w:t> </w:t>
      </w:r>
      <w:r>
        <w:rPr>
          <w:w w:val="125"/>
          <w:sz w:val="20"/>
        </w:rPr>
        <w:t>of</w:t>
      </w:r>
      <w:r>
        <w:rPr>
          <w:spacing w:val="-9"/>
          <w:w w:val="125"/>
          <w:sz w:val="20"/>
        </w:rPr>
        <w:t> </w:t>
      </w:r>
      <w:r>
        <w:rPr>
          <w:w w:val="125"/>
          <w:sz w:val="20"/>
        </w:rPr>
        <w:t>their</w:t>
      </w:r>
      <w:r>
        <w:rPr>
          <w:spacing w:val="-10"/>
          <w:w w:val="125"/>
          <w:sz w:val="20"/>
        </w:rPr>
        <w:t> </w:t>
      </w:r>
      <w:r>
        <w:rPr>
          <w:spacing w:val="2"/>
          <w:w w:val="125"/>
          <w:sz w:val="20"/>
        </w:rPr>
        <w:t>particular</w:t>
      </w:r>
      <w:r>
        <w:rPr>
          <w:spacing w:val="-10"/>
          <w:w w:val="125"/>
          <w:sz w:val="20"/>
        </w:rPr>
        <w:t> </w:t>
      </w:r>
      <w:r>
        <w:rPr>
          <w:spacing w:val="2"/>
          <w:w w:val="125"/>
          <w:sz w:val="20"/>
        </w:rPr>
        <w:t>traditions,</w:t>
      </w:r>
      <w:r>
        <w:rPr>
          <w:spacing w:val="-10"/>
          <w:w w:val="125"/>
          <w:sz w:val="20"/>
        </w:rPr>
        <w:t> </w:t>
      </w:r>
      <w:r>
        <w:rPr>
          <w:w w:val="125"/>
          <w:sz w:val="20"/>
        </w:rPr>
        <w:t>going back to the </w:t>
      </w:r>
      <w:r>
        <w:rPr>
          <w:spacing w:val="2"/>
          <w:w w:val="125"/>
          <w:sz w:val="20"/>
        </w:rPr>
        <w:t>incarnation. </w:t>
      </w:r>
      <w:r>
        <w:rPr>
          <w:w w:val="125"/>
          <w:sz w:val="20"/>
        </w:rPr>
        <w:t>Each Church is </w:t>
      </w:r>
      <w:r>
        <w:rPr>
          <w:spacing w:val="2"/>
          <w:w w:val="125"/>
          <w:sz w:val="20"/>
        </w:rPr>
        <w:t>shaped </w:t>
      </w:r>
      <w:r>
        <w:rPr>
          <w:w w:val="125"/>
          <w:sz w:val="20"/>
        </w:rPr>
        <w:t>by </w:t>
      </w:r>
      <w:r>
        <w:rPr>
          <w:spacing w:val="2"/>
          <w:w w:val="125"/>
          <w:sz w:val="20"/>
        </w:rPr>
        <w:t>its faithfulness </w:t>
      </w:r>
      <w:r>
        <w:rPr>
          <w:w w:val="125"/>
          <w:sz w:val="20"/>
        </w:rPr>
        <w:t>to </w:t>
      </w:r>
      <w:r>
        <w:rPr>
          <w:spacing w:val="2"/>
          <w:w w:val="125"/>
          <w:sz w:val="20"/>
        </w:rPr>
        <w:t>Christ </w:t>
      </w:r>
      <w:r>
        <w:rPr>
          <w:w w:val="125"/>
          <w:sz w:val="20"/>
        </w:rPr>
        <w:t>and the Spirit, discerned anew in </w:t>
      </w:r>
      <w:r>
        <w:rPr>
          <w:spacing w:val="3"/>
          <w:w w:val="125"/>
          <w:sz w:val="20"/>
        </w:rPr>
        <w:t>every </w:t>
      </w:r>
      <w:r>
        <w:rPr>
          <w:w w:val="125"/>
          <w:sz w:val="20"/>
        </w:rPr>
        <w:t>age, in anticipation of the final goal, when </w:t>
      </w:r>
      <w:r>
        <w:rPr>
          <w:spacing w:val="2"/>
          <w:w w:val="125"/>
          <w:sz w:val="20"/>
        </w:rPr>
        <w:t>God </w:t>
      </w:r>
      <w:r>
        <w:rPr>
          <w:w w:val="125"/>
          <w:sz w:val="20"/>
        </w:rPr>
        <w:t>draws all creation to </w:t>
      </w:r>
      <w:r>
        <w:rPr>
          <w:spacing w:val="2"/>
          <w:w w:val="125"/>
          <w:sz w:val="20"/>
        </w:rPr>
        <w:t>God. </w:t>
      </w:r>
      <w:r>
        <w:rPr>
          <w:w w:val="125"/>
          <w:sz w:val="20"/>
        </w:rPr>
        <w:t>We urge congregations to revisit </w:t>
      </w:r>
      <w:r>
        <w:rPr>
          <w:spacing w:val="2"/>
          <w:w w:val="125"/>
          <w:sz w:val="20"/>
        </w:rPr>
        <w:t>two </w:t>
      </w:r>
      <w:r>
        <w:rPr>
          <w:spacing w:val="3"/>
          <w:w w:val="125"/>
          <w:sz w:val="20"/>
        </w:rPr>
        <w:t>important </w:t>
      </w:r>
      <w:r>
        <w:rPr>
          <w:spacing w:val="2"/>
          <w:w w:val="125"/>
          <w:sz w:val="20"/>
        </w:rPr>
        <w:t>documents, </w:t>
      </w:r>
      <w:r>
        <w:rPr>
          <w:w w:val="125"/>
          <w:sz w:val="20"/>
        </w:rPr>
        <w:t>the founding</w:t>
      </w:r>
      <w:r>
        <w:rPr>
          <w:spacing w:val="-9"/>
          <w:w w:val="125"/>
          <w:sz w:val="20"/>
        </w:rPr>
        <w:t> </w:t>
      </w:r>
      <w:r>
        <w:rPr>
          <w:w w:val="125"/>
          <w:sz w:val="20"/>
        </w:rPr>
        <w:t>statement</w:t>
      </w:r>
      <w:r>
        <w:rPr>
          <w:spacing w:val="-9"/>
          <w:w w:val="125"/>
          <w:sz w:val="20"/>
        </w:rPr>
        <w:t> </w:t>
      </w:r>
      <w:r>
        <w:rPr>
          <w:w w:val="125"/>
          <w:sz w:val="20"/>
        </w:rPr>
        <w:t>on</w:t>
      </w:r>
      <w:r>
        <w:rPr>
          <w:spacing w:val="-9"/>
          <w:w w:val="125"/>
          <w:sz w:val="20"/>
        </w:rPr>
        <w:t> </w:t>
      </w:r>
      <w:r>
        <w:rPr>
          <w:spacing w:val="2"/>
          <w:w w:val="125"/>
          <w:sz w:val="20"/>
        </w:rPr>
        <w:t>faith</w:t>
      </w:r>
      <w:r>
        <w:rPr>
          <w:spacing w:val="-9"/>
          <w:w w:val="125"/>
          <w:sz w:val="20"/>
        </w:rPr>
        <w:t> </w:t>
      </w:r>
      <w:r>
        <w:rPr>
          <w:w w:val="125"/>
          <w:sz w:val="20"/>
        </w:rPr>
        <w:t>and</w:t>
      </w:r>
      <w:r>
        <w:rPr>
          <w:spacing w:val="-9"/>
          <w:w w:val="125"/>
          <w:sz w:val="20"/>
        </w:rPr>
        <w:t> </w:t>
      </w:r>
      <w:r>
        <w:rPr>
          <w:w w:val="125"/>
          <w:sz w:val="20"/>
        </w:rPr>
        <w:t>the</w:t>
      </w:r>
      <w:r>
        <w:rPr>
          <w:spacing w:val="-9"/>
          <w:w w:val="125"/>
          <w:sz w:val="20"/>
        </w:rPr>
        <w:t> </w:t>
      </w:r>
      <w:r>
        <w:rPr>
          <w:w w:val="125"/>
          <w:sz w:val="20"/>
        </w:rPr>
        <w:t>Church</w:t>
      </w:r>
      <w:r>
        <w:rPr>
          <w:spacing w:val="-9"/>
          <w:w w:val="125"/>
          <w:sz w:val="20"/>
        </w:rPr>
        <w:t> </w:t>
      </w:r>
      <w:r>
        <w:rPr>
          <w:w w:val="125"/>
          <w:sz w:val="20"/>
        </w:rPr>
        <w:t>in</w:t>
      </w:r>
      <w:r>
        <w:rPr>
          <w:spacing w:val="-9"/>
          <w:w w:val="125"/>
          <w:sz w:val="20"/>
        </w:rPr>
        <w:t> </w:t>
      </w:r>
      <w:r>
        <w:rPr>
          <w:w w:val="125"/>
          <w:sz w:val="20"/>
        </w:rPr>
        <w:t>the</w:t>
      </w:r>
      <w:r>
        <w:rPr>
          <w:spacing w:val="-9"/>
          <w:w w:val="125"/>
          <w:sz w:val="20"/>
        </w:rPr>
        <w:t> </w:t>
      </w:r>
      <w:r>
        <w:rPr>
          <w:w w:val="125"/>
          <w:sz w:val="20"/>
        </w:rPr>
        <w:t>Basis</w:t>
      </w:r>
      <w:r>
        <w:rPr>
          <w:spacing w:val="-9"/>
          <w:w w:val="125"/>
          <w:sz w:val="20"/>
        </w:rPr>
        <w:t> </w:t>
      </w:r>
      <w:r>
        <w:rPr>
          <w:w w:val="125"/>
          <w:sz w:val="20"/>
        </w:rPr>
        <w:t>of</w:t>
      </w:r>
      <w:r>
        <w:rPr>
          <w:spacing w:val="-8"/>
          <w:w w:val="125"/>
          <w:sz w:val="20"/>
        </w:rPr>
        <w:t> </w:t>
      </w:r>
      <w:r>
        <w:rPr>
          <w:w w:val="125"/>
          <w:sz w:val="20"/>
        </w:rPr>
        <w:t>Union,</w:t>
      </w:r>
      <w:r>
        <w:rPr>
          <w:spacing w:val="-9"/>
          <w:w w:val="125"/>
          <w:sz w:val="20"/>
        </w:rPr>
        <w:t> </w:t>
      </w:r>
      <w:r>
        <w:rPr>
          <w:w w:val="125"/>
          <w:sz w:val="20"/>
        </w:rPr>
        <w:t>and</w:t>
      </w:r>
      <w:r>
        <w:rPr>
          <w:spacing w:val="-9"/>
          <w:w w:val="125"/>
          <w:sz w:val="20"/>
        </w:rPr>
        <w:t> </w:t>
      </w:r>
      <w:r>
        <w:rPr>
          <w:w w:val="125"/>
          <w:sz w:val="20"/>
        </w:rPr>
        <w:t>the</w:t>
      </w:r>
      <w:r>
        <w:rPr>
          <w:spacing w:val="-9"/>
          <w:w w:val="125"/>
          <w:sz w:val="20"/>
        </w:rPr>
        <w:t> </w:t>
      </w:r>
      <w:r>
        <w:rPr>
          <w:w w:val="125"/>
          <w:sz w:val="20"/>
        </w:rPr>
        <w:t>statement concerning</w:t>
      </w:r>
      <w:r>
        <w:rPr>
          <w:spacing w:val="-11"/>
          <w:w w:val="125"/>
          <w:sz w:val="20"/>
        </w:rPr>
        <w:t> </w:t>
      </w:r>
      <w:r>
        <w:rPr>
          <w:w w:val="125"/>
          <w:sz w:val="20"/>
        </w:rPr>
        <w:t>the</w:t>
      </w:r>
      <w:r>
        <w:rPr>
          <w:spacing w:val="-10"/>
          <w:w w:val="125"/>
          <w:sz w:val="20"/>
        </w:rPr>
        <w:t> </w:t>
      </w:r>
      <w:r>
        <w:rPr>
          <w:w w:val="125"/>
          <w:sz w:val="20"/>
        </w:rPr>
        <w:t>nature,</w:t>
      </w:r>
      <w:r>
        <w:rPr>
          <w:spacing w:val="-11"/>
          <w:w w:val="125"/>
          <w:sz w:val="20"/>
        </w:rPr>
        <w:t> </w:t>
      </w:r>
      <w:r>
        <w:rPr>
          <w:spacing w:val="2"/>
          <w:w w:val="125"/>
          <w:sz w:val="20"/>
        </w:rPr>
        <w:t>faith</w:t>
      </w:r>
      <w:r>
        <w:rPr>
          <w:spacing w:val="-10"/>
          <w:w w:val="125"/>
          <w:sz w:val="20"/>
        </w:rPr>
        <w:t> </w:t>
      </w:r>
      <w:r>
        <w:rPr>
          <w:w w:val="125"/>
          <w:sz w:val="20"/>
        </w:rPr>
        <w:t>and</w:t>
      </w:r>
      <w:r>
        <w:rPr>
          <w:spacing w:val="-10"/>
          <w:w w:val="125"/>
          <w:sz w:val="20"/>
        </w:rPr>
        <w:t> </w:t>
      </w:r>
      <w:r>
        <w:rPr>
          <w:w w:val="125"/>
          <w:sz w:val="20"/>
        </w:rPr>
        <w:t>order</w:t>
      </w:r>
      <w:r>
        <w:rPr>
          <w:spacing w:val="-11"/>
          <w:w w:val="125"/>
          <w:sz w:val="20"/>
        </w:rPr>
        <w:t> </w:t>
      </w:r>
      <w:r>
        <w:rPr>
          <w:w w:val="125"/>
          <w:sz w:val="20"/>
        </w:rPr>
        <w:t>of</w:t>
      </w:r>
      <w:r>
        <w:rPr>
          <w:spacing w:val="-10"/>
          <w:w w:val="125"/>
          <w:sz w:val="20"/>
        </w:rPr>
        <w:t> </w:t>
      </w:r>
      <w:r>
        <w:rPr>
          <w:w w:val="125"/>
          <w:sz w:val="20"/>
        </w:rPr>
        <w:t>the</w:t>
      </w:r>
      <w:r>
        <w:rPr>
          <w:spacing w:val="-10"/>
          <w:w w:val="125"/>
          <w:sz w:val="20"/>
        </w:rPr>
        <w:t> </w:t>
      </w:r>
      <w:r>
        <w:rPr>
          <w:w w:val="125"/>
          <w:sz w:val="20"/>
        </w:rPr>
        <w:t>United</w:t>
      </w:r>
      <w:r>
        <w:rPr>
          <w:spacing w:val="-11"/>
          <w:w w:val="125"/>
          <w:sz w:val="20"/>
        </w:rPr>
        <w:t> </w:t>
      </w:r>
      <w:r>
        <w:rPr>
          <w:spacing w:val="2"/>
          <w:w w:val="125"/>
          <w:sz w:val="20"/>
        </w:rPr>
        <w:t>Reformed</w:t>
      </w:r>
      <w:r>
        <w:rPr>
          <w:spacing w:val="-10"/>
          <w:w w:val="125"/>
          <w:sz w:val="20"/>
        </w:rPr>
        <w:t> </w:t>
      </w:r>
      <w:r>
        <w:rPr>
          <w:w w:val="125"/>
          <w:sz w:val="20"/>
        </w:rPr>
        <w:t>Church,</w:t>
      </w:r>
      <w:r>
        <w:rPr>
          <w:spacing w:val="-11"/>
          <w:w w:val="125"/>
          <w:sz w:val="20"/>
        </w:rPr>
        <w:t> </w:t>
      </w:r>
      <w:r>
        <w:rPr>
          <w:spacing w:val="2"/>
          <w:w w:val="125"/>
          <w:sz w:val="20"/>
        </w:rPr>
        <w:t>believing</w:t>
      </w:r>
      <w:r>
        <w:rPr>
          <w:spacing w:val="-10"/>
          <w:w w:val="125"/>
          <w:sz w:val="20"/>
        </w:rPr>
        <w:t> </w:t>
      </w:r>
      <w:r>
        <w:rPr>
          <w:w w:val="125"/>
          <w:sz w:val="20"/>
        </w:rPr>
        <w:t>that </w:t>
      </w:r>
      <w:r>
        <w:rPr>
          <w:spacing w:val="2"/>
          <w:w w:val="125"/>
          <w:sz w:val="20"/>
        </w:rPr>
        <w:t>familiarity </w:t>
      </w:r>
      <w:r>
        <w:rPr>
          <w:w w:val="125"/>
          <w:sz w:val="20"/>
        </w:rPr>
        <w:t>with </w:t>
      </w:r>
      <w:r>
        <w:rPr>
          <w:spacing w:val="2"/>
          <w:w w:val="125"/>
          <w:sz w:val="20"/>
        </w:rPr>
        <w:t>these </w:t>
      </w:r>
      <w:r>
        <w:rPr>
          <w:w w:val="125"/>
          <w:sz w:val="20"/>
        </w:rPr>
        <w:t>will </w:t>
      </w:r>
      <w:r>
        <w:rPr>
          <w:spacing w:val="2"/>
          <w:w w:val="125"/>
          <w:sz w:val="20"/>
        </w:rPr>
        <w:t>strengthen </w:t>
      </w:r>
      <w:r>
        <w:rPr>
          <w:w w:val="125"/>
          <w:sz w:val="20"/>
        </w:rPr>
        <w:t>our sense of </w:t>
      </w:r>
      <w:r>
        <w:rPr>
          <w:spacing w:val="2"/>
          <w:w w:val="125"/>
          <w:sz w:val="20"/>
        </w:rPr>
        <w:t>identity </w:t>
      </w:r>
      <w:r>
        <w:rPr>
          <w:w w:val="125"/>
          <w:sz w:val="20"/>
        </w:rPr>
        <w:t>(appendices B and C on the</w:t>
      </w:r>
      <w:r>
        <w:rPr>
          <w:spacing w:val="3"/>
          <w:w w:val="125"/>
          <w:sz w:val="20"/>
        </w:rPr>
        <w:t> </w:t>
      </w:r>
      <w:r>
        <w:rPr>
          <w:w w:val="125"/>
          <w:sz w:val="20"/>
        </w:rPr>
        <w:t>website).</w:t>
      </w:r>
    </w:p>
    <w:p>
      <w:pPr>
        <w:pStyle w:val="BodyText"/>
        <w:spacing w:before="3"/>
      </w:pPr>
    </w:p>
    <w:p>
      <w:pPr>
        <w:pStyle w:val="ListParagraph"/>
        <w:numPr>
          <w:ilvl w:val="1"/>
          <w:numId w:val="58"/>
        </w:numPr>
        <w:tabs>
          <w:tab w:pos="2664" w:val="left" w:leader="none"/>
          <w:tab w:pos="2665" w:val="left" w:leader="none"/>
        </w:tabs>
        <w:spacing w:line="235" w:lineRule="auto" w:before="0" w:after="0"/>
        <w:ind w:left="1984" w:right="1600" w:firstLine="0"/>
        <w:jc w:val="left"/>
        <w:rPr>
          <w:sz w:val="20"/>
        </w:rPr>
      </w:pPr>
      <w:r>
        <w:rPr>
          <w:w w:val="120"/>
          <w:sz w:val="20"/>
        </w:rPr>
        <w:t>The statement concerning the nature, faith and order of the United Reformed Church reminds us that we as a Church accept the witness of the historic creeds.   The Revd Prof Alan Sell, in a paper to Mission Council March </w:t>
      </w:r>
      <w:r>
        <w:rPr>
          <w:spacing w:val="-7"/>
          <w:w w:val="120"/>
          <w:sz w:val="20"/>
        </w:rPr>
        <w:t>2014, </w:t>
      </w:r>
      <w:r>
        <w:rPr>
          <w:w w:val="120"/>
          <w:sz w:val="20"/>
        </w:rPr>
        <w:t>pointed out the Reformed understanding that United Reformed Church worship and meetings are credal gatherings. Articulating this sense of the credal dimensions of worship</w:t>
      </w:r>
      <w:r>
        <w:rPr>
          <w:spacing w:val="50"/>
          <w:w w:val="120"/>
          <w:sz w:val="20"/>
        </w:rPr>
        <w:t> </w:t>
      </w:r>
      <w:r>
        <w:rPr>
          <w:w w:val="120"/>
          <w:sz w:val="20"/>
        </w:rPr>
        <w:t>and</w:t>
      </w:r>
    </w:p>
    <w:p>
      <w:pPr>
        <w:pStyle w:val="BodyText"/>
        <w:spacing w:line="235" w:lineRule="auto" w:before="4"/>
        <w:ind w:left="1984" w:right="1352"/>
      </w:pPr>
      <w:r>
        <w:rPr>
          <w:w w:val="120"/>
        </w:rPr>
        <w:t>meetings, and, revisiting the Reformed creeds and confessions can stimulate reflection on the Christian faith.</w:t>
      </w:r>
    </w:p>
    <w:p>
      <w:pPr>
        <w:pStyle w:val="BodyText"/>
        <w:spacing w:before="9"/>
        <w:rPr>
          <w:sz w:val="19"/>
        </w:rPr>
      </w:pPr>
    </w:p>
    <w:p>
      <w:pPr>
        <w:pStyle w:val="ListParagraph"/>
        <w:numPr>
          <w:ilvl w:val="1"/>
          <w:numId w:val="58"/>
        </w:numPr>
        <w:tabs>
          <w:tab w:pos="2664" w:val="left" w:leader="none"/>
          <w:tab w:pos="2665" w:val="left" w:leader="none"/>
        </w:tabs>
        <w:spacing w:line="235" w:lineRule="auto" w:before="0" w:after="0"/>
        <w:ind w:left="1984" w:right="2137" w:firstLine="0"/>
        <w:jc w:val="left"/>
        <w:rPr>
          <w:sz w:val="20"/>
        </w:rPr>
      </w:pPr>
      <w:r>
        <w:rPr>
          <w:w w:val="120"/>
          <w:sz w:val="20"/>
        </w:rPr>
        <w:t>Mission Council worked on identifying the particular range of Reformed characteristics which shape the United Reformed </w:t>
      </w:r>
      <w:r>
        <w:rPr>
          <w:spacing w:val="-3"/>
          <w:w w:val="120"/>
          <w:sz w:val="20"/>
        </w:rPr>
        <w:t>Church’s </w:t>
      </w:r>
      <w:r>
        <w:rPr>
          <w:w w:val="120"/>
          <w:sz w:val="20"/>
        </w:rPr>
        <w:t>identity</w:t>
      </w:r>
      <w:r>
        <w:rPr>
          <w:spacing w:val="40"/>
          <w:w w:val="120"/>
          <w:sz w:val="20"/>
        </w:rPr>
        <w:t> </w:t>
      </w:r>
      <w:r>
        <w:rPr>
          <w:w w:val="120"/>
          <w:sz w:val="20"/>
        </w:rPr>
        <w:t>today:</w:t>
      </w:r>
    </w:p>
    <w:p>
      <w:pPr>
        <w:pStyle w:val="ListParagraph"/>
        <w:numPr>
          <w:ilvl w:val="0"/>
          <w:numId w:val="59"/>
        </w:numPr>
        <w:tabs>
          <w:tab w:pos="2664" w:val="left" w:leader="none"/>
          <w:tab w:pos="2665" w:val="left" w:leader="none"/>
        </w:tabs>
        <w:spacing w:line="235" w:lineRule="auto" w:before="2" w:after="0"/>
        <w:ind w:left="2664" w:right="1334" w:hanging="681"/>
        <w:jc w:val="left"/>
        <w:rPr>
          <w:sz w:val="20"/>
        </w:rPr>
      </w:pPr>
      <w:r>
        <w:rPr>
          <w:i/>
          <w:w w:val="120"/>
          <w:sz w:val="20"/>
        </w:rPr>
        <w:t>Semper</w:t>
      </w:r>
      <w:r>
        <w:rPr>
          <w:i/>
          <w:spacing w:val="-8"/>
          <w:w w:val="120"/>
          <w:sz w:val="20"/>
        </w:rPr>
        <w:t> </w:t>
      </w:r>
      <w:r>
        <w:rPr>
          <w:i/>
          <w:w w:val="120"/>
          <w:sz w:val="20"/>
        </w:rPr>
        <w:t>Reformanda</w:t>
      </w:r>
      <w:r>
        <w:rPr>
          <w:i/>
          <w:spacing w:val="-6"/>
          <w:w w:val="120"/>
          <w:sz w:val="20"/>
        </w:rPr>
        <w:t> </w:t>
      </w:r>
      <w:r>
        <w:rPr>
          <w:w w:val="120"/>
          <w:sz w:val="20"/>
        </w:rPr>
        <w:t>–</w:t>
      </w:r>
      <w:r>
        <w:rPr>
          <w:spacing w:val="-5"/>
          <w:w w:val="120"/>
          <w:sz w:val="20"/>
        </w:rPr>
        <w:t> </w:t>
      </w:r>
      <w:r>
        <w:rPr>
          <w:w w:val="120"/>
          <w:sz w:val="20"/>
        </w:rPr>
        <w:t>openly</w:t>
      </w:r>
      <w:r>
        <w:rPr>
          <w:spacing w:val="-5"/>
          <w:w w:val="120"/>
          <w:sz w:val="20"/>
        </w:rPr>
        <w:t> </w:t>
      </w:r>
      <w:r>
        <w:rPr>
          <w:w w:val="120"/>
          <w:sz w:val="20"/>
        </w:rPr>
        <w:t>and</w:t>
      </w:r>
      <w:r>
        <w:rPr>
          <w:spacing w:val="-5"/>
          <w:w w:val="120"/>
          <w:sz w:val="20"/>
        </w:rPr>
        <w:t> </w:t>
      </w:r>
      <w:r>
        <w:rPr>
          <w:w w:val="120"/>
          <w:sz w:val="20"/>
        </w:rPr>
        <w:t>intentionally</w:t>
      </w:r>
      <w:r>
        <w:rPr>
          <w:spacing w:val="-6"/>
          <w:w w:val="120"/>
          <w:sz w:val="20"/>
        </w:rPr>
        <w:t> </w:t>
      </w:r>
      <w:r>
        <w:rPr>
          <w:w w:val="120"/>
          <w:sz w:val="20"/>
        </w:rPr>
        <w:t>stating</w:t>
      </w:r>
      <w:r>
        <w:rPr>
          <w:spacing w:val="-5"/>
          <w:w w:val="120"/>
          <w:sz w:val="20"/>
        </w:rPr>
        <w:t> </w:t>
      </w:r>
      <w:r>
        <w:rPr>
          <w:w w:val="120"/>
          <w:sz w:val="20"/>
        </w:rPr>
        <w:t>our</w:t>
      </w:r>
      <w:r>
        <w:rPr>
          <w:spacing w:val="-5"/>
          <w:w w:val="120"/>
          <w:sz w:val="20"/>
        </w:rPr>
        <w:t> </w:t>
      </w:r>
      <w:r>
        <w:rPr>
          <w:w w:val="120"/>
          <w:sz w:val="20"/>
        </w:rPr>
        <w:t>readiness</w:t>
      </w:r>
      <w:r>
        <w:rPr>
          <w:spacing w:val="-5"/>
          <w:w w:val="120"/>
          <w:sz w:val="20"/>
        </w:rPr>
        <w:t> </w:t>
      </w:r>
      <w:r>
        <w:rPr>
          <w:w w:val="120"/>
          <w:sz w:val="20"/>
        </w:rPr>
        <w:t>to</w:t>
      </w:r>
      <w:r>
        <w:rPr>
          <w:spacing w:val="-6"/>
          <w:w w:val="120"/>
          <w:sz w:val="20"/>
        </w:rPr>
        <w:t> </w:t>
      </w:r>
      <w:r>
        <w:rPr>
          <w:w w:val="120"/>
          <w:sz w:val="20"/>
        </w:rPr>
        <w:t>change</w:t>
      </w:r>
      <w:r>
        <w:rPr>
          <w:spacing w:val="-5"/>
          <w:w w:val="120"/>
          <w:sz w:val="20"/>
        </w:rPr>
        <w:t> </w:t>
      </w:r>
      <w:r>
        <w:rPr>
          <w:w w:val="120"/>
          <w:sz w:val="20"/>
        </w:rPr>
        <w:t>in light of experience of the Holy</w:t>
      </w:r>
      <w:r>
        <w:rPr>
          <w:spacing w:val="14"/>
          <w:w w:val="120"/>
          <w:sz w:val="20"/>
        </w:rPr>
        <w:t> </w:t>
      </w:r>
      <w:r>
        <w:rPr>
          <w:w w:val="120"/>
          <w:sz w:val="20"/>
        </w:rPr>
        <w:t>Spirit;</w:t>
      </w:r>
    </w:p>
    <w:p>
      <w:pPr>
        <w:pStyle w:val="ListParagraph"/>
        <w:numPr>
          <w:ilvl w:val="0"/>
          <w:numId w:val="59"/>
        </w:numPr>
        <w:tabs>
          <w:tab w:pos="2664" w:val="left" w:leader="none"/>
          <w:tab w:pos="2665" w:val="left" w:leader="none"/>
        </w:tabs>
        <w:spacing w:line="240" w:lineRule="exact" w:before="0" w:after="0"/>
        <w:ind w:left="2664" w:right="0" w:hanging="681"/>
        <w:jc w:val="left"/>
        <w:rPr>
          <w:sz w:val="20"/>
        </w:rPr>
      </w:pPr>
      <w:r>
        <w:rPr>
          <w:w w:val="120"/>
          <w:sz w:val="20"/>
        </w:rPr>
        <w:t>our particular interpretation of the priesthood of all</w:t>
      </w:r>
      <w:r>
        <w:rPr>
          <w:spacing w:val="14"/>
          <w:w w:val="120"/>
          <w:sz w:val="20"/>
        </w:rPr>
        <w:t> </w:t>
      </w:r>
      <w:r>
        <w:rPr>
          <w:w w:val="120"/>
          <w:sz w:val="20"/>
        </w:rPr>
        <w:t>believers;</w:t>
      </w:r>
    </w:p>
    <w:p>
      <w:pPr>
        <w:pStyle w:val="ListParagraph"/>
        <w:numPr>
          <w:ilvl w:val="0"/>
          <w:numId w:val="59"/>
        </w:numPr>
        <w:tabs>
          <w:tab w:pos="2664" w:val="left" w:leader="none"/>
          <w:tab w:pos="2665" w:val="left" w:leader="none"/>
        </w:tabs>
        <w:spacing w:line="242" w:lineRule="exact" w:before="0" w:after="0"/>
        <w:ind w:left="2664" w:right="0" w:hanging="681"/>
        <w:jc w:val="left"/>
        <w:rPr>
          <w:sz w:val="20"/>
        </w:rPr>
      </w:pPr>
      <w:r>
        <w:rPr>
          <w:w w:val="120"/>
          <w:sz w:val="20"/>
        </w:rPr>
        <w:t>elders – ordained and set apart for shared</w:t>
      </w:r>
      <w:r>
        <w:rPr>
          <w:spacing w:val="15"/>
          <w:w w:val="120"/>
          <w:sz w:val="20"/>
        </w:rPr>
        <w:t> </w:t>
      </w:r>
      <w:r>
        <w:rPr>
          <w:w w:val="120"/>
          <w:sz w:val="20"/>
        </w:rPr>
        <w:t>leadership;</w:t>
      </w:r>
    </w:p>
    <w:p>
      <w:pPr>
        <w:spacing w:after="0" w:line="242" w:lineRule="exact"/>
        <w:jc w:val="left"/>
        <w:rPr>
          <w:sz w:val="20"/>
        </w:rPr>
        <w:sectPr>
          <w:type w:val="continuous"/>
          <w:pgSz w:w="11910" w:h="16840"/>
          <w:pgMar w:top="680" w:bottom="280" w:left="0" w:right="0"/>
        </w:sectPr>
      </w:pPr>
    </w:p>
    <w:p>
      <w:pPr>
        <w:pStyle w:val="BodyText"/>
      </w:pPr>
      <w:r>
        <w:rPr/>
        <w:drawing>
          <wp:anchor distT="0" distB="0" distL="0" distR="0" allowOverlap="1" layoutInCell="1" locked="0" behindDoc="0" simplePos="0" relativeHeight="251955200">
            <wp:simplePos x="0" y="0"/>
            <wp:positionH relativeFrom="page">
              <wp:posOffset>0</wp:posOffset>
            </wp:positionH>
            <wp:positionV relativeFrom="page">
              <wp:posOffset>0</wp:posOffset>
            </wp:positionV>
            <wp:extent cx="594067" cy="10692003"/>
            <wp:effectExtent l="0" t="0" r="0" b="0"/>
            <wp:wrapNone/>
            <wp:docPr id="199" name="image28.png"/>
            <wp:cNvGraphicFramePr>
              <a:graphicFrameLocks noChangeAspect="1"/>
            </wp:cNvGraphicFramePr>
            <a:graphic>
              <a:graphicData uri="http://schemas.openxmlformats.org/drawingml/2006/picture">
                <pic:pic>
                  <pic:nvPicPr>
                    <pic:cNvPr id="200" name="image28.png"/>
                    <pic:cNvPicPr/>
                  </pic:nvPicPr>
                  <pic:blipFill>
                    <a:blip r:embed="rId198"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shape style="position:absolute;margin-left:20.519100pt;margin-top:22.593945pt;width:25.9pt;height:266.2pt;mso-position-horizontal-relative:page;mso-position-vertical-relative:paragraph;z-index:251956224" type="#_x0000_t202" filled="false" stroked="false">
            <v:textbox inset="0,0,0,0" style="layout-flow:vertical">
              <w:txbxContent>
                <w:p>
                  <w:pPr>
                    <w:spacing w:before="27"/>
                    <w:ind w:left="20" w:right="0" w:firstLine="0"/>
                    <w:jc w:val="left"/>
                    <w:rPr>
                      <w:sz w:val="39"/>
                    </w:rPr>
                  </w:pPr>
                  <w:r>
                    <w:rPr>
                      <w:color w:val="FFFFFF"/>
                      <w:spacing w:val="12"/>
                      <w:w w:val="120"/>
                      <w:sz w:val="39"/>
                    </w:rPr>
                    <w:t>Affirming </w:t>
                  </w:r>
                  <w:r>
                    <w:rPr>
                      <w:color w:val="FFFFFF"/>
                      <w:spacing w:val="8"/>
                      <w:w w:val="120"/>
                      <w:sz w:val="39"/>
                    </w:rPr>
                    <w:t>the </w:t>
                  </w:r>
                  <w:r>
                    <w:rPr>
                      <w:color w:val="FFFFFF"/>
                      <w:spacing w:val="-4"/>
                      <w:w w:val="120"/>
                      <w:sz w:val="39"/>
                    </w:rPr>
                    <w:t>URC’s</w:t>
                  </w:r>
                  <w:r>
                    <w:rPr>
                      <w:color w:val="FFFFFF"/>
                      <w:spacing w:val="78"/>
                      <w:w w:val="120"/>
                      <w:sz w:val="39"/>
                    </w:rPr>
                    <w:t> </w:t>
                  </w:r>
                  <w:r>
                    <w:rPr>
                      <w:color w:val="FFFFFF"/>
                      <w:spacing w:val="8"/>
                      <w:w w:val="120"/>
                      <w:sz w:val="39"/>
                    </w:rPr>
                    <w:t>future</w:t>
                  </w:r>
                </w:p>
              </w:txbxContent>
            </v:textbox>
            <w10:wrap type="none"/>
          </v:shape>
        </w:pict>
      </w:r>
      <w:r>
        <w:rPr>
          <w:color w:val="7EAABF"/>
          <w:w w:val="115"/>
        </w:rPr>
        <w:t>Faith and order</w:t>
      </w:r>
    </w:p>
    <w:p>
      <w:pPr>
        <w:pStyle w:val="ListParagraph"/>
        <w:numPr>
          <w:ilvl w:val="0"/>
          <w:numId w:val="59"/>
        </w:numPr>
        <w:tabs>
          <w:tab w:pos="1927" w:val="left" w:leader="none"/>
          <w:tab w:pos="1928" w:val="left" w:leader="none"/>
        </w:tabs>
        <w:spacing w:line="235" w:lineRule="auto" w:before="222" w:after="0"/>
        <w:ind w:left="1927" w:right="2306" w:hanging="681"/>
        <w:jc w:val="left"/>
        <w:rPr>
          <w:sz w:val="20"/>
        </w:rPr>
      </w:pPr>
      <w:r>
        <w:rPr>
          <w:w w:val="120"/>
          <w:sz w:val="20"/>
        </w:rPr>
        <w:t>the church meeting, in which people together discern the leading of the Holy Spirit, and through which power is</w:t>
      </w:r>
      <w:r>
        <w:rPr>
          <w:spacing w:val="15"/>
          <w:w w:val="120"/>
          <w:sz w:val="20"/>
        </w:rPr>
        <w:t> </w:t>
      </w:r>
      <w:r>
        <w:rPr>
          <w:w w:val="120"/>
          <w:sz w:val="20"/>
        </w:rPr>
        <w:t>shared;</w:t>
      </w:r>
    </w:p>
    <w:p>
      <w:pPr>
        <w:pStyle w:val="ListParagraph"/>
        <w:numPr>
          <w:ilvl w:val="0"/>
          <w:numId w:val="59"/>
        </w:numPr>
        <w:tabs>
          <w:tab w:pos="1927" w:val="left" w:leader="none"/>
          <w:tab w:pos="1928" w:val="left" w:leader="none"/>
        </w:tabs>
        <w:spacing w:line="235" w:lineRule="auto" w:before="1" w:after="0"/>
        <w:ind w:left="1927" w:right="2335" w:hanging="681"/>
        <w:jc w:val="left"/>
        <w:rPr>
          <w:sz w:val="20"/>
        </w:rPr>
      </w:pPr>
      <w:r>
        <w:rPr>
          <w:w w:val="120"/>
          <w:sz w:val="20"/>
        </w:rPr>
        <w:t>the ability to develop policies that embrace diversity, e.g. in recognising both infant and believers baptism, but not</w:t>
      </w:r>
      <w:r>
        <w:rPr>
          <w:spacing w:val="12"/>
          <w:w w:val="120"/>
          <w:sz w:val="20"/>
        </w:rPr>
        <w:t> </w:t>
      </w:r>
      <w:r>
        <w:rPr>
          <w:w w:val="120"/>
          <w:sz w:val="20"/>
        </w:rPr>
        <w:t>re-baptism;</w:t>
      </w:r>
    </w:p>
    <w:p>
      <w:pPr>
        <w:pStyle w:val="ListParagraph"/>
        <w:numPr>
          <w:ilvl w:val="0"/>
          <w:numId w:val="59"/>
        </w:numPr>
        <w:tabs>
          <w:tab w:pos="1927" w:val="left" w:leader="none"/>
          <w:tab w:pos="1928" w:val="left" w:leader="none"/>
        </w:tabs>
        <w:spacing w:line="240" w:lineRule="exact" w:before="0" w:after="0"/>
        <w:ind w:left="1927" w:right="0" w:hanging="681"/>
        <w:jc w:val="left"/>
        <w:rPr>
          <w:sz w:val="20"/>
        </w:rPr>
      </w:pPr>
      <w:r>
        <w:rPr>
          <w:w w:val="120"/>
          <w:sz w:val="20"/>
        </w:rPr>
        <w:t>upholding</w:t>
      </w:r>
      <w:r>
        <w:rPr>
          <w:spacing w:val="18"/>
          <w:w w:val="120"/>
          <w:sz w:val="20"/>
        </w:rPr>
        <w:t> </w:t>
      </w:r>
      <w:r>
        <w:rPr>
          <w:w w:val="120"/>
          <w:sz w:val="20"/>
        </w:rPr>
        <w:t>the</w:t>
      </w:r>
      <w:r>
        <w:rPr>
          <w:spacing w:val="18"/>
          <w:w w:val="120"/>
          <w:sz w:val="20"/>
        </w:rPr>
        <w:t> </w:t>
      </w:r>
      <w:r>
        <w:rPr>
          <w:w w:val="120"/>
          <w:sz w:val="20"/>
        </w:rPr>
        <w:t>rights</w:t>
      </w:r>
      <w:r>
        <w:rPr>
          <w:spacing w:val="19"/>
          <w:w w:val="120"/>
          <w:sz w:val="20"/>
        </w:rPr>
        <w:t> </w:t>
      </w:r>
      <w:r>
        <w:rPr>
          <w:w w:val="120"/>
          <w:sz w:val="20"/>
        </w:rPr>
        <w:t>of</w:t>
      </w:r>
      <w:r>
        <w:rPr>
          <w:spacing w:val="18"/>
          <w:w w:val="120"/>
          <w:sz w:val="20"/>
        </w:rPr>
        <w:t> </w:t>
      </w:r>
      <w:r>
        <w:rPr>
          <w:w w:val="120"/>
          <w:sz w:val="20"/>
        </w:rPr>
        <w:t>personal</w:t>
      </w:r>
      <w:r>
        <w:rPr>
          <w:spacing w:val="18"/>
          <w:w w:val="120"/>
          <w:sz w:val="20"/>
        </w:rPr>
        <w:t> </w:t>
      </w:r>
      <w:r>
        <w:rPr>
          <w:w w:val="120"/>
          <w:sz w:val="20"/>
        </w:rPr>
        <w:t>conviction;</w:t>
      </w:r>
    </w:p>
    <w:p>
      <w:pPr>
        <w:pStyle w:val="ListParagraph"/>
        <w:numPr>
          <w:ilvl w:val="0"/>
          <w:numId w:val="59"/>
        </w:numPr>
        <w:tabs>
          <w:tab w:pos="1927" w:val="left" w:leader="none"/>
          <w:tab w:pos="1928" w:val="left" w:leader="none"/>
        </w:tabs>
        <w:spacing w:line="240" w:lineRule="exact" w:before="0" w:after="0"/>
        <w:ind w:left="1927" w:right="0" w:hanging="681"/>
        <w:jc w:val="left"/>
        <w:rPr>
          <w:sz w:val="20"/>
        </w:rPr>
      </w:pPr>
      <w:r>
        <w:rPr>
          <w:w w:val="120"/>
          <w:sz w:val="20"/>
        </w:rPr>
        <w:t>the strong sense of social justice and</w:t>
      </w:r>
      <w:r>
        <w:rPr>
          <w:spacing w:val="10"/>
          <w:w w:val="120"/>
          <w:sz w:val="20"/>
        </w:rPr>
        <w:t> </w:t>
      </w:r>
      <w:r>
        <w:rPr>
          <w:w w:val="120"/>
          <w:sz w:val="20"/>
        </w:rPr>
        <w:t>action;</w:t>
      </w:r>
    </w:p>
    <w:p>
      <w:pPr>
        <w:pStyle w:val="ListParagraph"/>
        <w:numPr>
          <w:ilvl w:val="0"/>
          <w:numId w:val="59"/>
        </w:numPr>
        <w:tabs>
          <w:tab w:pos="1927" w:val="left" w:leader="none"/>
          <w:tab w:pos="1928" w:val="left" w:leader="none"/>
        </w:tabs>
        <w:spacing w:line="240" w:lineRule="exact" w:before="0" w:after="0"/>
        <w:ind w:left="1927" w:right="0" w:hanging="681"/>
        <w:jc w:val="left"/>
        <w:rPr>
          <w:sz w:val="20"/>
        </w:rPr>
      </w:pPr>
      <w:r>
        <w:rPr>
          <w:w w:val="120"/>
          <w:sz w:val="20"/>
        </w:rPr>
        <w:t>freedom in worship, centring on</w:t>
      </w:r>
      <w:r>
        <w:rPr>
          <w:spacing w:val="11"/>
          <w:w w:val="120"/>
          <w:sz w:val="20"/>
        </w:rPr>
        <w:t> </w:t>
      </w:r>
      <w:r>
        <w:rPr>
          <w:w w:val="120"/>
          <w:sz w:val="20"/>
        </w:rPr>
        <w:t>Scripture;</w:t>
      </w:r>
    </w:p>
    <w:p>
      <w:pPr>
        <w:pStyle w:val="ListParagraph"/>
        <w:numPr>
          <w:ilvl w:val="0"/>
          <w:numId w:val="59"/>
        </w:numPr>
        <w:tabs>
          <w:tab w:pos="1927" w:val="left" w:leader="none"/>
          <w:tab w:pos="1928" w:val="left" w:leader="none"/>
        </w:tabs>
        <w:spacing w:line="242" w:lineRule="exact" w:before="0" w:after="0"/>
        <w:ind w:left="1927" w:right="0" w:hanging="681"/>
        <w:jc w:val="left"/>
        <w:rPr>
          <w:sz w:val="20"/>
        </w:rPr>
      </w:pPr>
      <w:r>
        <w:rPr>
          <w:w w:val="120"/>
          <w:sz w:val="20"/>
        </w:rPr>
        <w:t>valuing the local</w:t>
      </w:r>
      <w:r>
        <w:rPr>
          <w:spacing w:val="6"/>
          <w:w w:val="120"/>
          <w:sz w:val="20"/>
        </w:rPr>
        <w:t> </w:t>
      </w:r>
      <w:r>
        <w:rPr>
          <w:w w:val="120"/>
          <w:sz w:val="20"/>
        </w:rPr>
        <w:t>church.</w:t>
      </w:r>
    </w:p>
    <w:p>
      <w:pPr>
        <w:pStyle w:val="BodyText"/>
        <w:spacing w:before="3"/>
        <w:rPr>
          <w:sz w:val="18"/>
        </w:rPr>
      </w:pPr>
    </w:p>
    <w:p>
      <w:pPr>
        <w:pStyle w:val="Heading9"/>
        <w:numPr>
          <w:ilvl w:val="1"/>
          <w:numId w:val="58"/>
        </w:numPr>
        <w:tabs>
          <w:tab w:pos="1927" w:val="left" w:leader="none"/>
          <w:tab w:pos="1928" w:val="left" w:leader="none"/>
        </w:tabs>
        <w:spacing w:line="261" w:lineRule="exact" w:before="1" w:after="0"/>
        <w:ind w:left="1927" w:right="0" w:hanging="681"/>
        <w:jc w:val="left"/>
      </w:pPr>
      <w:r>
        <w:rPr>
          <w:w w:val="110"/>
        </w:rPr>
        <w:t>Reformed</w:t>
      </w:r>
      <w:r>
        <w:rPr>
          <w:spacing w:val="-1"/>
          <w:w w:val="110"/>
        </w:rPr>
        <w:t> </w:t>
      </w:r>
      <w:r>
        <w:rPr>
          <w:w w:val="110"/>
        </w:rPr>
        <w:t>spirituality</w:t>
      </w:r>
    </w:p>
    <w:p>
      <w:pPr>
        <w:pStyle w:val="BodyText"/>
        <w:spacing w:line="235" w:lineRule="auto"/>
        <w:ind w:left="1247" w:right="2167"/>
      </w:pPr>
      <w:r>
        <w:rPr>
          <w:w w:val="120"/>
        </w:rPr>
        <w:t>There is a need to discern the spiritual gifts of the Reformed tradition and the ways in which these can renew the lives of individuals and congregations. At the heart of the Church’s life is the prayerful discernment of the Holy Spirit, both within and between congregations and Churches. Resourcing this discernment will help the life of the Church to flourish and be more effective in speaking of God, and God’s promise of life in all its fullness, to the communities in which United Reformed Church congregations are set.</w:t>
      </w:r>
    </w:p>
    <w:p>
      <w:pPr>
        <w:pStyle w:val="Heading4"/>
        <w:numPr>
          <w:ilvl w:val="0"/>
          <w:numId w:val="58"/>
        </w:numPr>
        <w:tabs>
          <w:tab w:pos="1927" w:val="left" w:leader="none"/>
          <w:tab w:pos="1928" w:val="left" w:leader="none"/>
        </w:tabs>
        <w:spacing w:line="240" w:lineRule="auto" w:before="212" w:after="0"/>
        <w:ind w:left="1927" w:right="0" w:hanging="681"/>
        <w:jc w:val="left"/>
      </w:pPr>
      <w:r>
        <w:rPr>
          <w:spacing w:val="3"/>
          <w:w w:val="110"/>
        </w:rPr>
        <w:t>United</w:t>
      </w:r>
      <w:r>
        <w:rPr>
          <w:spacing w:val="12"/>
          <w:w w:val="110"/>
        </w:rPr>
        <w:t> </w:t>
      </w:r>
      <w:r>
        <w:rPr>
          <w:spacing w:val="4"/>
          <w:w w:val="110"/>
        </w:rPr>
        <w:t>identity</w:t>
      </w:r>
    </w:p>
    <w:p>
      <w:pPr>
        <w:pStyle w:val="Heading9"/>
        <w:numPr>
          <w:ilvl w:val="1"/>
          <w:numId w:val="58"/>
        </w:numPr>
        <w:tabs>
          <w:tab w:pos="1927" w:val="left" w:leader="none"/>
          <w:tab w:pos="1928" w:val="left" w:leader="none"/>
        </w:tabs>
        <w:spacing w:line="261" w:lineRule="exact" w:before="53" w:after="0"/>
        <w:ind w:left="1927" w:right="0" w:hanging="681"/>
        <w:jc w:val="left"/>
      </w:pPr>
      <w:r>
        <w:rPr>
          <w:w w:val="110"/>
        </w:rPr>
        <w:t>Introduction</w:t>
      </w:r>
    </w:p>
    <w:p>
      <w:pPr>
        <w:pStyle w:val="ListParagraph"/>
        <w:numPr>
          <w:ilvl w:val="2"/>
          <w:numId w:val="58"/>
        </w:numPr>
        <w:tabs>
          <w:tab w:pos="1762" w:val="left" w:leader="none"/>
        </w:tabs>
        <w:spacing w:line="235" w:lineRule="auto" w:before="0" w:after="0"/>
        <w:ind w:left="1247" w:right="1982" w:firstLine="0"/>
        <w:jc w:val="left"/>
        <w:rPr>
          <w:sz w:val="20"/>
        </w:rPr>
      </w:pPr>
      <w:r>
        <w:rPr>
          <w:w w:val="120"/>
          <w:sz w:val="20"/>
        </w:rPr>
        <w:t>The United Reformed </w:t>
      </w:r>
      <w:r>
        <w:rPr>
          <w:spacing w:val="-3"/>
          <w:w w:val="120"/>
          <w:sz w:val="20"/>
        </w:rPr>
        <w:t>Church’s </w:t>
      </w:r>
      <w:r>
        <w:rPr>
          <w:w w:val="120"/>
          <w:sz w:val="20"/>
        </w:rPr>
        <w:t>founding vision was of significant union between  the Churches of the </w:t>
      </w:r>
      <w:r>
        <w:rPr>
          <w:spacing w:val="2"/>
          <w:w w:val="120"/>
          <w:sz w:val="20"/>
        </w:rPr>
        <w:t>UK. </w:t>
      </w:r>
      <w:r>
        <w:rPr>
          <w:w w:val="120"/>
          <w:sz w:val="20"/>
        </w:rPr>
        <w:t>In </w:t>
      </w:r>
      <w:r>
        <w:rPr>
          <w:spacing w:val="-7"/>
          <w:w w:val="120"/>
          <w:sz w:val="20"/>
        </w:rPr>
        <w:t>1972, </w:t>
      </w:r>
      <w:r>
        <w:rPr>
          <w:w w:val="120"/>
          <w:sz w:val="20"/>
        </w:rPr>
        <w:t>the United Reformed Church celebrated the birth of a new united church, bringing together the Congregational Church of England and Wales and the Presbyterian Church of England. The dream was further realised in</w:t>
      </w:r>
      <w:r>
        <w:rPr>
          <w:spacing w:val="35"/>
          <w:w w:val="120"/>
          <w:sz w:val="20"/>
        </w:rPr>
        <w:t> </w:t>
      </w:r>
      <w:r>
        <w:rPr>
          <w:w w:val="120"/>
          <w:sz w:val="20"/>
        </w:rPr>
        <w:t>unions</w:t>
      </w:r>
    </w:p>
    <w:p>
      <w:pPr>
        <w:pStyle w:val="BodyText"/>
        <w:spacing w:line="235" w:lineRule="auto"/>
        <w:ind w:left="1247" w:right="2004"/>
      </w:pPr>
      <w:r>
        <w:rPr>
          <w:w w:val="120"/>
        </w:rPr>
        <w:t>with the Churches of Christ and the Scottish Congregational Church. This dream is foundational to the Basis of Union and has been reaffirmed at previous Assemblies. The most recent significant discussion was in the 2007 General Assembly which resulted in the adoption of a statement on the nature of the United Reformed Church’s ecumenical engagement (see appendix D on the website). There was also discussion in Mission Council as recently as November 2011 with the review of URC ecumenical relations.</w:t>
      </w:r>
    </w:p>
    <w:p>
      <w:pPr>
        <w:pStyle w:val="BodyText"/>
        <w:spacing w:before="10"/>
        <w:rPr>
          <w:sz w:val="19"/>
        </w:rPr>
      </w:pPr>
    </w:p>
    <w:p>
      <w:pPr>
        <w:pStyle w:val="ListParagraph"/>
        <w:numPr>
          <w:ilvl w:val="2"/>
          <w:numId w:val="58"/>
        </w:numPr>
        <w:tabs>
          <w:tab w:pos="1928" w:val="left" w:leader="none"/>
        </w:tabs>
        <w:spacing w:line="235" w:lineRule="auto" w:before="0" w:after="0"/>
        <w:ind w:left="1247" w:right="2663" w:firstLine="0"/>
        <w:jc w:val="left"/>
        <w:rPr>
          <w:sz w:val="20"/>
        </w:rPr>
      </w:pPr>
      <w:r>
        <w:rPr>
          <w:w w:val="120"/>
          <w:sz w:val="20"/>
        </w:rPr>
        <w:t>However, </w:t>
      </w:r>
      <w:r>
        <w:rPr>
          <w:spacing w:val="-3"/>
          <w:w w:val="120"/>
          <w:sz w:val="20"/>
        </w:rPr>
        <w:t>42 </w:t>
      </w:r>
      <w:r>
        <w:rPr>
          <w:w w:val="120"/>
          <w:sz w:val="20"/>
        </w:rPr>
        <w:t>years later, the URC has not seen the wider union it prayed for.</w:t>
      </w:r>
      <w:r>
        <w:rPr>
          <w:spacing w:val="12"/>
          <w:w w:val="120"/>
          <w:sz w:val="20"/>
        </w:rPr>
        <w:t> </w:t>
      </w:r>
      <w:r>
        <w:rPr>
          <w:spacing w:val="2"/>
          <w:w w:val="120"/>
          <w:sz w:val="20"/>
        </w:rPr>
        <w:t>While</w:t>
      </w:r>
      <w:r>
        <w:rPr>
          <w:spacing w:val="13"/>
          <w:w w:val="120"/>
          <w:sz w:val="20"/>
        </w:rPr>
        <w:t> </w:t>
      </w:r>
      <w:r>
        <w:rPr>
          <w:w w:val="120"/>
          <w:sz w:val="20"/>
        </w:rPr>
        <w:t>the</w:t>
      </w:r>
      <w:r>
        <w:rPr>
          <w:spacing w:val="13"/>
          <w:w w:val="120"/>
          <w:sz w:val="20"/>
        </w:rPr>
        <w:t> </w:t>
      </w:r>
      <w:r>
        <w:rPr>
          <w:w w:val="120"/>
          <w:sz w:val="20"/>
        </w:rPr>
        <w:t>URC</w:t>
      </w:r>
      <w:r>
        <w:rPr>
          <w:spacing w:val="13"/>
          <w:w w:val="120"/>
          <w:sz w:val="20"/>
        </w:rPr>
        <w:t> </w:t>
      </w:r>
      <w:r>
        <w:rPr>
          <w:w w:val="120"/>
          <w:sz w:val="20"/>
        </w:rPr>
        <w:t>has</w:t>
      </w:r>
      <w:r>
        <w:rPr>
          <w:spacing w:val="12"/>
          <w:w w:val="120"/>
          <w:sz w:val="20"/>
        </w:rPr>
        <w:t> </w:t>
      </w:r>
      <w:r>
        <w:rPr>
          <w:w w:val="120"/>
          <w:sz w:val="20"/>
        </w:rPr>
        <w:t>a</w:t>
      </w:r>
      <w:r>
        <w:rPr>
          <w:spacing w:val="13"/>
          <w:w w:val="120"/>
          <w:sz w:val="20"/>
        </w:rPr>
        <w:t> </w:t>
      </w:r>
      <w:r>
        <w:rPr>
          <w:spacing w:val="2"/>
          <w:w w:val="120"/>
          <w:sz w:val="20"/>
        </w:rPr>
        <w:t>well-regarded</w:t>
      </w:r>
      <w:r>
        <w:rPr>
          <w:spacing w:val="13"/>
          <w:w w:val="120"/>
          <w:sz w:val="20"/>
        </w:rPr>
        <w:t> </w:t>
      </w:r>
      <w:r>
        <w:rPr>
          <w:w w:val="120"/>
          <w:sz w:val="20"/>
        </w:rPr>
        <w:t>commitment</w:t>
      </w:r>
      <w:r>
        <w:rPr>
          <w:spacing w:val="13"/>
          <w:w w:val="120"/>
          <w:sz w:val="20"/>
        </w:rPr>
        <w:t> </w:t>
      </w:r>
      <w:r>
        <w:rPr>
          <w:w w:val="120"/>
          <w:sz w:val="20"/>
        </w:rPr>
        <w:t>to</w:t>
      </w:r>
      <w:r>
        <w:rPr>
          <w:spacing w:val="12"/>
          <w:w w:val="120"/>
          <w:sz w:val="20"/>
        </w:rPr>
        <w:t> </w:t>
      </w:r>
      <w:r>
        <w:rPr>
          <w:w w:val="120"/>
          <w:sz w:val="20"/>
        </w:rPr>
        <w:t>the</w:t>
      </w:r>
      <w:r>
        <w:rPr>
          <w:spacing w:val="13"/>
          <w:w w:val="120"/>
          <w:sz w:val="20"/>
        </w:rPr>
        <w:t> </w:t>
      </w:r>
      <w:r>
        <w:rPr>
          <w:w w:val="120"/>
          <w:sz w:val="20"/>
        </w:rPr>
        <w:t>ecumenical</w:t>
      </w:r>
      <w:r>
        <w:rPr>
          <w:spacing w:val="13"/>
          <w:w w:val="120"/>
          <w:sz w:val="20"/>
        </w:rPr>
        <w:t> </w:t>
      </w:r>
      <w:r>
        <w:rPr>
          <w:w w:val="120"/>
          <w:sz w:val="20"/>
        </w:rPr>
        <w:t>journey,</w:t>
      </w:r>
    </w:p>
    <w:p>
      <w:pPr>
        <w:pStyle w:val="BodyText"/>
        <w:spacing w:line="235" w:lineRule="auto" w:before="1"/>
        <w:ind w:left="1247" w:right="2280"/>
      </w:pPr>
      <w:r>
        <w:rPr>
          <w:w w:val="120"/>
        </w:rPr>
        <w:t>other </w:t>
      </w:r>
      <w:r>
        <w:rPr>
          <w:spacing w:val="3"/>
          <w:w w:val="120"/>
        </w:rPr>
        <w:t>factors </w:t>
      </w:r>
      <w:r>
        <w:rPr>
          <w:spacing w:val="2"/>
          <w:w w:val="120"/>
        </w:rPr>
        <w:t>affecting </w:t>
      </w:r>
      <w:r>
        <w:rPr>
          <w:w w:val="120"/>
        </w:rPr>
        <w:t>the life of the Church in the </w:t>
      </w:r>
      <w:r>
        <w:rPr>
          <w:spacing w:val="2"/>
          <w:w w:val="120"/>
        </w:rPr>
        <w:t>UK </w:t>
      </w:r>
      <w:r>
        <w:rPr>
          <w:w w:val="120"/>
        </w:rPr>
        <w:t>have come to the fore. </w:t>
      </w:r>
      <w:r>
        <w:rPr>
          <w:spacing w:val="2"/>
          <w:w w:val="120"/>
        </w:rPr>
        <w:t>There </w:t>
      </w:r>
      <w:r>
        <w:rPr>
          <w:w w:val="120"/>
        </w:rPr>
        <w:t>has </w:t>
      </w:r>
      <w:r>
        <w:rPr>
          <w:spacing w:val="2"/>
          <w:w w:val="120"/>
        </w:rPr>
        <w:t>been </w:t>
      </w:r>
      <w:r>
        <w:rPr>
          <w:w w:val="120"/>
        </w:rPr>
        <w:t>a </w:t>
      </w:r>
      <w:r>
        <w:rPr>
          <w:spacing w:val="2"/>
          <w:w w:val="120"/>
        </w:rPr>
        <w:t>growth </w:t>
      </w:r>
      <w:r>
        <w:rPr>
          <w:w w:val="120"/>
        </w:rPr>
        <w:t>of secularisation, leading to a </w:t>
      </w:r>
      <w:r>
        <w:rPr>
          <w:spacing w:val="2"/>
          <w:w w:val="120"/>
        </w:rPr>
        <w:t>retrenchment </w:t>
      </w:r>
      <w:r>
        <w:rPr>
          <w:w w:val="120"/>
        </w:rPr>
        <w:t>of many historic denominations as they have sought their own </w:t>
      </w:r>
      <w:r>
        <w:rPr>
          <w:spacing w:val="3"/>
          <w:w w:val="120"/>
        </w:rPr>
        <w:t>survival. </w:t>
      </w:r>
      <w:r>
        <w:rPr>
          <w:spacing w:val="2"/>
          <w:w w:val="120"/>
        </w:rPr>
        <w:t>There </w:t>
      </w:r>
      <w:r>
        <w:rPr>
          <w:w w:val="120"/>
        </w:rPr>
        <w:t>has </w:t>
      </w:r>
      <w:r>
        <w:rPr>
          <w:spacing w:val="2"/>
          <w:w w:val="120"/>
        </w:rPr>
        <w:t>been </w:t>
      </w:r>
      <w:r>
        <w:rPr>
          <w:w w:val="120"/>
        </w:rPr>
        <w:t>a </w:t>
      </w:r>
      <w:r>
        <w:rPr>
          <w:spacing w:val="2"/>
          <w:w w:val="120"/>
        </w:rPr>
        <w:t>critique </w:t>
      </w:r>
      <w:r>
        <w:rPr>
          <w:w w:val="120"/>
        </w:rPr>
        <w:t>of </w:t>
      </w:r>
      <w:r>
        <w:rPr>
          <w:spacing w:val="2"/>
          <w:w w:val="120"/>
        </w:rPr>
        <w:t>‘structural’ </w:t>
      </w:r>
      <w:r>
        <w:rPr>
          <w:w w:val="120"/>
        </w:rPr>
        <w:t>forms of ecumenism, over against newer ‘missional’ forms of ecumenism such as </w:t>
      </w:r>
      <w:r>
        <w:rPr>
          <w:spacing w:val="2"/>
          <w:w w:val="120"/>
        </w:rPr>
        <w:t>street pastors </w:t>
      </w:r>
      <w:r>
        <w:rPr>
          <w:w w:val="120"/>
        </w:rPr>
        <w:t>and night </w:t>
      </w:r>
      <w:r>
        <w:rPr>
          <w:spacing w:val="2"/>
          <w:w w:val="120"/>
        </w:rPr>
        <w:t>shelters. There </w:t>
      </w:r>
      <w:r>
        <w:rPr>
          <w:w w:val="120"/>
        </w:rPr>
        <w:t>has </w:t>
      </w:r>
      <w:r>
        <w:rPr>
          <w:spacing w:val="2"/>
          <w:w w:val="120"/>
        </w:rPr>
        <w:t>been </w:t>
      </w:r>
      <w:r>
        <w:rPr>
          <w:w w:val="120"/>
        </w:rPr>
        <w:t>a blossoming of new Churches, both </w:t>
      </w:r>
      <w:r>
        <w:rPr>
          <w:spacing w:val="3"/>
          <w:w w:val="120"/>
        </w:rPr>
        <w:t>home-grown </w:t>
      </w:r>
      <w:r>
        <w:rPr>
          <w:w w:val="120"/>
        </w:rPr>
        <w:t>and those </w:t>
      </w:r>
      <w:r>
        <w:rPr>
          <w:spacing w:val="2"/>
          <w:w w:val="120"/>
        </w:rPr>
        <w:t>fuelled </w:t>
      </w:r>
      <w:r>
        <w:rPr>
          <w:w w:val="120"/>
        </w:rPr>
        <w:t>by </w:t>
      </w:r>
      <w:r>
        <w:rPr>
          <w:spacing w:val="2"/>
          <w:w w:val="120"/>
        </w:rPr>
        <w:t>immigration,  </w:t>
      </w:r>
      <w:r>
        <w:rPr>
          <w:w w:val="120"/>
        </w:rPr>
        <w:t>with  their  own sense of </w:t>
      </w:r>
      <w:r>
        <w:rPr>
          <w:spacing w:val="2"/>
          <w:w w:val="120"/>
        </w:rPr>
        <w:t>identity </w:t>
      </w:r>
      <w:r>
        <w:rPr>
          <w:w w:val="120"/>
        </w:rPr>
        <w:t>and their desire to flourish. </w:t>
      </w:r>
      <w:r>
        <w:rPr>
          <w:spacing w:val="2"/>
          <w:w w:val="120"/>
        </w:rPr>
        <w:t>Some </w:t>
      </w:r>
      <w:r>
        <w:rPr>
          <w:w w:val="120"/>
        </w:rPr>
        <w:t>have  perceived  </w:t>
      </w:r>
      <w:r>
        <w:rPr>
          <w:spacing w:val="2"/>
          <w:w w:val="120"/>
        </w:rPr>
        <w:t>there </w:t>
      </w:r>
      <w:r>
        <w:rPr>
          <w:w w:val="120"/>
        </w:rPr>
        <w:t>to  be  a lack of confidence in the </w:t>
      </w:r>
      <w:r>
        <w:rPr>
          <w:spacing w:val="2"/>
          <w:w w:val="120"/>
        </w:rPr>
        <w:t>Gospel </w:t>
      </w:r>
      <w:r>
        <w:rPr>
          <w:w w:val="120"/>
        </w:rPr>
        <w:t>across the United </w:t>
      </w:r>
      <w:r>
        <w:rPr>
          <w:spacing w:val="2"/>
          <w:w w:val="120"/>
        </w:rPr>
        <w:t>Reformed </w:t>
      </w:r>
      <w:r>
        <w:rPr>
          <w:w w:val="120"/>
        </w:rPr>
        <w:t>Church, (described as </w:t>
      </w:r>
      <w:r>
        <w:rPr>
          <w:spacing w:val="2"/>
          <w:w w:val="120"/>
        </w:rPr>
        <w:t>‘functional </w:t>
      </w:r>
      <w:r>
        <w:rPr>
          <w:w w:val="120"/>
        </w:rPr>
        <w:t>atheism’) which has resulted in diffidence </w:t>
      </w:r>
      <w:r>
        <w:rPr>
          <w:spacing w:val="2"/>
          <w:w w:val="120"/>
        </w:rPr>
        <w:t>about sharing </w:t>
      </w:r>
      <w:r>
        <w:rPr>
          <w:w w:val="120"/>
        </w:rPr>
        <w:t>the </w:t>
      </w:r>
      <w:r>
        <w:rPr>
          <w:spacing w:val="2"/>
          <w:w w:val="120"/>
        </w:rPr>
        <w:t>faith </w:t>
      </w:r>
      <w:r>
        <w:rPr>
          <w:w w:val="120"/>
        </w:rPr>
        <w:t>both within the </w:t>
      </w:r>
      <w:r>
        <w:rPr>
          <w:spacing w:val="2"/>
          <w:w w:val="120"/>
        </w:rPr>
        <w:t>Christian </w:t>
      </w:r>
      <w:r>
        <w:rPr>
          <w:w w:val="120"/>
        </w:rPr>
        <w:t>community and in the wider</w:t>
      </w:r>
      <w:r>
        <w:rPr>
          <w:spacing w:val="11"/>
          <w:w w:val="120"/>
        </w:rPr>
        <w:t> </w:t>
      </w:r>
      <w:r>
        <w:rPr>
          <w:w w:val="120"/>
        </w:rPr>
        <w:t>community.</w:t>
      </w:r>
    </w:p>
    <w:p>
      <w:pPr>
        <w:pStyle w:val="BodyText"/>
        <w:spacing w:before="4"/>
      </w:pPr>
    </w:p>
    <w:p>
      <w:pPr>
        <w:pStyle w:val="ListParagraph"/>
        <w:numPr>
          <w:ilvl w:val="2"/>
          <w:numId w:val="58"/>
        </w:numPr>
        <w:tabs>
          <w:tab w:pos="1927" w:val="left" w:leader="none"/>
          <w:tab w:pos="1928" w:val="left" w:leader="none"/>
        </w:tabs>
        <w:spacing w:line="235" w:lineRule="auto" w:before="0" w:after="0"/>
        <w:ind w:left="1247" w:right="2241" w:firstLine="0"/>
        <w:jc w:val="left"/>
        <w:rPr>
          <w:sz w:val="20"/>
        </w:rPr>
      </w:pPr>
      <w:r>
        <w:rPr>
          <w:w w:val="120"/>
          <w:sz w:val="20"/>
        </w:rPr>
        <w:t>The March </w:t>
      </w:r>
      <w:r>
        <w:rPr>
          <w:spacing w:val="-7"/>
          <w:w w:val="120"/>
          <w:sz w:val="20"/>
        </w:rPr>
        <w:t>2014 </w:t>
      </w:r>
      <w:r>
        <w:rPr>
          <w:w w:val="120"/>
          <w:sz w:val="20"/>
        </w:rPr>
        <w:t>issue of </w:t>
      </w:r>
      <w:r>
        <w:rPr>
          <w:i/>
          <w:w w:val="120"/>
          <w:sz w:val="20"/>
        </w:rPr>
        <w:t>Reform </w:t>
      </w:r>
      <w:r>
        <w:rPr>
          <w:w w:val="120"/>
          <w:sz w:val="20"/>
        </w:rPr>
        <w:t>brought together four helpful and challenging reflections on ecumenism, both local and international, commenting on the nature and</w:t>
      </w:r>
      <w:r>
        <w:rPr>
          <w:spacing w:val="10"/>
          <w:w w:val="120"/>
          <w:sz w:val="20"/>
        </w:rPr>
        <w:t> </w:t>
      </w:r>
      <w:r>
        <w:rPr>
          <w:w w:val="120"/>
          <w:sz w:val="20"/>
        </w:rPr>
        <w:t>future</w:t>
      </w:r>
      <w:r>
        <w:rPr>
          <w:spacing w:val="10"/>
          <w:w w:val="120"/>
          <w:sz w:val="20"/>
        </w:rPr>
        <w:t> </w:t>
      </w:r>
      <w:r>
        <w:rPr>
          <w:w w:val="120"/>
          <w:sz w:val="20"/>
        </w:rPr>
        <w:t>of</w:t>
      </w:r>
      <w:r>
        <w:rPr>
          <w:spacing w:val="11"/>
          <w:w w:val="120"/>
          <w:sz w:val="20"/>
        </w:rPr>
        <w:t> </w:t>
      </w:r>
      <w:r>
        <w:rPr>
          <w:w w:val="120"/>
          <w:sz w:val="20"/>
        </w:rPr>
        <w:t>the</w:t>
      </w:r>
      <w:r>
        <w:rPr>
          <w:spacing w:val="10"/>
          <w:w w:val="120"/>
          <w:sz w:val="20"/>
        </w:rPr>
        <w:t> </w:t>
      </w:r>
      <w:r>
        <w:rPr>
          <w:w w:val="120"/>
          <w:sz w:val="20"/>
        </w:rPr>
        <w:t>ecumenical</w:t>
      </w:r>
      <w:r>
        <w:rPr>
          <w:spacing w:val="10"/>
          <w:w w:val="120"/>
          <w:sz w:val="20"/>
        </w:rPr>
        <w:t> </w:t>
      </w:r>
      <w:r>
        <w:rPr>
          <w:w w:val="120"/>
          <w:sz w:val="20"/>
        </w:rPr>
        <w:t>journey.</w:t>
      </w:r>
      <w:r>
        <w:rPr>
          <w:spacing w:val="11"/>
          <w:w w:val="120"/>
          <w:sz w:val="20"/>
        </w:rPr>
        <w:t> </w:t>
      </w:r>
      <w:r>
        <w:rPr>
          <w:w w:val="120"/>
          <w:sz w:val="20"/>
        </w:rPr>
        <w:t>The</w:t>
      </w:r>
      <w:r>
        <w:rPr>
          <w:spacing w:val="10"/>
          <w:w w:val="120"/>
          <w:sz w:val="20"/>
        </w:rPr>
        <w:t> </w:t>
      </w:r>
      <w:r>
        <w:rPr>
          <w:w w:val="120"/>
          <w:sz w:val="20"/>
        </w:rPr>
        <w:t>World</w:t>
      </w:r>
      <w:r>
        <w:rPr>
          <w:spacing w:val="11"/>
          <w:w w:val="120"/>
          <w:sz w:val="20"/>
        </w:rPr>
        <w:t> </w:t>
      </w:r>
      <w:r>
        <w:rPr>
          <w:w w:val="120"/>
          <w:sz w:val="20"/>
        </w:rPr>
        <w:t>Council</w:t>
      </w:r>
      <w:r>
        <w:rPr>
          <w:spacing w:val="10"/>
          <w:w w:val="120"/>
          <w:sz w:val="20"/>
        </w:rPr>
        <w:t> </w:t>
      </w:r>
      <w:r>
        <w:rPr>
          <w:w w:val="120"/>
          <w:sz w:val="20"/>
        </w:rPr>
        <w:t>of</w:t>
      </w:r>
      <w:r>
        <w:rPr>
          <w:spacing w:val="10"/>
          <w:w w:val="120"/>
          <w:sz w:val="20"/>
        </w:rPr>
        <w:t> </w:t>
      </w:r>
      <w:r>
        <w:rPr>
          <w:w w:val="120"/>
          <w:sz w:val="20"/>
        </w:rPr>
        <w:t>Churches</w:t>
      </w:r>
      <w:r>
        <w:rPr>
          <w:spacing w:val="11"/>
          <w:w w:val="120"/>
          <w:sz w:val="20"/>
        </w:rPr>
        <w:t> </w:t>
      </w:r>
      <w:r>
        <w:rPr>
          <w:w w:val="120"/>
          <w:sz w:val="20"/>
        </w:rPr>
        <w:t>(WCC)</w:t>
      </w:r>
      <w:r>
        <w:rPr>
          <w:spacing w:val="10"/>
          <w:w w:val="120"/>
          <w:sz w:val="20"/>
        </w:rPr>
        <w:t> </w:t>
      </w:r>
      <w:r>
        <w:rPr>
          <w:w w:val="120"/>
          <w:sz w:val="20"/>
        </w:rPr>
        <w:t>general</w:t>
      </w:r>
    </w:p>
    <w:p>
      <w:pPr>
        <w:pStyle w:val="BodyText"/>
        <w:spacing w:line="235" w:lineRule="auto" w:before="2"/>
        <w:ind w:left="1247" w:right="2004"/>
      </w:pPr>
      <w:r>
        <w:rPr>
          <w:w w:val="120"/>
        </w:rPr>
        <w:t>secretary refers to the unity statement adopted at the Assembly in Busan in 2013, which is offered to the Churches as a stimulus to further thought on the unity that is God’s desire for God’s people (appendix E on the website). The faith and order committee</w:t>
      </w:r>
    </w:p>
    <w:p>
      <w:pPr>
        <w:pStyle w:val="BodyText"/>
        <w:spacing w:line="235" w:lineRule="auto" w:before="2"/>
        <w:ind w:left="1247" w:right="2004"/>
      </w:pPr>
      <w:r>
        <w:rPr>
          <w:w w:val="125"/>
        </w:rPr>
        <w:t>is</w:t>
      </w:r>
      <w:r>
        <w:rPr>
          <w:spacing w:val="-18"/>
          <w:w w:val="125"/>
        </w:rPr>
        <w:t> </w:t>
      </w:r>
      <w:r>
        <w:rPr>
          <w:w w:val="125"/>
        </w:rPr>
        <w:t>studying</w:t>
      </w:r>
      <w:r>
        <w:rPr>
          <w:spacing w:val="-18"/>
          <w:w w:val="125"/>
        </w:rPr>
        <w:t> </w:t>
      </w:r>
      <w:r>
        <w:rPr>
          <w:w w:val="125"/>
        </w:rPr>
        <w:t>this</w:t>
      </w:r>
      <w:r>
        <w:rPr>
          <w:spacing w:val="-18"/>
          <w:w w:val="125"/>
        </w:rPr>
        <w:t> </w:t>
      </w:r>
      <w:r>
        <w:rPr>
          <w:w w:val="125"/>
        </w:rPr>
        <w:t>document</w:t>
      </w:r>
      <w:r>
        <w:rPr>
          <w:spacing w:val="-18"/>
          <w:w w:val="125"/>
        </w:rPr>
        <w:t> </w:t>
      </w:r>
      <w:r>
        <w:rPr>
          <w:w w:val="125"/>
        </w:rPr>
        <w:t>alongside</w:t>
      </w:r>
      <w:r>
        <w:rPr>
          <w:spacing w:val="-18"/>
          <w:w w:val="125"/>
        </w:rPr>
        <w:t> </w:t>
      </w:r>
      <w:r>
        <w:rPr>
          <w:w w:val="125"/>
        </w:rPr>
        <w:t>the</w:t>
      </w:r>
      <w:r>
        <w:rPr>
          <w:spacing w:val="-18"/>
          <w:w w:val="125"/>
        </w:rPr>
        <w:t> </w:t>
      </w:r>
      <w:r>
        <w:rPr>
          <w:spacing w:val="-3"/>
          <w:w w:val="125"/>
        </w:rPr>
        <w:t>WCC</w:t>
      </w:r>
      <w:r>
        <w:rPr>
          <w:spacing w:val="-17"/>
          <w:w w:val="125"/>
        </w:rPr>
        <w:t> </w:t>
      </w:r>
      <w:r>
        <w:rPr>
          <w:w w:val="125"/>
        </w:rPr>
        <w:t>‘Common</w:t>
      </w:r>
      <w:r>
        <w:rPr>
          <w:spacing w:val="-18"/>
          <w:w w:val="125"/>
        </w:rPr>
        <w:t> </w:t>
      </w:r>
      <w:r>
        <w:rPr>
          <w:w w:val="125"/>
        </w:rPr>
        <w:t>Vision’</w:t>
      </w:r>
      <w:r>
        <w:rPr>
          <w:spacing w:val="-18"/>
          <w:w w:val="125"/>
        </w:rPr>
        <w:t> </w:t>
      </w:r>
      <w:r>
        <w:rPr>
          <w:w w:val="125"/>
        </w:rPr>
        <w:t>statement</w:t>
      </w:r>
      <w:r>
        <w:rPr>
          <w:spacing w:val="-18"/>
          <w:w w:val="125"/>
        </w:rPr>
        <w:t> </w:t>
      </w:r>
      <w:r>
        <w:rPr>
          <w:w w:val="125"/>
        </w:rPr>
        <w:t>to</w:t>
      </w:r>
      <w:r>
        <w:rPr>
          <w:spacing w:val="-18"/>
          <w:w w:val="125"/>
        </w:rPr>
        <w:t> </w:t>
      </w:r>
      <w:r>
        <w:rPr>
          <w:w w:val="125"/>
        </w:rPr>
        <w:t>see</w:t>
      </w:r>
      <w:r>
        <w:rPr>
          <w:spacing w:val="-18"/>
          <w:w w:val="125"/>
        </w:rPr>
        <w:t> </w:t>
      </w:r>
      <w:r>
        <w:rPr>
          <w:w w:val="125"/>
        </w:rPr>
        <w:t>how best to engage the United Reformed Church in</w:t>
      </w:r>
      <w:r>
        <w:rPr>
          <w:spacing w:val="-21"/>
          <w:w w:val="125"/>
        </w:rPr>
        <w:t> </w:t>
      </w:r>
      <w:r>
        <w:rPr>
          <w:w w:val="125"/>
        </w:rPr>
        <w:t>responding.</w:t>
      </w:r>
    </w:p>
    <w:p>
      <w:pPr>
        <w:pStyle w:val="BodyText"/>
        <w:spacing w:before="10"/>
        <w:rPr>
          <w:sz w:val="19"/>
        </w:rPr>
      </w:pPr>
    </w:p>
    <w:p>
      <w:pPr>
        <w:pStyle w:val="ListParagraph"/>
        <w:numPr>
          <w:ilvl w:val="2"/>
          <w:numId w:val="58"/>
        </w:numPr>
        <w:tabs>
          <w:tab w:pos="1927" w:val="left" w:leader="none"/>
          <w:tab w:pos="1928" w:val="left" w:leader="none"/>
        </w:tabs>
        <w:spacing w:line="235" w:lineRule="auto" w:before="0" w:after="0"/>
        <w:ind w:left="1247" w:right="2472" w:firstLine="0"/>
        <w:jc w:val="left"/>
        <w:rPr>
          <w:sz w:val="20"/>
        </w:rPr>
      </w:pPr>
      <w:r>
        <w:rPr>
          <w:w w:val="120"/>
          <w:sz w:val="20"/>
        </w:rPr>
        <w:t>The faith and order committee brought a paper on the United Reformed </w:t>
      </w:r>
      <w:r>
        <w:rPr>
          <w:spacing w:val="-3"/>
          <w:w w:val="120"/>
          <w:sz w:val="20"/>
        </w:rPr>
        <w:t>Church’s </w:t>
      </w:r>
      <w:r>
        <w:rPr>
          <w:w w:val="120"/>
          <w:sz w:val="20"/>
        </w:rPr>
        <w:t>ecumenical identity to the March </w:t>
      </w:r>
      <w:r>
        <w:rPr>
          <w:spacing w:val="-7"/>
          <w:w w:val="120"/>
          <w:sz w:val="20"/>
        </w:rPr>
        <w:t>2014 </w:t>
      </w:r>
      <w:r>
        <w:rPr>
          <w:w w:val="120"/>
          <w:sz w:val="20"/>
        </w:rPr>
        <w:t>meeting of Mission Council. It called the Church to be at the ecumenical cutting edge of Christian life in the UK </w:t>
      </w:r>
      <w:r>
        <w:rPr>
          <w:spacing w:val="-3"/>
          <w:w w:val="120"/>
          <w:sz w:val="20"/>
        </w:rPr>
        <w:t>today, </w:t>
      </w:r>
      <w:r>
        <w:rPr>
          <w:w w:val="120"/>
          <w:sz w:val="20"/>
        </w:rPr>
        <w:t>wholeheartedly bringing its Reformed identity to the table. The committee believes that this is the United Reformed </w:t>
      </w:r>
      <w:r>
        <w:rPr>
          <w:spacing w:val="-3"/>
          <w:w w:val="120"/>
          <w:sz w:val="20"/>
        </w:rPr>
        <w:t>Church’s </w:t>
      </w:r>
      <w:r>
        <w:rPr>
          <w:w w:val="120"/>
          <w:sz w:val="20"/>
        </w:rPr>
        <w:t>particular contribution to the   life of the Church in the UK at the present time – a clear grasp of Reformed</w:t>
      </w:r>
      <w:r>
        <w:rPr>
          <w:spacing w:val="44"/>
          <w:w w:val="120"/>
          <w:sz w:val="20"/>
        </w:rPr>
        <w:t> </w:t>
      </w:r>
      <w:r>
        <w:rPr>
          <w:w w:val="120"/>
          <w:sz w:val="20"/>
        </w:rPr>
        <w:t>identity</w:t>
      </w:r>
    </w:p>
    <w:p>
      <w:pPr>
        <w:spacing w:after="0" w:line="235" w:lineRule="auto"/>
        <w:jc w:val="left"/>
        <w:rPr>
          <w:sz w:val="20"/>
        </w:rPr>
        <w:sectPr>
          <w:headerReference w:type="even" r:id="rId259"/>
          <w:pgSz w:w="11910" w:h="16840"/>
          <w:pgMar w:header="0" w:footer="647" w:top="0" w:bottom="840" w:left="0" w:right="0"/>
        </w:sectPr>
      </w:pPr>
    </w:p>
    <w:p>
      <w:pPr>
        <w:pStyle w:val="BodyText"/>
      </w:pPr>
      <w:r>
        <w:rPr/>
        <w:drawing>
          <wp:anchor distT="0" distB="0" distL="0" distR="0" allowOverlap="1" layoutInCell="1" locked="0" behindDoc="0" simplePos="0" relativeHeight="251957248">
            <wp:simplePos x="0" y="0"/>
            <wp:positionH relativeFrom="page">
              <wp:posOffset>6974928</wp:posOffset>
            </wp:positionH>
            <wp:positionV relativeFrom="page">
              <wp:posOffset>0</wp:posOffset>
            </wp:positionV>
            <wp:extent cx="585063" cy="10692003"/>
            <wp:effectExtent l="0" t="0" r="0" b="0"/>
            <wp:wrapNone/>
            <wp:docPr id="201" name="image25.png"/>
            <wp:cNvGraphicFramePr>
              <a:graphicFrameLocks noChangeAspect="1"/>
            </wp:cNvGraphicFramePr>
            <a:graphic>
              <a:graphicData uri="http://schemas.openxmlformats.org/drawingml/2006/picture">
                <pic:pic>
                  <pic:nvPicPr>
                    <pic:cNvPr id="202" name="image25.png"/>
                    <pic:cNvPicPr/>
                  </pic:nvPicPr>
                  <pic:blipFill>
                    <a:blip r:embed="rId192"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266.2pt;mso-position-horizontal-relative:page;mso-position-vertical-relative:paragraph;z-index:251958272" type="#_x0000_t202" filled="false" stroked="false">
            <v:textbox inset="0,0,0,0" style="layout-flow:vertical">
              <w:txbxContent>
                <w:p>
                  <w:pPr>
                    <w:spacing w:before="27"/>
                    <w:ind w:left="20" w:right="0" w:firstLine="0"/>
                    <w:jc w:val="left"/>
                    <w:rPr>
                      <w:sz w:val="39"/>
                    </w:rPr>
                  </w:pPr>
                  <w:r>
                    <w:rPr>
                      <w:color w:val="FFFFFF"/>
                      <w:spacing w:val="12"/>
                      <w:w w:val="120"/>
                      <w:sz w:val="39"/>
                    </w:rPr>
                    <w:t>Affirming </w:t>
                  </w:r>
                  <w:r>
                    <w:rPr>
                      <w:color w:val="FFFFFF"/>
                      <w:spacing w:val="8"/>
                      <w:w w:val="120"/>
                      <w:sz w:val="39"/>
                    </w:rPr>
                    <w:t>the </w:t>
                  </w:r>
                  <w:r>
                    <w:rPr>
                      <w:color w:val="FFFFFF"/>
                      <w:spacing w:val="-4"/>
                      <w:w w:val="120"/>
                      <w:sz w:val="39"/>
                    </w:rPr>
                    <w:t>URC’s</w:t>
                  </w:r>
                  <w:r>
                    <w:rPr>
                      <w:color w:val="FFFFFF"/>
                      <w:spacing w:val="78"/>
                      <w:w w:val="120"/>
                      <w:sz w:val="39"/>
                    </w:rPr>
                    <w:t> </w:t>
                  </w:r>
                  <w:r>
                    <w:rPr>
                      <w:color w:val="FFFFFF"/>
                      <w:spacing w:val="8"/>
                      <w:w w:val="120"/>
                      <w:sz w:val="39"/>
                    </w:rPr>
                    <w:t>future</w:t>
                  </w:r>
                </w:p>
              </w:txbxContent>
            </v:textbox>
            <w10:wrap type="none"/>
          </v:shape>
        </w:pict>
      </w:r>
      <w:r>
        <w:rPr>
          <w:color w:val="7EAABF"/>
          <w:w w:val="115"/>
          <w:sz w:val="26"/>
        </w:rPr>
        <w:t>Faith and order</w:t>
      </w:r>
    </w:p>
    <w:p>
      <w:pPr>
        <w:pStyle w:val="BodyText"/>
        <w:spacing w:line="235" w:lineRule="auto" w:before="222"/>
        <w:ind w:left="1984" w:right="1352"/>
      </w:pPr>
      <w:r>
        <w:rPr>
          <w:w w:val="120"/>
        </w:rPr>
        <w:t>and a prophetic calling to unity. This has the potential to lead to the renewal of the Church and its outreach into the world. The United Reformed Church, in its particular experience of unity and its particular interpretation of conciliarity and the commitment to stay together with a diversity of views, seeks to pursue the goal of visible unity with partner Christians, in order to witness to the Gospel of Jesus Christ in an increasingly divided world.</w:t>
      </w:r>
    </w:p>
    <w:p>
      <w:pPr>
        <w:pStyle w:val="BodyText"/>
      </w:pPr>
    </w:p>
    <w:p>
      <w:pPr>
        <w:pStyle w:val="ListParagraph"/>
        <w:numPr>
          <w:ilvl w:val="2"/>
          <w:numId w:val="58"/>
        </w:numPr>
        <w:tabs>
          <w:tab w:pos="2664" w:val="left" w:leader="none"/>
          <w:tab w:pos="2665" w:val="left" w:leader="none"/>
        </w:tabs>
        <w:spacing w:line="235" w:lineRule="auto" w:before="0" w:after="0"/>
        <w:ind w:left="1984" w:right="1390" w:firstLine="0"/>
        <w:jc w:val="left"/>
        <w:rPr>
          <w:sz w:val="20"/>
        </w:rPr>
      </w:pPr>
      <w:r>
        <w:rPr>
          <w:w w:val="120"/>
          <w:sz w:val="20"/>
        </w:rPr>
        <w:t>We issue this call at a time when there seems to be limited desire from other Christian traditions to engage meaningfully with the United Reformed Church. We must hold the significance of the ecumenical drive. Through our clarity about what we offer from our own identity to the ecumenical scene, we will be realistic. We will not  be discouraged when our </w:t>
      </w:r>
      <w:r>
        <w:rPr>
          <w:spacing w:val="2"/>
          <w:w w:val="120"/>
          <w:sz w:val="20"/>
        </w:rPr>
        <w:t>gifts </w:t>
      </w:r>
      <w:r>
        <w:rPr>
          <w:w w:val="120"/>
          <w:sz w:val="20"/>
        </w:rPr>
        <w:t>are not received by others, nor will we complain about them. Rather, living with our own integrity, we will see where the Spirit is speaking to the Church and leading across the Churches. </w:t>
      </w:r>
      <w:r>
        <w:rPr>
          <w:spacing w:val="3"/>
          <w:w w:val="120"/>
          <w:sz w:val="20"/>
        </w:rPr>
        <w:t>As </w:t>
      </w:r>
      <w:r>
        <w:rPr>
          <w:w w:val="120"/>
          <w:sz w:val="20"/>
        </w:rPr>
        <w:t>one Mission Council respondent put    it in the November </w:t>
      </w:r>
      <w:r>
        <w:rPr>
          <w:spacing w:val="-8"/>
          <w:w w:val="120"/>
          <w:sz w:val="20"/>
        </w:rPr>
        <w:t>2013 </w:t>
      </w:r>
      <w:r>
        <w:rPr>
          <w:w w:val="120"/>
          <w:sz w:val="20"/>
        </w:rPr>
        <w:t>meeting: “What does faithfulness to our calling </w:t>
      </w:r>
      <w:r>
        <w:rPr>
          <w:spacing w:val="-3"/>
          <w:w w:val="120"/>
          <w:sz w:val="20"/>
        </w:rPr>
        <w:t>mean? </w:t>
      </w:r>
      <w:r>
        <w:rPr>
          <w:w w:val="120"/>
          <w:sz w:val="20"/>
        </w:rPr>
        <w:t>Not beating others up, but quietly raising the ecumenical dimension, seeking partners where they may be found, but not being deterred from doing pieces of work if </w:t>
      </w:r>
      <w:r>
        <w:rPr>
          <w:spacing w:val="-4"/>
          <w:w w:val="120"/>
          <w:sz w:val="20"/>
        </w:rPr>
        <w:t>we’re  </w:t>
      </w:r>
      <w:r>
        <w:rPr>
          <w:w w:val="120"/>
          <w:sz w:val="20"/>
        </w:rPr>
        <w:t>on our</w:t>
      </w:r>
      <w:r>
        <w:rPr>
          <w:spacing w:val="4"/>
          <w:w w:val="120"/>
          <w:sz w:val="20"/>
        </w:rPr>
        <w:t> </w:t>
      </w:r>
      <w:r>
        <w:rPr>
          <w:spacing w:val="-3"/>
          <w:w w:val="120"/>
          <w:sz w:val="20"/>
        </w:rPr>
        <w:t>own.”</w:t>
      </w:r>
    </w:p>
    <w:p>
      <w:pPr>
        <w:pStyle w:val="BodyText"/>
        <w:rPr>
          <w:sz w:val="19"/>
        </w:rPr>
      </w:pPr>
    </w:p>
    <w:p>
      <w:pPr>
        <w:pStyle w:val="Heading9"/>
        <w:numPr>
          <w:ilvl w:val="1"/>
          <w:numId w:val="58"/>
        </w:numPr>
        <w:tabs>
          <w:tab w:pos="2664" w:val="left" w:leader="none"/>
          <w:tab w:pos="2665" w:val="left" w:leader="none"/>
        </w:tabs>
        <w:spacing w:line="261" w:lineRule="exact" w:before="0" w:after="0"/>
        <w:ind w:left="2664" w:right="0" w:hanging="681"/>
        <w:jc w:val="left"/>
      </w:pPr>
      <w:r>
        <w:rPr>
          <w:w w:val="110"/>
        </w:rPr>
        <w:t>Receiving other Churches’</w:t>
      </w:r>
      <w:r>
        <w:rPr>
          <w:spacing w:val="-1"/>
          <w:w w:val="110"/>
        </w:rPr>
        <w:t> </w:t>
      </w:r>
      <w:r>
        <w:rPr>
          <w:spacing w:val="2"/>
          <w:w w:val="110"/>
        </w:rPr>
        <w:t>gifts</w:t>
      </w:r>
    </w:p>
    <w:p>
      <w:pPr>
        <w:pStyle w:val="BodyText"/>
        <w:spacing w:line="235" w:lineRule="auto"/>
        <w:ind w:left="1984" w:right="1414"/>
      </w:pPr>
      <w:r>
        <w:rPr>
          <w:w w:val="120"/>
        </w:rPr>
        <w:t>There are things we can learn from other parts of the Christian tradition that would benefit our life. How might we explore the gifts of other traditions? How open are we to receiving them?</w:t>
      </w:r>
    </w:p>
    <w:p>
      <w:pPr>
        <w:pStyle w:val="BodyText"/>
        <w:spacing w:before="1"/>
        <w:rPr>
          <w:sz w:val="18"/>
        </w:rPr>
      </w:pPr>
    </w:p>
    <w:p>
      <w:pPr>
        <w:pStyle w:val="Heading9"/>
        <w:numPr>
          <w:ilvl w:val="1"/>
          <w:numId w:val="58"/>
        </w:numPr>
        <w:tabs>
          <w:tab w:pos="2664" w:val="left" w:leader="none"/>
          <w:tab w:pos="2665" w:val="left" w:leader="none"/>
        </w:tabs>
        <w:spacing w:line="261" w:lineRule="exact" w:before="0" w:after="0"/>
        <w:ind w:left="2664" w:right="0" w:hanging="681"/>
        <w:jc w:val="left"/>
      </w:pPr>
      <w:r>
        <w:rPr>
          <w:w w:val="110"/>
        </w:rPr>
        <w:t>Local ecumenical partnerships</w:t>
      </w:r>
      <w:r>
        <w:rPr>
          <w:spacing w:val="-1"/>
          <w:w w:val="110"/>
        </w:rPr>
        <w:t> </w:t>
      </w:r>
      <w:r>
        <w:rPr>
          <w:spacing w:val="-3"/>
          <w:w w:val="110"/>
        </w:rPr>
        <w:t>(LEPs)</w:t>
      </w:r>
    </w:p>
    <w:p>
      <w:pPr>
        <w:pStyle w:val="BodyText"/>
        <w:spacing w:line="235" w:lineRule="auto"/>
        <w:ind w:left="1984" w:right="1520"/>
      </w:pPr>
      <w:r>
        <w:rPr>
          <w:w w:val="120"/>
        </w:rPr>
        <w:t>There is a need to celebrate the </w:t>
      </w:r>
      <w:r>
        <w:rPr>
          <w:spacing w:val="2"/>
          <w:w w:val="120"/>
        </w:rPr>
        <w:t>gifts </w:t>
      </w:r>
      <w:r>
        <w:rPr>
          <w:w w:val="120"/>
        </w:rPr>
        <w:t>of these partnerships, as well as exploring  where the future of such partnership lies. There will be a fringe meeting at General Assembly on local ecumenical partnerships; there is a Churches Together in England working</w:t>
      </w:r>
      <w:r>
        <w:rPr>
          <w:spacing w:val="10"/>
          <w:w w:val="120"/>
        </w:rPr>
        <w:t> </w:t>
      </w:r>
      <w:r>
        <w:rPr>
          <w:w w:val="120"/>
        </w:rPr>
        <w:t>group,</w:t>
      </w:r>
      <w:r>
        <w:rPr>
          <w:spacing w:val="11"/>
          <w:w w:val="120"/>
        </w:rPr>
        <w:t> </w:t>
      </w:r>
      <w:r>
        <w:rPr>
          <w:w w:val="120"/>
        </w:rPr>
        <w:t>which</w:t>
      </w:r>
      <w:r>
        <w:rPr>
          <w:spacing w:val="11"/>
          <w:w w:val="120"/>
        </w:rPr>
        <w:t> </w:t>
      </w:r>
      <w:r>
        <w:rPr>
          <w:w w:val="120"/>
        </w:rPr>
        <w:t>includes</w:t>
      </w:r>
      <w:r>
        <w:rPr>
          <w:spacing w:val="10"/>
          <w:w w:val="120"/>
        </w:rPr>
        <w:t> </w:t>
      </w:r>
      <w:r>
        <w:rPr>
          <w:w w:val="120"/>
        </w:rPr>
        <w:t>the</w:t>
      </w:r>
      <w:r>
        <w:rPr>
          <w:spacing w:val="11"/>
          <w:w w:val="120"/>
        </w:rPr>
        <w:t> </w:t>
      </w:r>
      <w:r>
        <w:rPr>
          <w:w w:val="120"/>
        </w:rPr>
        <w:t>United</w:t>
      </w:r>
      <w:r>
        <w:rPr>
          <w:spacing w:val="11"/>
          <w:w w:val="120"/>
        </w:rPr>
        <w:t> </w:t>
      </w:r>
      <w:r>
        <w:rPr>
          <w:w w:val="120"/>
        </w:rPr>
        <w:t>Reformed</w:t>
      </w:r>
      <w:r>
        <w:rPr>
          <w:spacing w:val="10"/>
          <w:w w:val="120"/>
        </w:rPr>
        <w:t> </w:t>
      </w:r>
      <w:r>
        <w:rPr>
          <w:spacing w:val="-3"/>
          <w:w w:val="120"/>
        </w:rPr>
        <w:t>Church’s</w:t>
      </w:r>
      <w:r>
        <w:rPr>
          <w:spacing w:val="11"/>
          <w:w w:val="120"/>
        </w:rPr>
        <w:t> </w:t>
      </w:r>
      <w:r>
        <w:rPr>
          <w:w w:val="120"/>
        </w:rPr>
        <w:t>ecumenical</w:t>
      </w:r>
      <w:r>
        <w:rPr>
          <w:spacing w:val="11"/>
          <w:w w:val="120"/>
        </w:rPr>
        <w:t> </w:t>
      </w:r>
      <w:r>
        <w:rPr>
          <w:w w:val="120"/>
        </w:rPr>
        <w:t>officer,</w:t>
      </w:r>
      <w:r>
        <w:rPr>
          <w:spacing w:val="10"/>
          <w:w w:val="120"/>
        </w:rPr>
        <w:t> </w:t>
      </w:r>
      <w:r>
        <w:rPr>
          <w:w w:val="120"/>
        </w:rPr>
        <w:t>the</w:t>
      </w:r>
    </w:p>
    <w:p>
      <w:pPr>
        <w:pStyle w:val="BodyText"/>
        <w:spacing w:line="235" w:lineRule="auto"/>
        <w:ind w:left="1984" w:right="1352"/>
      </w:pPr>
      <w:r>
        <w:rPr>
          <w:w w:val="120"/>
        </w:rPr>
        <w:t>Revd David Tatem, looking at issues with regard to LEPs, how they work and what their future may be.</w:t>
      </w:r>
    </w:p>
    <w:p>
      <w:pPr>
        <w:pStyle w:val="BodyText"/>
        <w:spacing w:before="9"/>
        <w:rPr>
          <w:sz w:val="18"/>
        </w:rPr>
      </w:pPr>
    </w:p>
    <w:p>
      <w:pPr>
        <w:pStyle w:val="ListParagraph"/>
        <w:numPr>
          <w:ilvl w:val="1"/>
          <w:numId w:val="58"/>
        </w:numPr>
        <w:tabs>
          <w:tab w:pos="2664" w:val="left" w:leader="none"/>
          <w:tab w:pos="2665" w:val="left" w:leader="none"/>
        </w:tabs>
        <w:spacing w:line="232" w:lineRule="auto" w:before="0" w:after="0"/>
        <w:ind w:left="1984" w:right="1432" w:firstLine="0"/>
        <w:jc w:val="left"/>
        <w:rPr>
          <w:rFonts w:ascii="Stone Sans II ITC Std Bk"/>
          <w:sz w:val="20"/>
        </w:rPr>
      </w:pPr>
      <w:r>
        <w:rPr>
          <w:rFonts w:ascii="Stone Sans II ITC Std Bk"/>
          <w:b/>
          <w:w w:val="115"/>
          <w:sz w:val="20"/>
        </w:rPr>
        <w:t>Balance</w:t>
      </w:r>
      <w:r>
        <w:rPr>
          <w:rFonts w:ascii="Stone Sans II ITC Std Bk"/>
          <w:b/>
          <w:spacing w:val="-39"/>
          <w:w w:val="115"/>
          <w:sz w:val="20"/>
        </w:rPr>
        <w:t> </w:t>
      </w:r>
      <w:r>
        <w:rPr>
          <w:rFonts w:ascii="Stone Sans II ITC Std Bk"/>
          <w:b/>
          <w:w w:val="115"/>
          <w:sz w:val="20"/>
        </w:rPr>
        <w:t>of</w:t>
      </w:r>
      <w:r>
        <w:rPr>
          <w:rFonts w:ascii="Stone Sans II ITC Std Bk"/>
          <w:b/>
          <w:spacing w:val="-39"/>
          <w:w w:val="115"/>
          <w:sz w:val="20"/>
        </w:rPr>
        <w:t> </w:t>
      </w:r>
      <w:r>
        <w:rPr>
          <w:rFonts w:ascii="Stone Sans II ITC Std Bk"/>
          <w:b/>
          <w:w w:val="115"/>
          <w:sz w:val="20"/>
        </w:rPr>
        <w:t>ecumenical</w:t>
      </w:r>
      <w:r>
        <w:rPr>
          <w:rFonts w:ascii="Stone Sans II ITC Std Bk"/>
          <w:b/>
          <w:spacing w:val="-39"/>
          <w:w w:val="115"/>
          <w:sz w:val="20"/>
        </w:rPr>
        <w:t> </w:t>
      </w:r>
      <w:r>
        <w:rPr>
          <w:rFonts w:ascii="Stone Sans II ITC Std Bk"/>
          <w:b/>
          <w:w w:val="115"/>
          <w:sz w:val="20"/>
        </w:rPr>
        <w:t>engagement</w:t>
      </w:r>
      <w:r>
        <w:rPr>
          <w:rFonts w:ascii="Stone Sans II ITC Std Bk"/>
          <w:b/>
          <w:spacing w:val="-39"/>
          <w:w w:val="115"/>
          <w:sz w:val="20"/>
        </w:rPr>
        <w:t> </w:t>
      </w:r>
      <w:r>
        <w:rPr>
          <w:rFonts w:ascii="Stone Sans II ITC Std Bk"/>
          <w:b/>
          <w:w w:val="115"/>
          <w:sz w:val="20"/>
        </w:rPr>
        <w:t>between</w:t>
      </w:r>
      <w:r>
        <w:rPr>
          <w:rFonts w:ascii="Stone Sans II ITC Std Bk"/>
          <w:b/>
          <w:spacing w:val="-39"/>
          <w:w w:val="115"/>
          <w:sz w:val="20"/>
        </w:rPr>
        <w:t> </w:t>
      </w:r>
      <w:r>
        <w:rPr>
          <w:rFonts w:ascii="Stone Sans II ITC Std Bk"/>
          <w:b/>
          <w:w w:val="115"/>
          <w:sz w:val="20"/>
        </w:rPr>
        <w:t>local,</w:t>
      </w:r>
      <w:r>
        <w:rPr>
          <w:rFonts w:ascii="Stone Sans II ITC Std Bk"/>
          <w:b/>
          <w:spacing w:val="-39"/>
          <w:w w:val="115"/>
          <w:sz w:val="20"/>
        </w:rPr>
        <w:t> </w:t>
      </w:r>
      <w:r>
        <w:rPr>
          <w:rFonts w:ascii="Stone Sans II ITC Std Bk"/>
          <w:b/>
          <w:w w:val="115"/>
          <w:sz w:val="20"/>
        </w:rPr>
        <w:t>regional</w:t>
      </w:r>
      <w:r>
        <w:rPr>
          <w:rFonts w:ascii="Stone Sans II ITC Std Bk"/>
          <w:b/>
          <w:spacing w:val="-39"/>
          <w:w w:val="115"/>
          <w:sz w:val="20"/>
        </w:rPr>
        <w:t> </w:t>
      </w:r>
      <w:r>
        <w:rPr>
          <w:rFonts w:ascii="Stone Sans II ITC Std Bk"/>
          <w:b/>
          <w:w w:val="115"/>
          <w:sz w:val="20"/>
        </w:rPr>
        <w:t>and</w:t>
      </w:r>
      <w:r>
        <w:rPr>
          <w:rFonts w:ascii="Stone Sans II ITC Std Bk"/>
          <w:b/>
          <w:spacing w:val="-39"/>
          <w:w w:val="115"/>
          <w:sz w:val="20"/>
        </w:rPr>
        <w:t> </w:t>
      </w:r>
      <w:r>
        <w:rPr>
          <w:rFonts w:ascii="Stone Sans II ITC Std Bk"/>
          <w:b/>
          <w:w w:val="115"/>
          <w:sz w:val="20"/>
        </w:rPr>
        <w:t>national </w:t>
      </w:r>
      <w:r>
        <w:rPr>
          <w:w w:val="120"/>
          <w:sz w:val="20"/>
        </w:rPr>
        <w:t>In a Church in three nations, committed to the importance of the local congregation   in each place, there is a need to look at the capacity for developing ecumenical relationships that will differ depending on the locality, the region and the</w:t>
      </w:r>
      <w:r>
        <w:rPr>
          <w:spacing w:val="47"/>
          <w:w w:val="120"/>
          <w:sz w:val="20"/>
        </w:rPr>
        <w:t> </w:t>
      </w:r>
      <w:r>
        <w:rPr>
          <w:w w:val="120"/>
          <w:sz w:val="20"/>
        </w:rPr>
        <w:t>nation.</w:t>
      </w:r>
    </w:p>
    <w:p>
      <w:pPr>
        <w:pStyle w:val="BodyText"/>
        <w:spacing w:before="1"/>
        <w:rPr>
          <w:sz w:val="18"/>
        </w:rPr>
      </w:pPr>
    </w:p>
    <w:p>
      <w:pPr>
        <w:pStyle w:val="Heading9"/>
        <w:numPr>
          <w:ilvl w:val="1"/>
          <w:numId w:val="58"/>
        </w:numPr>
        <w:tabs>
          <w:tab w:pos="2664" w:val="left" w:leader="none"/>
          <w:tab w:pos="2665" w:val="left" w:leader="none"/>
        </w:tabs>
        <w:spacing w:line="261" w:lineRule="exact" w:before="1" w:after="0"/>
        <w:ind w:left="2664" w:right="0" w:hanging="681"/>
        <w:jc w:val="left"/>
      </w:pPr>
      <w:r>
        <w:rPr>
          <w:w w:val="110"/>
        </w:rPr>
        <w:t>Developing new</w:t>
      </w:r>
      <w:r>
        <w:rPr>
          <w:spacing w:val="-1"/>
          <w:w w:val="110"/>
        </w:rPr>
        <w:t> </w:t>
      </w:r>
      <w:r>
        <w:rPr>
          <w:w w:val="110"/>
        </w:rPr>
        <w:t>partnerships</w:t>
      </w:r>
    </w:p>
    <w:p>
      <w:pPr>
        <w:pStyle w:val="BodyText"/>
        <w:spacing w:line="235" w:lineRule="auto"/>
        <w:ind w:left="1984" w:right="1352"/>
      </w:pPr>
      <w:r>
        <w:rPr>
          <w:w w:val="120"/>
        </w:rPr>
        <w:t>There is a range of new partners springing up from outwith the historic Churches who bring with them new and different possibilities for shared life and work.</w:t>
      </w:r>
    </w:p>
    <w:p>
      <w:pPr>
        <w:pStyle w:val="Heading4"/>
        <w:numPr>
          <w:ilvl w:val="0"/>
          <w:numId w:val="58"/>
        </w:numPr>
        <w:tabs>
          <w:tab w:pos="2664" w:val="left" w:leader="none"/>
          <w:tab w:pos="2665" w:val="left" w:leader="none"/>
        </w:tabs>
        <w:spacing w:line="240" w:lineRule="auto" w:before="208" w:after="0"/>
        <w:ind w:left="2664" w:right="0" w:hanging="681"/>
        <w:jc w:val="left"/>
      </w:pPr>
      <w:r>
        <w:rPr>
          <w:spacing w:val="4"/>
          <w:w w:val="110"/>
        </w:rPr>
        <w:t>Practical</w:t>
      </w:r>
      <w:r>
        <w:rPr>
          <w:spacing w:val="12"/>
          <w:w w:val="110"/>
        </w:rPr>
        <w:t> </w:t>
      </w:r>
      <w:r>
        <w:rPr>
          <w:spacing w:val="3"/>
          <w:w w:val="110"/>
        </w:rPr>
        <w:t>issues</w:t>
      </w:r>
    </w:p>
    <w:p>
      <w:pPr>
        <w:pStyle w:val="Heading9"/>
        <w:numPr>
          <w:ilvl w:val="1"/>
          <w:numId w:val="58"/>
        </w:numPr>
        <w:tabs>
          <w:tab w:pos="2664" w:val="left" w:leader="none"/>
          <w:tab w:pos="2665" w:val="left" w:leader="none"/>
        </w:tabs>
        <w:spacing w:line="261" w:lineRule="exact" w:before="53" w:after="0"/>
        <w:ind w:left="2664" w:right="0" w:hanging="681"/>
        <w:jc w:val="left"/>
      </w:pPr>
      <w:r>
        <w:rPr>
          <w:w w:val="110"/>
        </w:rPr>
        <w:t>In</w:t>
      </w:r>
      <w:r>
        <w:rPr>
          <w:spacing w:val="-1"/>
          <w:w w:val="110"/>
        </w:rPr>
        <w:t> </w:t>
      </w:r>
      <w:r>
        <w:rPr>
          <w:w w:val="110"/>
        </w:rPr>
        <w:t>general</w:t>
      </w:r>
    </w:p>
    <w:p>
      <w:pPr>
        <w:pStyle w:val="BodyText"/>
        <w:spacing w:line="235" w:lineRule="auto"/>
        <w:ind w:left="1984" w:right="1352"/>
      </w:pPr>
      <w:r>
        <w:rPr>
          <w:w w:val="120"/>
        </w:rPr>
        <w:t>Our discussions have given rise to a host of practical issues, some of which are listed below. We have seen the value of </w:t>
      </w:r>
      <w:r>
        <w:rPr>
          <w:i/>
          <w:w w:val="120"/>
        </w:rPr>
        <w:t>vision2020 </w:t>
      </w:r>
      <w:r>
        <w:rPr>
          <w:w w:val="120"/>
        </w:rPr>
        <w:t>and </w:t>
      </w:r>
      <w:r>
        <w:rPr>
          <w:i/>
          <w:w w:val="120"/>
        </w:rPr>
        <w:t>Vision4Life </w:t>
      </w:r>
      <w:r>
        <w:rPr>
          <w:w w:val="120"/>
        </w:rPr>
        <w:t>in enabling congregations to grow in faith and direction, and we hope that further appropriate resources may be offered as this period of discernment and reflection continues.</w:t>
      </w:r>
    </w:p>
    <w:p>
      <w:pPr>
        <w:pStyle w:val="ListParagraph"/>
        <w:numPr>
          <w:ilvl w:val="0"/>
          <w:numId w:val="60"/>
        </w:numPr>
        <w:tabs>
          <w:tab w:pos="2664" w:val="left" w:leader="none"/>
          <w:tab w:pos="2665" w:val="left" w:leader="none"/>
        </w:tabs>
        <w:spacing w:line="235" w:lineRule="auto" w:before="0" w:after="0"/>
        <w:ind w:left="2664" w:right="1244" w:hanging="681"/>
        <w:jc w:val="left"/>
        <w:rPr>
          <w:sz w:val="20"/>
        </w:rPr>
      </w:pPr>
      <w:r>
        <w:rPr>
          <w:w w:val="120"/>
          <w:sz w:val="20"/>
        </w:rPr>
        <w:t>Identify the </w:t>
      </w:r>
      <w:r>
        <w:rPr>
          <w:spacing w:val="-3"/>
          <w:w w:val="120"/>
          <w:sz w:val="20"/>
        </w:rPr>
        <w:t>Church’s </w:t>
      </w:r>
      <w:r>
        <w:rPr>
          <w:w w:val="120"/>
          <w:sz w:val="20"/>
        </w:rPr>
        <w:t>priorities, locally, regionally and at the Assembly level </w:t>
      </w:r>
      <w:r>
        <w:rPr>
          <w:spacing w:val="-5"/>
          <w:w w:val="120"/>
          <w:sz w:val="20"/>
        </w:rPr>
        <w:t>(e.g. </w:t>
      </w:r>
      <w:r>
        <w:rPr>
          <w:w w:val="120"/>
          <w:sz w:val="20"/>
        </w:rPr>
        <w:t>increasing numbers? Spreading the </w:t>
      </w:r>
      <w:r>
        <w:rPr>
          <w:spacing w:val="-3"/>
          <w:w w:val="120"/>
          <w:sz w:val="20"/>
        </w:rPr>
        <w:t>Word?), </w:t>
      </w:r>
      <w:r>
        <w:rPr>
          <w:w w:val="120"/>
          <w:sz w:val="20"/>
        </w:rPr>
        <w:t>looking at the interconnectedness of priorities and accepting that the Church cannot do</w:t>
      </w:r>
      <w:r>
        <w:rPr>
          <w:spacing w:val="35"/>
          <w:w w:val="120"/>
          <w:sz w:val="20"/>
        </w:rPr>
        <w:t> </w:t>
      </w:r>
      <w:r>
        <w:rPr>
          <w:w w:val="120"/>
          <w:sz w:val="20"/>
        </w:rPr>
        <w:t>everything.</w:t>
      </w:r>
    </w:p>
    <w:p>
      <w:pPr>
        <w:pStyle w:val="ListParagraph"/>
        <w:numPr>
          <w:ilvl w:val="0"/>
          <w:numId w:val="60"/>
        </w:numPr>
        <w:tabs>
          <w:tab w:pos="2664" w:val="left" w:leader="none"/>
          <w:tab w:pos="2665" w:val="left" w:leader="none"/>
        </w:tabs>
        <w:spacing w:line="235" w:lineRule="auto" w:before="0" w:after="0"/>
        <w:ind w:left="2664" w:right="1483" w:hanging="681"/>
        <w:jc w:val="left"/>
        <w:rPr>
          <w:sz w:val="20"/>
        </w:rPr>
      </w:pPr>
      <w:r>
        <w:rPr>
          <w:w w:val="120"/>
          <w:sz w:val="20"/>
        </w:rPr>
        <w:t>Release ourselves from guilt at our failings and all the things we think we could do</w:t>
      </w:r>
      <w:r>
        <w:rPr>
          <w:spacing w:val="4"/>
          <w:w w:val="120"/>
          <w:sz w:val="20"/>
        </w:rPr>
        <w:t> </w:t>
      </w:r>
      <w:r>
        <w:rPr>
          <w:w w:val="120"/>
          <w:sz w:val="20"/>
        </w:rPr>
        <w:t>but</w:t>
      </w:r>
      <w:r>
        <w:rPr>
          <w:spacing w:val="5"/>
          <w:w w:val="120"/>
          <w:sz w:val="20"/>
        </w:rPr>
        <w:t> </w:t>
      </w:r>
      <w:r>
        <w:rPr>
          <w:w w:val="120"/>
          <w:sz w:val="20"/>
        </w:rPr>
        <w:t>we</w:t>
      </w:r>
      <w:r>
        <w:rPr>
          <w:spacing w:val="5"/>
          <w:w w:val="120"/>
          <w:sz w:val="20"/>
        </w:rPr>
        <w:t> </w:t>
      </w:r>
      <w:r>
        <w:rPr>
          <w:w w:val="120"/>
          <w:sz w:val="20"/>
        </w:rPr>
        <w:t>do</w:t>
      </w:r>
      <w:r>
        <w:rPr>
          <w:spacing w:val="4"/>
          <w:w w:val="120"/>
          <w:sz w:val="20"/>
        </w:rPr>
        <w:t> </w:t>
      </w:r>
      <w:r>
        <w:rPr>
          <w:w w:val="120"/>
          <w:sz w:val="20"/>
        </w:rPr>
        <w:t>not</w:t>
      </w:r>
      <w:r>
        <w:rPr>
          <w:spacing w:val="5"/>
          <w:w w:val="120"/>
          <w:sz w:val="20"/>
        </w:rPr>
        <w:t> </w:t>
      </w:r>
      <w:r>
        <w:rPr>
          <w:w w:val="120"/>
          <w:sz w:val="20"/>
        </w:rPr>
        <w:t>have</w:t>
      </w:r>
      <w:r>
        <w:rPr>
          <w:spacing w:val="5"/>
          <w:w w:val="120"/>
          <w:sz w:val="20"/>
        </w:rPr>
        <w:t> </w:t>
      </w:r>
      <w:r>
        <w:rPr>
          <w:w w:val="120"/>
          <w:sz w:val="20"/>
        </w:rPr>
        <w:t>the</w:t>
      </w:r>
      <w:r>
        <w:rPr>
          <w:spacing w:val="4"/>
          <w:w w:val="120"/>
          <w:sz w:val="20"/>
        </w:rPr>
        <w:t> </w:t>
      </w:r>
      <w:r>
        <w:rPr>
          <w:w w:val="120"/>
          <w:sz w:val="20"/>
        </w:rPr>
        <w:t>time</w:t>
      </w:r>
      <w:r>
        <w:rPr>
          <w:spacing w:val="5"/>
          <w:w w:val="120"/>
          <w:sz w:val="20"/>
        </w:rPr>
        <w:t> </w:t>
      </w:r>
      <w:r>
        <w:rPr>
          <w:w w:val="120"/>
          <w:sz w:val="20"/>
        </w:rPr>
        <w:t>for;</w:t>
      </w:r>
      <w:r>
        <w:rPr>
          <w:spacing w:val="5"/>
          <w:w w:val="120"/>
          <w:sz w:val="20"/>
        </w:rPr>
        <w:t> </w:t>
      </w:r>
      <w:r>
        <w:rPr>
          <w:w w:val="120"/>
          <w:sz w:val="20"/>
        </w:rPr>
        <w:t>focus</w:t>
      </w:r>
      <w:r>
        <w:rPr>
          <w:spacing w:val="5"/>
          <w:w w:val="120"/>
          <w:sz w:val="20"/>
        </w:rPr>
        <w:t> </w:t>
      </w:r>
      <w:r>
        <w:rPr>
          <w:w w:val="120"/>
          <w:sz w:val="20"/>
        </w:rPr>
        <w:t>instead</w:t>
      </w:r>
      <w:r>
        <w:rPr>
          <w:spacing w:val="4"/>
          <w:w w:val="120"/>
          <w:sz w:val="20"/>
        </w:rPr>
        <w:t> </w:t>
      </w:r>
      <w:r>
        <w:rPr>
          <w:w w:val="120"/>
          <w:sz w:val="20"/>
        </w:rPr>
        <w:t>on</w:t>
      </w:r>
      <w:r>
        <w:rPr>
          <w:spacing w:val="5"/>
          <w:w w:val="120"/>
          <w:sz w:val="20"/>
        </w:rPr>
        <w:t> </w:t>
      </w:r>
      <w:r>
        <w:rPr>
          <w:w w:val="120"/>
          <w:sz w:val="20"/>
        </w:rPr>
        <w:t>trusting</w:t>
      </w:r>
      <w:r>
        <w:rPr>
          <w:spacing w:val="5"/>
          <w:w w:val="120"/>
          <w:sz w:val="20"/>
        </w:rPr>
        <w:t> </w:t>
      </w:r>
      <w:r>
        <w:rPr>
          <w:w w:val="120"/>
          <w:sz w:val="20"/>
        </w:rPr>
        <w:t>in</w:t>
      </w:r>
      <w:r>
        <w:rPr>
          <w:spacing w:val="4"/>
          <w:w w:val="120"/>
          <w:sz w:val="20"/>
        </w:rPr>
        <w:t> </w:t>
      </w:r>
      <w:r>
        <w:rPr>
          <w:w w:val="120"/>
          <w:sz w:val="20"/>
        </w:rPr>
        <w:t>God’s</w:t>
      </w:r>
      <w:r>
        <w:rPr>
          <w:spacing w:val="5"/>
          <w:w w:val="120"/>
          <w:sz w:val="20"/>
        </w:rPr>
        <w:t> </w:t>
      </w:r>
      <w:r>
        <w:rPr>
          <w:w w:val="120"/>
          <w:sz w:val="20"/>
        </w:rPr>
        <w:t>grace.</w:t>
      </w:r>
    </w:p>
    <w:p>
      <w:pPr>
        <w:pStyle w:val="ListParagraph"/>
        <w:numPr>
          <w:ilvl w:val="0"/>
          <w:numId w:val="60"/>
        </w:numPr>
        <w:tabs>
          <w:tab w:pos="2664" w:val="left" w:leader="none"/>
          <w:tab w:pos="2665" w:val="left" w:leader="none"/>
        </w:tabs>
        <w:spacing w:line="235" w:lineRule="auto" w:before="1" w:after="0"/>
        <w:ind w:left="2664" w:right="2059" w:hanging="681"/>
        <w:jc w:val="left"/>
        <w:rPr>
          <w:sz w:val="20"/>
        </w:rPr>
      </w:pPr>
      <w:r>
        <w:rPr>
          <w:w w:val="120"/>
          <w:sz w:val="20"/>
        </w:rPr>
        <w:t>Look at greater use of technology – cyber church, Skype, services online, intimations on</w:t>
      </w:r>
      <w:r>
        <w:rPr>
          <w:spacing w:val="3"/>
          <w:w w:val="120"/>
          <w:sz w:val="20"/>
        </w:rPr>
        <w:t> </w:t>
      </w:r>
      <w:r>
        <w:rPr>
          <w:w w:val="120"/>
          <w:sz w:val="20"/>
        </w:rPr>
        <w:t>web.</w:t>
      </w:r>
    </w:p>
    <w:p>
      <w:pPr>
        <w:pStyle w:val="ListParagraph"/>
        <w:numPr>
          <w:ilvl w:val="0"/>
          <w:numId w:val="60"/>
        </w:numPr>
        <w:tabs>
          <w:tab w:pos="2664" w:val="left" w:leader="none"/>
          <w:tab w:pos="2665" w:val="left" w:leader="none"/>
        </w:tabs>
        <w:spacing w:line="235" w:lineRule="auto" w:before="2" w:after="0"/>
        <w:ind w:left="2664" w:right="1388" w:hanging="681"/>
        <w:jc w:val="left"/>
        <w:rPr>
          <w:sz w:val="20"/>
        </w:rPr>
      </w:pPr>
      <w:r>
        <w:rPr>
          <w:w w:val="120"/>
          <w:sz w:val="20"/>
        </w:rPr>
        <w:t>Ask the United Reformed/Methodist joint </w:t>
      </w:r>
      <w:r>
        <w:rPr>
          <w:spacing w:val="2"/>
          <w:w w:val="120"/>
          <w:sz w:val="20"/>
        </w:rPr>
        <w:t>property </w:t>
      </w:r>
      <w:r>
        <w:rPr>
          <w:w w:val="120"/>
          <w:sz w:val="20"/>
        </w:rPr>
        <w:t>strategy group for help with a theology of church</w:t>
      </w:r>
      <w:r>
        <w:rPr>
          <w:spacing w:val="11"/>
          <w:w w:val="120"/>
          <w:sz w:val="20"/>
        </w:rPr>
        <w:t> </w:t>
      </w:r>
      <w:r>
        <w:rPr>
          <w:w w:val="120"/>
          <w:sz w:val="20"/>
        </w:rPr>
        <w:t>buildings.</w:t>
      </w:r>
    </w:p>
    <w:p>
      <w:pPr>
        <w:pStyle w:val="ListParagraph"/>
        <w:numPr>
          <w:ilvl w:val="0"/>
          <w:numId w:val="60"/>
        </w:numPr>
        <w:tabs>
          <w:tab w:pos="2664" w:val="left" w:leader="none"/>
          <w:tab w:pos="2665" w:val="left" w:leader="none"/>
        </w:tabs>
        <w:spacing w:line="235" w:lineRule="auto" w:before="1" w:after="0"/>
        <w:ind w:left="2664" w:right="2071" w:hanging="681"/>
        <w:jc w:val="left"/>
        <w:rPr>
          <w:sz w:val="20"/>
        </w:rPr>
      </w:pPr>
      <w:r>
        <w:rPr>
          <w:w w:val="120"/>
          <w:sz w:val="20"/>
        </w:rPr>
        <w:t>Re-visit the nature of ministry and the relation between lay and ordained ministry,</w:t>
      </w:r>
      <w:r>
        <w:rPr>
          <w:spacing w:val="6"/>
          <w:w w:val="120"/>
          <w:sz w:val="20"/>
        </w:rPr>
        <w:t> </w:t>
      </w:r>
      <w:r>
        <w:rPr>
          <w:w w:val="120"/>
          <w:sz w:val="20"/>
        </w:rPr>
        <w:t>particularly</w:t>
      </w:r>
      <w:r>
        <w:rPr>
          <w:spacing w:val="7"/>
          <w:w w:val="120"/>
          <w:sz w:val="20"/>
        </w:rPr>
        <w:t> </w:t>
      </w:r>
      <w:r>
        <w:rPr>
          <w:w w:val="120"/>
          <w:sz w:val="20"/>
        </w:rPr>
        <w:t>in</w:t>
      </w:r>
      <w:r>
        <w:rPr>
          <w:spacing w:val="7"/>
          <w:w w:val="120"/>
          <w:sz w:val="20"/>
        </w:rPr>
        <w:t> </w:t>
      </w:r>
      <w:r>
        <w:rPr>
          <w:w w:val="120"/>
          <w:sz w:val="20"/>
        </w:rPr>
        <w:t>the</w:t>
      </w:r>
      <w:r>
        <w:rPr>
          <w:spacing w:val="7"/>
          <w:w w:val="120"/>
          <w:sz w:val="20"/>
        </w:rPr>
        <w:t> </w:t>
      </w:r>
      <w:r>
        <w:rPr>
          <w:w w:val="120"/>
          <w:sz w:val="20"/>
        </w:rPr>
        <w:t>light</w:t>
      </w:r>
      <w:r>
        <w:rPr>
          <w:spacing w:val="7"/>
          <w:w w:val="120"/>
          <w:sz w:val="20"/>
        </w:rPr>
        <w:t> </w:t>
      </w:r>
      <w:r>
        <w:rPr>
          <w:w w:val="120"/>
          <w:sz w:val="20"/>
        </w:rPr>
        <w:t>of</w:t>
      </w:r>
      <w:r>
        <w:rPr>
          <w:spacing w:val="6"/>
          <w:w w:val="120"/>
          <w:sz w:val="20"/>
        </w:rPr>
        <w:t> </w:t>
      </w:r>
      <w:r>
        <w:rPr>
          <w:w w:val="120"/>
          <w:sz w:val="20"/>
        </w:rPr>
        <w:t>deployment.</w:t>
      </w:r>
      <w:r>
        <w:rPr>
          <w:spacing w:val="7"/>
          <w:w w:val="120"/>
          <w:sz w:val="20"/>
        </w:rPr>
        <w:t> </w:t>
      </w:r>
      <w:r>
        <w:rPr>
          <w:w w:val="120"/>
          <w:sz w:val="20"/>
        </w:rPr>
        <w:t>This</w:t>
      </w:r>
      <w:r>
        <w:rPr>
          <w:spacing w:val="7"/>
          <w:w w:val="120"/>
          <w:sz w:val="20"/>
        </w:rPr>
        <w:t> </w:t>
      </w:r>
      <w:r>
        <w:rPr>
          <w:w w:val="120"/>
          <w:sz w:val="20"/>
        </w:rPr>
        <w:t>work</w:t>
      </w:r>
      <w:r>
        <w:rPr>
          <w:spacing w:val="7"/>
          <w:w w:val="120"/>
          <w:sz w:val="20"/>
        </w:rPr>
        <w:t> </w:t>
      </w:r>
      <w:r>
        <w:rPr>
          <w:w w:val="120"/>
          <w:sz w:val="20"/>
        </w:rPr>
        <w:t>is</w:t>
      </w:r>
      <w:r>
        <w:rPr>
          <w:spacing w:val="7"/>
          <w:w w:val="120"/>
          <w:sz w:val="20"/>
        </w:rPr>
        <w:t> </w:t>
      </w:r>
      <w:r>
        <w:rPr>
          <w:w w:val="120"/>
          <w:sz w:val="20"/>
        </w:rPr>
        <w:t>in</w:t>
      </w:r>
      <w:r>
        <w:rPr>
          <w:spacing w:val="7"/>
          <w:w w:val="120"/>
          <w:sz w:val="20"/>
        </w:rPr>
        <w:t> </w:t>
      </w:r>
      <w:r>
        <w:rPr>
          <w:w w:val="120"/>
          <w:sz w:val="20"/>
        </w:rPr>
        <w:t>progress.</w:t>
      </w:r>
    </w:p>
    <w:p>
      <w:pPr>
        <w:spacing w:after="0" w:line="235" w:lineRule="auto"/>
        <w:jc w:val="left"/>
        <w:rPr>
          <w:sz w:val="20"/>
        </w:rPr>
        <w:sectPr>
          <w:headerReference w:type="default" r:id="rId260"/>
          <w:footerReference w:type="default" r:id="rId261"/>
          <w:footerReference w:type="even" r:id="rId262"/>
          <w:pgSz w:w="11910" w:h="16840"/>
          <w:pgMar w:header="0" w:footer="647" w:top="0" w:bottom="840" w:left="0" w:right="0"/>
          <w:pgNumType w:start="109"/>
        </w:sectPr>
      </w:pPr>
    </w:p>
    <w:p>
      <w:pPr>
        <w:pStyle w:val="BodyText"/>
      </w:pPr>
      <w:r>
        <w:rPr/>
        <w:drawing>
          <wp:anchor distT="0" distB="0" distL="0" distR="0" allowOverlap="1" layoutInCell="1" locked="0" behindDoc="0" simplePos="0" relativeHeight="251959296">
            <wp:simplePos x="0" y="0"/>
            <wp:positionH relativeFrom="page">
              <wp:posOffset>0</wp:posOffset>
            </wp:positionH>
            <wp:positionV relativeFrom="page">
              <wp:posOffset>0</wp:posOffset>
            </wp:positionV>
            <wp:extent cx="594067" cy="10692003"/>
            <wp:effectExtent l="0" t="0" r="0" b="0"/>
            <wp:wrapNone/>
            <wp:docPr id="203" name="image28.png"/>
            <wp:cNvGraphicFramePr>
              <a:graphicFrameLocks noChangeAspect="1"/>
            </wp:cNvGraphicFramePr>
            <a:graphic>
              <a:graphicData uri="http://schemas.openxmlformats.org/drawingml/2006/picture">
                <pic:pic>
                  <pic:nvPicPr>
                    <pic:cNvPr id="204" name="image28.png"/>
                    <pic:cNvPicPr/>
                  </pic:nvPicPr>
                  <pic:blipFill>
                    <a:blip r:embed="rId198" cstate="print"/>
                    <a:stretch>
                      <a:fillRect/>
                    </a:stretch>
                  </pic:blipFill>
                  <pic:spPr>
                    <a:xfrm>
                      <a:off x="0" y="0"/>
                      <a:ext cx="594067" cy="10692003"/>
                    </a:xfrm>
                    <a:prstGeom prst="rect">
                      <a:avLst/>
                    </a:prstGeom>
                  </pic:spPr>
                </pic:pic>
              </a:graphicData>
            </a:graphic>
          </wp:anchor>
        </w:drawing>
      </w:r>
      <w:r>
        <w:rPr/>
        <w:pict>
          <v:line style="position:absolute;mso-position-horizontal-relative:page;mso-position-vertical-relative:page;z-index:251960320" from="595.275513pt,.000015pt" to="595.275513pt,841.890015pt" stroked="true" strokeweight=".001pt" strokecolor="#d3e5c3">
            <v:stroke dashstyle="solid"/>
            <w10:wrap type="none"/>
          </v:line>
        </w:pict>
      </w:r>
    </w:p>
    <w:p>
      <w:pPr>
        <w:pStyle w:val="BodyText"/>
        <w:spacing w:before="7"/>
        <w:rPr>
          <w:sz w:val="21"/>
        </w:rPr>
      </w:pPr>
    </w:p>
    <w:p>
      <w:pPr>
        <w:spacing w:before="106"/>
        <w:ind w:left="1247" w:right="0" w:firstLine="0"/>
        <w:jc w:val="left"/>
        <w:rPr>
          <w:sz w:val="26"/>
        </w:rPr>
      </w:pPr>
      <w:r>
        <w:rPr/>
        <w:pict>
          <v:shape style="position:absolute;margin-left:20.519100pt;margin-top:22.593945pt;width:25.9pt;height:266.2pt;mso-position-horizontal-relative:page;mso-position-vertical-relative:paragraph;z-index:251961344" type="#_x0000_t202" filled="false" stroked="false">
            <v:textbox inset="0,0,0,0" style="layout-flow:vertical">
              <w:txbxContent>
                <w:p>
                  <w:pPr>
                    <w:spacing w:before="27"/>
                    <w:ind w:left="20" w:right="0" w:firstLine="0"/>
                    <w:jc w:val="left"/>
                    <w:rPr>
                      <w:sz w:val="39"/>
                    </w:rPr>
                  </w:pPr>
                  <w:r>
                    <w:rPr>
                      <w:color w:val="FFFFFF"/>
                      <w:spacing w:val="12"/>
                      <w:w w:val="120"/>
                      <w:sz w:val="39"/>
                    </w:rPr>
                    <w:t>Affirming </w:t>
                  </w:r>
                  <w:r>
                    <w:rPr>
                      <w:color w:val="FFFFFF"/>
                      <w:spacing w:val="8"/>
                      <w:w w:val="120"/>
                      <w:sz w:val="39"/>
                    </w:rPr>
                    <w:t>the </w:t>
                  </w:r>
                  <w:r>
                    <w:rPr>
                      <w:color w:val="FFFFFF"/>
                      <w:spacing w:val="-4"/>
                      <w:w w:val="120"/>
                      <w:sz w:val="39"/>
                    </w:rPr>
                    <w:t>URC’s</w:t>
                  </w:r>
                  <w:r>
                    <w:rPr>
                      <w:color w:val="FFFFFF"/>
                      <w:spacing w:val="78"/>
                      <w:w w:val="120"/>
                      <w:sz w:val="39"/>
                    </w:rPr>
                    <w:t> </w:t>
                  </w:r>
                  <w:r>
                    <w:rPr>
                      <w:color w:val="FFFFFF"/>
                      <w:spacing w:val="8"/>
                      <w:w w:val="120"/>
                      <w:sz w:val="39"/>
                    </w:rPr>
                    <w:t>future</w:t>
                  </w:r>
                </w:p>
              </w:txbxContent>
            </v:textbox>
            <w10:wrap type="none"/>
          </v:shape>
        </w:pict>
      </w:r>
      <w:r>
        <w:rPr>
          <w:color w:val="7EAABF"/>
          <w:w w:val="115"/>
          <w:sz w:val="26"/>
        </w:rPr>
        <w:t>Faith and order</w:t>
      </w:r>
    </w:p>
    <w:p>
      <w:pPr>
        <w:pStyle w:val="ListParagraph"/>
        <w:numPr>
          <w:ilvl w:val="0"/>
          <w:numId w:val="60"/>
        </w:numPr>
        <w:tabs>
          <w:tab w:pos="1927" w:val="left" w:leader="none"/>
          <w:tab w:pos="1928" w:val="left" w:leader="none"/>
        </w:tabs>
        <w:spacing w:line="235" w:lineRule="auto" w:before="222" w:after="0"/>
        <w:ind w:left="1927" w:right="2065" w:hanging="681"/>
        <w:jc w:val="left"/>
        <w:rPr>
          <w:sz w:val="20"/>
        </w:rPr>
      </w:pPr>
      <w:r>
        <w:rPr>
          <w:w w:val="120"/>
          <w:sz w:val="20"/>
        </w:rPr>
        <w:t>We are in an age where institutions and structures are often bypassed by looser networks such as social media. Do people still need the Church? And, if so, what </w:t>
      </w:r>
      <w:r>
        <w:rPr>
          <w:spacing w:val="-4"/>
          <w:w w:val="120"/>
          <w:sz w:val="20"/>
        </w:rPr>
        <w:t>for? </w:t>
      </w:r>
      <w:r>
        <w:rPr>
          <w:w w:val="120"/>
          <w:sz w:val="20"/>
        </w:rPr>
        <w:t>What kind of structures will enable denominations to flourish in the</w:t>
      </w:r>
      <w:r>
        <w:rPr>
          <w:spacing w:val="-27"/>
          <w:w w:val="120"/>
          <w:sz w:val="20"/>
        </w:rPr>
        <w:t> </w:t>
      </w:r>
      <w:r>
        <w:rPr>
          <w:w w:val="120"/>
          <w:sz w:val="20"/>
        </w:rPr>
        <w:t>future?</w:t>
      </w:r>
    </w:p>
    <w:p>
      <w:pPr>
        <w:pStyle w:val="BodyText"/>
        <w:spacing w:before="6"/>
        <w:rPr>
          <w:sz w:val="18"/>
        </w:rPr>
      </w:pPr>
    </w:p>
    <w:p>
      <w:pPr>
        <w:pStyle w:val="Heading9"/>
        <w:numPr>
          <w:ilvl w:val="1"/>
          <w:numId w:val="58"/>
        </w:numPr>
        <w:tabs>
          <w:tab w:pos="1927" w:val="left" w:leader="none"/>
          <w:tab w:pos="1928" w:val="left" w:leader="none"/>
        </w:tabs>
        <w:spacing w:line="261" w:lineRule="exact" w:before="0" w:after="0"/>
        <w:ind w:left="1927" w:right="0" w:hanging="681"/>
        <w:jc w:val="left"/>
      </w:pPr>
      <w:r>
        <w:rPr>
          <w:w w:val="110"/>
        </w:rPr>
        <w:t>Ecumenical</w:t>
      </w:r>
    </w:p>
    <w:p>
      <w:pPr>
        <w:pStyle w:val="ListParagraph"/>
        <w:numPr>
          <w:ilvl w:val="0"/>
          <w:numId w:val="61"/>
        </w:numPr>
        <w:tabs>
          <w:tab w:pos="1927" w:val="left" w:leader="none"/>
          <w:tab w:pos="1928" w:val="left" w:leader="none"/>
        </w:tabs>
        <w:spacing w:line="233" w:lineRule="exact" w:before="0" w:after="0"/>
        <w:ind w:left="1927" w:right="0" w:hanging="681"/>
        <w:jc w:val="left"/>
        <w:rPr>
          <w:sz w:val="20"/>
        </w:rPr>
      </w:pPr>
      <w:r>
        <w:rPr>
          <w:w w:val="120"/>
          <w:sz w:val="20"/>
        </w:rPr>
        <w:t>Ask synods to target ecumenical possibilities and put some resources into</w:t>
      </w:r>
      <w:r>
        <w:rPr>
          <w:spacing w:val="21"/>
          <w:w w:val="120"/>
          <w:sz w:val="20"/>
        </w:rPr>
        <w:t> </w:t>
      </w:r>
      <w:r>
        <w:rPr>
          <w:w w:val="120"/>
          <w:sz w:val="20"/>
        </w:rPr>
        <w:t>these.</w:t>
      </w:r>
    </w:p>
    <w:p>
      <w:pPr>
        <w:pStyle w:val="ListParagraph"/>
        <w:numPr>
          <w:ilvl w:val="0"/>
          <w:numId w:val="61"/>
        </w:numPr>
        <w:tabs>
          <w:tab w:pos="1927" w:val="left" w:leader="none"/>
          <w:tab w:pos="1928" w:val="left" w:leader="none"/>
        </w:tabs>
        <w:spacing w:line="235" w:lineRule="auto" w:before="1" w:after="0"/>
        <w:ind w:left="1927" w:right="2801" w:hanging="681"/>
        <w:jc w:val="left"/>
        <w:rPr>
          <w:sz w:val="20"/>
        </w:rPr>
      </w:pPr>
      <w:r>
        <w:rPr>
          <w:w w:val="120"/>
          <w:sz w:val="20"/>
        </w:rPr>
        <w:t>Put together a collection of stories where the United Reformed Church is contributing ecumenically, contributing good</w:t>
      </w:r>
      <w:r>
        <w:rPr>
          <w:spacing w:val="21"/>
          <w:w w:val="120"/>
          <w:sz w:val="20"/>
        </w:rPr>
        <w:t> </w:t>
      </w:r>
      <w:r>
        <w:rPr>
          <w:w w:val="120"/>
          <w:sz w:val="20"/>
        </w:rPr>
        <w:t>things.</w:t>
      </w:r>
    </w:p>
    <w:p>
      <w:pPr>
        <w:pStyle w:val="ListParagraph"/>
        <w:numPr>
          <w:ilvl w:val="0"/>
          <w:numId w:val="61"/>
        </w:numPr>
        <w:tabs>
          <w:tab w:pos="1927" w:val="left" w:leader="none"/>
          <w:tab w:pos="1928" w:val="left" w:leader="none"/>
        </w:tabs>
        <w:spacing w:line="235" w:lineRule="auto" w:before="2" w:after="0"/>
        <w:ind w:left="1927" w:right="2023" w:hanging="681"/>
        <w:jc w:val="left"/>
        <w:rPr>
          <w:sz w:val="20"/>
        </w:rPr>
      </w:pPr>
      <w:r>
        <w:rPr>
          <w:w w:val="120"/>
          <w:sz w:val="20"/>
        </w:rPr>
        <w:t>Identify the issues and attitudes that block ecumenical growth and development and devise ways of addressing</w:t>
      </w:r>
      <w:r>
        <w:rPr>
          <w:spacing w:val="10"/>
          <w:w w:val="120"/>
          <w:sz w:val="20"/>
        </w:rPr>
        <w:t> </w:t>
      </w:r>
      <w:r>
        <w:rPr>
          <w:w w:val="120"/>
          <w:sz w:val="20"/>
        </w:rPr>
        <w:t>these.</w:t>
      </w:r>
    </w:p>
    <w:p>
      <w:pPr>
        <w:pStyle w:val="ListParagraph"/>
        <w:numPr>
          <w:ilvl w:val="0"/>
          <w:numId w:val="61"/>
        </w:numPr>
        <w:tabs>
          <w:tab w:pos="1927" w:val="left" w:leader="none"/>
          <w:tab w:pos="1928" w:val="left" w:leader="none"/>
        </w:tabs>
        <w:spacing w:line="235" w:lineRule="auto" w:before="1" w:after="0"/>
        <w:ind w:left="1927" w:right="2134" w:hanging="681"/>
        <w:jc w:val="left"/>
        <w:rPr>
          <w:sz w:val="20"/>
        </w:rPr>
      </w:pPr>
      <w:r>
        <w:rPr>
          <w:w w:val="120"/>
          <w:sz w:val="20"/>
        </w:rPr>
        <w:t>Look for signs of resurrection, identifying where God is present in and between our Churches and celebrating this</w:t>
      </w:r>
      <w:r>
        <w:rPr>
          <w:spacing w:val="13"/>
          <w:w w:val="120"/>
          <w:sz w:val="20"/>
        </w:rPr>
        <w:t> </w:t>
      </w:r>
      <w:r>
        <w:rPr>
          <w:w w:val="120"/>
          <w:sz w:val="20"/>
        </w:rPr>
        <w:t>presence.</w:t>
      </w:r>
    </w:p>
    <w:p>
      <w:pPr>
        <w:pStyle w:val="ListParagraph"/>
        <w:numPr>
          <w:ilvl w:val="0"/>
          <w:numId w:val="61"/>
        </w:numPr>
        <w:tabs>
          <w:tab w:pos="1927" w:val="left" w:leader="none"/>
          <w:tab w:pos="1928" w:val="left" w:leader="none"/>
        </w:tabs>
        <w:spacing w:line="235" w:lineRule="auto" w:before="2" w:after="0"/>
        <w:ind w:left="1927" w:right="2620" w:hanging="681"/>
        <w:jc w:val="left"/>
        <w:rPr>
          <w:sz w:val="20"/>
        </w:rPr>
      </w:pPr>
      <w:r>
        <w:rPr>
          <w:w w:val="120"/>
          <w:sz w:val="20"/>
        </w:rPr>
        <w:t>Look at the Cumbria and Cornwall covenants and the models they offer for ecumenical</w:t>
      </w:r>
      <w:r>
        <w:rPr>
          <w:spacing w:val="2"/>
          <w:w w:val="120"/>
          <w:sz w:val="20"/>
        </w:rPr>
        <w:t> </w:t>
      </w:r>
      <w:r>
        <w:rPr>
          <w:w w:val="120"/>
          <w:sz w:val="20"/>
        </w:rPr>
        <w:t>counties.</w:t>
      </w:r>
    </w:p>
    <w:p>
      <w:pPr>
        <w:pStyle w:val="BodyText"/>
        <w:spacing w:before="5"/>
        <w:rPr>
          <w:sz w:val="18"/>
        </w:rPr>
      </w:pPr>
    </w:p>
    <w:p>
      <w:pPr>
        <w:pStyle w:val="Heading9"/>
        <w:numPr>
          <w:ilvl w:val="1"/>
          <w:numId w:val="58"/>
        </w:numPr>
        <w:tabs>
          <w:tab w:pos="1927" w:val="left" w:leader="none"/>
          <w:tab w:pos="1928" w:val="left" w:leader="none"/>
        </w:tabs>
        <w:spacing w:line="261" w:lineRule="exact" w:before="0" w:after="0"/>
        <w:ind w:left="1927" w:right="0" w:hanging="681"/>
        <w:jc w:val="left"/>
      </w:pPr>
      <w:r>
        <w:rPr>
          <w:w w:val="110"/>
        </w:rPr>
        <w:t>Affirmations and</w:t>
      </w:r>
      <w:r>
        <w:rPr>
          <w:spacing w:val="-1"/>
          <w:w w:val="110"/>
        </w:rPr>
        <w:t> </w:t>
      </w:r>
      <w:r>
        <w:rPr>
          <w:w w:val="110"/>
        </w:rPr>
        <w:t>challenges</w:t>
      </w:r>
    </w:p>
    <w:p>
      <w:pPr>
        <w:pStyle w:val="ListParagraph"/>
        <w:numPr>
          <w:ilvl w:val="0"/>
          <w:numId w:val="62"/>
        </w:numPr>
        <w:tabs>
          <w:tab w:pos="2721" w:val="left" w:leader="none"/>
          <w:tab w:pos="2722" w:val="left" w:leader="none"/>
        </w:tabs>
        <w:spacing w:line="235" w:lineRule="auto" w:before="0" w:after="0"/>
        <w:ind w:left="2721" w:right="2223" w:hanging="794"/>
        <w:jc w:val="left"/>
        <w:rPr>
          <w:sz w:val="20"/>
        </w:rPr>
      </w:pPr>
      <w:r>
        <w:rPr>
          <w:w w:val="120"/>
          <w:sz w:val="20"/>
        </w:rPr>
        <w:t>The United Reformed Church affirms that our primary identity lies, as with all Christians, in relation to the one triune God, source, guide and goal of our</w:t>
      </w:r>
      <w:r>
        <w:rPr>
          <w:spacing w:val="5"/>
          <w:w w:val="120"/>
          <w:sz w:val="20"/>
        </w:rPr>
        <w:t> </w:t>
      </w:r>
      <w:r>
        <w:rPr>
          <w:w w:val="120"/>
          <w:sz w:val="20"/>
        </w:rPr>
        <w:t>life.</w:t>
      </w:r>
    </w:p>
    <w:p>
      <w:pPr>
        <w:pStyle w:val="ListParagraph"/>
        <w:numPr>
          <w:ilvl w:val="0"/>
          <w:numId w:val="62"/>
        </w:numPr>
        <w:tabs>
          <w:tab w:pos="2721" w:val="left" w:leader="none"/>
          <w:tab w:pos="2722" w:val="left" w:leader="none"/>
        </w:tabs>
        <w:spacing w:line="235" w:lineRule="auto" w:before="0" w:after="0"/>
        <w:ind w:left="2721" w:right="1985" w:hanging="794"/>
        <w:jc w:val="left"/>
        <w:rPr>
          <w:sz w:val="20"/>
        </w:rPr>
      </w:pPr>
      <w:r>
        <w:rPr>
          <w:w w:val="120"/>
          <w:sz w:val="20"/>
        </w:rPr>
        <w:t>The United Reformed Church affirms that our particular identity, shaped by context and conviction, is an offering to the three nations in which we are</w:t>
      </w:r>
      <w:r>
        <w:rPr>
          <w:spacing w:val="1"/>
          <w:w w:val="120"/>
          <w:sz w:val="20"/>
        </w:rPr>
        <w:t> </w:t>
      </w:r>
      <w:r>
        <w:rPr>
          <w:w w:val="120"/>
          <w:sz w:val="20"/>
        </w:rPr>
        <w:t>set.</w:t>
      </w:r>
    </w:p>
    <w:p>
      <w:pPr>
        <w:pStyle w:val="ListParagraph"/>
        <w:numPr>
          <w:ilvl w:val="0"/>
          <w:numId w:val="62"/>
        </w:numPr>
        <w:tabs>
          <w:tab w:pos="2721" w:val="left" w:leader="none"/>
          <w:tab w:pos="2722" w:val="left" w:leader="none"/>
        </w:tabs>
        <w:spacing w:line="235" w:lineRule="auto" w:before="0" w:after="0"/>
        <w:ind w:left="2721" w:right="2476" w:hanging="794"/>
        <w:jc w:val="left"/>
        <w:rPr>
          <w:sz w:val="20"/>
        </w:rPr>
      </w:pPr>
      <w:r>
        <w:rPr>
          <w:w w:val="120"/>
          <w:sz w:val="20"/>
        </w:rPr>
        <w:t>The United Reformed Church affirms that the Church, participating in the trinitarian and relational life of God, is called to model this</w:t>
      </w:r>
      <w:r>
        <w:rPr>
          <w:spacing w:val="15"/>
          <w:w w:val="120"/>
          <w:sz w:val="20"/>
        </w:rPr>
        <w:t> </w:t>
      </w:r>
      <w:r>
        <w:rPr>
          <w:w w:val="120"/>
          <w:sz w:val="20"/>
        </w:rPr>
        <w:t>life</w:t>
      </w:r>
    </w:p>
    <w:p>
      <w:pPr>
        <w:pStyle w:val="BodyText"/>
        <w:spacing w:line="235" w:lineRule="auto" w:before="1"/>
        <w:ind w:left="2721" w:right="2186"/>
        <w:jc w:val="both"/>
      </w:pPr>
      <w:r>
        <w:rPr>
          <w:w w:val="120"/>
        </w:rPr>
        <w:t>throughout the world, in both its inner and outer life. The gathering of people in relationship in each community is part of the embodiment of God’s gift of life for the world.</w:t>
      </w:r>
    </w:p>
    <w:p>
      <w:pPr>
        <w:pStyle w:val="ListParagraph"/>
        <w:numPr>
          <w:ilvl w:val="0"/>
          <w:numId w:val="62"/>
        </w:numPr>
        <w:tabs>
          <w:tab w:pos="2721" w:val="left" w:leader="none"/>
          <w:tab w:pos="2722" w:val="left" w:leader="none"/>
        </w:tabs>
        <w:spacing w:line="235" w:lineRule="auto" w:before="2" w:after="0"/>
        <w:ind w:left="2721" w:right="2091" w:hanging="794"/>
        <w:jc w:val="both"/>
        <w:rPr>
          <w:sz w:val="20"/>
        </w:rPr>
      </w:pPr>
      <w:r>
        <w:rPr>
          <w:w w:val="120"/>
          <w:sz w:val="20"/>
        </w:rPr>
        <w:t>The United Reformed Church affirms that the renewal of congregational life is key to the renewal of the Church. Without congregations,</w:t>
      </w:r>
      <w:r>
        <w:rPr>
          <w:spacing w:val="29"/>
          <w:w w:val="120"/>
          <w:sz w:val="20"/>
        </w:rPr>
        <w:t> </w:t>
      </w:r>
      <w:r>
        <w:rPr>
          <w:w w:val="120"/>
          <w:sz w:val="20"/>
        </w:rPr>
        <w:t>there</w:t>
      </w:r>
    </w:p>
    <w:p>
      <w:pPr>
        <w:pStyle w:val="BodyText"/>
        <w:spacing w:line="240" w:lineRule="exact"/>
        <w:ind w:left="2721"/>
      </w:pPr>
      <w:r>
        <w:rPr>
          <w:w w:val="120"/>
        </w:rPr>
        <w:t>is no Church. This is not about a ‘one size fits all’ idea of a congregation</w:t>
      </w:r>
    </w:p>
    <w:p>
      <w:pPr>
        <w:pStyle w:val="BodyText"/>
        <w:spacing w:line="235" w:lineRule="auto" w:before="2"/>
        <w:ind w:left="2721" w:right="2113"/>
      </w:pPr>
      <w:r>
        <w:rPr>
          <w:w w:val="120"/>
        </w:rPr>
        <w:t>– congregations </w:t>
      </w:r>
      <w:r>
        <w:rPr>
          <w:spacing w:val="2"/>
          <w:w w:val="120"/>
        </w:rPr>
        <w:t>vary </w:t>
      </w:r>
      <w:r>
        <w:rPr>
          <w:w w:val="120"/>
        </w:rPr>
        <w:t>enormously; it is about the way in which people  are valued and held together. We affirm that in the body of Christ, congregations are held together with one another, sharing insights and support for mutual enrichment. The United Reformed Church has a particular contribution to make about the way in which authority is held within and between</w:t>
      </w:r>
      <w:r>
        <w:rPr>
          <w:spacing w:val="8"/>
          <w:w w:val="120"/>
        </w:rPr>
        <w:t> </w:t>
      </w:r>
      <w:r>
        <w:rPr>
          <w:w w:val="120"/>
        </w:rPr>
        <w:t>congregations.</w:t>
      </w:r>
    </w:p>
    <w:p>
      <w:pPr>
        <w:pStyle w:val="ListParagraph"/>
        <w:numPr>
          <w:ilvl w:val="0"/>
          <w:numId w:val="62"/>
        </w:numPr>
        <w:tabs>
          <w:tab w:pos="2721" w:val="left" w:leader="none"/>
          <w:tab w:pos="2722" w:val="left" w:leader="none"/>
        </w:tabs>
        <w:spacing w:line="235" w:lineRule="auto" w:before="5" w:after="0"/>
        <w:ind w:left="2721" w:right="2134" w:hanging="794"/>
        <w:jc w:val="left"/>
        <w:rPr>
          <w:sz w:val="20"/>
        </w:rPr>
      </w:pPr>
      <w:r>
        <w:rPr>
          <w:w w:val="120"/>
          <w:sz w:val="20"/>
        </w:rPr>
        <w:t>There are important questions about the way our wider structures enable mutual enrichment. But, prior to these are the questions around whether our congregations feel on fire with a Gospel that is for all people and are able to communicate this fire with the communities in which we are placed. This passion arises out of people’s rootedness in God and their openness to the Holy Spirit through prayer, worship and the reading of Scripture, those aspects of our shared life which have sustained God’s people over the</w:t>
      </w:r>
      <w:r>
        <w:rPr>
          <w:spacing w:val="13"/>
          <w:w w:val="120"/>
          <w:sz w:val="20"/>
        </w:rPr>
        <w:t> </w:t>
      </w:r>
      <w:r>
        <w:rPr>
          <w:w w:val="120"/>
          <w:sz w:val="20"/>
        </w:rPr>
        <w:t>generations.</w:t>
      </w:r>
    </w:p>
    <w:p>
      <w:pPr>
        <w:pStyle w:val="BodyText"/>
        <w:spacing w:before="1"/>
      </w:pPr>
    </w:p>
    <w:p>
      <w:pPr>
        <w:pStyle w:val="ListParagraph"/>
        <w:numPr>
          <w:ilvl w:val="1"/>
          <w:numId w:val="58"/>
        </w:numPr>
        <w:tabs>
          <w:tab w:pos="1927" w:val="left" w:leader="none"/>
          <w:tab w:pos="1928" w:val="left" w:leader="none"/>
        </w:tabs>
        <w:spacing w:line="235" w:lineRule="auto" w:before="0" w:after="0"/>
        <w:ind w:left="1247" w:right="2053" w:firstLine="0"/>
        <w:jc w:val="left"/>
        <w:rPr>
          <w:sz w:val="20"/>
        </w:rPr>
      </w:pPr>
      <w:r>
        <w:rPr>
          <w:w w:val="120"/>
          <w:sz w:val="20"/>
        </w:rPr>
        <w:t>This paper is offered to help a two-fold discernment, a discernment about ourselves in the United Reformed Church and a discernment about the triune God who brings us into being, holds us in a warm embrace and sends us out into God’s world. This discernment involves prayerful listening to the Spirit and respectful listening to what is on each other’s </w:t>
      </w:r>
      <w:r>
        <w:rPr>
          <w:spacing w:val="2"/>
          <w:w w:val="120"/>
          <w:sz w:val="20"/>
        </w:rPr>
        <w:t>hearts </w:t>
      </w:r>
      <w:r>
        <w:rPr>
          <w:w w:val="120"/>
          <w:sz w:val="20"/>
        </w:rPr>
        <w:t>and</w:t>
      </w:r>
      <w:r>
        <w:rPr>
          <w:spacing w:val="10"/>
          <w:w w:val="120"/>
          <w:sz w:val="20"/>
        </w:rPr>
        <w:t> </w:t>
      </w:r>
      <w:r>
        <w:rPr>
          <w:w w:val="120"/>
          <w:sz w:val="20"/>
        </w:rPr>
        <w:t>minds.</w:t>
      </w:r>
    </w:p>
    <w:p>
      <w:pPr>
        <w:pStyle w:val="BodyText"/>
        <w:rPr>
          <w:sz w:val="24"/>
        </w:rPr>
      </w:pPr>
    </w:p>
    <w:p>
      <w:pPr>
        <w:pStyle w:val="BodyText"/>
        <w:spacing w:before="7"/>
        <w:rPr>
          <w:sz w:val="19"/>
        </w:rPr>
      </w:pPr>
    </w:p>
    <w:p>
      <w:pPr>
        <w:spacing w:before="0"/>
        <w:ind w:left="1927" w:right="0" w:firstLine="0"/>
        <w:jc w:val="left"/>
        <w:rPr>
          <w:i/>
          <w:sz w:val="23"/>
        </w:rPr>
      </w:pPr>
      <w:r>
        <w:rPr>
          <w:i/>
          <w:color w:val="41A62B"/>
          <w:w w:val="110"/>
          <w:sz w:val="23"/>
        </w:rPr>
        <w:t>Prayer:</w:t>
      </w:r>
    </w:p>
    <w:p>
      <w:pPr>
        <w:spacing w:line="273" w:lineRule="auto" w:before="39"/>
        <w:ind w:left="1927" w:right="2325" w:firstLine="0"/>
        <w:jc w:val="left"/>
        <w:rPr>
          <w:i/>
          <w:sz w:val="23"/>
        </w:rPr>
      </w:pPr>
      <w:r>
        <w:rPr>
          <w:i/>
          <w:color w:val="41A62B"/>
          <w:spacing w:val="-3"/>
          <w:w w:val="115"/>
          <w:sz w:val="23"/>
        </w:rPr>
        <w:t>Come </w:t>
      </w:r>
      <w:r>
        <w:rPr>
          <w:i/>
          <w:color w:val="41A62B"/>
          <w:w w:val="115"/>
          <w:sz w:val="23"/>
        </w:rPr>
        <w:t>Holy </w:t>
      </w:r>
      <w:r>
        <w:rPr>
          <w:i/>
          <w:color w:val="41A62B"/>
          <w:spacing w:val="-3"/>
          <w:w w:val="115"/>
          <w:sz w:val="23"/>
        </w:rPr>
        <w:t>Spirit, </w:t>
      </w:r>
      <w:r>
        <w:rPr>
          <w:i/>
          <w:color w:val="41A62B"/>
          <w:w w:val="115"/>
          <w:sz w:val="23"/>
        </w:rPr>
        <w:t>burn within </w:t>
      </w:r>
      <w:r>
        <w:rPr>
          <w:i/>
          <w:color w:val="41A62B"/>
          <w:spacing w:val="-4"/>
          <w:w w:val="115"/>
          <w:sz w:val="23"/>
        </w:rPr>
        <w:t>us; </w:t>
      </w:r>
      <w:r>
        <w:rPr>
          <w:i/>
          <w:color w:val="41A62B"/>
          <w:spacing w:val="-3"/>
          <w:w w:val="115"/>
          <w:sz w:val="23"/>
        </w:rPr>
        <w:t>come </w:t>
      </w:r>
      <w:r>
        <w:rPr>
          <w:i/>
          <w:color w:val="41A62B"/>
          <w:w w:val="115"/>
          <w:sz w:val="23"/>
        </w:rPr>
        <w:t>Holy </w:t>
      </w:r>
      <w:r>
        <w:rPr>
          <w:i/>
          <w:color w:val="41A62B"/>
          <w:spacing w:val="-3"/>
          <w:w w:val="115"/>
          <w:sz w:val="23"/>
        </w:rPr>
        <w:t>Spirit, </w:t>
      </w:r>
      <w:r>
        <w:rPr>
          <w:i/>
          <w:color w:val="41A62B"/>
          <w:w w:val="115"/>
          <w:sz w:val="23"/>
        </w:rPr>
        <w:t>set us on </w:t>
      </w:r>
      <w:r>
        <w:rPr>
          <w:i/>
          <w:color w:val="41A62B"/>
          <w:spacing w:val="-3"/>
          <w:w w:val="115"/>
          <w:sz w:val="23"/>
        </w:rPr>
        <w:t>fire; come </w:t>
      </w:r>
      <w:r>
        <w:rPr>
          <w:i/>
          <w:color w:val="41A62B"/>
          <w:w w:val="115"/>
          <w:sz w:val="23"/>
        </w:rPr>
        <w:t>Holy </w:t>
      </w:r>
      <w:r>
        <w:rPr>
          <w:i/>
          <w:color w:val="41A62B"/>
          <w:spacing w:val="-3"/>
          <w:w w:val="115"/>
          <w:sz w:val="23"/>
        </w:rPr>
        <w:t>Spirit, </w:t>
      </w:r>
      <w:r>
        <w:rPr>
          <w:i/>
          <w:color w:val="41A62B"/>
          <w:spacing w:val="-4"/>
          <w:w w:val="115"/>
          <w:sz w:val="23"/>
        </w:rPr>
        <w:t>release </w:t>
      </w:r>
      <w:r>
        <w:rPr>
          <w:i/>
          <w:color w:val="41A62B"/>
          <w:w w:val="115"/>
          <w:sz w:val="23"/>
        </w:rPr>
        <w:t>your gifts in </w:t>
      </w:r>
      <w:r>
        <w:rPr>
          <w:i/>
          <w:color w:val="41A62B"/>
          <w:spacing w:val="-4"/>
          <w:w w:val="115"/>
          <w:sz w:val="23"/>
        </w:rPr>
        <w:t>us; </w:t>
      </w:r>
      <w:r>
        <w:rPr>
          <w:i/>
          <w:color w:val="41A62B"/>
          <w:spacing w:val="-3"/>
          <w:w w:val="115"/>
          <w:sz w:val="23"/>
        </w:rPr>
        <w:t>come </w:t>
      </w:r>
      <w:r>
        <w:rPr>
          <w:i/>
          <w:color w:val="41A62B"/>
          <w:w w:val="115"/>
          <w:sz w:val="23"/>
        </w:rPr>
        <w:t>Holy </w:t>
      </w:r>
      <w:r>
        <w:rPr>
          <w:i/>
          <w:color w:val="41A62B"/>
          <w:spacing w:val="-3"/>
          <w:w w:val="115"/>
          <w:sz w:val="23"/>
        </w:rPr>
        <w:t>Spirit, </w:t>
      </w:r>
      <w:r>
        <w:rPr>
          <w:i/>
          <w:color w:val="41A62B"/>
          <w:w w:val="115"/>
          <w:sz w:val="23"/>
        </w:rPr>
        <w:t>that </w:t>
      </w:r>
      <w:r>
        <w:rPr>
          <w:i/>
          <w:color w:val="41A62B"/>
          <w:spacing w:val="-3"/>
          <w:w w:val="115"/>
          <w:sz w:val="23"/>
        </w:rPr>
        <w:t>we </w:t>
      </w:r>
      <w:r>
        <w:rPr>
          <w:i/>
          <w:color w:val="41A62B"/>
          <w:w w:val="115"/>
          <w:sz w:val="23"/>
        </w:rPr>
        <w:t>may </w:t>
      </w:r>
      <w:r>
        <w:rPr>
          <w:i/>
          <w:color w:val="41A62B"/>
          <w:spacing w:val="-3"/>
          <w:w w:val="115"/>
          <w:sz w:val="23"/>
        </w:rPr>
        <w:t>discern </w:t>
      </w:r>
      <w:r>
        <w:rPr>
          <w:i/>
          <w:color w:val="41A62B"/>
          <w:w w:val="115"/>
          <w:sz w:val="23"/>
        </w:rPr>
        <w:t>your </w:t>
      </w:r>
      <w:r>
        <w:rPr>
          <w:i/>
          <w:color w:val="41A62B"/>
          <w:spacing w:val="-3"/>
          <w:w w:val="115"/>
          <w:sz w:val="23"/>
        </w:rPr>
        <w:t>leading </w:t>
      </w:r>
      <w:r>
        <w:rPr>
          <w:i/>
          <w:color w:val="41A62B"/>
          <w:w w:val="115"/>
          <w:sz w:val="23"/>
        </w:rPr>
        <w:t>as </w:t>
      </w:r>
      <w:r>
        <w:rPr>
          <w:i/>
          <w:color w:val="41A62B"/>
          <w:spacing w:val="-3"/>
          <w:w w:val="115"/>
          <w:sz w:val="23"/>
        </w:rPr>
        <w:t>we listen </w:t>
      </w:r>
      <w:r>
        <w:rPr>
          <w:i/>
          <w:color w:val="41A62B"/>
          <w:w w:val="115"/>
          <w:sz w:val="23"/>
        </w:rPr>
        <w:t>to you and </w:t>
      </w:r>
      <w:r>
        <w:rPr>
          <w:i/>
          <w:color w:val="41A62B"/>
          <w:spacing w:val="-3"/>
          <w:w w:val="115"/>
          <w:sz w:val="23"/>
        </w:rPr>
        <w:t>hear </w:t>
      </w:r>
      <w:r>
        <w:rPr>
          <w:i/>
          <w:color w:val="41A62B"/>
          <w:w w:val="115"/>
          <w:sz w:val="23"/>
        </w:rPr>
        <w:t>the </w:t>
      </w:r>
      <w:r>
        <w:rPr>
          <w:i/>
          <w:color w:val="41A62B"/>
          <w:spacing w:val="-3"/>
          <w:w w:val="115"/>
          <w:sz w:val="23"/>
        </w:rPr>
        <w:t>wisdom </w:t>
      </w:r>
      <w:r>
        <w:rPr>
          <w:i/>
          <w:color w:val="41A62B"/>
          <w:w w:val="115"/>
          <w:sz w:val="23"/>
        </w:rPr>
        <w:t>of your </w:t>
      </w:r>
      <w:r>
        <w:rPr>
          <w:i/>
          <w:color w:val="41A62B"/>
          <w:spacing w:val="-3"/>
          <w:w w:val="115"/>
          <w:sz w:val="23"/>
        </w:rPr>
        <w:t>people.</w:t>
      </w:r>
    </w:p>
    <w:p>
      <w:pPr>
        <w:spacing w:after="0" w:line="273" w:lineRule="auto"/>
        <w:jc w:val="left"/>
        <w:rPr>
          <w:sz w:val="23"/>
        </w:rPr>
        <w:sectPr>
          <w:headerReference w:type="even" r:id="rId263"/>
          <w:pgSz w:w="11910" w:h="16840"/>
          <w:pgMar w:header="0" w:footer="647" w:top="0" w:bottom="840" w:left="0" w:right="0"/>
        </w:sectPr>
      </w:pPr>
    </w:p>
    <w:p>
      <w:pPr>
        <w:pStyle w:val="BodyText"/>
        <w:rPr>
          <w:i/>
        </w:rPr>
      </w:pPr>
      <w:r>
        <w:rPr/>
        <w:pict>
          <v:rect style="position:absolute;margin-left:0pt;margin-top:.000015pt;width:549.207pt;height:841.89pt;mso-position-horizontal-relative:page;mso-position-vertical-relative:page;z-index:-267314176" filled="true" fillcolor="#d3e5c3" stroked="false">
            <v:fill type="solid"/>
            <w10:wrap type="none"/>
          </v:rect>
        </w:pict>
      </w:r>
      <w:r>
        <w:rPr/>
        <w:drawing>
          <wp:anchor distT="0" distB="0" distL="0" distR="0" allowOverlap="1" layoutInCell="1" locked="0" behindDoc="0" simplePos="0" relativeHeight="251963392">
            <wp:simplePos x="0" y="0"/>
            <wp:positionH relativeFrom="page">
              <wp:posOffset>6974928</wp:posOffset>
            </wp:positionH>
            <wp:positionV relativeFrom="page">
              <wp:posOffset>0</wp:posOffset>
            </wp:positionV>
            <wp:extent cx="585063" cy="10692003"/>
            <wp:effectExtent l="0" t="0" r="0" b="0"/>
            <wp:wrapNone/>
            <wp:docPr id="205" name="image25.png"/>
            <wp:cNvGraphicFramePr>
              <a:graphicFrameLocks noChangeAspect="1"/>
            </wp:cNvGraphicFramePr>
            <a:graphic>
              <a:graphicData uri="http://schemas.openxmlformats.org/drawingml/2006/picture">
                <pic:pic>
                  <pic:nvPicPr>
                    <pic:cNvPr id="206" name="image25.png"/>
                    <pic:cNvPicPr/>
                  </pic:nvPicPr>
                  <pic:blipFill>
                    <a:blip r:embed="rId192" cstate="print"/>
                    <a:stretch>
                      <a:fillRect/>
                    </a:stretch>
                  </pic:blipFill>
                  <pic:spPr>
                    <a:xfrm>
                      <a:off x="0" y="0"/>
                      <a:ext cx="585063" cy="10692003"/>
                    </a:xfrm>
                    <a:prstGeom prst="rect">
                      <a:avLst/>
                    </a:prstGeom>
                  </pic:spPr>
                </pic:pic>
              </a:graphicData>
            </a:graphic>
          </wp:anchor>
        </w:drawing>
      </w:r>
    </w:p>
    <w:p>
      <w:pPr>
        <w:pStyle w:val="BodyText"/>
        <w:rPr>
          <w:i/>
        </w:rPr>
      </w:pPr>
    </w:p>
    <w:p>
      <w:pPr>
        <w:pStyle w:val="BodyText"/>
        <w:rPr>
          <w:i/>
        </w:rPr>
      </w:pPr>
    </w:p>
    <w:p>
      <w:pPr>
        <w:pStyle w:val="BodyText"/>
        <w:spacing w:before="5"/>
        <w:rPr>
          <w:i/>
          <w:sz w:val="28"/>
        </w:rPr>
      </w:pPr>
    </w:p>
    <w:p>
      <w:pPr>
        <w:spacing w:line="220" w:lineRule="auto" w:before="138"/>
        <w:ind w:left="1984" w:right="1352" w:firstLine="0"/>
        <w:jc w:val="left"/>
        <w:rPr>
          <w:rFonts w:ascii="Stone Sans II ITC Std X Bd" w:hAnsi="Stone Sans II ITC Std X Bd"/>
          <w:b/>
          <w:sz w:val="48"/>
        </w:rPr>
      </w:pPr>
      <w:r>
        <w:rPr/>
        <w:pict>
          <v:shape style="position:absolute;margin-left:554.141174pt;margin-top:-5.978084pt;width:25.9pt;height:288pt;mso-position-horizontal-relative:page;mso-position-vertical-relative:paragraph;z-index:251964416" type="#_x0000_t202" filled="false" stroked="false">
            <v:textbox inset="0,0,0,0" style="layout-flow:vertical">
              <w:txbxContent>
                <w:p>
                  <w:pPr>
                    <w:spacing w:before="27"/>
                    <w:ind w:left="20" w:right="0" w:firstLine="0"/>
                    <w:jc w:val="left"/>
                    <w:rPr>
                      <w:sz w:val="39"/>
                    </w:rPr>
                  </w:pPr>
                  <w:r>
                    <w:rPr>
                      <w:color w:val="FFFFFF"/>
                      <w:w w:val="120"/>
                      <w:sz w:val="39"/>
                    </w:rPr>
                    <w:t>The URC’s gift of conciliarity</w:t>
                  </w:r>
                </w:p>
              </w:txbxContent>
            </v:textbox>
            <w10:wrap type="none"/>
          </v:shape>
        </w:pict>
      </w:r>
      <w:r>
        <w:rPr>
          <w:rFonts w:ascii="Stone Sans II ITC Std X Bd" w:hAnsi="Stone Sans II ITC Std X Bd"/>
          <w:b/>
          <w:color w:val="41A62B"/>
          <w:spacing w:val="-6"/>
          <w:w w:val="110"/>
          <w:sz w:val="50"/>
        </w:rPr>
        <w:t>Faith </w:t>
      </w:r>
      <w:r>
        <w:rPr>
          <w:rFonts w:ascii="Stone Sans II ITC Std X Bd" w:hAnsi="Stone Sans II ITC Std X Bd"/>
          <w:b/>
          <w:color w:val="41A62B"/>
          <w:spacing w:val="-4"/>
          <w:w w:val="110"/>
          <w:sz w:val="50"/>
        </w:rPr>
        <w:t>and order </w:t>
      </w:r>
      <w:r>
        <w:rPr>
          <w:rFonts w:ascii="Stone Sans II ITC Std X Bd" w:hAnsi="Stone Sans II ITC Std X Bd"/>
          <w:b/>
          <w:color w:val="41A62B"/>
          <w:spacing w:val="-5"/>
          <w:w w:val="110"/>
          <w:sz w:val="50"/>
        </w:rPr>
        <w:t>committee: </w:t>
      </w:r>
      <w:r>
        <w:rPr>
          <w:rFonts w:ascii="Stone Sans II ITC Std X Bd" w:hAnsi="Stone Sans II ITC Std X Bd"/>
          <w:b/>
          <w:spacing w:val="-4"/>
          <w:w w:val="110"/>
          <w:sz w:val="48"/>
        </w:rPr>
        <w:t>What </w:t>
      </w:r>
      <w:r>
        <w:rPr>
          <w:rFonts w:ascii="Stone Sans II ITC Std X Bd" w:hAnsi="Stone Sans II ITC Std X Bd"/>
          <w:b/>
          <w:w w:val="110"/>
          <w:sz w:val="48"/>
        </w:rPr>
        <w:t>is </w:t>
      </w:r>
      <w:r>
        <w:rPr>
          <w:rFonts w:ascii="Stone Sans II ITC Std X Bd" w:hAnsi="Stone Sans II ITC Std X Bd"/>
          <w:b/>
          <w:spacing w:val="-4"/>
          <w:w w:val="110"/>
          <w:sz w:val="48"/>
        </w:rPr>
        <w:t>the Spirit </w:t>
      </w:r>
      <w:r>
        <w:rPr>
          <w:rFonts w:ascii="Stone Sans II ITC Std X Bd" w:hAnsi="Stone Sans II ITC Std X Bd"/>
          <w:b/>
          <w:spacing w:val="-6"/>
          <w:w w:val="110"/>
          <w:sz w:val="48"/>
        </w:rPr>
        <w:t>saying </w:t>
      </w:r>
      <w:r>
        <w:rPr>
          <w:rFonts w:ascii="Stone Sans II ITC Std X Bd" w:hAnsi="Stone Sans II ITC Std X Bd"/>
          <w:b/>
          <w:spacing w:val="-7"/>
          <w:w w:val="110"/>
          <w:sz w:val="48"/>
        </w:rPr>
        <w:t>to </w:t>
      </w:r>
      <w:r>
        <w:rPr>
          <w:rFonts w:ascii="Stone Sans II ITC Std X Bd" w:hAnsi="Stone Sans II ITC Std X Bd"/>
          <w:b/>
          <w:spacing w:val="-4"/>
          <w:w w:val="110"/>
          <w:sz w:val="48"/>
        </w:rPr>
        <w:t>the </w:t>
      </w:r>
      <w:r>
        <w:rPr>
          <w:rFonts w:ascii="Stone Sans II ITC Std X Bd" w:hAnsi="Stone Sans II ITC Std X Bd"/>
          <w:b/>
          <w:spacing w:val="-8"/>
          <w:w w:val="110"/>
          <w:sz w:val="48"/>
        </w:rPr>
        <w:t>Churches? </w:t>
      </w:r>
      <w:r>
        <w:rPr>
          <w:rFonts w:ascii="Stone Sans II ITC Std X Bd" w:hAnsi="Stone Sans II ITC Std X Bd"/>
          <w:b/>
          <w:w w:val="110"/>
          <w:sz w:val="48"/>
        </w:rPr>
        <w:t>The </w:t>
      </w:r>
      <w:r>
        <w:rPr>
          <w:rFonts w:ascii="Stone Sans II ITC Std X Bd" w:hAnsi="Stone Sans II ITC Std X Bd"/>
          <w:b/>
          <w:spacing w:val="-4"/>
          <w:w w:val="110"/>
          <w:sz w:val="48"/>
        </w:rPr>
        <w:t>United </w:t>
      </w:r>
      <w:r>
        <w:rPr>
          <w:rFonts w:ascii="Stone Sans II ITC Std X Bd" w:hAnsi="Stone Sans II ITC Std X Bd"/>
          <w:b/>
          <w:spacing w:val="-3"/>
          <w:w w:val="110"/>
          <w:sz w:val="48"/>
        </w:rPr>
        <w:t>Reformed </w:t>
      </w:r>
      <w:r>
        <w:rPr>
          <w:rFonts w:ascii="Stone Sans II ITC Std X Bd" w:hAnsi="Stone Sans II ITC Std X Bd"/>
          <w:b/>
          <w:spacing w:val="-10"/>
          <w:w w:val="110"/>
          <w:sz w:val="48"/>
        </w:rPr>
        <w:t>Church’s </w:t>
      </w:r>
      <w:r>
        <w:rPr>
          <w:rFonts w:ascii="Stone Sans II ITC Std X Bd" w:hAnsi="Stone Sans II ITC Std X Bd"/>
          <w:b/>
          <w:spacing w:val="2"/>
          <w:w w:val="110"/>
          <w:sz w:val="48"/>
        </w:rPr>
        <w:t>gift </w:t>
      </w:r>
      <w:r>
        <w:rPr>
          <w:rFonts w:ascii="Stone Sans II ITC Std X Bd" w:hAnsi="Stone Sans II ITC Std X Bd"/>
          <w:b/>
          <w:w w:val="110"/>
          <w:sz w:val="48"/>
        </w:rPr>
        <w:t>of</w:t>
      </w:r>
      <w:r>
        <w:rPr>
          <w:rFonts w:ascii="Stone Sans II ITC Std X Bd" w:hAnsi="Stone Sans II ITC Std X Bd"/>
          <w:b/>
          <w:spacing w:val="52"/>
          <w:w w:val="110"/>
          <w:sz w:val="48"/>
        </w:rPr>
        <w:t> </w:t>
      </w:r>
      <w:r>
        <w:rPr>
          <w:rFonts w:ascii="Stone Sans II ITC Std X Bd" w:hAnsi="Stone Sans II ITC Std X Bd"/>
          <w:b/>
          <w:spacing w:val="-4"/>
          <w:w w:val="110"/>
          <w:sz w:val="48"/>
        </w:rPr>
        <w:t>conciliarity</w:t>
      </w:r>
    </w:p>
    <w:p>
      <w:pPr>
        <w:pStyle w:val="BodyText"/>
        <w:spacing w:before="383" w:after="27"/>
        <w:ind w:left="1984"/>
      </w:pPr>
      <w:r>
        <w:rPr>
          <w:w w:val="120"/>
        </w:rPr>
        <w:t>Basic Information</w:t>
      </w:r>
    </w:p>
    <w:tbl>
      <w:tblPr>
        <w:tblW w:w="0" w:type="auto"/>
        <w:jc w:val="left"/>
        <w:tblInd w:w="19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335"/>
      </w:tblGrid>
      <w:tr>
        <w:trPr>
          <w:trHeight w:val="680" w:hRule="atLeast"/>
        </w:trPr>
        <w:tc>
          <w:tcPr>
            <w:tcW w:w="2660" w:type="dxa"/>
            <w:shd w:val="clear" w:color="auto" w:fill="FFFFFF"/>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335" w:type="dxa"/>
            <w:tcBorders>
              <w:right w:val="nil"/>
            </w:tcBorders>
            <w:shd w:val="clear" w:color="auto" w:fill="FFFFFF"/>
          </w:tcPr>
          <w:p>
            <w:pPr>
              <w:pStyle w:val="TableParagraph"/>
              <w:spacing w:line="235" w:lineRule="auto" w:before="145"/>
              <w:rPr>
                <w:sz w:val="20"/>
              </w:rPr>
            </w:pPr>
            <w:r>
              <w:rPr>
                <w:w w:val="120"/>
                <w:sz w:val="20"/>
              </w:rPr>
              <w:t>Elizabeth Welch, convener of the faith and order committee </w:t>
            </w:r>
            <w:hyperlink r:id="rId246">
              <w:r>
                <w:rPr>
                  <w:w w:val="120"/>
                  <w:sz w:val="20"/>
                </w:rPr>
                <w:t>minister@theroundchapel.org.uk</w:t>
              </w:r>
            </w:hyperlink>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Action required</w:t>
            </w:r>
          </w:p>
        </w:tc>
        <w:tc>
          <w:tcPr>
            <w:tcW w:w="6335" w:type="dxa"/>
            <w:tcBorders>
              <w:right w:val="nil"/>
            </w:tcBorders>
            <w:shd w:val="clear" w:color="auto" w:fill="FFFFFF"/>
          </w:tcPr>
          <w:p>
            <w:pPr>
              <w:pStyle w:val="TableParagraph"/>
              <w:spacing w:before="141"/>
              <w:rPr>
                <w:sz w:val="20"/>
              </w:rPr>
            </w:pPr>
            <w:r>
              <w:rPr>
                <w:w w:val="120"/>
                <w:sz w:val="20"/>
              </w:rPr>
              <w:t>Discussion and decision</w:t>
            </w:r>
          </w:p>
        </w:tc>
      </w:tr>
      <w:tr>
        <w:trPr>
          <w:trHeight w:val="76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Draft resolution(s)</w:t>
            </w:r>
          </w:p>
        </w:tc>
        <w:tc>
          <w:tcPr>
            <w:tcW w:w="6335" w:type="dxa"/>
            <w:tcBorders>
              <w:right w:val="nil"/>
            </w:tcBorders>
            <w:shd w:val="clear" w:color="auto" w:fill="FFFFFF"/>
          </w:tcPr>
          <w:p>
            <w:pPr>
              <w:pStyle w:val="TableParagraph"/>
              <w:numPr>
                <w:ilvl w:val="0"/>
                <w:numId w:val="63"/>
              </w:numPr>
              <w:tabs>
                <w:tab w:pos="760" w:val="left" w:leader="none"/>
                <w:tab w:pos="761" w:val="left" w:leader="none"/>
              </w:tabs>
              <w:spacing w:line="213" w:lineRule="auto" w:before="151" w:after="0"/>
              <w:ind w:left="80" w:right="583" w:firstLine="0"/>
              <w:jc w:val="left"/>
              <w:rPr>
                <w:rFonts w:ascii="Stone Sans II ITC Std Bk"/>
                <w:b/>
                <w:sz w:val="20"/>
              </w:rPr>
            </w:pPr>
            <w:r>
              <w:rPr>
                <w:rFonts w:ascii="Stone Sans II ITC Std Bk"/>
                <w:b/>
                <w:w w:val="110"/>
                <w:sz w:val="20"/>
              </w:rPr>
              <w:t>General Assembly affirms conciliarity, and in particular the role of the church meeting, as one of the </w:t>
            </w:r>
            <w:r>
              <w:rPr>
                <w:rFonts w:ascii="Stone Sans II ITC Std Bk"/>
                <w:b/>
                <w:spacing w:val="2"/>
                <w:w w:val="110"/>
                <w:sz w:val="20"/>
              </w:rPr>
              <w:t>gifts </w:t>
            </w:r>
            <w:r>
              <w:rPr>
                <w:rFonts w:ascii="Stone Sans II ITC Std Bk"/>
                <w:b/>
                <w:w w:val="110"/>
                <w:sz w:val="20"/>
              </w:rPr>
              <w:t>of the United Reformed Church, both to the wider Church and to the society in which this Church is</w:t>
            </w:r>
            <w:r>
              <w:rPr>
                <w:rFonts w:ascii="Stone Sans II ITC Std Bk"/>
                <w:b/>
                <w:spacing w:val="-1"/>
                <w:w w:val="110"/>
                <w:sz w:val="20"/>
              </w:rPr>
              <w:t> </w:t>
            </w:r>
            <w:r>
              <w:rPr>
                <w:rFonts w:ascii="Stone Sans II ITC Std Bk"/>
                <w:b/>
                <w:w w:val="110"/>
                <w:sz w:val="20"/>
              </w:rPr>
              <w:t>set.</w:t>
            </w:r>
          </w:p>
          <w:p>
            <w:pPr>
              <w:pStyle w:val="TableParagraph"/>
              <w:spacing w:before="4"/>
              <w:ind w:left="0"/>
              <w:rPr>
                <w:sz w:val="19"/>
              </w:rPr>
            </w:pPr>
          </w:p>
          <w:p>
            <w:pPr>
              <w:pStyle w:val="TableParagraph"/>
              <w:numPr>
                <w:ilvl w:val="0"/>
                <w:numId w:val="63"/>
              </w:numPr>
              <w:tabs>
                <w:tab w:pos="760" w:val="left" w:leader="none"/>
                <w:tab w:pos="761" w:val="left" w:leader="none"/>
              </w:tabs>
              <w:spacing w:line="213" w:lineRule="auto" w:before="1" w:after="0"/>
              <w:ind w:left="80" w:right="433" w:firstLine="0"/>
              <w:jc w:val="left"/>
              <w:rPr>
                <w:rFonts w:ascii="Stone Sans II ITC Std Bk"/>
                <w:b/>
                <w:sz w:val="20"/>
              </w:rPr>
            </w:pPr>
            <w:r>
              <w:rPr>
                <w:rFonts w:ascii="Stone Sans II ITC Std Bk"/>
                <w:b/>
                <w:w w:val="110"/>
                <w:sz w:val="20"/>
              </w:rPr>
              <w:t>In order that this affirmation may become a source of renewal across the United Reformed Church, General Assembly commissions the faith and order committee, in consultation with other committees as appropriate, to undertake the following</w:t>
            </w:r>
            <w:r>
              <w:rPr>
                <w:rFonts w:ascii="Stone Sans II ITC Std Bk"/>
                <w:b/>
                <w:spacing w:val="1"/>
                <w:w w:val="110"/>
                <w:sz w:val="20"/>
              </w:rPr>
              <w:t> </w:t>
            </w:r>
            <w:r>
              <w:rPr>
                <w:rFonts w:ascii="Stone Sans II ITC Std Bk"/>
                <w:b/>
                <w:w w:val="110"/>
                <w:sz w:val="20"/>
              </w:rPr>
              <w:t>work:</w:t>
            </w:r>
          </w:p>
          <w:p>
            <w:pPr>
              <w:pStyle w:val="TableParagraph"/>
              <w:numPr>
                <w:ilvl w:val="0"/>
                <w:numId w:val="64"/>
              </w:numPr>
              <w:tabs>
                <w:tab w:pos="760" w:val="left" w:leader="none"/>
                <w:tab w:pos="761" w:val="left" w:leader="none"/>
              </w:tabs>
              <w:spacing w:line="213" w:lineRule="auto" w:before="0" w:after="0"/>
              <w:ind w:left="760" w:right="426" w:hanging="681"/>
              <w:jc w:val="left"/>
              <w:rPr>
                <w:rFonts w:ascii="Stone Sans II ITC Std Bk"/>
                <w:b/>
                <w:sz w:val="20"/>
              </w:rPr>
            </w:pPr>
            <w:r>
              <w:rPr>
                <w:rFonts w:ascii="Stone Sans II ITC Std Bk"/>
                <w:b/>
                <w:w w:val="110"/>
                <w:sz w:val="20"/>
              </w:rPr>
              <w:t>to produce resources for study which emphasise the theological understanding that undergirds conciliarity,</w:t>
            </w:r>
          </w:p>
          <w:p>
            <w:pPr>
              <w:pStyle w:val="TableParagraph"/>
              <w:numPr>
                <w:ilvl w:val="0"/>
                <w:numId w:val="64"/>
              </w:numPr>
              <w:tabs>
                <w:tab w:pos="760" w:val="left" w:leader="none"/>
                <w:tab w:pos="761" w:val="left" w:leader="none"/>
              </w:tabs>
              <w:spacing w:line="213" w:lineRule="auto" w:before="0" w:after="0"/>
              <w:ind w:left="760" w:right="451" w:hanging="681"/>
              <w:jc w:val="left"/>
              <w:rPr>
                <w:rFonts w:ascii="Stone Sans II ITC Std Bk"/>
                <w:b/>
                <w:sz w:val="20"/>
              </w:rPr>
            </w:pPr>
            <w:r>
              <w:rPr>
                <w:rFonts w:ascii="Stone Sans II ITC Std Bk"/>
                <w:b/>
                <w:w w:val="110"/>
                <w:sz w:val="20"/>
              </w:rPr>
              <w:t>to suggest resources to enable meetings to be more engaged in their discernment of the mind of Christ in the power of the Holy</w:t>
            </w:r>
            <w:r>
              <w:rPr>
                <w:rFonts w:ascii="Stone Sans II ITC Std Bk"/>
                <w:b/>
                <w:spacing w:val="1"/>
                <w:w w:val="110"/>
                <w:sz w:val="20"/>
              </w:rPr>
              <w:t> </w:t>
            </w:r>
            <w:r>
              <w:rPr>
                <w:rFonts w:ascii="Stone Sans II ITC Std Bk"/>
                <w:b/>
                <w:w w:val="110"/>
                <w:sz w:val="20"/>
              </w:rPr>
              <w:t>Spirit,</w:t>
            </w:r>
          </w:p>
          <w:p>
            <w:pPr>
              <w:pStyle w:val="TableParagraph"/>
              <w:numPr>
                <w:ilvl w:val="0"/>
                <w:numId w:val="64"/>
              </w:numPr>
              <w:tabs>
                <w:tab w:pos="760" w:val="left" w:leader="none"/>
                <w:tab w:pos="761" w:val="left" w:leader="none"/>
              </w:tabs>
              <w:spacing w:line="213" w:lineRule="auto" w:before="0" w:after="0"/>
              <w:ind w:left="760" w:right="687" w:hanging="681"/>
              <w:jc w:val="left"/>
              <w:rPr>
                <w:rFonts w:ascii="Stone Sans II ITC Std Bk"/>
                <w:b/>
                <w:sz w:val="20"/>
              </w:rPr>
            </w:pPr>
            <w:r>
              <w:rPr>
                <w:rFonts w:ascii="Stone Sans II ITC Std Bk"/>
                <w:b/>
                <w:w w:val="110"/>
                <w:sz w:val="20"/>
              </w:rPr>
              <w:t>to offer reflections on the nature of church membership and ways in which it has evolved and is</w:t>
            </w:r>
            <w:r>
              <w:rPr>
                <w:rFonts w:ascii="Stone Sans II ITC Std Bk"/>
                <w:b/>
                <w:spacing w:val="-1"/>
                <w:w w:val="110"/>
                <w:sz w:val="20"/>
              </w:rPr>
              <w:t> </w:t>
            </w:r>
            <w:r>
              <w:rPr>
                <w:rFonts w:ascii="Stone Sans II ITC Std Bk"/>
                <w:b/>
                <w:w w:val="110"/>
                <w:sz w:val="20"/>
              </w:rPr>
              <w:t>evolving,</w:t>
            </w:r>
          </w:p>
          <w:p>
            <w:pPr>
              <w:pStyle w:val="TableParagraph"/>
              <w:numPr>
                <w:ilvl w:val="0"/>
                <w:numId w:val="64"/>
              </w:numPr>
              <w:tabs>
                <w:tab w:pos="760" w:val="left" w:leader="none"/>
                <w:tab w:pos="761" w:val="left" w:leader="none"/>
              </w:tabs>
              <w:spacing w:line="213" w:lineRule="auto" w:before="0" w:after="0"/>
              <w:ind w:left="760" w:right="446" w:hanging="681"/>
              <w:jc w:val="left"/>
              <w:rPr>
                <w:rFonts w:ascii="Stone Sans II ITC Std Bk"/>
                <w:b/>
                <w:sz w:val="20"/>
              </w:rPr>
            </w:pPr>
            <w:r>
              <w:rPr>
                <w:rFonts w:ascii="Stone Sans II ITC Std Bk"/>
                <w:b/>
                <w:w w:val="110"/>
                <w:sz w:val="20"/>
              </w:rPr>
              <w:t>to encourage the United Reformed Church through such media as </w:t>
            </w:r>
            <w:r>
              <w:rPr>
                <w:rFonts w:ascii="Stone Sans II ITC Std Bk"/>
                <w:b/>
                <w:i/>
                <w:w w:val="110"/>
                <w:sz w:val="20"/>
              </w:rPr>
              <w:t>Reform</w:t>
            </w:r>
            <w:r>
              <w:rPr>
                <w:rFonts w:ascii="Stone Sans II ITC Std Bk"/>
                <w:b/>
                <w:w w:val="110"/>
                <w:sz w:val="20"/>
              </w:rPr>
              <w:t>, the United Reformed Church website, and the United Reformed Church Facebook page to publish stories of creative ways in which churches</w:t>
            </w:r>
            <w:r>
              <w:rPr>
                <w:rFonts w:ascii="Stone Sans II ITC Std Bk"/>
                <w:b/>
                <w:spacing w:val="-2"/>
                <w:w w:val="110"/>
                <w:sz w:val="20"/>
              </w:rPr>
              <w:t> </w:t>
            </w:r>
            <w:r>
              <w:rPr>
                <w:rFonts w:ascii="Stone Sans II ITC Std Bk"/>
                <w:b/>
                <w:w w:val="110"/>
                <w:sz w:val="20"/>
              </w:rPr>
              <w:t>meet.</w:t>
            </w:r>
          </w:p>
          <w:p>
            <w:pPr>
              <w:pStyle w:val="TableParagraph"/>
              <w:spacing w:before="7"/>
              <w:ind w:left="0"/>
              <w:rPr>
                <w:sz w:val="18"/>
              </w:rPr>
            </w:pPr>
          </w:p>
          <w:p>
            <w:pPr>
              <w:pStyle w:val="TableParagraph"/>
              <w:tabs>
                <w:tab w:pos="760" w:val="left" w:leader="none"/>
              </w:tabs>
              <w:spacing w:line="213" w:lineRule="auto"/>
              <w:ind w:right="616"/>
              <w:rPr>
                <w:rFonts w:ascii="Stone Sans II ITC Std Bk"/>
                <w:b/>
                <w:sz w:val="20"/>
              </w:rPr>
            </w:pPr>
            <w:r>
              <w:rPr>
                <w:rFonts w:ascii="Stone Sans II ITC Std Bk"/>
                <w:b/>
                <w:w w:val="110"/>
                <w:sz w:val="20"/>
              </w:rPr>
              <w:t>3.</w:t>
              <w:tab/>
              <w:t>General Assembly invites further reflection on this paper in the councils of the Church at all levels and invites comments to be fed back to the faith and order committee by July</w:t>
            </w:r>
            <w:r>
              <w:rPr>
                <w:rFonts w:ascii="Stone Sans II ITC Std Bk"/>
                <w:b/>
                <w:spacing w:val="-1"/>
                <w:w w:val="110"/>
                <w:sz w:val="20"/>
              </w:rPr>
              <w:t> </w:t>
            </w:r>
            <w:r>
              <w:rPr>
                <w:rFonts w:ascii="Stone Sans II ITC Std Bk"/>
                <w:b/>
                <w:spacing w:val="-6"/>
                <w:w w:val="110"/>
                <w:sz w:val="20"/>
              </w:rPr>
              <w:t>2015.</w:t>
            </w:r>
          </w:p>
        </w:tc>
      </w:tr>
    </w:tbl>
    <w:p>
      <w:pPr>
        <w:pStyle w:val="BodyText"/>
        <w:spacing w:before="209" w:after="27"/>
        <w:ind w:left="1984"/>
      </w:pPr>
      <w:r>
        <w:rPr>
          <w:w w:val="120"/>
        </w:rPr>
        <w:t>Summary of Content</w:t>
      </w:r>
    </w:p>
    <w:tbl>
      <w:tblPr>
        <w:tblW w:w="0" w:type="auto"/>
        <w:jc w:val="left"/>
        <w:tblInd w:w="19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335"/>
      </w:tblGrid>
      <w:tr>
        <w:trPr>
          <w:trHeight w:val="92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Subject and aim(s)</w:t>
            </w:r>
          </w:p>
        </w:tc>
        <w:tc>
          <w:tcPr>
            <w:tcW w:w="6335" w:type="dxa"/>
            <w:tcBorders>
              <w:right w:val="nil"/>
            </w:tcBorders>
            <w:shd w:val="clear" w:color="auto" w:fill="FFFFFF"/>
          </w:tcPr>
          <w:p>
            <w:pPr>
              <w:pStyle w:val="TableParagraph"/>
              <w:spacing w:line="235" w:lineRule="auto" w:before="145"/>
              <w:ind w:right="289"/>
              <w:rPr>
                <w:sz w:val="20"/>
              </w:rPr>
            </w:pPr>
            <w:r>
              <w:rPr>
                <w:w w:val="120"/>
                <w:sz w:val="20"/>
              </w:rPr>
              <w:t>This is paper two of the future of the Church discussion, and looks at the United Reformed Church’s gift of conciliarity, with a particular focus on the nature of church meetings.</w:t>
            </w:r>
          </w:p>
        </w:tc>
      </w:tr>
      <w:tr>
        <w:trPr>
          <w:trHeight w:val="92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Main points</w:t>
            </w:r>
          </w:p>
        </w:tc>
        <w:tc>
          <w:tcPr>
            <w:tcW w:w="6335" w:type="dxa"/>
            <w:tcBorders>
              <w:right w:val="nil"/>
            </w:tcBorders>
            <w:shd w:val="clear" w:color="auto" w:fill="FFFFFF"/>
          </w:tcPr>
          <w:p>
            <w:pPr>
              <w:pStyle w:val="TableParagraph"/>
              <w:spacing w:line="235" w:lineRule="auto" w:before="145"/>
              <w:ind w:right="594"/>
              <w:rPr>
                <w:sz w:val="20"/>
              </w:rPr>
            </w:pPr>
            <w:r>
              <w:rPr>
                <w:w w:val="120"/>
                <w:sz w:val="20"/>
              </w:rPr>
              <w:t>The United Reformed Church needs renewal in its understanding and practice of conciliarity, on the basis of a shared listening to the Holy Spirit.</w:t>
            </w:r>
          </w:p>
        </w:tc>
      </w:tr>
    </w:tbl>
    <w:p>
      <w:pPr>
        <w:pStyle w:val="BodyText"/>
        <w:rPr>
          <w:sz w:val="24"/>
        </w:rPr>
      </w:pPr>
    </w:p>
    <w:p>
      <w:pPr>
        <w:pStyle w:val="BodyText"/>
        <w:spacing w:before="9"/>
        <w:rPr>
          <w:sz w:val="19"/>
        </w:rPr>
      </w:pPr>
    </w:p>
    <w:p>
      <w:pPr>
        <w:spacing w:before="1"/>
        <w:ind w:left="435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rFonts w:ascii="Stone Sans II ITC Std X Bd" w:hAnsi="Stone Sans II ITC Std X Bd"/>
          <w:b/>
          <w:w w:val="110"/>
          <w:sz w:val="24"/>
        </w:rPr>
        <w:t>111</w:t>
      </w:r>
    </w:p>
    <w:p>
      <w:pPr>
        <w:spacing w:after="0"/>
        <w:jc w:val="left"/>
        <w:rPr>
          <w:rFonts w:ascii="Stone Sans II ITC Std X Bd" w:hAnsi="Stone Sans II ITC Std X Bd"/>
          <w:sz w:val="24"/>
        </w:rPr>
        <w:sectPr>
          <w:headerReference w:type="default" r:id="rId264"/>
          <w:footerReference w:type="default" r:id="rId265"/>
          <w:pgSz w:w="11910" w:h="16840"/>
          <w:pgMar w:header="0" w:footer="0" w:top="0" w:bottom="0" w:left="0" w:right="0"/>
        </w:sectPr>
      </w:pPr>
    </w:p>
    <w:p>
      <w:pPr>
        <w:spacing w:before="94"/>
        <w:ind w:left="1247" w:right="0" w:firstLine="0"/>
        <w:jc w:val="left"/>
        <w:rPr>
          <w:sz w:val="26"/>
        </w:rPr>
      </w:pPr>
      <w:r>
        <w:rPr/>
        <w:pict>
          <v:group style="position:absolute;margin-left:0pt;margin-top:.000015pt;width:595.3pt;height:841.9pt;mso-position-horizontal-relative:page;mso-position-vertical-relative:page;z-index:-267311104" coordorigin="0,0" coordsize="11906,16838">
            <v:rect style="position:absolute;left:935;top:0;width:10970;height:4933" filled="true" fillcolor="#d3e5c3" stroked="false">
              <v:fill type="solid"/>
            </v:rect>
            <v:shape style="position:absolute;left:0;top:0;width:936;height:16838" type="#_x0000_t75" stroked="false">
              <v:imagedata r:id="rId198" o:title=""/>
            </v:shape>
            <v:rect style="position:absolute;left:10374;top:0;width:1513;height:4649" filled="true" fillcolor="#d3e5c3" stroked="false">
              <v:fill type="solid"/>
            </v:rect>
            <w10:wrap type="none"/>
          </v:group>
        </w:pict>
      </w:r>
      <w:r>
        <w:rPr/>
        <w:pict>
          <v:shape style="position:absolute;margin-left:20.519100pt;margin-top:21.993946pt;width:25.9pt;height:288pt;mso-position-horizontal-relative:page;mso-position-vertical-relative:paragraph;z-index:251966464" type="#_x0000_t202" filled="false" stroked="false">
            <v:textbox inset="0,0,0,0" style="layout-flow:vertical">
              <w:txbxContent>
                <w:p>
                  <w:pPr>
                    <w:spacing w:before="27"/>
                    <w:ind w:left="20" w:right="0" w:firstLine="0"/>
                    <w:jc w:val="left"/>
                    <w:rPr>
                      <w:sz w:val="39"/>
                    </w:rPr>
                  </w:pPr>
                  <w:r>
                    <w:rPr>
                      <w:color w:val="FFFFFF"/>
                      <w:w w:val="120"/>
                      <w:sz w:val="39"/>
                    </w:rPr>
                    <w:t>The URC’s gift of conciliarity</w:t>
                  </w:r>
                </w:p>
              </w:txbxContent>
            </v:textbox>
            <w10:wrap type="none"/>
          </v:shape>
        </w:pict>
      </w:r>
      <w:r>
        <w:rPr>
          <w:color w:val="7EAABF"/>
          <w:w w:val="115"/>
          <w:sz w:val="26"/>
        </w:rPr>
        <w:t>Faith and order</w:t>
      </w:r>
    </w:p>
    <w:p>
      <w:pPr>
        <w:pStyle w:val="BodyText"/>
        <w:spacing w:before="1"/>
        <w:rPr>
          <w:sz w:val="15"/>
        </w:rPr>
      </w:pPr>
    </w:p>
    <w:tbl>
      <w:tblPr>
        <w:tblW w:w="0" w:type="auto"/>
        <w:jc w:val="left"/>
        <w:tblInd w:w="1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463"/>
      </w:tblGrid>
      <w:tr>
        <w:trPr>
          <w:trHeight w:val="680" w:hRule="atLeast"/>
        </w:trPr>
        <w:tc>
          <w:tcPr>
            <w:tcW w:w="2660" w:type="dxa"/>
            <w:shd w:val="clear" w:color="auto" w:fill="FFFFFF"/>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463" w:type="dxa"/>
            <w:tcBorders>
              <w:right w:val="nil"/>
            </w:tcBorders>
            <w:shd w:val="clear" w:color="auto" w:fill="FFFFFF"/>
          </w:tcPr>
          <w:p>
            <w:pPr>
              <w:pStyle w:val="TableParagraph"/>
              <w:spacing w:before="141"/>
              <w:rPr>
                <w:sz w:val="20"/>
              </w:rPr>
            </w:pPr>
            <w:r>
              <w:rPr>
                <w:w w:val="120"/>
                <w:sz w:val="20"/>
              </w:rPr>
              <w:t>Future of the Church paper one, General Assembly 2014</w:t>
            </w:r>
          </w:p>
        </w:tc>
      </w:tr>
      <w:tr>
        <w:trPr>
          <w:trHeight w:val="680" w:hRule="atLeast"/>
        </w:trPr>
        <w:tc>
          <w:tcPr>
            <w:tcW w:w="2660" w:type="dxa"/>
            <w:shd w:val="clear" w:color="auto" w:fill="FFFFFF"/>
          </w:tcPr>
          <w:p>
            <w:pPr>
              <w:pStyle w:val="TableParagraph"/>
              <w:spacing w:line="213" w:lineRule="auto" w:before="151"/>
              <w:ind w:right="104"/>
              <w:rPr>
                <w:rFonts w:ascii="Stone Sans II ITC Std Bk"/>
                <w:b/>
                <w:sz w:val="20"/>
              </w:rPr>
            </w:pPr>
            <w:r>
              <w:rPr>
                <w:rFonts w:ascii="Stone Sans II ITC Std Bk"/>
                <w:b/>
                <w:w w:val="110"/>
                <w:sz w:val="20"/>
              </w:rPr>
              <w:t>Consultation has taken place with...</w:t>
            </w:r>
          </w:p>
        </w:tc>
        <w:tc>
          <w:tcPr>
            <w:tcW w:w="6463" w:type="dxa"/>
            <w:tcBorders>
              <w:right w:val="nil"/>
            </w:tcBorders>
            <w:shd w:val="clear" w:color="auto" w:fill="FFFFFF"/>
          </w:tcPr>
          <w:p>
            <w:pPr>
              <w:pStyle w:val="TableParagraph"/>
              <w:spacing w:before="141"/>
              <w:rPr>
                <w:sz w:val="20"/>
              </w:rPr>
            </w:pPr>
            <w:r>
              <w:rPr>
                <w:w w:val="120"/>
                <w:sz w:val="20"/>
              </w:rPr>
              <w:t>Mission Council</w:t>
            </w:r>
          </w:p>
        </w:tc>
      </w:tr>
    </w:tbl>
    <w:p>
      <w:pPr>
        <w:pStyle w:val="BodyText"/>
        <w:spacing w:before="209" w:after="27"/>
        <w:ind w:left="1247"/>
      </w:pPr>
      <w:r>
        <w:rPr>
          <w:w w:val="120"/>
        </w:rPr>
        <w:t>Summary of Impact</w:t>
      </w:r>
    </w:p>
    <w:tbl>
      <w:tblPr>
        <w:tblW w:w="0" w:type="auto"/>
        <w:jc w:val="left"/>
        <w:tblInd w:w="1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463"/>
      </w:tblGrid>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463" w:type="dxa"/>
            <w:tcBorders>
              <w:right w:val="nil"/>
            </w:tcBorders>
            <w:shd w:val="clear" w:color="auto" w:fill="FFFFFF"/>
          </w:tcPr>
          <w:p>
            <w:pPr>
              <w:pStyle w:val="TableParagraph"/>
              <w:spacing w:before="141"/>
              <w:rPr>
                <w:sz w:val="20"/>
              </w:rPr>
            </w:pPr>
            <w:r>
              <w:rPr>
                <w:w w:val="120"/>
                <w:sz w:val="20"/>
              </w:rPr>
              <w:t>Nothing immediate</w:t>
            </w:r>
          </w:p>
        </w:tc>
      </w:tr>
      <w:tr>
        <w:trPr>
          <w:trHeight w:val="68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463" w:type="dxa"/>
            <w:tcBorders>
              <w:right w:val="nil"/>
            </w:tcBorders>
            <w:shd w:val="clear" w:color="auto" w:fill="FFFFFF"/>
          </w:tcPr>
          <w:p>
            <w:pPr>
              <w:pStyle w:val="TableParagraph"/>
              <w:spacing w:before="141"/>
              <w:rPr>
                <w:sz w:val="20"/>
              </w:rPr>
            </w:pPr>
            <w:r>
              <w:rPr>
                <w:w w:val="120"/>
                <w:sz w:val="20"/>
              </w:rPr>
              <w:t>Local ecumenical partnerships</w:t>
            </w:r>
          </w:p>
        </w:tc>
      </w:tr>
    </w:tbl>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12"/>
        <w:rPr>
          <w:sz w:val="28"/>
        </w:rPr>
      </w:pPr>
    </w:p>
    <w:p>
      <w:pPr>
        <w:spacing w:line="220" w:lineRule="auto" w:before="0"/>
        <w:ind w:left="1247" w:right="2004" w:firstLine="0"/>
        <w:jc w:val="left"/>
        <w:rPr>
          <w:rFonts w:ascii="Stone Sans II ITC Std X Bd" w:hAnsi="Stone Sans II ITC Std X Bd"/>
          <w:b/>
          <w:sz w:val="48"/>
        </w:rPr>
      </w:pPr>
      <w:r>
        <w:rPr>
          <w:rFonts w:ascii="Stone Sans II ITC Std X Bd" w:hAnsi="Stone Sans II ITC Std X Bd"/>
          <w:b/>
          <w:spacing w:val="-4"/>
          <w:w w:val="115"/>
          <w:sz w:val="48"/>
        </w:rPr>
        <w:t>What </w:t>
      </w:r>
      <w:r>
        <w:rPr>
          <w:rFonts w:ascii="Stone Sans II ITC Std X Bd" w:hAnsi="Stone Sans II ITC Std X Bd"/>
          <w:b/>
          <w:w w:val="115"/>
          <w:sz w:val="48"/>
        </w:rPr>
        <w:t>is </w:t>
      </w:r>
      <w:r>
        <w:rPr>
          <w:rFonts w:ascii="Stone Sans II ITC Std X Bd" w:hAnsi="Stone Sans II ITC Std X Bd"/>
          <w:b/>
          <w:spacing w:val="-4"/>
          <w:w w:val="115"/>
          <w:sz w:val="48"/>
        </w:rPr>
        <w:t>the Spirit </w:t>
      </w:r>
      <w:r>
        <w:rPr>
          <w:rFonts w:ascii="Stone Sans II ITC Std X Bd" w:hAnsi="Stone Sans II ITC Std X Bd"/>
          <w:b/>
          <w:spacing w:val="-6"/>
          <w:w w:val="115"/>
          <w:sz w:val="48"/>
        </w:rPr>
        <w:t>saying </w:t>
      </w:r>
      <w:r>
        <w:rPr>
          <w:rFonts w:ascii="Stone Sans II ITC Std X Bd" w:hAnsi="Stone Sans II ITC Std X Bd"/>
          <w:b/>
          <w:spacing w:val="-7"/>
          <w:w w:val="115"/>
          <w:sz w:val="48"/>
        </w:rPr>
        <w:t>to </w:t>
      </w:r>
      <w:r>
        <w:rPr>
          <w:rFonts w:ascii="Stone Sans II ITC Std X Bd" w:hAnsi="Stone Sans II ITC Std X Bd"/>
          <w:b/>
          <w:spacing w:val="-4"/>
          <w:w w:val="115"/>
          <w:sz w:val="48"/>
        </w:rPr>
        <w:t>the </w:t>
      </w:r>
      <w:r>
        <w:rPr>
          <w:rFonts w:ascii="Stone Sans II ITC Std X Bd" w:hAnsi="Stone Sans II ITC Std X Bd"/>
          <w:b/>
          <w:spacing w:val="-8"/>
          <w:w w:val="115"/>
          <w:sz w:val="48"/>
        </w:rPr>
        <w:t>Churches?</w:t>
      </w:r>
      <w:r>
        <w:rPr>
          <w:rFonts w:ascii="Stone Sans II ITC Std X Bd" w:hAnsi="Stone Sans II ITC Std X Bd"/>
          <w:b/>
          <w:spacing w:val="-63"/>
          <w:w w:val="115"/>
          <w:sz w:val="48"/>
        </w:rPr>
        <w:t> </w:t>
      </w:r>
      <w:r>
        <w:rPr>
          <w:rFonts w:ascii="Stone Sans II ITC Std X Bd" w:hAnsi="Stone Sans II ITC Std X Bd"/>
          <w:b/>
          <w:w w:val="115"/>
          <w:sz w:val="48"/>
        </w:rPr>
        <w:t>The</w:t>
      </w:r>
      <w:r>
        <w:rPr>
          <w:rFonts w:ascii="Stone Sans II ITC Std X Bd" w:hAnsi="Stone Sans II ITC Std X Bd"/>
          <w:b/>
          <w:spacing w:val="-63"/>
          <w:w w:val="115"/>
          <w:sz w:val="48"/>
        </w:rPr>
        <w:t> </w:t>
      </w:r>
      <w:r>
        <w:rPr>
          <w:rFonts w:ascii="Stone Sans II ITC Std X Bd" w:hAnsi="Stone Sans II ITC Std X Bd"/>
          <w:b/>
          <w:spacing w:val="-4"/>
          <w:w w:val="115"/>
          <w:sz w:val="48"/>
        </w:rPr>
        <w:t>United</w:t>
      </w:r>
      <w:r>
        <w:rPr>
          <w:rFonts w:ascii="Stone Sans II ITC Std X Bd" w:hAnsi="Stone Sans II ITC Std X Bd"/>
          <w:b/>
          <w:spacing w:val="-62"/>
          <w:w w:val="115"/>
          <w:sz w:val="48"/>
        </w:rPr>
        <w:t> </w:t>
      </w:r>
      <w:r>
        <w:rPr>
          <w:rFonts w:ascii="Stone Sans II ITC Std X Bd" w:hAnsi="Stone Sans II ITC Std X Bd"/>
          <w:b/>
          <w:spacing w:val="-3"/>
          <w:w w:val="115"/>
          <w:sz w:val="48"/>
        </w:rPr>
        <w:t>Reformed </w:t>
      </w:r>
      <w:r>
        <w:rPr>
          <w:rFonts w:ascii="Stone Sans II ITC Std X Bd" w:hAnsi="Stone Sans II ITC Std X Bd"/>
          <w:b/>
          <w:spacing w:val="-10"/>
          <w:w w:val="115"/>
          <w:sz w:val="48"/>
        </w:rPr>
        <w:t>Church’s </w:t>
      </w:r>
      <w:r>
        <w:rPr>
          <w:rFonts w:ascii="Stone Sans II ITC Std X Bd" w:hAnsi="Stone Sans II ITC Std X Bd"/>
          <w:b/>
          <w:spacing w:val="2"/>
          <w:w w:val="115"/>
          <w:sz w:val="48"/>
        </w:rPr>
        <w:t>gift </w:t>
      </w:r>
      <w:r>
        <w:rPr>
          <w:rFonts w:ascii="Stone Sans II ITC Std X Bd" w:hAnsi="Stone Sans II ITC Std X Bd"/>
          <w:b/>
          <w:w w:val="115"/>
          <w:sz w:val="48"/>
        </w:rPr>
        <w:t>of </w:t>
      </w:r>
      <w:r>
        <w:rPr>
          <w:rFonts w:ascii="Stone Sans II ITC Std X Bd" w:hAnsi="Stone Sans II ITC Std X Bd"/>
          <w:b/>
          <w:spacing w:val="-4"/>
          <w:w w:val="115"/>
          <w:sz w:val="48"/>
        </w:rPr>
        <w:t>conciliarity</w:t>
      </w:r>
    </w:p>
    <w:p>
      <w:pPr>
        <w:pStyle w:val="Heading4"/>
        <w:spacing w:before="283"/>
        <w:ind w:left="1247" w:firstLine="0"/>
        <w:rPr>
          <w:rFonts w:ascii="Stone Sans II ITC Std X Bd"/>
          <w:b/>
        </w:rPr>
      </w:pPr>
      <w:r>
        <w:rPr>
          <w:rFonts w:ascii="Stone Sans II ITC Std X Bd"/>
          <w:b/>
          <w:spacing w:val="-2"/>
          <w:w w:val="110"/>
        </w:rPr>
        <w:t>Future </w:t>
      </w:r>
      <w:r>
        <w:rPr>
          <w:rFonts w:ascii="Stone Sans II ITC Std X Bd"/>
          <w:b/>
          <w:w w:val="110"/>
        </w:rPr>
        <w:t>of the </w:t>
      </w:r>
      <w:r>
        <w:rPr>
          <w:rFonts w:ascii="Stone Sans II ITC Std X Bd"/>
          <w:b/>
          <w:spacing w:val="-3"/>
          <w:w w:val="110"/>
        </w:rPr>
        <w:t>Church </w:t>
      </w:r>
      <w:r>
        <w:rPr>
          <w:rFonts w:ascii="Stone Sans II ITC Std X Bd"/>
          <w:b/>
          <w:w w:val="110"/>
        </w:rPr>
        <w:t>paper</w:t>
      </w:r>
      <w:r>
        <w:rPr>
          <w:rFonts w:ascii="Stone Sans II ITC Std X Bd"/>
          <w:b/>
          <w:spacing w:val="6"/>
          <w:w w:val="110"/>
        </w:rPr>
        <w:t> </w:t>
      </w:r>
      <w:r>
        <w:rPr>
          <w:rFonts w:ascii="Stone Sans II ITC Std X Bd"/>
          <w:b/>
          <w:w w:val="110"/>
        </w:rPr>
        <w:t>2</w:t>
      </w:r>
    </w:p>
    <w:p>
      <w:pPr>
        <w:pStyle w:val="BodyText"/>
        <w:spacing w:before="6"/>
        <w:rPr>
          <w:rFonts w:ascii="Stone Sans II ITC Std X Bd"/>
          <w:b/>
          <w:sz w:val="44"/>
        </w:rPr>
      </w:pPr>
    </w:p>
    <w:p>
      <w:pPr>
        <w:pStyle w:val="ListParagraph"/>
        <w:numPr>
          <w:ilvl w:val="0"/>
          <w:numId w:val="65"/>
        </w:numPr>
        <w:tabs>
          <w:tab w:pos="1927" w:val="left" w:leader="none"/>
          <w:tab w:pos="1928" w:val="left" w:leader="none"/>
        </w:tabs>
        <w:spacing w:line="240" w:lineRule="auto" w:before="0" w:after="0"/>
        <w:ind w:left="1927" w:right="0" w:hanging="681"/>
        <w:jc w:val="left"/>
        <w:rPr>
          <w:rFonts w:ascii="Stone Sans II ITC Std Bk"/>
          <w:b/>
          <w:sz w:val="29"/>
        </w:rPr>
      </w:pPr>
      <w:r>
        <w:rPr>
          <w:rFonts w:ascii="Stone Sans II ITC Std Bk"/>
          <w:b/>
          <w:spacing w:val="4"/>
          <w:w w:val="110"/>
          <w:sz w:val="29"/>
        </w:rPr>
        <w:t>Introduction</w:t>
      </w:r>
    </w:p>
    <w:p>
      <w:pPr>
        <w:pStyle w:val="ListParagraph"/>
        <w:numPr>
          <w:ilvl w:val="1"/>
          <w:numId w:val="65"/>
        </w:numPr>
        <w:tabs>
          <w:tab w:pos="1927" w:val="left" w:leader="none"/>
          <w:tab w:pos="1928" w:val="left" w:leader="none"/>
        </w:tabs>
        <w:spacing w:line="235" w:lineRule="auto" w:before="69" w:after="0"/>
        <w:ind w:left="1247" w:right="2013" w:firstLine="0"/>
        <w:jc w:val="left"/>
        <w:rPr>
          <w:sz w:val="20"/>
        </w:rPr>
      </w:pPr>
      <w:r>
        <w:rPr>
          <w:w w:val="120"/>
          <w:sz w:val="20"/>
        </w:rPr>
        <w:t>In autumn </w:t>
      </w:r>
      <w:r>
        <w:rPr>
          <w:spacing w:val="-10"/>
          <w:w w:val="120"/>
          <w:sz w:val="20"/>
        </w:rPr>
        <w:t>2011, </w:t>
      </w:r>
      <w:r>
        <w:rPr>
          <w:w w:val="120"/>
          <w:sz w:val="20"/>
        </w:rPr>
        <w:t>The United Reformed </w:t>
      </w:r>
      <w:r>
        <w:rPr>
          <w:spacing w:val="-3"/>
          <w:w w:val="120"/>
          <w:sz w:val="20"/>
        </w:rPr>
        <w:t>Church’s </w:t>
      </w:r>
      <w:r>
        <w:rPr>
          <w:w w:val="120"/>
          <w:sz w:val="20"/>
        </w:rPr>
        <w:t>faith and order committee initiated a discussion on ‘the future of the Church’ </w:t>
      </w:r>
      <w:r>
        <w:rPr>
          <w:spacing w:val="-4"/>
          <w:w w:val="120"/>
          <w:sz w:val="20"/>
        </w:rPr>
        <w:t>(see </w:t>
      </w:r>
      <w:r>
        <w:rPr>
          <w:w w:val="120"/>
          <w:sz w:val="20"/>
        </w:rPr>
        <w:t>separate </w:t>
      </w:r>
      <w:r>
        <w:rPr>
          <w:spacing w:val="-7"/>
          <w:w w:val="120"/>
          <w:sz w:val="20"/>
        </w:rPr>
        <w:t>2014 </w:t>
      </w:r>
      <w:r>
        <w:rPr>
          <w:w w:val="120"/>
          <w:sz w:val="20"/>
        </w:rPr>
        <w:t>General Assembly paper ‘What is the Spirit saying to the Churches? Affirmation of the United Reformed </w:t>
      </w:r>
      <w:r>
        <w:rPr>
          <w:spacing w:val="-3"/>
          <w:w w:val="120"/>
          <w:sz w:val="20"/>
        </w:rPr>
        <w:t>Church’s </w:t>
      </w:r>
      <w:r>
        <w:rPr>
          <w:w w:val="120"/>
          <w:sz w:val="20"/>
        </w:rPr>
        <w:t>future’ for the details of this discussion.) The discussion has taken place over several 24-hour faith and order committee meetings and three meetings of Mission Council in </w:t>
      </w:r>
      <w:r>
        <w:rPr>
          <w:spacing w:val="-8"/>
          <w:w w:val="120"/>
          <w:sz w:val="20"/>
        </w:rPr>
        <w:t>2013 </w:t>
      </w:r>
      <w:r>
        <w:rPr>
          <w:w w:val="120"/>
          <w:sz w:val="20"/>
        </w:rPr>
        <w:t>and </w:t>
      </w:r>
      <w:r>
        <w:rPr>
          <w:spacing w:val="-7"/>
          <w:w w:val="120"/>
          <w:sz w:val="20"/>
        </w:rPr>
        <w:t>2014, </w:t>
      </w:r>
      <w:r>
        <w:rPr>
          <w:w w:val="120"/>
          <w:sz w:val="20"/>
        </w:rPr>
        <w:t>and an understanding of the identity and </w:t>
      </w:r>
      <w:r>
        <w:rPr>
          <w:spacing w:val="2"/>
          <w:w w:val="120"/>
          <w:sz w:val="20"/>
        </w:rPr>
        <w:t>gifts </w:t>
      </w:r>
      <w:r>
        <w:rPr>
          <w:w w:val="120"/>
          <w:sz w:val="20"/>
        </w:rPr>
        <w:t>of the United Reformed Church has been re-affirmed. Several issues have emerged for further work and this paper looks at one of these areas – the </w:t>
      </w:r>
      <w:r>
        <w:rPr>
          <w:spacing w:val="2"/>
          <w:w w:val="120"/>
          <w:sz w:val="20"/>
        </w:rPr>
        <w:t>gift </w:t>
      </w:r>
      <w:r>
        <w:rPr>
          <w:w w:val="120"/>
          <w:sz w:val="20"/>
        </w:rPr>
        <w:t>of conciliarity: the way in which the Holy Spirit speaks to the Church through the different councils. While conciliarity has many dimensions to it, this paper addresses conciliarity at the congregational level, in church meetings, recognising that more work needs to be done to interpret conciliarity in synods and General Assembly. A further paper looks at the role of elders, another distinctive </w:t>
      </w:r>
      <w:r>
        <w:rPr>
          <w:spacing w:val="2"/>
          <w:w w:val="120"/>
          <w:sz w:val="20"/>
        </w:rPr>
        <w:t>gift </w:t>
      </w:r>
      <w:r>
        <w:rPr>
          <w:w w:val="120"/>
          <w:sz w:val="20"/>
        </w:rPr>
        <w:t>of the United Reformed</w:t>
      </w:r>
      <w:r>
        <w:rPr>
          <w:spacing w:val="12"/>
          <w:w w:val="120"/>
          <w:sz w:val="20"/>
        </w:rPr>
        <w:t> </w:t>
      </w:r>
      <w:r>
        <w:rPr>
          <w:w w:val="120"/>
          <w:sz w:val="20"/>
        </w:rPr>
        <w:t>Church.</w:t>
      </w:r>
    </w:p>
    <w:p>
      <w:pPr>
        <w:pStyle w:val="BodyText"/>
        <w:spacing w:before="5"/>
      </w:pPr>
    </w:p>
    <w:p>
      <w:pPr>
        <w:pStyle w:val="ListParagraph"/>
        <w:numPr>
          <w:ilvl w:val="1"/>
          <w:numId w:val="65"/>
        </w:numPr>
        <w:tabs>
          <w:tab w:pos="1927" w:val="left" w:leader="none"/>
          <w:tab w:pos="1928" w:val="left" w:leader="none"/>
        </w:tabs>
        <w:spacing w:line="235" w:lineRule="auto" w:before="1" w:after="0"/>
        <w:ind w:left="1247" w:right="2363" w:firstLine="0"/>
        <w:jc w:val="left"/>
        <w:rPr>
          <w:sz w:val="20"/>
        </w:rPr>
      </w:pPr>
      <w:r>
        <w:rPr>
          <w:spacing w:val="2"/>
          <w:w w:val="120"/>
          <w:sz w:val="20"/>
        </w:rPr>
        <w:t>While </w:t>
      </w:r>
      <w:r>
        <w:rPr>
          <w:spacing w:val="3"/>
          <w:w w:val="120"/>
          <w:sz w:val="20"/>
        </w:rPr>
        <w:t>every </w:t>
      </w:r>
      <w:r>
        <w:rPr>
          <w:w w:val="120"/>
          <w:sz w:val="20"/>
        </w:rPr>
        <w:t>Church has an </w:t>
      </w:r>
      <w:r>
        <w:rPr>
          <w:spacing w:val="2"/>
          <w:w w:val="120"/>
          <w:sz w:val="20"/>
        </w:rPr>
        <w:t>identity </w:t>
      </w:r>
      <w:r>
        <w:rPr>
          <w:w w:val="120"/>
          <w:sz w:val="20"/>
        </w:rPr>
        <w:t>based in </w:t>
      </w:r>
      <w:r>
        <w:rPr>
          <w:spacing w:val="3"/>
          <w:w w:val="120"/>
          <w:sz w:val="20"/>
        </w:rPr>
        <w:t>part </w:t>
      </w:r>
      <w:r>
        <w:rPr>
          <w:w w:val="120"/>
          <w:sz w:val="20"/>
        </w:rPr>
        <w:t>on </w:t>
      </w:r>
      <w:r>
        <w:rPr>
          <w:spacing w:val="2"/>
          <w:w w:val="120"/>
          <w:sz w:val="20"/>
        </w:rPr>
        <w:t>its understanding </w:t>
      </w:r>
      <w:r>
        <w:rPr>
          <w:w w:val="120"/>
          <w:sz w:val="20"/>
        </w:rPr>
        <w:t>of </w:t>
      </w:r>
      <w:r>
        <w:rPr>
          <w:spacing w:val="2"/>
          <w:w w:val="120"/>
          <w:sz w:val="20"/>
        </w:rPr>
        <w:t>its </w:t>
      </w:r>
      <w:r>
        <w:rPr>
          <w:w w:val="120"/>
          <w:sz w:val="20"/>
        </w:rPr>
        <w:t>councils,</w:t>
      </w:r>
      <w:r>
        <w:rPr>
          <w:spacing w:val="14"/>
          <w:w w:val="120"/>
          <w:sz w:val="20"/>
        </w:rPr>
        <w:t> </w:t>
      </w:r>
      <w:r>
        <w:rPr>
          <w:w w:val="120"/>
          <w:sz w:val="20"/>
        </w:rPr>
        <w:t>the</w:t>
      </w:r>
      <w:r>
        <w:rPr>
          <w:spacing w:val="15"/>
          <w:w w:val="120"/>
          <w:sz w:val="20"/>
        </w:rPr>
        <w:t> </w:t>
      </w:r>
      <w:r>
        <w:rPr>
          <w:w w:val="120"/>
          <w:sz w:val="20"/>
        </w:rPr>
        <w:t>United</w:t>
      </w:r>
      <w:r>
        <w:rPr>
          <w:spacing w:val="15"/>
          <w:w w:val="120"/>
          <w:sz w:val="20"/>
        </w:rPr>
        <w:t> </w:t>
      </w:r>
      <w:r>
        <w:rPr>
          <w:spacing w:val="2"/>
          <w:w w:val="120"/>
          <w:sz w:val="20"/>
        </w:rPr>
        <w:t>Reformed</w:t>
      </w:r>
      <w:r>
        <w:rPr>
          <w:spacing w:val="15"/>
          <w:w w:val="120"/>
          <w:sz w:val="20"/>
        </w:rPr>
        <w:t> </w:t>
      </w:r>
      <w:r>
        <w:rPr>
          <w:w w:val="120"/>
          <w:sz w:val="20"/>
        </w:rPr>
        <w:t>Church</w:t>
      </w:r>
      <w:r>
        <w:rPr>
          <w:spacing w:val="14"/>
          <w:w w:val="120"/>
          <w:sz w:val="20"/>
        </w:rPr>
        <w:t> </w:t>
      </w:r>
      <w:r>
        <w:rPr>
          <w:w w:val="120"/>
          <w:sz w:val="20"/>
        </w:rPr>
        <w:t>believes</w:t>
      </w:r>
      <w:r>
        <w:rPr>
          <w:spacing w:val="15"/>
          <w:w w:val="120"/>
          <w:sz w:val="20"/>
        </w:rPr>
        <w:t> </w:t>
      </w:r>
      <w:r>
        <w:rPr>
          <w:w w:val="120"/>
          <w:sz w:val="20"/>
        </w:rPr>
        <w:t>that</w:t>
      </w:r>
      <w:r>
        <w:rPr>
          <w:spacing w:val="15"/>
          <w:w w:val="120"/>
          <w:sz w:val="20"/>
        </w:rPr>
        <w:t> </w:t>
      </w:r>
      <w:r>
        <w:rPr>
          <w:spacing w:val="2"/>
          <w:w w:val="120"/>
          <w:sz w:val="20"/>
        </w:rPr>
        <w:t>its</w:t>
      </w:r>
      <w:r>
        <w:rPr>
          <w:spacing w:val="15"/>
          <w:w w:val="120"/>
          <w:sz w:val="20"/>
        </w:rPr>
        <w:t> </w:t>
      </w:r>
      <w:r>
        <w:rPr>
          <w:spacing w:val="2"/>
          <w:w w:val="120"/>
          <w:sz w:val="20"/>
        </w:rPr>
        <w:t>particular</w:t>
      </w:r>
      <w:r>
        <w:rPr>
          <w:spacing w:val="15"/>
          <w:w w:val="120"/>
          <w:sz w:val="20"/>
        </w:rPr>
        <w:t> </w:t>
      </w:r>
      <w:r>
        <w:rPr>
          <w:spacing w:val="2"/>
          <w:w w:val="120"/>
          <w:sz w:val="20"/>
        </w:rPr>
        <w:t>understanding</w:t>
      </w:r>
    </w:p>
    <w:p>
      <w:pPr>
        <w:pStyle w:val="BodyText"/>
        <w:spacing w:line="235" w:lineRule="auto" w:before="1"/>
        <w:ind w:left="1247" w:right="2412"/>
      </w:pPr>
      <w:r>
        <w:rPr>
          <w:w w:val="120"/>
        </w:rPr>
        <w:t>is a </w:t>
      </w:r>
      <w:r>
        <w:rPr>
          <w:spacing w:val="2"/>
          <w:w w:val="120"/>
        </w:rPr>
        <w:t>helpful offering </w:t>
      </w:r>
      <w:r>
        <w:rPr>
          <w:w w:val="120"/>
        </w:rPr>
        <w:t>to the wider ecumenical movement. It is an </w:t>
      </w:r>
      <w:r>
        <w:rPr>
          <w:spacing w:val="2"/>
          <w:w w:val="120"/>
        </w:rPr>
        <w:t>approach </w:t>
      </w:r>
      <w:r>
        <w:rPr>
          <w:w w:val="120"/>
        </w:rPr>
        <w:t>to life which can also make a </w:t>
      </w:r>
      <w:r>
        <w:rPr>
          <w:spacing w:val="2"/>
          <w:w w:val="120"/>
        </w:rPr>
        <w:t>valuable </w:t>
      </w:r>
      <w:r>
        <w:rPr>
          <w:w w:val="120"/>
        </w:rPr>
        <w:t>contribution to society. However, the United </w:t>
      </w:r>
      <w:r>
        <w:rPr>
          <w:spacing w:val="2"/>
          <w:w w:val="120"/>
        </w:rPr>
        <w:t>Reformed </w:t>
      </w:r>
      <w:r>
        <w:rPr>
          <w:w w:val="120"/>
        </w:rPr>
        <w:t>Church has not always fully lived out the </w:t>
      </w:r>
      <w:r>
        <w:rPr>
          <w:spacing w:val="2"/>
          <w:w w:val="120"/>
        </w:rPr>
        <w:t>riches </w:t>
      </w:r>
      <w:r>
        <w:rPr>
          <w:w w:val="120"/>
        </w:rPr>
        <w:t>of </w:t>
      </w:r>
      <w:r>
        <w:rPr>
          <w:spacing w:val="2"/>
          <w:w w:val="120"/>
        </w:rPr>
        <w:t>its </w:t>
      </w:r>
      <w:r>
        <w:rPr>
          <w:w w:val="120"/>
        </w:rPr>
        <w:t>own </w:t>
      </w:r>
      <w:r>
        <w:rPr>
          <w:spacing w:val="2"/>
          <w:w w:val="120"/>
        </w:rPr>
        <w:t>understanding </w:t>
      </w:r>
      <w:r>
        <w:rPr>
          <w:w w:val="120"/>
        </w:rPr>
        <w:t>of conciliarity and needs renewal in this area. This paper </w:t>
      </w:r>
      <w:r>
        <w:rPr>
          <w:spacing w:val="3"/>
          <w:w w:val="120"/>
        </w:rPr>
        <w:t>looks </w:t>
      </w:r>
      <w:r>
        <w:rPr>
          <w:w w:val="120"/>
        </w:rPr>
        <w:t>at a cross </w:t>
      </w:r>
      <w:r>
        <w:rPr>
          <w:spacing w:val="2"/>
          <w:w w:val="120"/>
        </w:rPr>
        <w:t>section </w:t>
      </w:r>
      <w:r>
        <w:rPr>
          <w:w w:val="120"/>
        </w:rPr>
        <w:t>of issues, </w:t>
      </w:r>
      <w:r>
        <w:rPr>
          <w:spacing w:val="4"/>
          <w:w w:val="120"/>
        </w:rPr>
        <w:t>gifts </w:t>
      </w:r>
      <w:r>
        <w:rPr>
          <w:w w:val="120"/>
        </w:rPr>
        <w:t>and </w:t>
      </w:r>
      <w:r>
        <w:rPr>
          <w:spacing w:val="3"/>
          <w:w w:val="120"/>
        </w:rPr>
        <w:t>practical</w:t>
      </w:r>
      <w:r>
        <w:rPr>
          <w:spacing w:val="22"/>
          <w:w w:val="120"/>
        </w:rPr>
        <w:t> </w:t>
      </w:r>
      <w:r>
        <w:rPr>
          <w:w w:val="120"/>
        </w:rPr>
        <w:t>dimensions.</w:t>
      </w:r>
    </w:p>
    <w:p>
      <w:pPr>
        <w:spacing w:after="0" w:line="235" w:lineRule="auto"/>
        <w:sectPr>
          <w:headerReference w:type="even" r:id="rId266"/>
          <w:footerReference w:type="even" r:id="rId267"/>
          <w:footerReference w:type="default" r:id="rId268"/>
          <w:pgSz w:w="11910" w:h="16840"/>
          <w:pgMar w:header="0" w:footer="647" w:top="520" w:bottom="840" w:left="0" w:right="0"/>
          <w:pgNumType w:start="112"/>
        </w:sectPr>
      </w:pPr>
    </w:p>
    <w:p>
      <w:pPr>
        <w:pStyle w:val="BodyText"/>
      </w:pPr>
    </w:p>
    <w:p>
      <w:pPr>
        <w:pStyle w:val="BodyText"/>
        <w:spacing w:before="7"/>
        <w:rPr>
          <w:sz w:val="21"/>
        </w:rPr>
      </w:pPr>
    </w:p>
    <w:p>
      <w:pPr>
        <w:spacing w:after="0"/>
        <w:rPr>
          <w:sz w:val="21"/>
        </w:rPr>
        <w:sectPr>
          <w:headerReference w:type="default" r:id="rId269"/>
          <w:pgSz w:w="11910" w:h="16840"/>
          <w:pgMar w:header="0" w:footer="647" w:top="0" w:bottom="840" w:left="0" w:right="0"/>
        </w:sectPr>
      </w:pPr>
    </w:p>
    <w:p>
      <w:pPr>
        <w:pStyle w:val="BodyText"/>
        <w:spacing w:before="4"/>
        <w:rPr>
          <w:sz w:val="52"/>
        </w:rPr>
      </w:pPr>
    </w:p>
    <w:p>
      <w:pPr>
        <w:pStyle w:val="Heading4"/>
        <w:numPr>
          <w:ilvl w:val="0"/>
          <w:numId w:val="65"/>
        </w:numPr>
        <w:tabs>
          <w:tab w:pos="2664" w:val="left" w:leader="none"/>
          <w:tab w:pos="2665" w:val="left" w:leader="none"/>
        </w:tabs>
        <w:spacing w:line="240" w:lineRule="auto" w:before="0" w:after="0"/>
        <w:ind w:left="2664" w:right="0" w:hanging="681"/>
        <w:jc w:val="left"/>
      </w:pPr>
      <w:r>
        <w:rPr>
          <w:spacing w:val="4"/>
          <w:w w:val="110"/>
        </w:rPr>
        <w:t>Setting </w:t>
      </w:r>
      <w:r>
        <w:rPr>
          <w:spacing w:val="2"/>
          <w:w w:val="110"/>
        </w:rPr>
        <w:t>the</w:t>
      </w:r>
      <w:r>
        <w:rPr>
          <w:spacing w:val="29"/>
          <w:w w:val="110"/>
        </w:rPr>
        <w:t> </w:t>
      </w:r>
      <w:r>
        <w:rPr>
          <w:spacing w:val="3"/>
          <w:w w:val="110"/>
        </w:rPr>
        <w:t>scene</w:t>
      </w:r>
    </w:p>
    <w:p>
      <w:pPr>
        <w:pStyle w:val="Heading5"/>
        <w:ind w:left="1984"/>
      </w:pPr>
      <w:r>
        <w:rPr/>
        <w:br w:type="column"/>
      </w:r>
      <w:r>
        <w:rPr>
          <w:color w:val="7EAABF"/>
          <w:w w:val="115"/>
        </w:rPr>
        <w:t>Faith and order</w:t>
      </w:r>
    </w:p>
    <w:p>
      <w:pPr>
        <w:spacing w:after="0"/>
        <w:sectPr>
          <w:type w:val="continuous"/>
          <w:pgSz w:w="11910" w:h="16840"/>
          <w:pgMar w:top="680" w:bottom="280" w:left="0" w:right="0"/>
          <w:cols w:num="2" w:equalWidth="0">
            <w:col w:w="5454" w:space="1362"/>
            <w:col w:w="5094"/>
          </w:cols>
        </w:sectPr>
      </w:pPr>
    </w:p>
    <w:p>
      <w:pPr>
        <w:pStyle w:val="ListParagraph"/>
        <w:numPr>
          <w:ilvl w:val="1"/>
          <w:numId w:val="65"/>
        </w:numPr>
        <w:tabs>
          <w:tab w:pos="2664" w:val="left" w:leader="none"/>
          <w:tab w:pos="2665" w:val="left" w:leader="none"/>
        </w:tabs>
        <w:spacing w:line="240" w:lineRule="auto" w:before="65" w:after="0"/>
        <w:ind w:left="2664" w:right="0" w:hanging="681"/>
        <w:jc w:val="left"/>
        <w:rPr>
          <w:sz w:val="20"/>
        </w:rPr>
      </w:pPr>
      <w:r>
        <w:rPr/>
        <w:drawing>
          <wp:anchor distT="0" distB="0" distL="0" distR="0" allowOverlap="1" layoutInCell="1" locked="0" behindDoc="0" simplePos="0" relativeHeight="251967488">
            <wp:simplePos x="0" y="0"/>
            <wp:positionH relativeFrom="page">
              <wp:posOffset>6974928</wp:posOffset>
            </wp:positionH>
            <wp:positionV relativeFrom="page">
              <wp:posOffset>0</wp:posOffset>
            </wp:positionV>
            <wp:extent cx="585063" cy="10692003"/>
            <wp:effectExtent l="0" t="0" r="0" b="0"/>
            <wp:wrapNone/>
            <wp:docPr id="207" name="image25.png"/>
            <wp:cNvGraphicFramePr>
              <a:graphicFrameLocks noChangeAspect="1"/>
            </wp:cNvGraphicFramePr>
            <a:graphic>
              <a:graphicData uri="http://schemas.openxmlformats.org/drawingml/2006/picture">
                <pic:pic>
                  <pic:nvPicPr>
                    <pic:cNvPr id="208" name="image25.png"/>
                    <pic:cNvPicPr/>
                  </pic:nvPicPr>
                  <pic:blipFill>
                    <a:blip r:embed="rId192" cstate="print"/>
                    <a:stretch>
                      <a:fillRect/>
                    </a:stretch>
                  </pic:blipFill>
                  <pic:spPr>
                    <a:xfrm>
                      <a:off x="0" y="0"/>
                      <a:ext cx="585063" cy="10692003"/>
                    </a:xfrm>
                    <a:prstGeom prst="rect">
                      <a:avLst/>
                    </a:prstGeom>
                  </pic:spPr>
                </pic:pic>
              </a:graphicData>
            </a:graphic>
          </wp:anchor>
        </w:drawing>
      </w:r>
      <w:r>
        <w:rPr/>
        <w:pict>
          <v:shape style="position:absolute;margin-left:554.141174pt;margin-top:-28.940918pt;width:25.9pt;height:288pt;mso-position-horizontal-relative:page;mso-position-vertical-relative:paragraph;z-index:251968512" type="#_x0000_t202" filled="false" stroked="false">
            <v:textbox inset="0,0,0,0" style="layout-flow:vertical">
              <w:txbxContent>
                <w:p>
                  <w:pPr>
                    <w:spacing w:before="27"/>
                    <w:ind w:left="20" w:right="0" w:firstLine="0"/>
                    <w:jc w:val="left"/>
                    <w:rPr>
                      <w:sz w:val="39"/>
                    </w:rPr>
                  </w:pPr>
                  <w:r>
                    <w:rPr>
                      <w:color w:val="FFFFFF"/>
                      <w:w w:val="120"/>
                      <w:sz w:val="39"/>
                    </w:rPr>
                    <w:t>The URC’s gift of conciliarity</w:t>
                  </w:r>
                </w:p>
              </w:txbxContent>
            </v:textbox>
            <w10:wrap type="none"/>
          </v:shape>
        </w:pict>
      </w:r>
      <w:r>
        <w:rPr>
          <w:w w:val="120"/>
          <w:sz w:val="20"/>
        </w:rPr>
        <w:t>The nature of conciliarity can be viewed from a range of</w:t>
      </w:r>
      <w:r>
        <w:rPr>
          <w:spacing w:val="29"/>
          <w:w w:val="120"/>
          <w:sz w:val="20"/>
        </w:rPr>
        <w:t> </w:t>
      </w:r>
      <w:r>
        <w:rPr>
          <w:w w:val="120"/>
          <w:sz w:val="20"/>
        </w:rPr>
        <w:t>perspectives.</w:t>
      </w:r>
    </w:p>
    <w:p>
      <w:pPr>
        <w:pStyle w:val="BodyText"/>
        <w:spacing w:before="8"/>
        <w:rPr>
          <w:sz w:val="19"/>
        </w:rPr>
      </w:pPr>
    </w:p>
    <w:p>
      <w:pPr>
        <w:pStyle w:val="ListParagraph"/>
        <w:numPr>
          <w:ilvl w:val="1"/>
          <w:numId w:val="65"/>
        </w:numPr>
        <w:tabs>
          <w:tab w:pos="2664" w:val="left" w:leader="none"/>
          <w:tab w:pos="2665" w:val="left" w:leader="none"/>
        </w:tabs>
        <w:spacing w:line="235" w:lineRule="auto" w:before="0" w:after="0"/>
        <w:ind w:left="1984" w:right="1630" w:firstLine="0"/>
        <w:jc w:val="left"/>
        <w:rPr>
          <w:sz w:val="20"/>
        </w:rPr>
      </w:pPr>
      <w:r>
        <w:rPr>
          <w:w w:val="120"/>
          <w:sz w:val="20"/>
        </w:rPr>
        <w:t>The appendix includes a brief historical summary, including some of the critical issues from the United Reformed </w:t>
      </w:r>
      <w:r>
        <w:rPr>
          <w:spacing w:val="-3"/>
          <w:w w:val="120"/>
          <w:sz w:val="20"/>
        </w:rPr>
        <w:t>Church’s </w:t>
      </w:r>
      <w:r>
        <w:rPr>
          <w:w w:val="120"/>
          <w:sz w:val="20"/>
        </w:rPr>
        <w:t>traditions. We are the inheritors of understandings of conciliarity which shaped our</w:t>
      </w:r>
      <w:r>
        <w:rPr>
          <w:spacing w:val="17"/>
          <w:w w:val="120"/>
          <w:sz w:val="20"/>
        </w:rPr>
        <w:t> </w:t>
      </w:r>
      <w:r>
        <w:rPr>
          <w:w w:val="120"/>
          <w:sz w:val="20"/>
        </w:rPr>
        <w:t>forebears.</w:t>
      </w:r>
    </w:p>
    <w:p>
      <w:pPr>
        <w:pStyle w:val="BodyText"/>
        <w:spacing w:before="10"/>
        <w:rPr>
          <w:sz w:val="19"/>
        </w:rPr>
      </w:pPr>
    </w:p>
    <w:p>
      <w:pPr>
        <w:pStyle w:val="ListParagraph"/>
        <w:numPr>
          <w:ilvl w:val="1"/>
          <w:numId w:val="65"/>
        </w:numPr>
        <w:tabs>
          <w:tab w:pos="2664" w:val="left" w:leader="none"/>
          <w:tab w:pos="2665" w:val="left" w:leader="none"/>
        </w:tabs>
        <w:spacing w:line="235" w:lineRule="auto" w:before="0" w:after="0"/>
        <w:ind w:left="1984" w:right="1268" w:firstLine="0"/>
        <w:jc w:val="left"/>
        <w:rPr>
          <w:sz w:val="20"/>
        </w:rPr>
      </w:pPr>
      <w:r>
        <w:rPr>
          <w:w w:val="120"/>
          <w:sz w:val="20"/>
        </w:rPr>
        <w:t>In the Mission Council discussions, the church meeting was clearly identified as one of the distinctive characteristics of the United Reformed Church. Mission Council members said: “The church meeting – a gathering when at its best is something to cherish”; and “we need to reclaim the importance of church meeting and find our place in </w:t>
      </w:r>
      <w:r>
        <w:rPr>
          <w:spacing w:val="-4"/>
          <w:w w:val="120"/>
          <w:sz w:val="20"/>
        </w:rPr>
        <w:t>it.” </w:t>
      </w:r>
      <w:r>
        <w:rPr>
          <w:w w:val="120"/>
          <w:sz w:val="20"/>
        </w:rPr>
        <w:t>The councils of the Church which are most familiar to the members of the United Reformed Church are the church meeting and the elders</w:t>
      </w:r>
      <w:r>
        <w:rPr>
          <w:spacing w:val="30"/>
          <w:w w:val="120"/>
          <w:sz w:val="20"/>
        </w:rPr>
        <w:t> </w:t>
      </w:r>
      <w:r>
        <w:rPr>
          <w:w w:val="120"/>
          <w:sz w:val="20"/>
        </w:rPr>
        <w:t>meeting.</w:t>
      </w:r>
    </w:p>
    <w:p>
      <w:pPr>
        <w:pStyle w:val="BodyText"/>
      </w:pPr>
    </w:p>
    <w:p>
      <w:pPr>
        <w:pStyle w:val="ListParagraph"/>
        <w:numPr>
          <w:ilvl w:val="1"/>
          <w:numId w:val="65"/>
        </w:numPr>
        <w:tabs>
          <w:tab w:pos="2664" w:val="left" w:leader="none"/>
          <w:tab w:pos="2665" w:val="left" w:leader="none"/>
        </w:tabs>
        <w:spacing w:line="235" w:lineRule="auto" w:before="1" w:after="0"/>
        <w:ind w:left="1984" w:right="2165" w:firstLine="0"/>
        <w:jc w:val="left"/>
        <w:rPr>
          <w:sz w:val="20"/>
        </w:rPr>
      </w:pPr>
      <w:r>
        <w:rPr>
          <w:w w:val="120"/>
          <w:sz w:val="20"/>
        </w:rPr>
        <w:t>A range of critical comments has been raised, particularly regarding the experience of conciliarity in the local church</w:t>
      </w:r>
      <w:r>
        <w:rPr>
          <w:spacing w:val="20"/>
          <w:w w:val="120"/>
          <w:sz w:val="20"/>
        </w:rPr>
        <w:t> </w:t>
      </w:r>
      <w:r>
        <w:rPr>
          <w:w w:val="120"/>
          <w:sz w:val="20"/>
        </w:rPr>
        <w:t>meeting.</w:t>
      </w:r>
    </w:p>
    <w:p>
      <w:pPr>
        <w:pStyle w:val="ListParagraph"/>
        <w:numPr>
          <w:ilvl w:val="0"/>
          <w:numId w:val="66"/>
        </w:numPr>
        <w:tabs>
          <w:tab w:pos="2664" w:val="left" w:leader="none"/>
          <w:tab w:pos="2665" w:val="left" w:leader="none"/>
        </w:tabs>
        <w:spacing w:line="240" w:lineRule="exact" w:before="0" w:after="0"/>
        <w:ind w:left="2664" w:right="0" w:hanging="681"/>
        <w:jc w:val="left"/>
        <w:rPr>
          <w:sz w:val="20"/>
        </w:rPr>
      </w:pPr>
      <w:r>
        <w:rPr>
          <w:w w:val="120"/>
          <w:sz w:val="20"/>
        </w:rPr>
        <w:t>Members do not necessarily feel the need to go to church</w:t>
      </w:r>
      <w:r>
        <w:rPr>
          <w:spacing w:val="28"/>
          <w:w w:val="120"/>
          <w:sz w:val="20"/>
        </w:rPr>
        <w:t> </w:t>
      </w:r>
      <w:r>
        <w:rPr>
          <w:w w:val="120"/>
          <w:sz w:val="20"/>
        </w:rPr>
        <w:t>meetings.</w:t>
      </w:r>
    </w:p>
    <w:p>
      <w:pPr>
        <w:pStyle w:val="ListParagraph"/>
        <w:numPr>
          <w:ilvl w:val="0"/>
          <w:numId w:val="66"/>
        </w:numPr>
        <w:tabs>
          <w:tab w:pos="2664" w:val="left" w:leader="none"/>
          <w:tab w:pos="2665" w:val="left" w:leader="none"/>
        </w:tabs>
        <w:spacing w:line="235" w:lineRule="auto" w:before="1" w:after="0"/>
        <w:ind w:left="2664" w:right="1894" w:hanging="681"/>
        <w:jc w:val="left"/>
        <w:rPr>
          <w:sz w:val="20"/>
        </w:rPr>
      </w:pPr>
      <w:r>
        <w:rPr>
          <w:w w:val="120"/>
          <w:sz w:val="20"/>
        </w:rPr>
        <w:t>Church meetings can become business – focussed rather than engaging in worship, prayer, Bible study and reflection on mission</w:t>
      </w:r>
      <w:r>
        <w:rPr>
          <w:spacing w:val="16"/>
          <w:w w:val="120"/>
          <w:sz w:val="20"/>
        </w:rPr>
        <w:t> </w:t>
      </w:r>
      <w:r>
        <w:rPr>
          <w:w w:val="120"/>
          <w:sz w:val="20"/>
        </w:rPr>
        <w:t>issues.</w:t>
      </w:r>
    </w:p>
    <w:p>
      <w:pPr>
        <w:pStyle w:val="ListParagraph"/>
        <w:numPr>
          <w:ilvl w:val="0"/>
          <w:numId w:val="66"/>
        </w:numPr>
        <w:tabs>
          <w:tab w:pos="2664" w:val="left" w:leader="none"/>
          <w:tab w:pos="2665" w:val="left" w:leader="none"/>
        </w:tabs>
        <w:spacing w:line="240" w:lineRule="exact" w:before="0" w:after="0"/>
        <w:ind w:left="2664" w:right="0" w:hanging="681"/>
        <w:jc w:val="left"/>
        <w:rPr>
          <w:sz w:val="20"/>
        </w:rPr>
      </w:pPr>
      <w:r>
        <w:rPr>
          <w:w w:val="120"/>
          <w:sz w:val="20"/>
        </w:rPr>
        <w:t>Chairing is not always done</w:t>
      </w:r>
      <w:r>
        <w:rPr>
          <w:spacing w:val="11"/>
          <w:w w:val="120"/>
          <w:sz w:val="20"/>
        </w:rPr>
        <w:t> </w:t>
      </w:r>
      <w:r>
        <w:rPr>
          <w:w w:val="120"/>
          <w:sz w:val="20"/>
        </w:rPr>
        <w:t>well.</w:t>
      </w:r>
    </w:p>
    <w:p>
      <w:pPr>
        <w:pStyle w:val="ListParagraph"/>
        <w:numPr>
          <w:ilvl w:val="0"/>
          <w:numId w:val="66"/>
        </w:numPr>
        <w:tabs>
          <w:tab w:pos="2664" w:val="left" w:leader="none"/>
          <w:tab w:pos="2665" w:val="left" w:leader="none"/>
        </w:tabs>
        <w:spacing w:line="240" w:lineRule="exact" w:before="0" w:after="0"/>
        <w:ind w:left="2664" w:right="0" w:hanging="681"/>
        <w:jc w:val="left"/>
        <w:rPr>
          <w:sz w:val="20"/>
        </w:rPr>
      </w:pPr>
      <w:r>
        <w:rPr>
          <w:w w:val="120"/>
          <w:sz w:val="20"/>
        </w:rPr>
        <w:t>There can be a culture of bullying and misuse of</w:t>
      </w:r>
      <w:r>
        <w:rPr>
          <w:spacing w:val="25"/>
          <w:w w:val="120"/>
          <w:sz w:val="20"/>
        </w:rPr>
        <w:t> </w:t>
      </w:r>
      <w:r>
        <w:rPr>
          <w:spacing w:val="-3"/>
          <w:w w:val="120"/>
          <w:sz w:val="20"/>
        </w:rPr>
        <w:t>power.</w:t>
      </w:r>
    </w:p>
    <w:p>
      <w:pPr>
        <w:pStyle w:val="ListParagraph"/>
        <w:numPr>
          <w:ilvl w:val="0"/>
          <w:numId w:val="66"/>
        </w:numPr>
        <w:tabs>
          <w:tab w:pos="2664" w:val="left" w:leader="none"/>
          <w:tab w:pos="2665" w:val="left" w:leader="none"/>
        </w:tabs>
        <w:spacing w:line="235" w:lineRule="auto" w:before="2" w:after="0"/>
        <w:ind w:left="2664" w:right="1875" w:hanging="681"/>
        <w:jc w:val="left"/>
        <w:rPr>
          <w:sz w:val="20"/>
        </w:rPr>
      </w:pPr>
      <w:r>
        <w:rPr>
          <w:w w:val="120"/>
          <w:sz w:val="20"/>
        </w:rPr>
        <w:t>Discerning the work of the Holy Spirit through the voice and experience of each member is not always given</w:t>
      </w:r>
      <w:r>
        <w:rPr>
          <w:spacing w:val="13"/>
          <w:w w:val="120"/>
          <w:sz w:val="20"/>
        </w:rPr>
        <w:t> </w:t>
      </w:r>
      <w:r>
        <w:rPr>
          <w:w w:val="120"/>
          <w:sz w:val="20"/>
        </w:rPr>
        <w:t>priority.</w:t>
      </w:r>
    </w:p>
    <w:p>
      <w:pPr>
        <w:pStyle w:val="ListParagraph"/>
        <w:numPr>
          <w:ilvl w:val="0"/>
          <w:numId w:val="66"/>
        </w:numPr>
        <w:tabs>
          <w:tab w:pos="2664" w:val="left" w:leader="none"/>
          <w:tab w:pos="2665" w:val="left" w:leader="none"/>
        </w:tabs>
        <w:spacing w:line="235" w:lineRule="auto" w:before="1" w:after="0"/>
        <w:ind w:left="2664" w:right="1406" w:hanging="681"/>
        <w:jc w:val="left"/>
        <w:rPr>
          <w:sz w:val="20"/>
        </w:rPr>
      </w:pPr>
      <w:r>
        <w:rPr>
          <w:w w:val="120"/>
          <w:sz w:val="20"/>
        </w:rPr>
        <w:t>Church meetings are not connected well to the other aspects of discernment of God’s</w:t>
      </w:r>
      <w:r>
        <w:rPr>
          <w:spacing w:val="6"/>
          <w:w w:val="120"/>
          <w:sz w:val="20"/>
        </w:rPr>
        <w:t> </w:t>
      </w:r>
      <w:r>
        <w:rPr>
          <w:w w:val="120"/>
          <w:sz w:val="20"/>
        </w:rPr>
        <w:t>purpose</w:t>
      </w:r>
      <w:r>
        <w:rPr>
          <w:spacing w:val="7"/>
          <w:w w:val="120"/>
          <w:sz w:val="20"/>
        </w:rPr>
        <w:t> </w:t>
      </w:r>
      <w:r>
        <w:rPr>
          <w:w w:val="120"/>
          <w:sz w:val="20"/>
        </w:rPr>
        <w:t>in</w:t>
      </w:r>
      <w:r>
        <w:rPr>
          <w:spacing w:val="6"/>
          <w:w w:val="120"/>
          <w:sz w:val="20"/>
        </w:rPr>
        <w:t> </w:t>
      </w:r>
      <w:r>
        <w:rPr>
          <w:w w:val="120"/>
          <w:sz w:val="20"/>
        </w:rPr>
        <w:t>a</w:t>
      </w:r>
      <w:r>
        <w:rPr>
          <w:spacing w:val="7"/>
          <w:w w:val="120"/>
          <w:sz w:val="20"/>
        </w:rPr>
        <w:t> </w:t>
      </w:r>
      <w:r>
        <w:rPr>
          <w:w w:val="120"/>
          <w:sz w:val="20"/>
        </w:rPr>
        <w:t>local</w:t>
      </w:r>
      <w:r>
        <w:rPr>
          <w:spacing w:val="7"/>
          <w:w w:val="120"/>
          <w:sz w:val="20"/>
        </w:rPr>
        <w:t> </w:t>
      </w:r>
      <w:r>
        <w:rPr>
          <w:w w:val="120"/>
          <w:sz w:val="20"/>
        </w:rPr>
        <w:t>church,</w:t>
      </w:r>
      <w:r>
        <w:rPr>
          <w:spacing w:val="6"/>
          <w:w w:val="120"/>
          <w:sz w:val="20"/>
        </w:rPr>
        <w:t> </w:t>
      </w:r>
      <w:r>
        <w:rPr>
          <w:w w:val="120"/>
          <w:sz w:val="20"/>
        </w:rPr>
        <w:t>e.g.</w:t>
      </w:r>
      <w:r>
        <w:rPr>
          <w:spacing w:val="7"/>
          <w:w w:val="120"/>
          <w:sz w:val="20"/>
        </w:rPr>
        <w:t> </w:t>
      </w:r>
      <w:r>
        <w:rPr>
          <w:w w:val="120"/>
          <w:sz w:val="20"/>
        </w:rPr>
        <w:t>study</w:t>
      </w:r>
      <w:r>
        <w:rPr>
          <w:spacing w:val="6"/>
          <w:w w:val="120"/>
          <w:sz w:val="20"/>
        </w:rPr>
        <w:t> </w:t>
      </w:r>
      <w:r>
        <w:rPr>
          <w:w w:val="120"/>
          <w:sz w:val="20"/>
        </w:rPr>
        <w:t>groups</w:t>
      </w:r>
      <w:r>
        <w:rPr>
          <w:spacing w:val="7"/>
          <w:w w:val="120"/>
          <w:sz w:val="20"/>
        </w:rPr>
        <w:t> </w:t>
      </w:r>
      <w:r>
        <w:rPr>
          <w:w w:val="120"/>
          <w:sz w:val="20"/>
        </w:rPr>
        <w:t>and</w:t>
      </w:r>
      <w:r>
        <w:rPr>
          <w:spacing w:val="7"/>
          <w:w w:val="120"/>
          <w:sz w:val="20"/>
        </w:rPr>
        <w:t> </w:t>
      </w:r>
      <w:r>
        <w:rPr>
          <w:w w:val="120"/>
          <w:sz w:val="20"/>
        </w:rPr>
        <w:t>outreach</w:t>
      </w:r>
      <w:r>
        <w:rPr>
          <w:spacing w:val="6"/>
          <w:w w:val="120"/>
          <w:sz w:val="20"/>
        </w:rPr>
        <w:t> </w:t>
      </w:r>
      <w:r>
        <w:rPr>
          <w:w w:val="120"/>
          <w:sz w:val="20"/>
        </w:rPr>
        <w:t>activities.</w:t>
      </w:r>
    </w:p>
    <w:p>
      <w:pPr>
        <w:pStyle w:val="ListParagraph"/>
        <w:numPr>
          <w:ilvl w:val="0"/>
          <w:numId w:val="66"/>
        </w:numPr>
        <w:tabs>
          <w:tab w:pos="2664" w:val="left" w:leader="none"/>
          <w:tab w:pos="2665" w:val="left" w:leader="none"/>
        </w:tabs>
        <w:spacing w:line="235" w:lineRule="auto" w:before="2" w:after="0"/>
        <w:ind w:left="2664" w:right="1354" w:hanging="681"/>
        <w:jc w:val="left"/>
        <w:rPr>
          <w:sz w:val="20"/>
        </w:rPr>
      </w:pPr>
      <w:r>
        <w:rPr>
          <w:w w:val="120"/>
          <w:sz w:val="20"/>
        </w:rPr>
        <w:t>Church meetings and elders meetings can feel like they are duplicating agendas without having a distinctive role for each</w:t>
      </w:r>
      <w:r>
        <w:rPr>
          <w:spacing w:val="16"/>
          <w:w w:val="120"/>
          <w:sz w:val="20"/>
        </w:rPr>
        <w:t> </w:t>
      </w:r>
      <w:r>
        <w:rPr>
          <w:w w:val="120"/>
          <w:sz w:val="20"/>
        </w:rPr>
        <w:t>one.</w:t>
      </w:r>
    </w:p>
    <w:p>
      <w:pPr>
        <w:pStyle w:val="ListParagraph"/>
        <w:numPr>
          <w:ilvl w:val="0"/>
          <w:numId w:val="66"/>
        </w:numPr>
        <w:tabs>
          <w:tab w:pos="2664" w:val="left" w:leader="none"/>
          <w:tab w:pos="2665" w:val="left" w:leader="none"/>
        </w:tabs>
        <w:spacing w:line="235" w:lineRule="auto" w:before="1" w:after="0"/>
        <w:ind w:left="2664" w:right="1819" w:hanging="681"/>
        <w:jc w:val="left"/>
        <w:rPr>
          <w:sz w:val="20"/>
        </w:rPr>
      </w:pPr>
      <w:r>
        <w:rPr>
          <w:w w:val="120"/>
          <w:sz w:val="20"/>
        </w:rPr>
        <w:t>Discussions skirt around the surface of the faith and of people’s experience, rather than digging in to the depth of faith and</w:t>
      </w:r>
      <w:r>
        <w:rPr>
          <w:spacing w:val="37"/>
          <w:w w:val="120"/>
          <w:sz w:val="20"/>
        </w:rPr>
        <w:t> </w:t>
      </w:r>
      <w:r>
        <w:rPr>
          <w:w w:val="120"/>
          <w:sz w:val="20"/>
        </w:rPr>
        <w:t>experience.</w:t>
      </w:r>
    </w:p>
    <w:p>
      <w:pPr>
        <w:pStyle w:val="ListParagraph"/>
        <w:numPr>
          <w:ilvl w:val="0"/>
          <w:numId w:val="66"/>
        </w:numPr>
        <w:tabs>
          <w:tab w:pos="2664" w:val="left" w:leader="none"/>
          <w:tab w:pos="2665" w:val="left" w:leader="none"/>
        </w:tabs>
        <w:spacing w:line="235" w:lineRule="auto" w:before="2" w:after="0"/>
        <w:ind w:left="2664" w:right="1983" w:hanging="681"/>
        <w:jc w:val="left"/>
        <w:rPr>
          <w:sz w:val="20"/>
        </w:rPr>
      </w:pPr>
      <w:r>
        <w:rPr>
          <w:w w:val="120"/>
          <w:sz w:val="20"/>
        </w:rPr>
        <w:t>Church meetings can ask for hard work on behalf of the church members, which people are not prepared</w:t>
      </w:r>
      <w:r>
        <w:rPr>
          <w:spacing w:val="11"/>
          <w:w w:val="120"/>
          <w:sz w:val="20"/>
        </w:rPr>
        <w:t> </w:t>
      </w:r>
      <w:r>
        <w:rPr>
          <w:spacing w:val="-3"/>
          <w:w w:val="120"/>
          <w:sz w:val="20"/>
        </w:rPr>
        <w:t>for.</w:t>
      </w:r>
    </w:p>
    <w:p>
      <w:pPr>
        <w:pStyle w:val="ListParagraph"/>
        <w:numPr>
          <w:ilvl w:val="0"/>
          <w:numId w:val="66"/>
        </w:numPr>
        <w:tabs>
          <w:tab w:pos="2664" w:val="left" w:leader="none"/>
          <w:tab w:pos="2665" w:val="left" w:leader="none"/>
        </w:tabs>
        <w:spacing w:line="235" w:lineRule="auto" w:before="1" w:after="0"/>
        <w:ind w:left="2664" w:right="1761" w:hanging="681"/>
        <w:jc w:val="left"/>
        <w:rPr>
          <w:sz w:val="20"/>
        </w:rPr>
      </w:pPr>
      <w:r>
        <w:rPr>
          <w:w w:val="120"/>
          <w:sz w:val="20"/>
        </w:rPr>
        <w:t>Church meetings do not necessarily feel </w:t>
      </w:r>
      <w:r>
        <w:rPr>
          <w:spacing w:val="2"/>
          <w:w w:val="120"/>
          <w:sz w:val="20"/>
        </w:rPr>
        <w:t>part </w:t>
      </w:r>
      <w:r>
        <w:rPr>
          <w:w w:val="120"/>
          <w:sz w:val="20"/>
        </w:rPr>
        <w:t>of the wider ‘mutual episcope’ which connects with meetings of synod and General</w:t>
      </w:r>
      <w:r>
        <w:rPr>
          <w:spacing w:val="33"/>
          <w:w w:val="120"/>
          <w:sz w:val="20"/>
        </w:rPr>
        <w:t> </w:t>
      </w:r>
      <w:r>
        <w:rPr>
          <w:w w:val="120"/>
          <w:sz w:val="20"/>
        </w:rPr>
        <w:t>Assembly.</w:t>
      </w:r>
    </w:p>
    <w:p>
      <w:pPr>
        <w:pStyle w:val="BodyText"/>
        <w:spacing w:before="10"/>
        <w:rPr>
          <w:sz w:val="19"/>
        </w:rPr>
      </w:pPr>
    </w:p>
    <w:p>
      <w:pPr>
        <w:pStyle w:val="ListParagraph"/>
        <w:numPr>
          <w:ilvl w:val="1"/>
          <w:numId w:val="65"/>
        </w:numPr>
        <w:tabs>
          <w:tab w:pos="2664" w:val="left" w:leader="none"/>
          <w:tab w:pos="2665" w:val="left" w:leader="none"/>
        </w:tabs>
        <w:spacing w:line="235" w:lineRule="auto" w:before="0" w:after="0"/>
        <w:ind w:left="1984" w:right="2018" w:firstLine="0"/>
        <w:jc w:val="left"/>
        <w:rPr>
          <w:sz w:val="20"/>
        </w:rPr>
      </w:pPr>
      <w:r>
        <w:rPr>
          <w:w w:val="120"/>
          <w:sz w:val="20"/>
        </w:rPr>
        <w:t>Sociological observations are also valuable. It is interesting to note Daniel Jenkins’ comment in</w:t>
      </w:r>
      <w:r>
        <w:rPr>
          <w:spacing w:val="6"/>
          <w:w w:val="120"/>
          <w:sz w:val="20"/>
        </w:rPr>
        <w:t> </w:t>
      </w:r>
      <w:r>
        <w:rPr>
          <w:spacing w:val="-4"/>
          <w:w w:val="120"/>
          <w:sz w:val="20"/>
        </w:rPr>
        <w:t>1944:</w:t>
      </w:r>
    </w:p>
    <w:p>
      <w:pPr>
        <w:pStyle w:val="BodyText"/>
        <w:spacing w:before="9"/>
        <w:rPr>
          <w:sz w:val="19"/>
        </w:rPr>
      </w:pPr>
    </w:p>
    <w:p>
      <w:pPr>
        <w:pStyle w:val="BodyText"/>
        <w:spacing w:line="235" w:lineRule="auto" w:before="1"/>
        <w:ind w:left="2324" w:right="1352"/>
      </w:pPr>
      <w:r>
        <w:rPr>
          <w:w w:val="120"/>
        </w:rPr>
        <w:t>“The Church Meeting in a Congregational Church is an indispensable </w:t>
      </w:r>
      <w:r>
        <w:rPr>
          <w:spacing w:val="2"/>
          <w:w w:val="120"/>
        </w:rPr>
        <w:t>part </w:t>
      </w:r>
      <w:r>
        <w:rPr>
          <w:w w:val="120"/>
        </w:rPr>
        <w:t>of the </w:t>
      </w:r>
      <w:r>
        <w:rPr>
          <w:spacing w:val="-3"/>
          <w:w w:val="120"/>
        </w:rPr>
        <w:t>Church’s </w:t>
      </w:r>
      <w:r>
        <w:rPr>
          <w:w w:val="120"/>
        </w:rPr>
        <w:t>life. A Congregational church does not make sense without it. </w:t>
      </w:r>
      <w:r>
        <w:rPr>
          <w:spacing w:val="-10"/>
          <w:w w:val="120"/>
        </w:rPr>
        <w:t>[…] </w:t>
      </w:r>
      <w:r>
        <w:rPr>
          <w:w w:val="120"/>
        </w:rPr>
        <w:t>But in many of our churches it has ceased to be a living force and is maintained, often only by a few faithful people, out of respect for a tradition which no one understands very clearly any longer. Some churches founded comparatively recently have given no place to the Church Meeting even in their constitution, while a surprisingly large number acknowledge that they find it more convenient to function without</w:t>
      </w:r>
      <w:r>
        <w:rPr>
          <w:spacing w:val="2"/>
          <w:w w:val="120"/>
        </w:rPr>
        <w:t> </w:t>
      </w:r>
      <w:r>
        <w:rPr>
          <w:w w:val="120"/>
        </w:rPr>
        <w:t>one,</w:t>
      </w:r>
    </w:p>
    <w:p>
      <w:pPr>
        <w:pStyle w:val="BodyText"/>
        <w:spacing w:line="235" w:lineRule="auto" w:before="5"/>
        <w:ind w:left="2324" w:right="1352"/>
      </w:pPr>
      <w:r>
        <w:rPr>
          <w:w w:val="120"/>
        </w:rPr>
        <w:t>all responsible decisions being taken by the minister and a small body of officials who call a Church Meeting only at irregular intervals to confirm the more important arrangements they have</w:t>
      </w:r>
      <w:r>
        <w:rPr>
          <w:spacing w:val="6"/>
          <w:w w:val="120"/>
        </w:rPr>
        <w:t> </w:t>
      </w:r>
      <w:r>
        <w:rPr>
          <w:spacing w:val="-3"/>
          <w:w w:val="120"/>
        </w:rPr>
        <w:t>made.”</w:t>
      </w:r>
    </w:p>
    <w:p>
      <w:pPr>
        <w:pStyle w:val="BodyText"/>
        <w:spacing w:before="6"/>
        <w:rPr>
          <w:sz w:val="19"/>
        </w:rPr>
      </w:pPr>
    </w:p>
    <w:p>
      <w:pPr>
        <w:pStyle w:val="BodyText"/>
        <w:ind w:left="1984"/>
      </w:pPr>
      <w:r>
        <w:rPr>
          <w:w w:val="120"/>
        </w:rPr>
        <w:t>Jenkins goes on to make this telling point:</w:t>
      </w:r>
    </w:p>
    <w:p>
      <w:pPr>
        <w:pStyle w:val="BodyText"/>
        <w:spacing w:before="8"/>
        <w:rPr>
          <w:sz w:val="19"/>
        </w:rPr>
      </w:pPr>
    </w:p>
    <w:p>
      <w:pPr>
        <w:pStyle w:val="BodyText"/>
        <w:spacing w:line="235" w:lineRule="auto"/>
        <w:ind w:left="2324" w:right="2004"/>
      </w:pPr>
      <w:r>
        <w:rPr>
          <w:w w:val="120"/>
        </w:rPr>
        <w:t>“Unless we can re-establish our Church Meetings as living fellowships there will be little reason for our maintaining our distinctive existence as Congregational churches.”</w:t>
      </w:r>
    </w:p>
    <w:p>
      <w:pPr>
        <w:pStyle w:val="BodyText"/>
        <w:spacing w:before="10"/>
        <w:rPr>
          <w:sz w:val="19"/>
        </w:rPr>
      </w:pPr>
    </w:p>
    <w:p>
      <w:pPr>
        <w:pStyle w:val="ListParagraph"/>
        <w:numPr>
          <w:ilvl w:val="1"/>
          <w:numId w:val="65"/>
        </w:numPr>
        <w:tabs>
          <w:tab w:pos="2664" w:val="left" w:leader="none"/>
          <w:tab w:pos="2665" w:val="left" w:leader="none"/>
        </w:tabs>
        <w:spacing w:line="235" w:lineRule="auto" w:before="0" w:after="0"/>
        <w:ind w:left="1984" w:right="1517" w:firstLine="0"/>
        <w:jc w:val="left"/>
        <w:rPr>
          <w:sz w:val="20"/>
        </w:rPr>
      </w:pPr>
      <w:r>
        <w:rPr>
          <w:w w:val="120"/>
          <w:sz w:val="20"/>
        </w:rPr>
        <w:t>Participation in church life used to provide a social cohesiveness that has  come under challenge with the great variety of alternative social activities available </w:t>
      </w:r>
      <w:r>
        <w:rPr>
          <w:spacing w:val="-3"/>
          <w:w w:val="120"/>
          <w:sz w:val="20"/>
        </w:rPr>
        <w:t>today. </w:t>
      </w:r>
      <w:r>
        <w:rPr>
          <w:w w:val="120"/>
          <w:sz w:val="20"/>
        </w:rPr>
        <w:t>Enlightenment individualism has led us away from an understanding of human community focused on mutual responsibility and nurture. The sense of decline</w:t>
      </w:r>
      <w:r>
        <w:rPr>
          <w:spacing w:val="39"/>
          <w:w w:val="120"/>
          <w:sz w:val="20"/>
        </w:rPr>
        <w:t> </w:t>
      </w:r>
      <w:r>
        <w:rPr>
          <w:w w:val="120"/>
          <w:sz w:val="20"/>
        </w:rPr>
        <w:t>of</w:t>
      </w:r>
    </w:p>
    <w:p>
      <w:pPr>
        <w:pStyle w:val="BodyText"/>
        <w:spacing w:line="243" w:lineRule="exact"/>
        <w:ind w:left="1984"/>
      </w:pPr>
      <w:r>
        <w:rPr>
          <w:w w:val="120"/>
        </w:rPr>
        <w:t>the Church in general in the West, and of the United Reformed Church in particular</w:t>
      </w:r>
    </w:p>
    <w:p>
      <w:pPr>
        <w:spacing w:after="0" w:line="243" w:lineRule="exact"/>
        <w:sectPr>
          <w:type w:val="continuous"/>
          <w:pgSz w:w="11910" w:h="16840"/>
          <w:pgMar w:top="680" w:bottom="280" w:left="0" w:right="0"/>
        </w:sectPr>
      </w:pPr>
    </w:p>
    <w:p>
      <w:pPr>
        <w:pStyle w:val="BodyText"/>
      </w:pPr>
      <w:r>
        <w:rPr/>
        <w:drawing>
          <wp:anchor distT="0" distB="0" distL="0" distR="0" allowOverlap="1" layoutInCell="1" locked="0" behindDoc="0" simplePos="0" relativeHeight="251969536">
            <wp:simplePos x="0" y="0"/>
            <wp:positionH relativeFrom="page">
              <wp:posOffset>0</wp:posOffset>
            </wp:positionH>
            <wp:positionV relativeFrom="page">
              <wp:posOffset>0</wp:posOffset>
            </wp:positionV>
            <wp:extent cx="594067" cy="10692003"/>
            <wp:effectExtent l="0" t="0" r="0" b="0"/>
            <wp:wrapNone/>
            <wp:docPr id="209" name="image28.png"/>
            <wp:cNvGraphicFramePr>
              <a:graphicFrameLocks noChangeAspect="1"/>
            </wp:cNvGraphicFramePr>
            <a:graphic>
              <a:graphicData uri="http://schemas.openxmlformats.org/drawingml/2006/picture">
                <pic:pic>
                  <pic:nvPicPr>
                    <pic:cNvPr id="210" name="image28.png"/>
                    <pic:cNvPicPr/>
                  </pic:nvPicPr>
                  <pic:blipFill>
                    <a:blip r:embed="rId198"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shape style="position:absolute;margin-left:20.519100pt;margin-top:22.593945pt;width:25.9pt;height:288pt;mso-position-horizontal-relative:page;mso-position-vertical-relative:paragraph;z-index:251970560" type="#_x0000_t202" filled="false" stroked="false">
            <v:textbox inset="0,0,0,0" style="layout-flow:vertical">
              <w:txbxContent>
                <w:p>
                  <w:pPr>
                    <w:spacing w:before="27"/>
                    <w:ind w:left="20" w:right="0" w:firstLine="0"/>
                    <w:jc w:val="left"/>
                    <w:rPr>
                      <w:sz w:val="39"/>
                    </w:rPr>
                  </w:pPr>
                  <w:r>
                    <w:rPr>
                      <w:color w:val="FFFFFF"/>
                      <w:w w:val="120"/>
                      <w:sz w:val="39"/>
                    </w:rPr>
                    <w:t>The URC’s gift of conciliarity</w:t>
                  </w:r>
                </w:p>
              </w:txbxContent>
            </v:textbox>
            <w10:wrap type="none"/>
          </v:shape>
        </w:pict>
      </w:r>
      <w:r>
        <w:rPr>
          <w:color w:val="7EAABF"/>
          <w:w w:val="115"/>
        </w:rPr>
        <w:t>Faith and order</w:t>
      </w:r>
    </w:p>
    <w:p>
      <w:pPr>
        <w:pStyle w:val="BodyText"/>
        <w:spacing w:line="235" w:lineRule="auto" w:before="222"/>
        <w:ind w:left="1247" w:right="2167"/>
      </w:pPr>
      <w:r>
        <w:rPr>
          <w:w w:val="120"/>
        </w:rPr>
        <w:t>in the UK, has led to a questioning about the relevance of the Christian faith and its visible expression in church structures. With the pressures of decline and the resultant uncertainty about the Christian faith, some church meetings now avoid the big issues about God and faith in favour of practicalities such as building maintenance, finance and structural organisation.</w:t>
      </w:r>
    </w:p>
    <w:p>
      <w:pPr>
        <w:pStyle w:val="BodyText"/>
        <w:spacing w:before="11"/>
        <w:rPr>
          <w:sz w:val="19"/>
        </w:rPr>
      </w:pPr>
    </w:p>
    <w:p>
      <w:pPr>
        <w:pStyle w:val="ListParagraph"/>
        <w:numPr>
          <w:ilvl w:val="1"/>
          <w:numId w:val="65"/>
        </w:numPr>
        <w:tabs>
          <w:tab w:pos="1927" w:val="left" w:leader="none"/>
          <w:tab w:pos="1928" w:val="left" w:leader="none"/>
        </w:tabs>
        <w:spacing w:line="235" w:lineRule="auto" w:before="0" w:after="0"/>
        <w:ind w:left="1247" w:right="2135" w:firstLine="0"/>
        <w:jc w:val="left"/>
        <w:rPr>
          <w:sz w:val="20"/>
        </w:rPr>
      </w:pPr>
      <w:r>
        <w:rPr>
          <w:w w:val="125"/>
          <w:sz w:val="20"/>
        </w:rPr>
        <w:t>Theologically, some interesting questions arise. The United Reformed Church testifies</w:t>
      </w:r>
      <w:r>
        <w:rPr>
          <w:spacing w:val="-17"/>
          <w:w w:val="125"/>
          <w:sz w:val="20"/>
        </w:rPr>
        <w:t> </w:t>
      </w:r>
      <w:r>
        <w:rPr>
          <w:w w:val="125"/>
          <w:sz w:val="20"/>
        </w:rPr>
        <w:t>that</w:t>
      </w:r>
      <w:r>
        <w:rPr>
          <w:spacing w:val="-17"/>
          <w:w w:val="125"/>
          <w:sz w:val="20"/>
        </w:rPr>
        <w:t> </w:t>
      </w:r>
      <w:r>
        <w:rPr>
          <w:w w:val="125"/>
          <w:sz w:val="20"/>
        </w:rPr>
        <w:t>God</w:t>
      </w:r>
      <w:r>
        <w:rPr>
          <w:spacing w:val="-17"/>
          <w:w w:val="125"/>
          <w:sz w:val="20"/>
        </w:rPr>
        <w:t> </w:t>
      </w:r>
      <w:r>
        <w:rPr>
          <w:w w:val="125"/>
          <w:sz w:val="20"/>
        </w:rPr>
        <w:t>is</w:t>
      </w:r>
      <w:r>
        <w:rPr>
          <w:spacing w:val="-17"/>
          <w:w w:val="125"/>
          <w:sz w:val="20"/>
        </w:rPr>
        <w:t> </w:t>
      </w:r>
      <w:r>
        <w:rPr>
          <w:w w:val="125"/>
          <w:sz w:val="20"/>
        </w:rPr>
        <w:t>present</w:t>
      </w:r>
      <w:r>
        <w:rPr>
          <w:spacing w:val="-17"/>
          <w:w w:val="125"/>
          <w:sz w:val="20"/>
        </w:rPr>
        <w:t> </w:t>
      </w:r>
      <w:r>
        <w:rPr>
          <w:w w:val="125"/>
          <w:sz w:val="20"/>
        </w:rPr>
        <w:t>in</w:t>
      </w:r>
      <w:r>
        <w:rPr>
          <w:spacing w:val="-17"/>
          <w:w w:val="125"/>
          <w:sz w:val="20"/>
        </w:rPr>
        <w:t> </w:t>
      </w:r>
      <w:r>
        <w:rPr>
          <w:w w:val="125"/>
          <w:sz w:val="20"/>
        </w:rPr>
        <w:t>the</w:t>
      </w:r>
      <w:r>
        <w:rPr>
          <w:spacing w:val="-16"/>
          <w:w w:val="125"/>
          <w:sz w:val="20"/>
        </w:rPr>
        <w:t> </w:t>
      </w:r>
      <w:r>
        <w:rPr>
          <w:w w:val="125"/>
          <w:sz w:val="20"/>
        </w:rPr>
        <w:t>councils</w:t>
      </w:r>
      <w:r>
        <w:rPr>
          <w:spacing w:val="-17"/>
          <w:w w:val="125"/>
          <w:sz w:val="20"/>
        </w:rPr>
        <w:t> </w:t>
      </w:r>
      <w:r>
        <w:rPr>
          <w:w w:val="125"/>
          <w:sz w:val="20"/>
        </w:rPr>
        <w:t>of</w:t>
      </w:r>
      <w:r>
        <w:rPr>
          <w:spacing w:val="-17"/>
          <w:w w:val="125"/>
          <w:sz w:val="20"/>
        </w:rPr>
        <w:t> </w:t>
      </w:r>
      <w:r>
        <w:rPr>
          <w:w w:val="125"/>
          <w:sz w:val="20"/>
        </w:rPr>
        <w:t>the</w:t>
      </w:r>
      <w:r>
        <w:rPr>
          <w:spacing w:val="-17"/>
          <w:w w:val="125"/>
          <w:sz w:val="20"/>
        </w:rPr>
        <w:t> </w:t>
      </w:r>
      <w:r>
        <w:rPr>
          <w:w w:val="125"/>
          <w:sz w:val="20"/>
        </w:rPr>
        <w:t>Church</w:t>
      </w:r>
      <w:r>
        <w:rPr>
          <w:spacing w:val="-17"/>
          <w:w w:val="125"/>
          <w:sz w:val="20"/>
        </w:rPr>
        <w:t> </w:t>
      </w:r>
      <w:r>
        <w:rPr>
          <w:w w:val="125"/>
          <w:sz w:val="20"/>
        </w:rPr>
        <w:t>through</w:t>
      </w:r>
      <w:r>
        <w:rPr>
          <w:spacing w:val="-17"/>
          <w:w w:val="125"/>
          <w:sz w:val="20"/>
        </w:rPr>
        <w:t> </w:t>
      </w:r>
      <w:r>
        <w:rPr>
          <w:w w:val="125"/>
          <w:sz w:val="20"/>
        </w:rPr>
        <w:t>the</w:t>
      </w:r>
      <w:r>
        <w:rPr>
          <w:spacing w:val="-17"/>
          <w:w w:val="125"/>
          <w:sz w:val="20"/>
        </w:rPr>
        <w:t> </w:t>
      </w:r>
      <w:r>
        <w:rPr>
          <w:w w:val="125"/>
          <w:sz w:val="20"/>
        </w:rPr>
        <w:t>work</w:t>
      </w:r>
      <w:r>
        <w:rPr>
          <w:spacing w:val="-16"/>
          <w:w w:val="125"/>
          <w:sz w:val="20"/>
        </w:rPr>
        <w:t> </w:t>
      </w:r>
      <w:r>
        <w:rPr>
          <w:w w:val="125"/>
          <w:sz w:val="20"/>
        </w:rPr>
        <w:t>of</w:t>
      </w:r>
      <w:r>
        <w:rPr>
          <w:spacing w:val="-17"/>
          <w:w w:val="125"/>
          <w:sz w:val="20"/>
        </w:rPr>
        <w:t> </w:t>
      </w:r>
      <w:r>
        <w:rPr>
          <w:w w:val="125"/>
          <w:sz w:val="20"/>
        </w:rPr>
        <w:t>the</w:t>
      </w:r>
      <w:r>
        <w:rPr>
          <w:spacing w:val="-17"/>
          <w:w w:val="125"/>
          <w:sz w:val="20"/>
        </w:rPr>
        <w:t> </w:t>
      </w:r>
      <w:r>
        <w:rPr>
          <w:w w:val="125"/>
          <w:sz w:val="20"/>
        </w:rPr>
        <w:t>Holy Spirit. But, do those who attend meetings go in anticipation of encountering God? What is the nature of that presence in the church meeting? If encounters with God evoke</w:t>
      </w:r>
      <w:r>
        <w:rPr>
          <w:spacing w:val="-11"/>
          <w:w w:val="125"/>
          <w:sz w:val="20"/>
        </w:rPr>
        <w:t> </w:t>
      </w:r>
      <w:r>
        <w:rPr>
          <w:w w:val="125"/>
          <w:sz w:val="20"/>
        </w:rPr>
        <w:t>mystery,</w:t>
      </w:r>
      <w:r>
        <w:rPr>
          <w:spacing w:val="-11"/>
          <w:w w:val="125"/>
          <w:sz w:val="20"/>
        </w:rPr>
        <w:t> </w:t>
      </w:r>
      <w:r>
        <w:rPr>
          <w:w w:val="125"/>
          <w:sz w:val="20"/>
        </w:rPr>
        <w:t>awe</w:t>
      </w:r>
      <w:r>
        <w:rPr>
          <w:spacing w:val="-10"/>
          <w:w w:val="125"/>
          <w:sz w:val="20"/>
        </w:rPr>
        <w:t> </w:t>
      </w:r>
      <w:r>
        <w:rPr>
          <w:w w:val="125"/>
          <w:sz w:val="20"/>
        </w:rPr>
        <w:t>and</w:t>
      </w:r>
      <w:r>
        <w:rPr>
          <w:spacing w:val="-11"/>
          <w:w w:val="125"/>
          <w:sz w:val="20"/>
        </w:rPr>
        <w:t> </w:t>
      </w:r>
      <w:r>
        <w:rPr>
          <w:w w:val="125"/>
          <w:sz w:val="20"/>
        </w:rPr>
        <w:t>wonder,</w:t>
      </w:r>
      <w:r>
        <w:rPr>
          <w:spacing w:val="-11"/>
          <w:w w:val="125"/>
          <w:sz w:val="20"/>
        </w:rPr>
        <w:t> </w:t>
      </w:r>
      <w:r>
        <w:rPr>
          <w:w w:val="125"/>
          <w:sz w:val="20"/>
        </w:rPr>
        <w:t>do</w:t>
      </w:r>
      <w:r>
        <w:rPr>
          <w:spacing w:val="-10"/>
          <w:w w:val="125"/>
          <w:sz w:val="20"/>
        </w:rPr>
        <w:t> </w:t>
      </w:r>
      <w:r>
        <w:rPr>
          <w:w w:val="125"/>
          <w:sz w:val="20"/>
        </w:rPr>
        <w:t>these</w:t>
      </w:r>
      <w:r>
        <w:rPr>
          <w:spacing w:val="-11"/>
          <w:w w:val="125"/>
          <w:sz w:val="20"/>
        </w:rPr>
        <w:t> </w:t>
      </w:r>
      <w:r>
        <w:rPr>
          <w:w w:val="125"/>
          <w:sz w:val="20"/>
        </w:rPr>
        <w:t>elements</w:t>
      </w:r>
      <w:r>
        <w:rPr>
          <w:spacing w:val="-11"/>
          <w:w w:val="125"/>
          <w:sz w:val="20"/>
        </w:rPr>
        <w:t> </w:t>
      </w:r>
      <w:r>
        <w:rPr>
          <w:w w:val="125"/>
          <w:sz w:val="20"/>
        </w:rPr>
        <w:t>need</w:t>
      </w:r>
      <w:r>
        <w:rPr>
          <w:spacing w:val="-10"/>
          <w:w w:val="125"/>
          <w:sz w:val="20"/>
        </w:rPr>
        <w:t> </w:t>
      </w:r>
      <w:r>
        <w:rPr>
          <w:w w:val="125"/>
          <w:sz w:val="20"/>
        </w:rPr>
        <w:t>to</w:t>
      </w:r>
      <w:r>
        <w:rPr>
          <w:spacing w:val="-11"/>
          <w:w w:val="125"/>
          <w:sz w:val="20"/>
        </w:rPr>
        <w:t> </w:t>
      </w:r>
      <w:r>
        <w:rPr>
          <w:w w:val="125"/>
          <w:sz w:val="20"/>
        </w:rPr>
        <w:t>be</w:t>
      </w:r>
      <w:r>
        <w:rPr>
          <w:spacing w:val="-11"/>
          <w:w w:val="125"/>
          <w:sz w:val="20"/>
        </w:rPr>
        <w:t> </w:t>
      </w:r>
      <w:r>
        <w:rPr>
          <w:w w:val="125"/>
          <w:sz w:val="20"/>
        </w:rPr>
        <w:t>more</w:t>
      </w:r>
      <w:r>
        <w:rPr>
          <w:spacing w:val="-10"/>
          <w:w w:val="125"/>
          <w:sz w:val="20"/>
        </w:rPr>
        <w:t> </w:t>
      </w:r>
      <w:r>
        <w:rPr>
          <w:w w:val="125"/>
          <w:sz w:val="20"/>
        </w:rPr>
        <w:t>visible</w:t>
      </w:r>
      <w:r>
        <w:rPr>
          <w:spacing w:val="-11"/>
          <w:w w:val="125"/>
          <w:sz w:val="20"/>
        </w:rPr>
        <w:t> </w:t>
      </w:r>
      <w:r>
        <w:rPr>
          <w:w w:val="125"/>
          <w:sz w:val="20"/>
        </w:rPr>
        <w:t>in</w:t>
      </w:r>
    </w:p>
    <w:p>
      <w:pPr>
        <w:pStyle w:val="BodyText"/>
        <w:ind w:left="1247"/>
      </w:pPr>
      <w:r>
        <w:rPr>
          <w:w w:val="120"/>
        </w:rPr>
        <w:t>church meetings?</w:t>
      </w:r>
    </w:p>
    <w:p>
      <w:pPr>
        <w:pStyle w:val="BodyText"/>
        <w:spacing w:before="8"/>
        <w:rPr>
          <w:sz w:val="19"/>
        </w:rPr>
      </w:pPr>
    </w:p>
    <w:p>
      <w:pPr>
        <w:pStyle w:val="ListParagraph"/>
        <w:numPr>
          <w:ilvl w:val="1"/>
          <w:numId w:val="65"/>
        </w:numPr>
        <w:tabs>
          <w:tab w:pos="1927" w:val="left" w:leader="none"/>
          <w:tab w:pos="1928" w:val="left" w:leader="none"/>
        </w:tabs>
        <w:spacing w:line="235" w:lineRule="auto" w:before="0" w:after="0"/>
        <w:ind w:left="1247" w:right="2288" w:firstLine="0"/>
        <w:jc w:val="left"/>
        <w:rPr>
          <w:sz w:val="20"/>
        </w:rPr>
      </w:pPr>
      <w:r>
        <w:rPr>
          <w:w w:val="120"/>
          <w:sz w:val="20"/>
        </w:rPr>
        <w:t>prof Alan Sell (United Reformed Church minister, writer and theologian) gave  a talk at Mission Council in March </w:t>
      </w:r>
      <w:r>
        <w:rPr>
          <w:spacing w:val="-7"/>
          <w:w w:val="120"/>
          <w:sz w:val="20"/>
        </w:rPr>
        <w:t>2014 </w:t>
      </w:r>
      <w:r>
        <w:rPr>
          <w:w w:val="120"/>
          <w:sz w:val="20"/>
        </w:rPr>
        <w:t>in which he emphasised that the conciliarity of the United Reformed Church is about discerning the Word and the Spirit in the community of believers, in a spirit of mutual episcope. Councils of the church are not ‘higher’ or ‘lower’ but ‘nearer’ or ‘farther’, depending upon the person’s standpoint, and</w:t>
      </w:r>
      <w:r>
        <w:rPr>
          <w:spacing w:val="6"/>
          <w:w w:val="120"/>
          <w:sz w:val="20"/>
        </w:rPr>
        <w:t> </w:t>
      </w:r>
      <w:r>
        <w:rPr>
          <w:w w:val="120"/>
          <w:sz w:val="20"/>
        </w:rPr>
        <w:t>are</w:t>
      </w:r>
      <w:r>
        <w:rPr>
          <w:spacing w:val="7"/>
          <w:w w:val="120"/>
          <w:sz w:val="20"/>
        </w:rPr>
        <w:t> </w:t>
      </w:r>
      <w:r>
        <w:rPr>
          <w:w w:val="120"/>
          <w:sz w:val="20"/>
        </w:rPr>
        <w:t>radically</w:t>
      </w:r>
      <w:r>
        <w:rPr>
          <w:spacing w:val="7"/>
          <w:w w:val="120"/>
          <w:sz w:val="20"/>
        </w:rPr>
        <w:t> </w:t>
      </w:r>
      <w:r>
        <w:rPr>
          <w:w w:val="120"/>
          <w:sz w:val="20"/>
        </w:rPr>
        <w:t>interconnected</w:t>
      </w:r>
      <w:r>
        <w:rPr>
          <w:spacing w:val="7"/>
          <w:w w:val="120"/>
          <w:sz w:val="20"/>
        </w:rPr>
        <w:t> </w:t>
      </w:r>
      <w:r>
        <w:rPr>
          <w:w w:val="120"/>
          <w:sz w:val="20"/>
        </w:rPr>
        <w:t>in</w:t>
      </w:r>
      <w:r>
        <w:rPr>
          <w:spacing w:val="7"/>
          <w:w w:val="120"/>
          <w:sz w:val="20"/>
        </w:rPr>
        <w:t> </w:t>
      </w:r>
      <w:r>
        <w:rPr>
          <w:w w:val="120"/>
          <w:sz w:val="20"/>
        </w:rPr>
        <w:t>their</w:t>
      </w:r>
      <w:r>
        <w:rPr>
          <w:spacing w:val="7"/>
          <w:w w:val="120"/>
          <w:sz w:val="20"/>
        </w:rPr>
        <w:t> </w:t>
      </w:r>
      <w:r>
        <w:rPr>
          <w:w w:val="120"/>
          <w:sz w:val="20"/>
        </w:rPr>
        <w:t>seeking</w:t>
      </w:r>
      <w:r>
        <w:rPr>
          <w:spacing w:val="7"/>
          <w:w w:val="120"/>
          <w:sz w:val="20"/>
        </w:rPr>
        <w:t> </w:t>
      </w:r>
      <w:r>
        <w:rPr>
          <w:w w:val="120"/>
          <w:sz w:val="20"/>
        </w:rPr>
        <w:t>the</w:t>
      </w:r>
      <w:r>
        <w:rPr>
          <w:spacing w:val="7"/>
          <w:w w:val="120"/>
          <w:sz w:val="20"/>
        </w:rPr>
        <w:t> </w:t>
      </w:r>
      <w:r>
        <w:rPr>
          <w:w w:val="120"/>
          <w:sz w:val="20"/>
        </w:rPr>
        <w:t>mind</w:t>
      </w:r>
      <w:r>
        <w:rPr>
          <w:spacing w:val="7"/>
          <w:w w:val="120"/>
          <w:sz w:val="20"/>
        </w:rPr>
        <w:t> </w:t>
      </w:r>
      <w:r>
        <w:rPr>
          <w:w w:val="120"/>
          <w:sz w:val="20"/>
        </w:rPr>
        <w:t>of</w:t>
      </w:r>
      <w:r>
        <w:rPr>
          <w:spacing w:val="7"/>
          <w:w w:val="120"/>
          <w:sz w:val="20"/>
        </w:rPr>
        <w:t> </w:t>
      </w:r>
      <w:r>
        <w:rPr>
          <w:w w:val="120"/>
          <w:sz w:val="20"/>
        </w:rPr>
        <w:t>Christ.</w:t>
      </w:r>
      <w:r>
        <w:rPr>
          <w:spacing w:val="6"/>
          <w:w w:val="120"/>
          <w:sz w:val="20"/>
        </w:rPr>
        <w:t> </w:t>
      </w:r>
      <w:r>
        <w:rPr>
          <w:w w:val="120"/>
          <w:sz w:val="20"/>
        </w:rPr>
        <w:t>Councils</w:t>
      </w:r>
      <w:r>
        <w:rPr>
          <w:spacing w:val="7"/>
          <w:w w:val="120"/>
          <w:sz w:val="20"/>
        </w:rPr>
        <w:t> </w:t>
      </w:r>
      <w:r>
        <w:rPr>
          <w:w w:val="120"/>
          <w:sz w:val="20"/>
        </w:rPr>
        <w:t>give</w:t>
      </w:r>
    </w:p>
    <w:p>
      <w:pPr>
        <w:pStyle w:val="BodyText"/>
        <w:spacing w:line="235" w:lineRule="auto" w:before="4"/>
        <w:ind w:left="1247" w:right="2085"/>
      </w:pPr>
      <w:r>
        <w:rPr>
          <w:w w:val="120"/>
        </w:rPr>
        <w:t>continuity to the past, as in the handing on of the apostolic tradition, and they open the way to the future by discerning the new directions in which the Holy Spirit is leading    the people of God. Councils are critical to the life of the church because they are the   key</w:t>
      </w:r>
      <w:r>
        <w:rPr>
          <w:spacing w:val="5"/>
          <w:w w:val="120"/>
        </w:rPr>
        <w:t> </w:t>
      </w:r>
      <w:r>
        <w:rPr>
          <w:w w:val="120"/>
        </w:rPr>
        <w:t>place</w:t>
      </w:r>
      <w:r>
        <w:rPr>
          <w:spacing w:val="5"/>
          <w:w w:val="120"/>
        </w:rPr>
        <w:t> </w:t>
      </w:r>
      <w:r>
        <w:rPr>
          <w:w w:val="120"/>
        </w:rPr>
        <w:t>in</w:t>
      </w:r>
      <w:r>
        <w:rPr>
          <w:spacing w:val="5"/>
          <w:w w:val="120"/>
        </w:rPr>
        <w:t> </w:t>
      </w:r>
      <w:r>
        <w:rPr>
          <w:w w:val="120"/>
        </w:rPr>
        <w:t>which</w:t>
      </w:r>
      <w:r>
        <w:rPr>
          <w:spacing w:val="5"/>
          <w:w w:val="120"/>
        </w:rPr>
        <w:t> </w:t>
      </w:r>
      <w:r>
        <w:rPr>
          <w:w w:val="120"/>
        </w:rPr>
        <w:t>the</w:t>
      </w:r>
      <w:r>
        <w:rPr>
          <w:spacing w:val="5"/>
          <w:w w:val="120"/>
        </w:rPr>
        <w:t> </w:t>
      </w:r>
      <w:r>
        <w:rPr>
          <w:w w:val="120"/>
        </w:rPr>
        <w:t>purposes</w:t>
      </w:r>
      <w:r>
        <w:rPr>
          <w:spacing w:val="5"/>
          <w:w w:val="120"/>
        </w:rPr>
        <w:t> </w:t>
      </w:r>
      <w:r>
        <w:rPr>
          <w:w w:val="120"/>
        </w:rPr>
        <w:t>of</w:t>
      </w:r>
      <w:r>
        <w:rPr>
          <w:spacing w:val="5"/>
          <w:w w:val="120"/>
        </w:rPr>
        <w:t> </w:t>
      </w:r>
      <w:r>
        <w:rPr>
          <w:w w:val="120"/>
        </w:rPr>
        <w:t>God</w:t>
      </w:r>
      <w:r>
        <w:rPr>
          <w:spacing w:val="6"/>
          <w:w w:val="120"/>
        </w:rPr>
        <w:t> </w:t>
      </w:r>
      <w:r>
        <w:rPr>
          <w:w w:val="120"/>
        </w:rPr>
        <w:t>are</w:t>
      </w:r>
      <w:r>
        <w:rPr>
          <w:spacing w:val="5"/>
          <w:w w:val="120"/>
        </w:rPr>
        <w:t> </w:t>
      </w:r>
      <w:r>
        <w:rPr>
          <w:w w:val="120"/>
        </w:rPr>
        <w:t>discerned</w:t>
      </w:r>
      <w:r>
        <w:rPr>
          <w:spacing w:val="5"/>
          <w:w w:val="120"/>
        </w:rPr>
        <w:t> </w:t>
      </w:r>
      <w:r>
        <w:rPr>
          <w:w w:val="120"/>
        </w:rPr>
        <w:t>for</w:t>
      </w:r>
      <w:r>
        <w:rPr>
          <w:spacing w:val="5"/>
          <w:w w:val="120"/>
        </w:rPr>
        <w:t> </w:t>
      </w:r>
      <w:r>
        <w:rPr>
          <w:w w:val="120"/>
        </w:rPr>
        <w:t>the</w:t>
      </w:r>
      <w:r>
        <w:rPr>
          <w:spacing w:val="5"/>
          <w:w w:val="120"/>
        </w:rPr>
        <w:t> </w:t>
      </w:r>
      <w:r>
        <w:rPr>
          <w:w w:val="120"/>
        </w:rPr>
        <w:t>believing</w:t>
      </w:r>
      <w:r>
        <w:rPr>
          <w:spacing w:val="5"/>
          <w:w w:val="120"/>
        </w:rPr>
        <w:t> </w:t>
      </w:r>
      <w:r>
        <w:rPr>
          <w:w w:val="120"/>
        </w:rPr>
        <w:t>community.</w:t>
      </w:r>
    </w:p>
    <w:p>
      <w:pPr>
        <w:pStyle w:val="Heading4"/>
        <w:numPr>
          <w:ilvl w:val="0"/>
          <w:numId w:val="65"/>
        </w:numPr>
        <w:tabs>
          <w:tab w:pos="1927" w:val="left" w:leader="none"/>
          <w:tab w:pos="1928" w:val="left" w:leader="none"/>
        </w:tabs>
        <w:spacing w:line="240" w:lineRule="auto" w:before="216" w:after="0"/>
        <w:ind w:left="1927" w:right="0" w:hanging="681"/>
        <w:jc w:val="left"/>
      </w:pPr>
      <w:r>
        <w:rPr>
          <w:spacing w:val="4"/>
          <w:w w:val="110"/>
        </w:rPr>
        <w:t>The </w:t>
      </w:r>
      <w:r>
        <w:rPr>
          <w:spacing w:val="6"/>
          <w:w w:val="110"/>
        </w:rPr>
        <w:t>gift </w:t>
      </w:r>
      <w:r>
        <w:rPr>
          <w:w w:val="110"/>
        </w:rPr>
        <w:t>of</w:t>
      </w:r>
      <w:r>
        <w:rPr>
          <w:spacing w:val="27"/>
          <w:w w:val="110"/>
        </w:rPr>
        <w:t> </w:t>
      </w:r>
      <w:r>
        <w:rPr>
          <w:spacing w:val="4"/>
          <w:w w:val="110"/>
        </w:rPr>
        <w:t>conciliarity</w:t>
      </w:r>
    </w:p>
    <w:p>
      <w:pPr>
        <w:pStyle w:val="ListParagraph"/>
        <w:numPr>
          <w:ilvl w:val="1"/>
          <w:numId w:val="65"/>
        </w:numPr>
        <w:tabs>
          <w:tab w:pos="1927" w:val="left" w:leader="none"/>
          <w:tab w:pos="1928" w:val="left" w:leader="none"/>
        </w:tabs>
        <w:spacing w:line="242" w:lineRule="exact" w:before="65" w:after="0"/>
        <w:ind w:left="1927" w:right="0" w:hanging="681"/>
        <w:jc w:val="left"/>
        <w:rPr>
          <w:sz w:val="20"/>
        </w:rPr>
      </w:pPr>
      <w:r>
        <w:rPr>
          <w:w w:val="120"/>
          <w:sz w:val="20"/>
        </w:rPr>
        <w:t>What is the Spirit saying to the United Reformed</w:t>
      </w:r>
      <w:r>
        <w:rPr>
          <w:spacing w:val="17"/>
          <w:w w:val="120"/>
          <w:sz w:val="20"/>
        </w:rPr>
        <w:t> </w:t>
      </w:r>
      <w:r>
        <w:rPr>
          <w:w w:val="120"/>
          <w:sz w:val="20"/>
        </w:rPr>
        <w:t>Church?</w:t>
      </w:r>
    </w:p>
    <w:p>
      <w:pPr>
        <w:pStyle w:val="ListParagraph"/>
        <w:numPr>
          <w:ilvl w:val="1"/>
          <w:numId w:val="65"/>
        </w:numPr>
        <w:tabs>
          <w:tab w:pos="1927" w:val="left" w:leader="none"/>
          <w:tab w:pos="1928" w:val="left" w:leader="none"/>
        </w:tabs>
        <w:spacing w:line="235" w:lineRule="auto" w:before="2" w:after="0"/>
        <w:ind w:left="1247" w:right="2299" w:firstLine="0"/>
        <w:jc w:val="left"/>
        <w:rPr>
          <w:sz w:val="20"/>
        </w:rPr>
      </w:pPr>
      <w:r>
        <w:rPr>
          <w:w w:val="120"/>
          <w:sz w:val="20"/>
        </w:rPr>
        <w:t>United Reformed Church conciliarity is about discerning the mind of Christ through the power of the Holy Spirit in the community of believers. “The existence   of the church is not the product of human activity, but is to be traced back to the Lord himself, in the sovereign self-giving of God in his Spirit, who, through his Word, calls the Church into being and by his own breath makes it alive with the very</w:t>
      </w:r>
      <w:r>
        <w:rPr>
          <w:spacing w:val="2"/>
          <w:w w:val="120"/>
          <w:sz w:val="20"/>
        </w:rPr>
        <w:t> </w:t>
      </w:r>
      <w:r>
        <w:rPr>
          <w:w w:val="120"/>
          <w:sz w:val="20"/>
        </w:rPr>
        <w:t>life</w:t>
      </w:r>
    </w:p>
    <w:p>
      <w:pPr>
        <w:pStyle w:val="BodyText"/>
        <w:spacing w:line="235" w:lineRule="auto" w:before="3"/>
        <w:ind w:left="1247" w:right="2167"/>
      </w:pPr>
      <w:r>
        <w:rPr>
          <w:w w:val="120"/>
        </w:rPr>
        <w:t>of Christ.” Arising out of this understanding, Alan Sell argues that our councils are credal gatherings, primarily there to affirm and interpret the Christian faith, and, as a consequence of that affirmation, to encourage people in their living out of that faith.</w:t>
      </w:r>
    </w:p>
    <w:p>
      <w:pPr>
        <w:pStyle w:val="BodyText"/>
        <w:spacing w:before="10"/>
        <w:rPr>
          <w:sz w:val="19"/>
        </w:rPr>
      </w:pPr>
    </w:p>
    <w:p>
      <w:pPr>
        <w:pStyle w:val="ListParagraph"/>
        <w:numPr>
          <w:ilvl w:val="1"/>
          <w:numId w:val="65"/>
        </w:numPr>
        <w:tabs>
          <w:tab w:pos="1927" w:val="left" w:leader="none"/>
          <w:tab w:pos="1928" w:val="left" w:leader="none"/>
        </w:tabs>
        <w:spacing w:line="235" w:lineRule="auto" w:before="1" w:after="0"/>
        <w:ind w:left="1247" w:right="2068" w:firstLine="0"/>
        <w:jc w:val="left"/>
        <w:rPr>
          <w:sz w:val="20"/>
        </w:rPr>
      </w:pPr>
      <w:r>
        <w:rPr>
          <w:w w:val="120"/>
          <w:sz w:val="20"/>
        </w:rPr>
        <w:t>There are five marks of the Holy Spirit which affect the way in which councils are seen. These marks are offered as an aid to reflection both to those who organise and those who participate in church meetings, to see the ways in which the Holy Spirit is recognised in each</w:t>
      </w:r>
      <w:r>
        <w:rPr>
          <w:spacing w:val="6"/>
          <w:w w:val="120"/>
          <w:sz w:val="20"/>
        </w:rPr>
        <w:t> </w:t>
      </w:r>
      <w:r>
        <w:rPr>
          <w:w w:val="120"/>
          <w:sz w:val="20"/>
        </w:rPr>
        <w:t>place:</w:t>
      </w:r>
    </w:p>
    <w:p>
      <w:pPr>
        <w:pStyle w:val="ListParagraph"/>
        <w:numPr>
          <w:ilvl w:val="2"/>
          <w:numId w:val="65"/>
        </w:numPr>
        <w:tabs>
          <w:tab w:pos="2721" w:val="left" w:leader="none"/>
          <w:tab w:pos="2722" w:val="left" w:leader="none"/>
        </w:tabs>
        <w:spacing w:line="235" w:lineRule="auto" w:before="3" w:after="0"/>
        <w:ind w:left="2721" w:right="2276" w:hanging="794"/>
        <w:jc w:val="left"/>
        <w:rPr>
          <w:sz w:val="20"/>
        </w:rPr>
      </w:pPr>
      <w:r>
        <w:rPr>
          <w:w w:val="120"/>
          <w:sz w:val="20"/>
        </w:rPr>
        <w:t>The Holy Spirit is the giver of life and the energiser. In shared discernment, the Church identifies the aspects of life that give energy and learns to sit lightly to those aspects which drain people of energy. This is not about choosing an easy road, but about being passionate disciples, set on fire by the</w:t>
      </w:r>
      <w:r>
        <w:rPr>
          <w:spacing w:val="12"/>
          <w:w w:val="120"/>
          <w:sz w:val="20"/>
        </w:rPr>
        <w:t> </w:t>
      </w:r>
      <w:r>
        <w:rPr>
          <w:w w:val="120"/>
          <w:sz w:val="20"/>
        </w:rPr>
        <w:t>Spirit.</w:t>
      </w:r>
    </w:p>
    <w:p>
      <w:pPr>
        <w:pStyle w:val="ListParagraph"/>
        <w:numPr>
          <w:ilvl w:val="2"/>
          <w:numId w:val="65"/>
        </w:numPr>
        <w:tabs>
          <w:tab w:pos="2721" w:val="left" w:leader="none"/>
          <w:tab w:pos="2722" w:val="left" w:leader="none"/>
        </w:tabs>
        <w:spacing w:line="235" w:lineRule="auto" w:before="3" w:after="0"/>
        <w:ind w:left="2721" w:right="2079" w:hanging="794"/>
        <w:jc w:val="left"/>
        <w:rPr>
          <w:sz w:val="20"/>
        </w:rPr>
      </w:pPr>
      <w:r>
        <w:rPr>
          <w:w w:val="120"/>
          <w:sz w:val="20"/>
        </w:rPr>
        <w:t>The Holy Spirit is the giver of </w:t>
      </w:r>
      <w:r>
        <w:rPr>
          <w:spacing w:val="2"/>
          <w:w w:val="120"/>
          <w:sz w:val="20"/>
        </w:rPr>
        <w:t>gifts </w:t>
      </w:r>
      <w:r>
        <w:rPr>
          <w:w w:val="120"/>
          <w:sz w:val="20"/>
        </w:rPr>
        <w:t>and these come through different languages and voices. The Church is called to identify and celebrate the diversity of </w:t>
      </w:r>
      <w:r>
        <w:rPr>
          <w:spacing w:val="2"/>
          <w:w w:val="120"/>
          <w:sz w:val="20"/>
        </w:rPr>
        <w:t>gifts </w:t>
      </w:r>
      <w:r>
        <w:rPr>
          <w:w w:val="120"/>
          <w:sz w:val="20"/>
        </w:rPr>
        <w:t>held within the body of Christ, not judging people, but helping each one to discover his or her particular </w:t>
      </w:r>
      <w:r>
        <w:rPr>
          <w:spacing w:val="2"/>
          <w:w w:val="120"/>
          <w:sz w:val="20"/>
        </w:rPr>
        <w:t>gifts, </w:t>
      </w:r>
      <w:r>
        <w:rPr>
          <w:w w:val="120"/>
          <w:sz w:val="20"/>
        </w:rPr>
        <w:t>giving thanks for the </w:t>
      </w:r>
      <w:r>
        <w:rPr>
          <w:spacing w:val="2"/>
          <w:w w:val="120"/>
          <w:sz w:val="20"/>
        </w:rPr>
        <w:t>gift </w:t>
      </w:r>
      <w:r>
        <w:rPr>
          <w:w w:val="120"/>
          <w:sz w:val="20"/>
        </w:rPr>
        <w:t>of each person in each </w:t>
      </w:r>
      <w:r>
        <w:rPr>
          <w:spacing w:val="2"/>
          <w:w w:val="120"/>
          <w:sz w:val="20"/>
        </w:rPr>
        <w:t>part </w:t>
      </w:r>
      <w:r>
        <w:rPr>
          <w:w w:val="120"/>
          <w:sz w:val="20"/>
        </w:rPr>
        <w:t>of the </w:t>
      </w:r>
      <w:r>
        <w:rPr>
          <w:spacing w:val="-3"/>
          <w:w w:val="120"/>
          <w:sz w:val="20"/>
        </w:rPr>
        <w:t>Church’s </w:t>
      </w:r>
      <w:r>
        <w:rPr>
          <w:w w:val="120"/>
          <w:sz w:val="20"/>
        </w:rPr>
        <w:t>life and recognising that it is the same Spirit drawing all people to</w:t>
      </w:r>
      <w:r>
        <w:rPr>
          <w:spacing w:val="29"/>
          <w:w w:val="120"/>
          <w:sz w:val="20"/>
        </w:rPr>
        <w:t> </w:t>
      </w:r>
      <w:r>
        <w:rPr>
          <w:w w:val="120"/>
          <w:sz w:val="20"/>
        </w:rPr>
        <w:t>God.</w:t>
      </w:r>
    </w:p>
    <w:p>
      <w:pPr>
        <w:pStyle w:val="ListParagraph"/>
        <w:numPr>
          <w:ilvl w:val="2"/>
          <w:numId w:val="65"/>
        </w:numPr>
        <w:tabs>
          <w:tab w:pos="2721" w:val="left" w:leader="none"/>
          <w:tab w:pos="2722" w:val="left" w:leader="none"/>
        </w:tabs>
        <w:spacing w:line="242" w:lineRule="exact" w:before="1" w:after="0"/>
        <w:ind w:left="2721" w:right="0" w:hanging="795"/>
        <w:jc w:val="left"/>
        <w:rPr>
          <w:sz w:val="20"/>
        </w:rPr>
      </w:pPr>
      <w:r>
        <w:rPr>
          <w:w w:val="120"/>
          <w:sz w:val="20"/>
        </w:rPr>
        <w:t>The Holy Spirit is the Indweller, dwelling in the midst of God’s</w:t>
      </w:r>
      <w:r>
        <w:rPr>
          <w:spacing w:val="44"/>
          <w:w w:val="120"/>
          <w:sz w:val="20"/>
        </w:rPr>
        <w:t> </w:t>
      </w:r>
      <w:r>
        <w:rPr>
          <w:w w:val="120"/>
          <w:sz w:val="20"/>
        </w:rPr>
        <w:t>people.</w:t>
      </w:r>
    </w:p>
    <w:p>
      <w:pPr>
        <w:pStyle w:val="BodyText"/>
        <w:spacing w:line="235" w:lineRule="auto" w:before="2"/>
        <w:ind w:left="2721" w:right="2496"/>
      </w:pPr>
      <w:r>
        <w:rPr>
          <w:w w:val="120"/>
        </w:rPr>
        <w:t>A high priority of the </w:t>
      </w:r>
      <w:r>
        <w:rPr>
          <w:spacing w:val="-3"/>
          <w:w w:val="120"/>
        </w:rPr>
        <w:t>Church’s  </w:t>
      </w:r>
      <w:r>
        <w:rPr>
          <w:w w:val="120"/>
        </w:rPr>
        <w:t>life is to rediscover the importance  of worship, prayer and theology, to sense the tangibility of God – in sign and symbol, in bread and wine, in each other – and to convey that</w:t>
      </w:r>
      <w:r>
        <w:rPr>
          <w:spacing w:val="7"/>
          <w:w w:val="120"/>
        </w:rPr>
        <w:t> </w:t>
      </w:r>
      <w:r>
        <w:rPr>
          <w:w w:val="120"/>
        </w:rPr>
        <w:t>tangibility</w:t>
      </w:r>
      <w:r>
        <w:rPr>
          <w:spacing w:val="7"/>
          <w:w w:val="120"/>
        </w:rPr>
        <w:t> </w:t>
      </w:r>
      <w:r>
        <w:rPr>
          <w:w w:val="120"/>
        </w:rPr>
        <w:t>to</w:t>
      </w:r>
      <w:r>
        <w:rPr>
          <w:spacing w:val="7"/>
          <w:w w:val="120"/>
        </w:rPr>
        <w:t> </w:t>
      </w:r>
      <w:r>
        <w:rPr>
          <w:w w:val="120"/>
        </w:rPr>
        <w:t>a</w:t>
      </w:r>
      <w:r>
        <w:rPr>
          <w:spacing w:val="7"/>
          <w:w w:val="120"/>
        </w:rPr>
        <w:t> </w:t>
      </w:r>
      <w:r>
        <w:rPr>
          <w:w w:val="120"/>
        </w:rPr>
        <w:t>needy</w:t>
      </w:r>
      <w:r>
        <w:rPr>
          <w:spacing w:val="7"/>
          <w:w w:val="120"/>
        </w:rPr>
        <w:t> </w:t>
      </w:r>
      <w:r>
        <w:rPr>
          <w:w w:val="120"/>
        </w:rPr>
        <w:t>world.</w:t>
      </w:r>
      <w:r>
        <w:rPr>
          <w:spacing w:val="7"/>
          <w:w w:val="120"/>
        </w:rPr>
        <w:t> </w:t>
      </w:r>
      <w:r>
        <w:rPr>
          <w:w w:val="120"/>
        </w:rPr>
        <w:t>The</w:t>
      </w:r>
      <w:r>
        <w:rPr>
          <w:spacing w:val="7"/>
          <w:w w:val="120"/>
        </w:rPr>
        <w:t> </w:t>
      </w:r>
      <w:r>
        <w:rPr>
          <w:w w:val="120"/>
        </w:rPr>
        <w:t>church</w:t>
      </w:r>
      <w:r>
        <w:rPr>
          <w:spacing w:val="7"/>
          <w:w w:val="120"/>
        </w:rPr>
        <w:t> </w:t>
      </w:r>
      <w:r>
        <w:rPr>
          <w:w w:val="120"/>
        </w:rPr>
        <w:t>needs</w:t>
      </w:r>
      <w:r>
        <w:rPr>
          <w:spacing w:val="7"/>
          <w:w w:val="120"/>
        </w:rPr>
        <w:t> </w:t>
      </w:r>
      <w:r>
        <w:rPr>
          <w:w w:val="120"/>
        </w:rPr>
        <w:t>to</w:t>
      </w:r>
      <w:r>
        <w:rPr>
          <w:spacing w:val="7"/>
          <w:w w:val="120"/>
        </w:rPr>
        <w:t> </w:t>
      </w:r>
      <w:r>
        <w:rPr>
          <w:w w:val="120"/>
        </w:rPr>
        <w:t>find</w:t>
      </w:r>
      <w:r>
        <w:rPr>
          <w:spacing w:val="7"/>
          <w:w w:val="120"/>
        </w:rPr>
        <w:t> </w:t>
      </w:r>
      <w:r>
        <w:rPr>
          <w:w w:val="120"/>
        </w:rPr>
        <w:t>again</w:t>
      </w:r>
      <w:r>
        <w:rPr>
          <w:spacing w:val="7"/>
          <w:w w:val="120"/>
        </w:rPr>
        <w:t> </w:t>
      </w:r>
      <w:r>
        <w:rPr>
          <w:w w:val="120"/>
        </w:rPr>
        <w:t>an</w:t>
      </w:r>
    </w:p>
    <w:p>
      <w:pPr>
        <w:pStyle w:val="BodyText"/>
        <w:spacing w:line="235" w:lineRule="auto" w:before="3"/>
        <w:ind w:left="2721" w:right="2167"/>
      </w:pPr>
      <w:r>
        <w:rPr>
          <w:w w:val="120"/>
        </w:rPr>
        <w:t>appropriate sense of ‘fear and trembling’ in encountering the mystery and wonder of the living God in our midst.</w:t>
      </w:r>
    </w:p>
    <w:p>
      <w:pPr>
        <w:pStyle w:val="ListParagraph"/>
        <w:numPr>
          <w:ilvl w:val="2"/>
          <w:numId w:val="65"/>
        </w:numPr>
        <w:tabs>
          <w:tab w:pos="2721" w:val="left" w:leader="none"/>
          <w:tab w:pos="2722" w:val="left" w:leader="none"/>
        </w:tabs>
        <w:spacing w:line="235" w:lineRule="auto" w:before="1" w:after="0"/>
        <w:ind w:left="2721" w:right="2225" w:hanging="794"/>
        <w:jc w:val="left"/>
        <w:rPr>
          <w:sz w:val="20"/>
        </w:rPr>
      </w:pPr>
      <w:r>
        <w:rPr>
          <w:w w:val="120"/>
          <w:sz w:val="20"/>
        </w:rPr>
        <w:t>The Holy Spirit leads God’s people into truth – not my truth or your truth, but God’s truth. </w:t>
      </w:r>
      <w:r>
        <w:rPr>
          <w:spacing w:val="3"/>
          <w:w w:val="120"/>
          <w:sz w:val="20"/>
        </w:rPr>
        <w:t>As </w:t>
      </w:r>
      <w:r>
        <w:rPr>
          <w:w w:val="120"/>
          <w:sz w:val="20"/>
        </w:rPr>
        <w:t>members of the body of Christ talk</w:t>
      </w:r>
      <w:r>
        <w:rPr>
          <w:spacing w:val="1"/>
          <w:w w:val="120"/>
          <w:sz w:val="20"/>
        </w:rPr>
        <w:t> </w:t>
      </w:r>
      <w:r>
        <w:rPr>
          <w:w w:val="120"/>
          <w:sz w:val="20"/>
        </w:rPr>
        <w:t>together,</w:t>
      </w:r>
    </w:p>
    <w:p>
      <w:pPr>
        <w:spacing w:after="0" w:line="235" w:lineRule="auto"/>
        <w:jc w:val="left"/>
        <w:rPr>
          <w:sz w:val="20"/>
        </w:rPr>
        <w:sectPr>
          <w:headerReference w:type="even" r:id="rId270"/>
          <w:footerReference w:type="even" r:id="rId271"/>
          <w:footerReference w:type="default" r:id="rId272"/>
          <w:pgSz w:w="11910" w:h="16840"/>
          <w:pgMar w:header="0" w:footer="647" w:top="0" w:bottom="840" w:left="0" w:right="0"/>
          <w:pgNumType w:start="114"/>
        </w:sectPr>
      </w:pPr>
    </w:p>
    <w:p>
      <w:pPr>
        <w:pStyle w:val="BodyText"/>
      </w:pPr>
      <w:r>
        <w:rPr/>
        <w:drawing>
          <wp:anchor distT="0" distB="0" distL="0" distR="0" allowOverlap="1" layoutInCell="1" locked="0" behindDoc="0" simplePos="0" relativeHeight="251971584">
            <wp:simplePos x="0" y="0"/>
            <wp:positionH relativeFrom="page">
              <wp:posOffset>6974928</wp:posOffset>
            </wp:positionH>
            <wp:positionV relativeFrom="page">
              <wp:posOffset>0</wp:posOffset>
            </wp:positionV>
            <wp:extent cx="585063" cy="10692003"/>
            <wp:effectExtent l="0" t="0" r="0" b="0"/>
            <wp:wrapNone/>
            <wp:docPr id="211" name="image25.png"/>
            <wp:cNvGraphicFramePr>
              <a:graphicFrameLocks noChangeAspect="1"/>
            </wp:cNvGraphicFramePr>
            <a:graphic>
              <a:graphicData uri="http://schemas.openxmlformats.org/drawingml/2006/picture">
                <pic:pic>
                  <pic:nvPicPr>
                    <pic:cNvPr id="212" name="image25.png"/>
                    <pic:cNvPicPr/>
                  </pic:nvPicPr>
                  <pic:blipFill>
                    <a:blip r:embed="rId192"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pStyle w:val="Heading5"/>
        <w:ind w:left="0" w:right="1245"/>
        <w:jc w:val="right"/>
      </w:pPr>
      <w:r>
        <w:rPr/>
        <w:pict>
          <v:shape style="position:absolute;margin-left:554.141174pt;margin-top:22.593945pt;width:25.9pt;height:288pt;mso-position-horizontal-relative:page;mso-position-vertical-relative:paragraph;z-index:251972608" type="#_x0000_t202" filled="false" stroked="false">
            <v:textbox inset="0,0,0,0" style="layout-flow:vertical">
              <w:txbxContent>
                <w:p>
                  <w:pPr>
                    <w:spacing w:before="27"/>
                    <w:ind w:left="20" w:right="0" w:firstLine="0"/>
                    <w:jc w:val="left"/>
                    <w:rPr>
                      <w:sz w:val="39"/>
                    </w:rPr>
                  </w:pPr>
                  <w:r>
                    <w:rPr>
                      <w:color w:val="FFFFFF"/>
                      <w:w w:val="120"/>
                      <w:sz w:val="39"/>
                    </w:rPr>
                    <w:t>The URC’s gift of conciliarity</w:t>
                  </w:r>
                </w:p>
              </w:txbxContent>
            </v:textbox>
            <w10:wrap type="none"/>
          </v:shape>
        </w:pict>
      </w:r>
      <w:r>
        <w:rPr>
          <w:color w:val="7EAABF"/>
          <w:w w:val="115"/>
        </w:rPr>
        <w:t>Faith and order</w:t>
      </w:r>
    </w:p>
    <w:p>
      <w:pPr>
        <w:pStyle w:val="BodyText"/>
        <w:spacing w:line="235" w:lineRule="auto" w:before="222"/>
        <w:ind w:left="3458" w:right="1414"/>
      </w:pPr>
      <w:r>
        <w:rPr>
          <w:w w:val="120"/>
        </w:rPr>
        <w:t>different perceptions of truth are shared, recognising that God’s truth will only be seen in all its fullness at the eschaton. One of the Reformed characteristics that the United Reformed Church cherishes is wrestling to discover where the truth lies, continually open to new insights.</w:t>
      </w:r>
    </w:p>
    <w:p>
      <w:pPr>
        <w:pStyle w:val="ListParagraph"/>
        <w:numPr>
          <w:ilvl w:val="2"/>
          <w:numId w:val="65"/>
        </w:numPr>
        <w:tabs>
          <w:tab w:pos="3458" w:val="left" w:leader="none"/>
          <w:tab w:pos="3459" w:val="left" w:leader="none"/>
        </w:tabs>
        <w:spacing w:line="235" w:lineRule="auto" w:before="3" w:after="0"/>
        <w:ind w:left="3458" w:right="1442" w:hanging="794"/>
        <w:jc w:val="left"/>
        <w:rPr>
          <w:sz w:val="20"/>
        </w:rPr>
      </w:pPr>
      <w:r>
        <w:rPr>
          <w:w w:val="120"/>
          <w:sz w:val="20"/>
        </w:rPr>
        <w:t>The Holy Spirit is the Sender. The Church is not here for itself alone, but, by sharing in the life of the Holy Spirit, shares in God’s purpose for God’s</w:t>
      </w:r>
      <w:r>
        <w:rPr>
          <w:spacing w:val="2"/>
          <w:w w:val="120"/>
          <w:sz w:val="20"/>
        </w:rPr>
        <w:t> </w:t>
      </w:r>
      <w:r>
        <w:rPr>
          <w:w w:val="120"/>
          <w:sz w:val="20"/>
        </w:rPr>
        <w:t>world.</w:t>
      </w:r>
    </w:p>
    <w:p>
      <w:pPr>
        <w:pStyle w:val="BodyText"/>
        <w:spacing w:before="10"/>
        <w:rPr>
          <w:sz w:val="19"/>
        </w:rPr>
      </w:pPr>
    </w:p>
    <w:p>
      <w:pPr>
        <w:pStyle w:val="BodyText"/>
        <w:tabs>
          <w:tab w:pos="2664" w:val="left" w:leader="none"/>
        </w:tabs>
        <w:spacing w:line="235" w:lineRule="auto"/>
        <w:ind w:left="1984" w:right="1414"/>
      </w:pPr>
      <w:r>
        <w:rPr>
          <w:spacing w:val="-2"/>
          <w:w w:val="120"/>
        </w:rPr>
        <w:t>3.6</w:t>
        <w:tab/>
      </w:r>
      <w:r>
        <w:rPr>
          <w:w w:val="120"/>
        </w:rPr>
        <w:t>It is interesting to note that in the Basis of Union, the founding document of the United Reformed Church, theological considerations with regard to the nature of the Church are offered separately from the functions of the various </w:t>
      </w:r>
      <w:r>
        <w:rPr>
          <w:spacing w:val="2"/>
          <w:w w:val="120"/>
        </w:rPr>
        <w:t>parts </w:t>
      </w:r>
      <w:r>
        <w:rPr>
          <w:w w:val="120"/>
        </w:rPr>
        <w:t>of the structure. Where the church meeting is explicitly discussed, it is through a list of its functions. While the first functions listed are helpfully about outreach, mission, and considering the Christian faith, the church meeting’s dependence on the inspiration of the Holy Spirit and its </w:t>
      </w:r>
      <w:r>
        <w:rPr>
          <w:spacing w:val="2"/>
          <w:w w:val="120"/>
        </w:rPr>
        <w:t>part </w:t>
      </w:r>
      <w:r>
        <w:rPr>
          <w:w w:val="120"/>
        </w:rPr>
        <w:t>in God’s purpose for the church and the world are not spelt out at this point. In the </w:t>
      </w:r>
      <w:r>
        <w:rPr>
          <w:spacing w:val="-5"/>
          <w:w w:val="120"/>
        </w:rPr>
        <w:t>42 </w:t>
      </w:r>
      <w:r>
        <w:rPr>
          <w:w w:val="120"/>
        </w:rPr>
        <w:t>years since the original coming together of Congregationalists and Presbyterians in the United Reformed Church, there has been a sea change in the UK   in terms of the reducing visibility and prevalence of the Christian faith, a change which has had an effect on Christians’ understanding of their faith and the way this faith is held. There is therefore a need to spell out the theological undergirding of conciliarity, rather than only looking at</w:t>
      </w:r>
      <w:r>
        <w:rPr>
          <w:spacing w:val="10"/>
          <w:w w:val="120"/>
        </w:rPr>
        <w:t> </w:t>
      </w:r>
      <w:r>
        <w:rPr>
          <w:w w:val="120"/>
        </w:rPr>
        <w:t>function.</w:t>
      </w:r>
    </w:p>
    <w:p>
      <w:pPr>
        <w:pStyle w:val="BodyText"/>
        <w:spacing w:before="6"/>
        <w:rPr>
          <w:sz w:val="22"/>
        </w:rPr>
      </w:pPr>
    </w:p>
    <w:p>
      <w:pPr>
        <w:pStyle w:val="Heading4"/>
        <w:numPr>
          <w:ilvl w:val="0"/>
          <w:numId w:val="65"/>
        </w:numPr>
        <w:tabs>
          <w:tab w:pos="2664" w:val="left" w:leader="none"/>
          <w:tab w:pos="2665" w:val="left" w:leader="none"/>
        </w:tabs>
        <w:spacing w:line="196" w:lineRule="auto" w:before="0" w:after="0"/>
        <w:ind w:left="2664" w:right="2565" w:hanging="681"/>
        <w:jc w:val="left"/>
      </w:pPr>
      <w:r>
        <w:rPr>
          <w:spacing w:val="3"/>
          <w:w w:val="110"/>
        </w:rPr>
        <w:t>Affirmations </w:t>
      </w:r>
      <w:r>
        <w:rPr>
          <w:spacing w:val="2"/>
          <w:w w:val="110"/>
        </w:rPr>
        <w:t>with </w:t>
      </w:r>
      <w:r>
        <w:rPr>
          <w:spacing w:val="3"/>
          <w:w w:val="110"/>
        </w:rPr>
        <w:t>regard </w:t>
      </w:r>
      <w:r>
        <w:rPr>
          <w:w w:val="110"/>
        </w:rPr>
        <w:t>to </w:t>
      </w:r>
      <w:r>
        <w:rPr>
          <w:spacing w:val="4"/>
          <w:w w:val="110"/>
        </w:rPr>
        <w:t>conciliarity </w:t>
      </w:r>
      <w:r>
        <w:rPr>
          <w:w w:val="110"/>
        </w:rPr>
        <w:t>as </w:t>
      </w:r>
      <w:r>
        <w:rPr>
          <w:spacing w:val="4"/>
          <w:w w:val="110"/>
        </w:rPr>
        <w:t>expressed </w:t>
      </w:r>
      <w:r>
        <w:rPr>
          <w:w w:val="110"/>
        </w:rPr>
        <w:t>in </w:t>
      </w:r>
      <w:r>
        <w:rPr>
          <w:spacing w:val="2"/>
          <w:w w:val="110"/>
        </w:rPr>
        <w:t>the </w:t>
      </w:r>
      <w:r>
        <w:rPr>
          <w:spacing w:val="3"/>
          <w:w w:val="110"/>
        </w:rPr>
        <w:t>church</w:t>
      </w:r>
      <w:r>
        <w:rPr>
          <w:spacing w:val="48"/>
          <w:w w:val="110"/>
        </w:rPr>
        <w:t> </w:t>
      </w:r>
      <w:r>
        <w:rPr>
          <w:spacing w:val="3"/>
          <w:w w:val="110"/>
        </w:rPr>
        <w:t>meeting</w:t>
      </w:r>
    </w:p>
    <w:p>
      <w:pPr>
        <w:pStyle w:val="ListParagraph"/>
        <w:numPr>
          <w:ilvl w:val="1"/>
          <w:numId w:val="65"/>
        </w:numPr>
        <w:tabs>
          <w:tab w:pos="2664" w:val="left" w:leader="none"/>
          <w:tab w:pos="2665" w:val="left" w:leader="none"/>
        </w:tabs>
        <w:spacing w:line="235" w:lineRule="auto" w:before="85" w:after="0"/>
        <w:ind w:left="1984" w:right="1246" w:firstLine="0"/>
        <w:jc w:val="left"/>
        <w:rPr>
          <w:sz w:val="20"/>
        </w:rPr>
      </w:pPr>
      <w:r>
        <w:rPr>
          <w:w w:val="120"/>
          <w:sz w:val="20"/>
        </w:rPr>
        <w:t>The United Reformed Church is not alone in honouring the role of church meetings, but the United Reformed Church is distinctive in its understanding of the relationship between the various councils of the Church, from the congregational to the Church-wide level. The church meeting is only one of the councils of the Church and operates in mutuality with the conciliarity embodied in the other councils. Conciliarity also occurs outside the formal</w:t>
      </w:r>
      <w:r>
        <w:rPr>
          <w:spacing w:val="10"/>
          <w:w w:val="120"/>
          <w:sz w:val="20"/>
        </w:rPr>
        <w:t> </w:t>
      </w:r>
      <w:r>
        <w:rPr>
          <w:w w:val="120"/>
          <w:sz w:val="20"/>
        </w:rPr>
        <w:t>councils.</w:t>
      </w:r>
    </w:p>
    <w:p>
      <w:pPr>
        <w:pStyle w:val="BodyText"/>
      </w:pPr>
    </w:p>
    <w:p>
      <w:pPr>
        <w:pStyle w:val="ListParagraph"/>
        <w:numPr>
          <w:ilvl w:val="1"/>
          <w:numId w:val="65"/>
        </w:numPr>
        <w:tabs>
          <w:tab w:pos="2664" w:val="left" w:leader="none"/>
          <w:tab w:pos="2665" w:val="left" w:leader="none"/>
        </w:tabs>
        <w:spacing w:line="235" w:lineRule="auto" w:before="1" w:after="0"/>
        <w:ind w:left="1984" w:right="1317" w:firstLine="0"/>
        <w:jc w:val="left"/>
        <w:rPr>
          <w:sz w:val="20"/>
        </w:rPr>
      </w:pPr>
      <w:r>
        <w:rPr>
          <w:w w:val="120"/>
          <w:sz w:val="20"/>
        </w:rPr>
        <w:t>What follows is a list of affirmations with regard to the role and purpose of the church meeting. These are the aspirations arising from the United Reformed </w:t>
      </w:r>
      <w:r>
        <w:rPr>
          <w:spacing w:val="-3"/>
          <w:w w:val="120"/>
          <w:sz w:val="20"/>
        </w:rPr>
        <w:t>Church’s </w:t>
      </w:r>
      <w:r>
        <w:rPr>
          <w:w w:val="120"/>
          <w:sz w:val="20"/>
        </w:rPr>
        <w:t>interpretation of conciliarity and the promises that this holds for the discernment of the Holy</w:t>
      </w:r>
      <w:r>
        <w:rPr>
          <w:spacing w:val="2"/>
          <w:w w:val="120"/>
          <w:sz w:val="20"/>
        </w:rPr>
        <w:t> </w:t>
      </w:r>
      <w:r>
        <w:rPr>
          <w:w w:val="120"/>
          <w:sz w:val="20"/>
        </w:rPr>
        <w:t>Spirit.</w:t>
      </w:r>
    </w:p>
    <w:p>
      <w:pPr>
        <w:pStyle w:val="ListParagraph"/>
        <w:numPr>
          <w:ilvl w:val="0"/>
          <w:numId w:val="67"/>
        </w:numPr>
        <w:tabs>
          <w:tab w:pos="3458" w:val="left" w:leader="none"/>
          <w:tab w:pos="3459" w:val="left" w:leader="none"/>
        </w:tabs>
        <w:spacing w:line="235" w:lineRule="auto" w:before="3" w:after="0"/>
        <w:ind w:left="3458" w:right="1694" w:hanging="794"/>
        <w:jc w:val="left"/>
        <w:rPr>
          <w:sz w:val="20"/>
        </w:rPr>
      </w:pPr>
      <w:r>
        <w:rPr>
          <w:w w:val="120"/>
          <w:sz w:val="20"/>
        </w:rPr>
        <w:t>The United Reformed </w:t>
      </w:r>
      <w:r>
        <w:rPr>
          <w:spacing w:val="-3"/>
          <w:w w:val="120"/>
          <w:sz w:val="20"/>
        </w:rPr>
        <w:t>Church’s </w:t>
      </w:r>
      <w:r>
        <w:rPr>
          <w:w w:val="120"/>
          <w:sz w:val="20"/>
        </w:rPr>
        <w:t>understanding of conciliarity and the role of the church meeting within this understanding is a defining characteristic of the United Reformed Church, but not the only defining</w:t>
      </w:r>
      <w:r>
        <w:rPr>
          <w:spacing w:val="2"/>
          <w:w w:val="120"/>
          <w:sz w:val="20"/>
        </w:rPr>
        <w:t> </w:t>
      </w:r>
      <w:r>
        <w:rPr>
          <w:w w:val="120"/>
          <w:sz w:val="20"/>
        </w:rPr>
        <w:t>characteristic.</w:t>
      </w:r>
    </w:p>
    <w:p>
      <w:pPr>
        <w:pStyle w:val="ListParagraph"/>
        <w:numPr>
          <w:ilvl w:val="0"/>
          <w:numId w:val="67"/>
        </w:numPr>
        <w:tabs>
          <w:tab w:pos="3458" w:val="left" w:leader="none"/>
          <w:tab w:pos="3459" w:val="left" w:leader="none"/>
        </w:tabs>
        <w:spacing w:line="235" w:lineRule="auto" w:before="3" w:after="0"/>
        <w:ind w:left="3458" w:right="1430" w:hanging="794"/>
        <w:jc w:val="left"/>
        <w:rPr>
          <w:sz w:val="20"/>
        </w:rPr>
      </w:pPr>
      <w:r>
        <w:rPr>
          <w:w w:val="120"/>
          <w:sz w:val="20"/>
        </w:rPr>
        <w:t>The church meeting reflects the underlying spirituality of the United Reformed Church in terms of the discerning of the mind of Christ through the power of the Holy Spirit by the whole people of God. It connects with a range of other expressions of this spirituality, including the regular worship life of the Church, prayer, study of the Scriptures, and small group</w:t>
      </w:r>
      <w:r>
        <w:rPr>
          <w:spacing w:val="6"/>
          <w:w w:val="120"/>
          <w:sz w:val="20"/>
        </w:rPr>
        <w:t> </w:t>
      </w:r>
      <w:r>
        <w:rPr>
          <w:w w:val="120"/>
          <w:sz w:val="20"/>
        </w:rPr>
        <w:t>discussions.</w:t>
      </w:r>
    </w:p>
    <w:p>
      <w:pPr>
        <w:pStyle w:val="ListParagraph"/>
        <w:numPr>
          <w:ilvl w:val="0"/>
          <w:numId w:val="67"/>
        </w:numPr>
        <w:tabs>
          <w:tab w:pos="3458" w:val="left" w:leader="none"/>
          <w:tab w:pos="3459" w:val="left" w:leader="none"/>
        </w:tabs>
        <w:spacing w:line="235" w:lineRule="auto" w:before="4" w:after="0"/>
        <w:ind w:left="3458" w:right="1665" w:hanging="794"/>
        <w:jc w:val="left"/>
        <w:rPr>
          <w:sz w:val="20"/>
        </w:rPr>
      </w:pPr>
      <w:r>
        <w:rPr>
          <w:w w:val="120"/>
          <w:sz w:val="20"/>
        </w:rPr>
        <w:t>The church meeting is rooted in prayer, worship, and listening to the Holy</w:t>
      </w:r>
      <w:r>
        <w:rPr>
          <w:spacing w:val="2"/>
          <w:w w:val="120"/>
          <w:sz w:val="20"/>
        </w:rPr>
        <w:t> </w:t>
      </w:r>
      <w:r>
        <w:rPr>
          <w:w w:val="120"/>
          <w:sz w:val="20"/>
        </w:rPr>
        <w:t>Spirit.</w:t>
      </w:r>
    </w:p>
    <w:p>
      <w:pPr>
        <w:pStyle w:val="ListParagraph"/>
        <w:numPr>
          <w:ilvl w:val="0"/>
          <w:numId w:val="67"/>
        </w:numPr>
        <w:tabs>
          <w:tab w:pos="3458" w:val="left" w:leader="none"/>
          <w:tab w:pos="3459" w:val="left" w:leader="none"/>
        </w:tabs>
        <w:spacing w:line="235" w:lineRule="auto" w:before="1" w:after="0"/>
        <w:ind w:left="3458" w:right="1591" w:hanging="794"/>
        <w:jc w:val="left"/>
        <w:rPr>
          <w:sz w:val="20"/>
        </w:rPr>
      </w:pPr>
      <w:r>
        <w:rPr>
          <w:w w:val="120"/>
          <w:sz w:val="20"/>
        </w:rPr>
        <w:t>The church meeting is a place in which people listen for the voice of God in and through the multiplicity of different voices that speak. It symbolises and celebrates God’s affirmation of each person as worthy and valuable, each of us a vehicle through whom the Holy Spirit may be</w:t>
      </w:r>
      <w:r>
        <w:rPr>
          <w:spacing w:val="2"/>
          <w:w w:val="120"/>
          <w:sz w:val="20"/>
        </w:rPr>
        <w:t> </w:t>
      </w:r>
      <w:r>
        <w:rPr>
          <w:w w:val="120"/>
          <w:sz w:val="20"/>
        </w:rPr>
        <w:t>heard.</w:t>
      </w:r>
    </w:p>
    <w:p>
      <w:pPr>
        <w:pStyle w:val="ListParagraph"/>
        <w:numPr>
          <w:ilvl w:val="0"/>
          <w:numId w:val="67"/>
        </w:numPr>
        <w:tabs>
          <w:tab w:pos="3458" w:val="left" w:leader="none"/>
          <w:tab w:pos="3459" w:val="left" w:leader="none"/>
        </w:tabs>
        <w:spacing w:line="235" w:lineRule="auto" w:before="4" w:after="0"/>
        <w:ind w:left="3458" w:right="1415" w:hanging="794"/>
        <w:jc w:val="left"/>
        <w:rPr>
          <w:sz w:val="20"/>
        </w:rPr>
      </w:pPr>
      <w:r>
        <w:rPr>
          <w:w w:val="120"/>
          <w:sz w:val="20"/>
        </w:rPr>
        <w:t>The church meeting is based on Scripture reinterpreted over the centuries in response to different ways of discerning the mind of</w:t>
      </w:r>
      <w:r>
        <w:rPr>
          <w:spacing w:val="20"/>
          <w:w w:val="120"/>
          <w:sz w:val="20"/>
        </w:rPr>
        <w:t> </w:t>
      </w:r>
      <w:r>
        <w:rPr>
          <w:w w:val="120"/>
          <w:sz w:val="20"/>
        </w:rPr>
        <w:t>Christ.</w:t>
      </w:r>
    </w:p>
    <w:p>
      <w:pPr>
        <w:pStyle w:val="BodyText"/>
        <w:spacing w:line="235" w:lineRule="auto" w:before="2"/>
        <w:ind w:left="3458" w:right="1871"/>
      </w:pPr>
      <w:r>
        <w:rPr>
          <w:w w:val="120"/>
        </w:rPr>
        <w:t>Acts 15, for example, offers a picture in which an issue arises, there is heated discussion, agreement is reached, and a decision is then</w:t>
      </w:r>
    </w:p>
    <w:p>
      <w:pPr>
        <w:pStyle w:val="BodyText"/>
        <w:spacing w:line="235" w:lineRule="auto" w:before="1"/>
        <w:ind w:left="3458" w:right="1701"/>
      </w:pPr>
      <w:r>
        <w:rPr>
          <w:w w:val="120"/>
        </w:rPr>
        <w:t>disseminated. Revisiting scriptural understandings of conciliarity and the models it offers would be helpful.</w:t>
      </w:r>
    </w:p>
    <w:p>
      <w:pPr>
        <w:spacing w:after="0" w:line="235" w:lineRule="auto"/>
        <w:sectPr>
          <w:headerReference w:type="default" r:id="rId273"/>
          <w:pgSz w:w="11910" w:h="16840"/>
          <w:pgMar w:header="0" w:footer="647" w:top="0" w:bottom="840" w:left="0" w:right="0"/>
        </w:sectPr>
      </w:pPr>
    </w:p>
    <w:p>
      <w:pPr>
        <w:pStyle w:val="BodyText"/>
      </w:pPr>
      <w:r>
        <w:rPr/>
        <w:drawing>
          <wp:anchor distT="0" distB="0" distL="0" distR="0" allowOverlap="1" layoutInCell="1" locked="0" behindDoc="0" simplePos="0" relativeHeight="251973632">
            <wp:simplePos x="0" y="0"/>
            <wp:positionH relativeFrom="page">
              <wp:posOffset>0</wp:posOffset>
            </wp:positionH>
            <wp:positionV relativeFrom="page">
              <wp:posOffset>0</wp:posOffset>
            </wp:positionV>
            <wp:extent cx="594067" cy="10692003"/>
            <wp:effectExtent l="0" t="0" r="0" b="0"/>
            <wp:wrapNone/>
            <wp:docPr id="213" name="image28.png"/>
            <wp:cNvGraphicFramePr>
              <a:graphicFrameLocks noChangeAspect="1"/>
            </wp:cNvGraphicFramePr>
            <a:graphic>
              <a:graphicData uri="http://schemas.openxmlformats.org/drawingml/2006/picture">
                <pic:pic>
                  <pic:nvPicPr>
                    <pic:cNvPr id="214" name="image28.png"/>
                    <pic:cNvPicPr/>
                  </pic:nvPicPr>
                  <pic:blipFill>
                    <a:blip r:embed="rId198"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shape style="position:absolute;margin-left:20.519100pt;margin-top:22.593945pt;width:25.9pt;height:288pt;mso-position-horizontal-relative:page;mso-position-vertical-relative:paragraph;z-index:251974656" type="#_x0000_t202" filled="false" stroked="false">
            <v:textbox inset="0,0,0,0" style="layout-flow:vertical">
              <w:txbxContent>
                <w:p>
                  <w:pPr>
                    <w:spacing w:before="27"/>
                    <w:ind w:left="20" w:right="0" w:firstLine="0"/>
                    <w:jc w:val="left"/>
                    <w:rPr>
                      <w:sz w:val="39"/>
                    </w:rPr>
                  </w:pPr>
                  <w:r>
                    <w:rPr>
                      <w:color w:val="FFFFFF"/>
                      <w:w w:val="120"/>
                      <w:sz w:val="39"/>
                    </w:rPr>
                    <w:t>The URC’s gift of conciliarity</w:t>
                  </w:r>
                </w:p>
              </w:txbxContent>
            </v:textbox>
            <w10:wrap type="none"/>
          </v:shape>
        </w:pict>
      </w:r>
      <w:r>
        <w:rPr>
          <w:color w:val="7EAABF"/>
          <w:w w:val="115"/>
        </w:rPr>
        <w:t>Faith and order</w:t>
      </w:r>
    </w:p>
    <w:p>
      <w:pPr>
        <w:pStyle w:val="ListParagraph"/>
        <w:numPr>
          <w:ilvl w:val="0"/>
          <w:numId w:val="67"/>
        </w:numPr>
        <w:tabs>
          <w:tab w:pos="2721" w:val="left" w:leader="none"/>
          <w:tab w:pos="2722" w:val="left" w:leader="none"/>
        </w:tabs>
        <w:spacing w:line="235" w:lineRule="auto" w:before="222" w:after="0"/>
        <w:ind w:left="2721" w:right="2497" w:hanging="794"/>
        <w:jc w:val="left"/>
        <w:rPr>
          <w:sz w:val="20"/>
        </w:rPr>
      </w:pPr>
      <w:r>
        <w:rPr>
          <w:w w:val="120"/>
          <w:sz w:val="20"/>
        </w:rPr>
        <w:t>The church meeting is the place in which people (lay and ordained) hold each other to account in mutual faithfulness to the</w:t>
      </w:r>
      <w:r>
        <w:rPr>
          <w:spacing w:val="14"/>
          <w:w w:val="120"/>
          <w:sz w:val="20"/>
        </w:rPr>
        <w:t> </w:t>
      </w:r>
      <w:r>
        <w:rPr>
          <w:w w:val="120"/>
          <w:sz w:val="20"/>
        </w:rPr>
        <w:t>Gospel.</w:t>
      </w:r>
    </w:p>
    <w:p>
      <w:pPr>
        <w:pStyle w:val="ListParagraph"/>
        <w:numPr>
          <w:ilvl w:val="0"/>
          <w:numId w:val="67"/>
        </w:numPr>
        <w:tabs>
          <w:tab w:pos="2721" w:val="left" w:leader="none"/>
          <w:tab w:pos="2722" w:val="left" w:leader="none"/>
        </w:tabs>
        <w:spacing w:line="235" w:lineRule="auto" w:before="1" w:after="0"/>
        <w:ind w:left="2721" w:right="1940" w:hanging="794"/>
        <w:jc w:val="left"/>
        <w:rPr>
          <w:sz w:val="20"/>
        </w:rPr>
      </w:pPr>
      <w:r>
        <w:rPr>
          <w:w w:val="120"/>
          <w:sz w:val="20"/>
        </w:rPr>
        <w:t>The church meeting is a place for bringing to the surface the conflicts between different personalities, diverse interpretations of the Gospel and different viewpoints, and working these through in creative</w:t>
      </w:r>
      <w:r>
        <w:rPr>
          <w:spacing w:val="28"/>
          <w:w w:val="120"/>
          <w:sz w:val="20"/>
        </w:rPr>
        <w:t> </w:t>
      </w:r>
      <w:r>
        <w:rPr>
          <w:w w:val="120"/>
          <w:sz w:val="20"/>
        </w:rPr>
        <w:t>ways.</w:t>
      </w:r>
    </w:p>
    <w:p>
      <w:pPr>
        <w:pStyle w:val="ListParagraph"/>
        <w:numPr>
          <w:ilvl w:val="0"/>
          <w:numId w:val="67"/>
        </w:numPr>
        <w:tabs>
          <w:tab w:pos="2721" w:val="left" w:leader="none"/>
          <w:tab w:pos="2722" w:val="left" w:leader="none"/>
        </w:tabs>
        <w:spacing w:line="235" w:lineRule="auto" w:before="2" w:after="0"/>
        <w:ind w:left="2721" w:right="2132" w:hanging="794"/>
        <w:jc w:val="left"/>
        <w:rPr>
          <w:sz w:val="20"/>
        </w:rPr>
      </w:pPr>
      <w:r>
        <w:rPr>
          <w:w w:val="120"/>
          <w:sz w:val="20"/>
        </w:rPr>
        <w:t>The church meeting is inspirational in that it depends on the Holy Spirit who energises, renews and equips the whole people of</w:t>
      </w:r>
      <w:r>
        <w:rPr>
          <w:spacing w:val="42"/>
          <w:w w:val="120"/>
          <w:sz w:val="20"/>
        </w:rPr>
        <w:t> </w:t>
      </w:r>
      <w:r>
        <w:rPr>
          <w:w w:val="120"/>
          <w:sz w:val="20"/>
        </w:rPr>
        <w:t>God.</w:t>
      </w:r>
    </w:p>
    <w:p>
      <w:pPr>
        <w:pStyle w:val="ListParagraph"/>
        <w:numPr>
          <w:ilvl w:val="0"/>
          <w:numId w:val="67"/>
        </w:numPr>
        <w:tabs>
          <w:tab w:pos="2721" w:val="left" w:leader="none"/>
          <w:tab w:pos="2722" w:val="left" w:leader="none"/>
        </w:tabs>
        <w:spacing w:line="235" w:lineRule="auto" w:before="2" w:after="0"/>
        <w:ind w:left="2721" w:right="1821" w:hanging="794"/>
        <w:jc w:val="left"/>
        <w:rPr>
          <w:sz w:val="20"/>
        </w:rPr>
      </w:pPr>
      <w:r>
        <w:rPr>
          <w:w w:val="120"/>
          <w:sz w:val="20"/>
        </w:rPr>
        <w:t>The church meeting is about discerning God’s path for that particular local community, which means developing an understanding and connection with the people of the</w:t>
      </w:r>
      <w:r>
        <w:rPr>
          <w:spacing w:val="11"/>
          <w:w w:val="120"/>
          <w:sz w:val="20"/>
        </w:rPr>
        <w:t> </w:t>
      </w:r>
      <w:r>
        <w:rPr>
          <w:w w:val="120"/>
          <w:sz w:val="20"/>
        </w:rPr>
        <w:t>place.</w:t>
      </w:r>
    </w:p>
    <w:p>
      <w:pPr>
        <w:pStyle w:val="ListParagraph"/>
        <w:numPr>
          <w:ilvl w:val="0"/>
          <w:numId w:val="67"/>
        </w:numPr>
        <w:tabs>
          <w:tab w:pos="2721" w:val="left" w:leader="none"/>
          <w:tab w:pos="2722" w:val="left" w:leader="none"/>
        </w:tabs>
        <w:spacing w:line="235" w:lineRule="auto" w:before="2" w:after="0"/>
        <w:ind w:left="2721" w:right="2622" w:hanging="794"/>
        <w:jc w:val="left"/>
        <w:rPr>
          <w:sz w:val="20"/>
        </w:rPr>
      </w:pPr>
      <w:r>
        <w:rPr>
          <w:w w:val="120"/>
          <w:sz w:val="20"/>
        </w:rPr>
        <w:t>The church meeting is about wrestling with the intellectual, social, political and theological issues of the</w:t>
      </w:r>
      <w:r>
        <w:rPr>
          <w:spacing w:val="15"/>
          <w:w w:val="120"/>
          <w:sz w:val="20"/>
        </w:rPr>
        <w:t> </w:t>
      </w:r>
      <w:r>
        <w:rPr>
          <w:spacing w:val="-4"/>
          <w:w w:val="120"/>
          <w:sz w:val="20"/>
        </w:rPr>
        <w:t>day.</w:t>
      </w:r>
    </w:p>
    <w:p>
      <w:pPr>
        <w:pStyle w:val="ListParagraph"/>
        <w:numPr>
          <w:ilvl w:val="0"/>
          <w:numId w:val="67"/>
        </w:numPr>
        <w:tabs>
          <w:tab w:pos="2721" w:val="left" w:leader="none"/>
          <w:tab w:pos="2722" w:val="left" w:leader="none"/>
        </w:tabs>
        <w:spacing w:line="235" w:lineRule="auto" w:before="1" w:after="0"/>
        <w:ind w:left="2721" w:right="2119" w:hanging="794"/>
        <w:jc w:val="left"/>
        <w:rPr>
          <w:sz w:val="20"/>
        </w:rPr>
      </w:pPr>
      <w:r>
        <w:rPr>
          <w:w w:val="120"/>
          <w:sz w:val="20"/>
        </w:rPr>
        <w:t>Church meetings in any given locality are shaped and informed by their connectedness to other church meetings and the wider councils of the Church. </w:t>
      </w:r>
      <w:r>
        <w:rPr>
          <w:spacing w:val="3"/>
          <w:w w:val="120"/>
          <w:sz w:val="20"/>
        </w:rPr>
        <w:t>As </w:t>
      </w:r>
      <w:r>
        <w:rPr>
          <w:w w:val="120"/>
          <w:sz w:val="20"/>
        </w:rPr>
        <w:t>the interconnected network of relationships is built, so the mind of Christ is</w:t>
      </w:r>
      <w:r>
        <w:rPr>
          <w:spacing w:val="9"/>
          <w:w w:val="120"/>
          <w:sz w:val="20"/>
        </w:rPr>
        <w:t> </w:t>
      </w:r>
      <w:r>
        <w:rPr>
          <w:w w:val="120"/>
          <w:sz w:val="20"/>
        </w:rPr>
        <w:t>discerned.</w:t>
      </w:r>
    </w:p>
    <w:p>
      <w:pPr>
        <w:pStyle w:val="BodyText"/>
        <w:spacing w:before="8"/>
        <w:rPr>
          <w:sz w:val="17"/>
        </w:rPr>
      </w:pPr>
    </w:p>
    <w:p>
      <w:pPr>
        <w:pStyle w:val="Heading4"/>
        <w:numPr>
          <w:ilvl w:val="0"/>
          <w:numId w:val="65"/>
        </w:numPr>
        <w:tabs>
          <w:tab w:pos="1927" w:val="left" w:leader="none"/>
          <w:tab w:pos="1928" w:val="left" w:leader="none"/>
        </w:tabs>
        <w:spacing w:line="240" w:lineRule="auto" w:before="0" w:after="0"/>
        <w:ind w:left="1927" w:right="0" w:hanging="681"/>
        <w:jc w:val="left"/>
      </w:pPr>
      <w:r>
        <w:rPr>
          <w:spacing w:val="4"/>
          <w:w w:val="110"/>
        </w:rPr>
        <w:t>Ongoing</w:t>
      </w:r>
      <w:r>
        <w:rPr>
          <w:spacing w:val="12"/>
          <w:w w:val="110"/>
        </w:rPr>
        <w:t> </w:t>
      </w:r>
      <w:r>
        <w:rPr>
          <w:spacing w:val="3"/>
          <w:w w:val="110"/>
        </w:rPr>
        <w:t>concerns</w:t>
      </w:r>
    </w:p>
    <w:p>
      <w:pPr>
        <w:pStyle w:val="ListParagraph"/>
        <w:numPr>
          <w:ilvl w:val="1"/>
          <w:numId w:val="65"/>
        </w:numPr>
        <w:tabs>
          <w:tab w:pos="1927" w:val="left" w:leader="none"/>
          <w:tab w:pos="1928" w:val="left" w:leader="none"/>
        </w:tabs>
        <w:spacing w:line="235" w:lineRule="auto" w:before="69" w:after="0"/>
        <w:ind w:left="1247" w:right="2101" w:firstLine="0"/>
        <w:jc w:val="left"/>
        <w:rPr>
          <w:sz w:val="20"/>
        </w:rPr>
      </w:pPr>
      <w:r>
        <w:rPr>
          <w:w w:val="120"/>
          <w:sz w:val="20"/>
        </w:rPr>
        <w:t>Mission Council and the faith and order committee identified a range of issues and questions which still need to be addressed if these affirmations are to be modelled in each place. The United Reformed Church confesses that the practical experience of church meetings does not always live up to its</w:t>
      </w:r>
      <w:r>
        <w:rPr>
          <w:spacing w:val="19"/>
          <w:w w:val="120"/>
          <w:sz w:val="20"/>
        </w:rPr>
        <w:t> </w:t>
      </w:r>
      <w:r>
        <w:rPr>
          <w:w w:val="120"/>
          <w:sz w:val="20"/>
        </w:rPr>
        <w:t>aspirations.</w:t>
      </w:r>
    </w:p>
    <w:p>
      <w:pPr>
        <w:pStyle w:val="Heading9"/>
        <w:numPr>
          <w:ilvl w:val="0"/>
          <w:numId w:val="68"/>
        </w:numPr>
        <w:tabs>
          <w:tab w:pos="2721" w:val="left" w:leader="none"/>
          <w:tab w:pos="2722" w:val="left" w:leader="none"/>
        </w:tabs>
        <w:spacing w:line="261" w:lineRule="exact" w:before="157" w:after="0"/>
        <w:ind w:left="2721" w:right="0" w:hanging="795"/>
        <w:jc w:val="left"/>
      </w:pPr>
      <w:r>
        <w:rPr>
          <w:w w:val="110"/>
        </w:rPr>
        <w:t>The spirituality which undergirds the church</w:t>
      </w:r>
      <w:r>
        <w:rPr>
          <w:spacing w:val="-1"/>
          <w:w w:val="110"/>
        </w:rPr>
        <w:t> </w:t>
      </w:r>
      <w:r>
        <w:rPr>
          <w:w w:val="110"/>
        </w:rPr>
        <w:t>meeting</w:t>
      </w:r>
    </w:p>
    <w:p>
      <w:pPr>
        <w:pStyle w:val="BodyText"/>
        <w:spacing w:line="235" w:lineRule="auto"/>
        <w:ind w:left="2721" w:right="2146"/>
        <w:jc w:val="both"/>
      </w:pPr>
      <w:r>
        <w:rPr>
          <w:w w:val="120"/>
        </w:rPr>
        <w:t>This is not always clearly understood or easily made visible. It would be helpful</w:t>
      </w:r>
      <w:r>
        <w:rPr>
          <w:spacing w:val="-12"/>
          <w:w w:val="120"/>
        </w:rPr>
        <w:t> </w:t>
      </w:r>
      <w:r>
        <w:rPr>
          <w:w w:val="120"/>
        </w:rPr>
        <w:t>to</w:t>
      </w:r>
      <w:r>
        <w:rPr>
          <w:spacing w:val="-11"/>
          <w:w w:val="120"/>
        </w:rPr>
        <w:t> </w:t>
      </w:r>
      <w:r>
        <w:rPr>
          <w:w w:val="120"/>
        </w:rPr>
        <w:t>update</w:t>
      </w:r>
      <w:r>
        <w:rPr>
          <w:spacing w:val="-11"/>
          <w:w w:val="120"/>
        </w:rPr>
        <w:t> </w:t>
      </w:r>
      <w:r>
        <w:rPr>
          <w:w w:val="120"/>
        </w:rPr>
        <w:t>the</w:t>
      </w:r>
      <w:r>
        <w:rPr>
          <w:spacing w:val="-11"/>
          <w:w w:val="120"/>
        </w:rPr>
        <w:t> </w:t>
      </w:r>
      <w:r>
        <w:rPr>
          <w:i/>
          <w:w w:val="120"/>
        </w:rPr>
        <w:t>Refreshing</w:t>
      </w:r>
      <w:r>
        <w:rPr>
          <w:i/>
          <w:spacing w:val="-13"/>
          <w:w w:val="120"/>
        </w:rPr>
        <w:t> </w:t>
      </w:r>
      <w:r>
        <w:rPr>
          <w:i/>
          <w:w w:val="120"/>
        </w:rPr>
        <w:t>the</w:t>
      </w:r>
      <w:r>
        <w:rPr>
          <w:i/>
          <w:spacing w:val="-14"/>
          <w:w w:val="120"/>
        </w:rPr>
        <w:t> </w:t>
      </w:r>
      <w:r>
        <w:rPr>
          <w:i/>
          <w:w w:val="120"/>
        </w:rPr>
        <w:t>Church</w:t>
      </w:r>
      <w:r>
        <w:rPr>
          <w:i/>
          <w:spacing w:val="-13"/>
          <w:w w:val="120"/>
        </w:rPr>
        <w:t> </w:t>
      </w:r>
      <w:r>
        <w:rPr>
          <w:i/>
          <w:w w:val="120"/>
        </w:rPr>
        <w:t>Meeting</w:t>
      </w:r>
      <w:r>
        <w:rPr>
          <w:i/>
          <w:spacing w:val="-11"/>
          <w:w w:val="120"/>
        </w:rPr>
        <w:t> </w:t>
      </w:r>
      <w:r>
        <w:rPr>
          <w:w w:val="120"/>
        </w:rPr>
        <w:t>booklet,</w:t>
      </w:r>
      <w:r>
        <w:rPr>
          <w:spacing w:val="-11"/>
          <w:w w:val="120"/>
        </w:rPr>
        <w:t> </w:t>
      </w:r>
      <w:r>
        <w:rPr>
          <w:w w:val="120"/>
        </w:rPr>
        <w:t>putting</w:t>
      </w:r>
      <w:r>
        <w:rPr>
          <w:spacing w:val="-11"/>
          <w:w w:val="120"/>
        </w:rPr>
        <w:t> </w:t>
      </w:r>
      <w:r>
        <w:rPr>
          <w:w w:val="120"/>
        </w:rPr>
        <w:t>the church meeting in the context of United Reformed Church</w:t>
      </w:r>
      <w:r>
        <w:rPr>
          <w:spacing w:val="6"/>
          <w:w w:val="120"/>
        </w:rPr>
        <w:t> </w:t>
      </w:r>
      <w:r>
        <w:rPr>
          <w:w w:val="120"/>
        </w:rPr>
        <w:t>conciliarity.</w:t>
      </w:r>
    </w:p>
    <w:p>
      <w:pPr>
        <w:pStyle w:val="Heading9"/>
        <w:numPr>
          <w:ilvl w:val="0"/>
          <w:numId w:val="68"/>
        </w:numPr>
        <w:tabs>
          <w:tab w:pos="2721" w:val="left" w:leader="none"/>
          <w:tab w:pos="2722" w:val="left" w:leader="none"/>
        </w:tabs>
        <w:spacing w:line="261" w:lineRule="exact" w:before="151" w:after="0"/>
        <w:ind w:left="2721" w:right="0" w:hanging="795"/>
        <w:jc w:val="left"/>
      </w:pPr>
      <w:r>
        <w:rPr>
          <w:w w:val="110"/>
        </w:rPr>
        <w:t>The relationship between elders and the church meeting</w:t>
      </w:r>
    </w:p>
    <w:p>
      <w:pPr>
        <w:pStyle w:val="BodyText"/>
        <w:spacing w:line="235" w:lineRule="auto"/>
        <w:ind w:left="2721" w:right="1990"/>
      </w:pPr>
      <w:r>
        <w:rPr>
          <w:w w:val="120"/>
        </w:rPr>
        <w:t>It is not clear to everybody the roles of each and which topics are best addressed by one or the other (bearing in mind that trustee legislation has opened up a new </w:t>
      </w:r>
      <w:r>
        <w:rPr>
          <w:spacing w:val="3"/>
          <w:w w:val="120"/>
        </w:rPr>
        <w:t>raft </w:t>
      </w:r>
      <w:r>
        <w:rPr>
          <w:w w:val="120"/>
        </w:rPr>
        <w:t>of issues for elders to </w:t>
      </w:r>
      <w:r>
        <w:rPr>
          <w:spacing w:val="-4"/>
          <w:w w:val="120"/>
        </w:rPr>
        <w:t>discuss). </w:t>
      </w:r>
      <w:r>
        <w:rPr>
          <w:w w:val="120"/>
        </w:rPr>
        <w:t>The secretary of Mission </w:t>
      </w:r>
      <w:r>
        <w:rPr>
          <w:spacing w:val="-3"/>
          <w:w w:val="120"/>
        </w:rPr>
        <w:t>Council’s </w:t>
      </w:r>
      <w:r>
        <w:rPr>
          <w:w w:val="120"/>
        </w:rPr>
        <w:t>law and polity advisory group has prepared a helpful and extensive advisory statement of the church meeting’s various roles, powers, functions, limitations etc, based on the Scheme of Union, the United Reformed Church </w:t>
      </w:r>
      <w:r>
        <w:rPr>
          <w:spacing w:val="2"/>
          <w:w w:val="120"/>
        </w:rPr>
        <w:t>Acts </w:t>
      </w:r>
      <w:r>
        <w:rPr>
          <w:w w:val="120"/>
        </w:rPr>
        <w:t>and his own experience of church meeting as it has operated in three flourishing city churches. Though not yet in its final form, a version of this document can be found on the URC website (www.urc.org.uk):</w:t>
      </w:r>
      <w:r>
        <w:rPr>
          <w:spacing w:val="-8"/>
          <w:w w:val="120"/>
        </w:rPr>
        <w:t> </w:t>
      </w:r>
      <w:r>
        <w:rPr>
          <w:w w:val="120"/>
        </w:rPr>
        <w:t>URC</w:t>
      </w:r>
      <w:r>
        <w:rPr>
          <w:spacing w:val="-8"/>
          <w:w w:val="120"/>
        </w:rPr>
        <w:t> </w:t>
      </w:r>
      <w:r>
        <w:rPr>
          <w:w w:val="120"/>
        </w:rPr>
        <w:t>Resources/Church</w:t>
      </w:r>
      <w:r>
        <w:rPr>
          <w:spacing w:val="-8"/>
          <w:w w:val="120"/>
        </w:rPr>
        <w:t> </w:t>
      </w:r>
      <w:r>
        <w:rPr>
          <w:w w:val="120"/>
        </w:rPr>
        <w:t>resources,</w:t>
      </w:r>
      <w:r>
        <w:rPr>
          <w:spacing w:val="-8"/>
          <w:w w:val="120"/>
        </w:rPr>
        <w:t> </w:t>
      </w:r>
      <w:r>
        <w:rPr>
          <w:i/>
          <w:w w:val="120"/>
        </w:rPr>
        <w:t>The</w:t>
      </w:r>
      <w:r>
        <w:rPr>
          <w:i/>
          <w:spacing w:val="-10"/>
          <w:w w:val="120"/>
        </w:rPr>
        <w:t> </w:t>
      </w:r>
      <w:r>
        <w:rPr>
          <w:i/>
          <w:w w:val="120"/>
        </w:rPr>
        <w:t>Church</w:t>
      </w:r>
      <w:r>
        <w:rPr>
          <w:i/>
          <w:spacing w:val="-10"/>
          <w:w w:val="120"/>
        </w:rPr>
        <w:t> </w:t>
      </w:r>
      <w:r>
        <w:rPr>
          <w:i/>
          <w:w w:val="120"/>
        </w:rPr>
        <w:t>Meeting</w:t>
      </w:r>
      <w:r>
        <w:rPr>
          <w:w w:val="120"/>
        </w:rPr>
        <w:t>.</w:t>
      </w:r>
    </w:p>
    <w:p>
      <w:pPr>
        <w:pStyle w:val="Heading9"/>
        <w:numPr>
          <w:ilvl w:val="0"/>
          <w:numId w:val="68"/>
        </w:numPr>
        <w:tabs>
          <w:tab w:pos="2721" w:val="left" w:leader="none"/>
          <w:tab w:pos="2722" w:val="left" w:leader="none"/>
        </w:tabs>
        <w:spacing w:line="261" w:lineRule="exact" w:before="156" w:after="0"/>
        <w:ind w:left="2721" w:right="0" w:hanging="795"/>
        <w:jc w:val="left"/>
      </w:pPr>
      <w:r>
        <w:rPr>
          <w:w w:val="110"/>
        </w:rPr>
        <w:t>The relationship between personal and conciliar</w:t>
      </w:r>
      <w:r>
        <w:rPr>
          <w:spacing w:val="-39"/>
          <w:w w:val="110"/>
        </w:rPr>
        <w:t> </w:t>
      </w:r>
      <w:r>
        <w:rPr>
          <w:w w:val="110"/>
        </w:rPr>
        <w:t>leadership</w:t>
      </w:r>
    </w:p>
    <w:p>
      <w:pPr>
        <w:pStyle w:val="BodyText"/>
        <w:spacing w:line="235" w:lineRule="auto"/>
        <w:ind w:left="2721" w:right="2074"/>
      </w:pPr>
      <w:r>
        <w:rPr>
          <w:w w:val="120"/>
        </w:rPr>
        <w:t>There is an argument which says that leadership through the </w:t>
      </w:r>
      <w:r>
        <w:rPr>
          <w:spacing w:val="-3"/>
          <w:w w:val="120"/>
        </w:rPr>
        <w:t>church </w:t>
      </w:r>
      <w:r>
        <w:rPr>
          <w:w w:val="120"/>
        </w:rPr>
        <w:t>meeting </w:t>
      </w:r>
      <w:r>
        <w:rPr>
          <w:spacing w:val="-3"/>
          <w:w w:val="120"/>
        </w:rPr>
        <w:t>may </w:t>
      </w:r>
      <w:r>
        <w:rPr>
          <w:w w:val="120"/>
        </w:rPr>
        <w:t>be too diffuse for the rapidly-changing times in which we </w:t>
      </w:r>
      <w:r>
        <w:rPr>
          <w:spacing w:val="-3"/>
          <w:w w:val="120"/>
        </w:rPr>
        <w:t>live. </w:t>
      </w:r>
      <w:r>
        <w:rPr>
          <w:w w:val="120"/>
        </w:rPr>
        <w:t>There is a </w:t>
      </w:r>
      <w:r>
        <w:rPr>
          <w:spacing w:val="-4"/>
          <w:w w:val="120"/>
        </w:rPr>
        <w:t>counter </w:t>
      </w:r>
      <w:r>
        <w:rPr>
          <w:w w:val="120"/>
        </w:rPr>
        <w:t>argument which says that in its </w:t>
      </w:r>
      <w:r>
        <w:rPr>
          <w:spacing w:val="-2"/>
          <w:w w:val="120"/>
        </w:rPr>
        <w:t>attentiveness </w:t>
      </w:r>
      <w:r>
        <w:rPr>
          <w:spacing w:val="-3"/>
          <w:w w:val="120"/>
        </w:rPr>
        <w:t>to </w:t>
      </w:r>
      <w:r>
        <w:rPr>
          <w:w w:val="120"/>
        </w:rPr>
        <w:t>the different </w:t>
      </w:r>
      <w:r>
        <w:rPr>
          <w:spacing w:val="-3"/>
          <w:w w:val="120"/>
        </w:rPr>
        <w:t>voices </w:t>
      </w:r>
      <w:r>
        <w:rPr>
          <w:w w:val="120"/>
        </w:rPr>
        <w:t>in </w:t>
      </w:r>
      <w:r>
        <w:rPr>
          <w:spacing w:val="-3"/>
          <w:w w:val="120"/>
        </w:rPr>
        <w:t>church </w:t>
      </w:r>
      <w:r>
        <w:rPr>
          <w:w w:val="120"/>
        </w:rPr>
        <w:t>meeting, the </w:t>
      </w:r>
      <w:r>
        <w:rPr>
          <w:spacing w:val="-3"/>
          <w:w w:val="120"/>
        </w:rPr>
        <w:t>United </w:t>
      </w:r>
      <w:r>
        <w:rPr>
          <w:w w:val="120"/>
        </w:rPr>
        <w:t>Reformed </w:t>
      </w:r>
      <w:r>
        <w:rPr>
          <w:spacing w:val="-3"/>
          <w:w w:val="120"/>
        </w:rPr>
        <w:t>Church </w:t>
      </w:r>
      <w:r>
        <w:rPr>
          <w:w w:val="120"/>
        </w:rPr>
        <w:t>demonstrates</w:t>
      </w:r>
      <w:r>
        <w:rPr>
          <w:spacing w:val="-12"/>
          <w:w w:val="120"/>
        </w:rPr>
        <w:t> </w:t>
      </w:r>
      <w:r>
        <w:rPr>
          <w:w w:val="120"/>
        </w:rPr>
        <w:t>an</w:t>
      </w:r>
      <w:r>
        <w:rPr>
          <w:spacing w:val="-11"/>
          <w:w w:val="120"/>
        </w:rPr>
        <w:t> </w:t>
      </w:r>
      <w:r>
        <w:rPr>
          <w:spacing w:val="-3"/>
          <w:w w:val="120"/>
        </w:rPr>
        <w:t>alternative</w:t>
      </w:r>
      <w:r>
        <w:rPr>
          <w:spacing w:val="-11"/>
          <w:w w:val="120"/>
        </w:rPr>
        <w:t> </w:t>
      </w:r>
      <w:r>
        <w:rPr>
          <w:w w:val="120"/>
        </w:rPr>
        <w:t>style</w:t>
      </w:r>
      <w:r>
        <w:rPr>
          <w:spacing w:val="-11"/>
          <w:w w:val="120"/>
        </w:rPr>
        <w:t> </w:t>
      </w:r>
      <w:r>
        <w:rPr>
          <w:w w:val="120"/>
        </w:rPr>
        <w:t>of</w:t>
      </w:r>
      <w:r>
        <w:rPr>
          <w:spacing w:val="-11"/>
          <w:w w:val="120"/>
        </w:rPr>
        <w:t> </w:t>
      </w:r>
      <w:r>
        <w:rPr>
          <w:w w:val="120"/>
        </w:rPr>
        <w:t>leadership</w:t>
      </w:r>
      <w:r>
        <w:rPr>
          <w:spacing w:val="-11"/>
          <w:w w:val="120"/>
        </w:rPr>
        <w:t> </w:t>
      </w:r>
      <w:r>
        <w:rPr>
          <w:w w:val="120"/>
        </w:rPr>
        <w:t>in</w:t>
      </w:r>
      <w:r>
        <w:rPr>
          <w:spacing w:val="-11"/>
          <w:w w:val="120"/>
        </w:rPr>
        <w:t> </w:t>
      </w:r>
      <w:r>
        <w:rPr>
          <w:w w:val="120"/>
        </w:rPr>
        <w:t>these</w:t>
      </w:r>
      <w:r>
        <w:rPr>
          <w:spacing w:val="-11"/>
          <w:w w:val="120"/>
        </w:rPr>
        <w:t> </w:t>
      </w:r>
      <w:r>
        <w:rPr>
          <w:w w:val="120"/>
        </w:rPr>
        <w:t>changing</w:t>
      </w:r>
      <w:r>
        <w:rPr>
          <w:spacing w:val="-11"/>
          <w:w w:val="120"/>
        </w:rPr>
        <w:t> </w:t>
      </w:r>
      <w:r>
        <w:rPr>
          <w:w w:val="120"/>
        </w:rPr>
        <w:t>times.</w:t>
      </w:r>
      <w:r>
        <w:rPr>
          <w:spacing w:val="-11"/>
          <w:w w:val="120"/>
        </w:rPr>
        <w:t> </w:t>
      </w:r>
      <w:r>
        <w:rPr>
          <w:w w:val="120"/>
        </w:rPr>
        <w:t>It </w:t>
      </w:r>
      <w:r>
        <w:rPr>
          <w:spacing w:val="-3"/>
          <w:w w:val="120"/>
        </w:rPr>
        <w:t>would </w:t>
      </w:r>
      <w:r>
        <w:rPr>
          <w:w w:val="120"/>
        </w:rPr>
        <w:t>be helpful </w:t>
      </w:r>
      <w:r>
        <w:rPr>
          <w:spacing w:val="-3"/>
          <w:w w:val="120"/>
        </w:rPr>
        <w:t>to </w:t>
      </w:r>
      <w:r>
        <w:rPr>
          <w:w w:val="120"/>
        </w:rPr>
        <w:t>look further at the </w:t>
      </w:r>
      <w:r>
        <w:rPr>
          <w:spacing w:val="-2"/>
          <w:w w:val="120"/>
        </w:rPr>
        <w:t>way </w:t>
      </w:r>
      <w:r>
        <w:rPr>
          <w:w w:val="120"/>
        </w:rPr>
        <w:t>in which </w:t>
      </w:r>
      <w:r>
        <w:rPr>
          <w:spacing w:val="-3"/>
          <w:w w:val="120"/>
        </w:rPr>
        <w:t>individuals’ </w:t>
      </w:r>
      <w:r>
        <w:rPr>
          <w:w w:val="120"/>
        </w:rPr>
        <w:t>gifts</w:t>
      </w:r>
      <w:r>
        <w:rPr>
          <w:spacing w:val="-6"/>
          <w:w w:val="120"/>
        </w:rPr>
        <w:t> </w:t>
      </w:r>
      <w:r>
        <w:rPr>
          <w:w w:val="120"/>
        </w:rPr>
        <w:t>are</w:t>
      </w:r>
    </w:p>
    <w:p>
      <w:pPr>
        <w:pStyle w:val="BodyText"/>
        <w:ind w:left="2721"/>
      </w:pPr>
      <w:r>
        <w:rPr>
          <w:w w:val="120"/>
        </w:rPr>
        <w:t>affirmed and offered alongside the gifts of shared leadership in each church.</w:t>
      </w:r>
    </w:p>
    <w:p>
      <w:pPr>
        <w:pStyle w:val="Heading9"/>
        <w:numPr>
          <w:ilvl w:val="0"/>
          <w:numId w:val="68"/>
        </w:numPr>
        <w:tabs>
          <w:tab w:pos="2721" w:val="left" w:leader="none"/>
          <w:tab w:pos="2722" w:val="left" w:leader="none"/>
        </w:tabs>
        <w:spacing w:line="261" w:lineRule="exact" w:before="149" w:after="0"/>
        <w:ind w:left="2721" w:right="0" w:hanging="795"/>
        <w:jc w:val="left"/>
      </w:pPr>
      <w:r>
        <w:rPr>
          <w:w w:val="110"/>
        </w:rPr>
        <w:t>Vocation</w:t>
      </w:r>
    </w:p>
    <w:p>
      <w:pPr>
        <w:pStyle w:val="BodyText"/>
        <w:spacing w:line="235" w:lineRule="auto"/>
        <w:ind w:left="2721" w:right="1876"/>
      </w:pPr>
      <w:r>
        <w:rPr>
          <w:w w:val="120"/>
        </w:rPr>
        <w:t>One of the roles of church meeting is to help those attending church feel affirmed, enthused and confirmed in their vocation in God’s world. It would be helpful to take time to reflect on what is happening in a meeting if these dimensions are not</w:t>
      </w:r>
      <w:r>
        <w:rPr>
          <w:spacing w:val="8"/>
          <w:w w:val="120"/>
        </w:rPr>
        <w:t> </w:t>
      </w:r>
      <w:r>
        <w:rPr>
          <w:w w:val="120"/>
        </w:rPr>
        <w:t>present.</w:t>
      </w:r>
    </w:p>
    <w:p>
      <w:pPr>
        <w:pStyle w:val="Heading9"/>
        <w:numPr>
          <w:ilvl w:val="0"/>
          <w:numId w:val="68"/>
        </w:numPr>
        <w:tabs>
          <w:tab w:pos="2721" w:val="left" w:leader="none"/>
          <w:tab w:pos="2722" w:val="left" w:leader="none"/>
        </w:tabs>
        <w:spacing w:line="261" w:lineRule="exact" w:before="151" w:after="0"/>
        <w:ind w:left="2721" w:right="0" w:hanging="795"/>
        <w:jc w:val="left"/>
      </w:pPr>
      <w:r>
        <w:rPr>
          <w:w w:val="110"/>
        </w:rPr>
        <w:t>Conflict</w:t>
      </w:r>
    </w:p>
    <w:p>
      <w:pPr>
        <w:pStyle w:val="BodyText"/>
        <w:spacing w:line="235" w:lineRule="auto"/>
        <w:ind w:left="2721" w:right="1859"/>
        <w:jc w:val="both"/>
      </w:pPr>
      <w:r>
        <w:rPr>
          <w:w w:val="120"/>
        </w:rPr>
        <w:t>Church meetings are not always attentive enough to power struggles and conflicts and are sometimes insufficiently equipped to resolve them. More reflection on the sources of conflict, and more training on how to respond well to it, would be helpful.</w:t>
      </w:r>
    </w:p>
    <w:p>
      <w:pPr>
        <w:spacing w:after="0" w:line="235" w:lineRule="auto"/>
        <w:jc w:val="both"/>
        <w:sectPr>
          <w:headerReference w:type="even" r:id="rId274"/>
          <w:footerReference w:type="even" r:id="rId275"/>
          <w:footerReference w:type="default" r:id="rId276"/>
          <w:pgSz w:w="11910" w:h="16840"/>
          <w:pgMar w:header="0" w:footer="647" w:top="0" w:bottom="840" w:left="0" w:right="0"/>
          <w:pgNumType w:start="116"/>
        </w:sectPr>
      </w:pPr>
    </w:p>
    <w:p>
      <w:pPr>
        <w:pStyle w:val="BodyText"/>
      </w:pPr>
    </w:p>
    <w:p>
      <w:pPr>
        <w:pStyle w:val="BodyText"/>
        <w:spacing w:before="7"/>
        <w:rPr>
          <w:sz w:val="21"/>
        </w:rPr>
      </w:pPr>
    </w:p>
    <w:p>
      <w:pPr>
        <w:spacing w:after="0"/>
        <w:rPr>
          <w:sz w:val="21"/>
        </w:rPr>
        <w:sectPr>
          <w:headerReference w:type="default" r:id="rId277"/>
          <w:pgSz w:w="11910" w:h="16840"/>
          <w:pgMar w:header="0" w:footer="647" w:top="0" w:bottom="840" w:left="0" w:right="0"/>
        </w:sectPr>
      </w:pPr>
    </w:p>
    <w:p>
      <w:pPr>
        <w:pStyle w:val="BodyText"/>
        <w:rPr>
          <w:sz w:val="24"/>
        </w:rPr>
      </w:pPr>
    </w:p>
    <w:p>
      <w:pPr>
        <w:pStyle w:val="BodyText"/>
        <w:spacing w:before="6"/>
        <w:rPr>
          <w:sz w:val="27"/>
        </w:rPr>
      </w:pPr>
    </w:p>
    <w:p>
      <w:pPr>
        <w:pStyle w:val="Heading9"/>
        <w:numPr>
          <w:ilvl w:val="0"/>
          <w:numId w:val="68"/>
        </w:numPr>
        <w:tabs>
          <w:tab w:pos="3458" w:val="left" w:leader="none"/>
          <w:tab w:pos="3459" w:val="left" w:leader="none"/>
        </w:tabs>
        <w:spacing w:line="253" w:lineRule="exact" w:before="0" w:after="0"/>
        <w:ind w:left="3458" w:right="0" w:hanging="795"/>
        <w:jc w:val="left"/>
      </w:pPr>
      <w:r>
        <w:rPr/>
        <w:pict>
          <v:shape style="position:absolute;margin-left:554.141174pt;margin-top:-8.818079pt;width:25.9pt;height:288pt;mso-position-horizontal-relative:page;mso-position-vertical-relative:paragraph;z-index:251976704" type="#_x0000_t202" filled="false" stroked="false">
            <v:textbox inset="0,0,0,0" style="layout-flow:vertical">
              <w:txbxContent>
                <w:p>
                  <w:pPr>
                    <w:spacing w:before="27"/>
                    <w:ind w:left="20" w:right="0" w:firstLine="0"/>
                    <w:jc w:val="left"/>
                    <w:rPr>
                      <w:sz w:val="39"/>
                    </w:rPr>
                  </w:pPr>
                  <w:r>
                    <w:rPr>
                      <w:color w:val="FFFFFF"/>
                      <w:w w:val="120"/>
                      <w:sz w:val="39"/>
                    </w:rPr>
                    <w:t>The URC’s gift of conciliarity</w:t>
                  </w:r>
                </w:p>
              </w:txbxContent>
            </v:textbox>
            <w10:wrap type="none"/>
          </v:shape>
        </w:pict>
      </w:r>
      <w:r>
        <w:rPr>
          <w:w w:val="110"/>
        </w:rPr>
        <w:t>Frequency of</w:t>
      </w:r>
      <w:r>
        <w:rPr>
          <w:spacing w:val="10"/>
          <w:w w:val="110"/>
        </w:rPr>
        <w:t> </w:t>
      </w:r>
      <w:r>
        <w:rPr>
          <w:w w:val="110"/>
        </w:rPr>
        <w:t>meetings</w:t>
      </w:r>
    </w:p>
    <w:p>
      <w:pPr>
        <w:spacing w:before="106"/>
        <w:ind w:left="2664" w:right="0" w:firstLine="0"/>
        <w:jc w:val="left"/>
        <w:rPr>
          <w:sz w:val="26"/>
        </w:rPr>
      </w:pPr>
      <w:r>
        <w:rPr/>
        <w:br w:type="column"/>
      </w:r>
      <w:r>
        <w:rPr>
          <w:color w:val="7EAABF"/>
          <w:w w:val="115"/>
          <w:sz w:val="26"/>
        </w:rPr>
        <w:t>Faith and order</w:t>
      </w:r>
    </w:p>
    <w:p>
      <w:pPr>
        <w:spacing w:after="0"/>
        <w:jc w:val="left"/>
        <w:rPr>
          <w:sz w:val="26"/>
        </w:rPr>
        <w:sectPr>
          <w:type w:val="continuous"/>
          <w:pgSz w:w="11910" w:h="16840"/>
          <w:pgMar w:top="680" w:bottom="280" w:left="0" w:right="0"/>
          <w:cols w:num="2" w:equalWidth="0">
            <w:col w:w="5937" w:space="198"/>
            <w:col w:w="5775"/>
          </w:cols>
        </w:sectPr>
      </w:pPr>
    </w:p>
    <w:p>
      <w:pPr>
        <w:pStyle w:val="BodyText"/>
        <w:spacing w:line="235" w:lineRule="auto" w:before="4"/>
        <w:ind w:left="3458" w:right="1244"/>
      </w:pPr>
      <w:r>
        <w:rPr/>
        <w:drawing>
          <wp:anchor distT="0" distB="0" distL="0" distR="0" allowOverlap="1" layoutInCell="1" locked="0" behindDoc="0" simplePos="0" relativeHeight="251975680">
            <wp:simplePos x="0" y="0"/>
            <wp:positionH relativeFrom="page">
              <wp:posOffset>6974928</wp:posOffset>
            </wp:positionH>
            <wp:positionV relativeFrom="page">
              <wp:posOffset>0</wp:posOffset>
            </wp:positionV>
            <wp:extent cx="585063" cy="10692003"/>
            <wp:effectExtent l="0" t="0" r="0" b="0"/>
            <wp:wrapNone/>
            <wp:docPr id="215" name="image25.png"/>
            <wp:cNvGraphicFramePr>
              <a:graphicFrameLocks noChangeAspect="1"/>
            </wp:cNvGraphicFramePr>
            <a:graphic>
              <a:graphicData uri="http://schemas.openxmlformats.org/drawingml/2006/picture">
                <pic:pic>
                  <pic:nvPicPr>
                    <pic:cNvPr id="216" name="image25.png"/>
                    <pic:cNvPicPr/>
                  </pic:nvPicPr>
                  <pic:blipFill>
                    <a:blip r:embed="rId192" cstate="print"/>
                    <a:stretch>
                      <a:fillRect/>
                    </a:stretch>
                  </pic:blipFill>
                  <pic:spPr>
                    <a:xfrm>
                      <a:off x="0" y="0"/>
                      <a:ext cx="585063" cy="10692003"/>
                    </a:xfrm>
                    <a:prstGeom prst="rect">
                      <a:avLst/>
                    </a:prstGeom>
                  </pic:spPr>
                </pic:pic>
              </a:graphicData>
            </a:graphic>
          </wp:anchor>
        </w:drawing>
      </w:r>
      <w:r>
        <w:rPr>
          <w:w w:val="120"/>
        </w:rPr>
        <w:t>Does the church meeting meet too often, so that it is in danger of  looking into the detail of practical business rather than being attentive to the Holy Spirit and the time in which the Holy Spirit </w:t>
      </w:r>
      <w:r>
        <w:rPr>
          <w:spacing w:val="-2"/>
          <w:w w:val="120"/>
        </w:rPr>
        <w:t>moves? </w:t>
      </w:r>
      <w:r>
        <w:rPr>
          <w:spacing w:val="-4"/>
          <w:w w:val="120"/>
        </w:rPr>
        <w:t>Or, </w:t>
      </w:r>
      <w:r>
        <w:rPr>
          <w:w w:val="120"/>
        </w:rPr>
        <w:t>should the church meeting meet more frequently, so that it has sufficient time for the whole community to wait upon God? It would be helpful in each place to determine the ‘first order’ issues pertaining to the Gospel that need the primary focus of the gathered people, and the ‘second order’ issues of good order and regulation that could be delegated to smaller groups.</w:t>
      </w:r>
    </w:p>
    <w:p>
      <w:pPr>
        <w:pStyle w:val="Heading9"/>
        <w:numPr>
          <w:ilvl w:val="0"/>
          <w:numId w:val="68"/>
        </w:numPr>
        <w:tabs>
          <w:tab w:pos="3458" w:val="left" w:leader="none"/>
          <w:tab w:pos="3459" w:val="left" w:leader="none"/>
        </w:tabs>
        <w:spacing w:line="261" w:lineRule="exact" w:before="160" w:after="0"/>
        <w:ind w:left="3458" w:right="0" w:hanging="795"/>
        <w:jc w:val="left"/>
      </w:pPr>
      <w:r>
        <w:rPr>
          <w:w w:val="110"/>
        </w:rPr>
        <w:t>Attendance in relation to a church’s</w:t>
      </w:r>
      <w:r>
        <w:rPr>
          <w:spacing w:val="-3"/>
          <w:w w:val="110"/>
        </w:rPr>
        <w:t> </w:t>
      </w:r>
      <w:r>
        <w:rPr>
          <w:w w:val="110"/>
        </w:rPr>
        <w:t>size</w:t>
      </w:r>
    </w:p>
    <w:p>
      <w:pPr>
        <w:pStyle w:val="BodyText"/>
        <w:spacing w:line="235" w:lineRule="auto"/>
        <w:ind w:left="3458" w:right="1352"/>
      </w:pPr>
      <w:r>
        <w:rPr>
          <w:w w:val="120"/>
        </w:rPr>
        <w:t>In larger congregations, a small percentage of people attend church meetings. More work needs to be done on this phenomenon and the consequent effectiveness or otherwise of church meetings.</w:t>
      </w:r>
    </w:p>
    <w:p>
      <w:pPr>
        <w:pStyle w:val="Heading9"/>
        <w:numPr>
          <w:ilvl w:val="0"/>
          <w:numId w:val="68"/>
        </w:numPr>
        <w:tabs>
          <w:tab w:pos="3458" w:val="left" w:leader="none"/>
          <w:tab w:pos="3459" w:val="left" w:leader="none"/>
        </w:tabs>
        <w:spacing w:line="261" w:lineRule="exact" w:before="151" w:after="0"/>
        <w:ind w:left="3458" w:right="0" w:hanging="795"/>
        <w:jc w:val="left"/>
      </w:pPr>
      <w:r>
        <w:rPr>
          <w:w w:val="110"/>
        </w:rPr>
        <w:t>Wider</w:t>
      </w:r>
      <w:r>
        <w:rPr>
          <w:spacing w:val="-1"/>
          <w:w w:val="110"/>
        </w:rPr>
        <w:t> </w:t>
      </w:r>
      <w:r>
        <w:rPr>
          <w:w w:val="110"/>
        </w:rPr>
        <w:t>connections</w:t>
      </w:r>
    </w:p>
    <w:p>
      <w:pPr>
        <w:pStyle w:val="BodyText"/>
        <w:spacing w:line="235" w:lineRule="auto"/>
        <w:ind w:left="3458" w:right="1301"/>
      </w:pPr>
      <w:r>
        <w:rPr>
          <w:w w:val="120"/>
        </w:rPr>
        <w:t>Church meetings are not always seen as connected to the wider councils of the Church and vice versa. The connection and interplay between the different ‘foci’ of church life needs to be addressed if the relationship between these councils it is not to be just a matter of ‘handing things down’ or ‘handing things up’.</w:t>
      </w:r>
    </w:p>
    <w:p>
      <w:pPr>
        <w:pStyle w:val="Heading9"/>
        <w:numPr>
          <w:ilvl w:val="0"/>
          <w:numId w:val="68"/>
        </w:numPr>
        <w:tabs>
          <w:tab w:pos="3458" w:val="left" w:leader="none"/>
          <w:tab w:pos="3459" w:val="left" w:leader="none"/>
        </w:tabs>
        <w:spacing w:line="261" w:lineRule="exact" w:before="152" w:after="0"/>
        <w:ind w:left="3458" w:right="0" w:hanging="795"/>
        <w:jc w:val="left"/>
      </w:pPr>
      <w:r>
        <w:rPr>
          <w:w w:val="110"/>
        </w:rPr>
        <w:t>Models</w:t>
      </w:r>
    </w:p>
    <w:p>
      <w:pPr>
        <w:pStyle w:val="BodyText"/>
        <w:spacing w:line="235" w:lineRule="auto"/>
        <w:ind w:left="3458" w:right="1521"/>
      </w:pPr>
      <w:r>
        <w:rPr>
          <w:w w:val="120"/>
        </w:rPr>
        <w:t>Not everyone is enthused by church meetings, for various reasons. There is concern about the amount of attention given to the minutiae of church life. Some are asking whether the conciliarity embodied</w:t>
      </w:r>
      <w:r>
        <w:rPr>
          <w:spacing w:val="53"/>
          <w:w w:val="120"/>
        </w:rPr>
        <w:t> </w:t>
      </w:r>
      <w:r>
        <w:rPr>
          <w:w w:val="120"/>
        </w:rPr>
        <w:t>in</w:t>
      </w:r>
    </w:p>
    <w:p>
      <w:pPr>
        <w:pStyle w:val="BodyText"/>
        <w:spacing w:line="235" w:lineRule="auto"/>
        <w:ind w:left="3458" w:right="1301"/>
      </w:pPr>
      <w:r>
        <w:rPr>
          <w:w w:val="120"/>
        </w:rPr>
        <w:t>church meetings could be developed using social media. FURY Assembly has particular ways of enabling different voices to be heard and different views to be exchanged and could contribute to a discussion of helpful ways of encouraging mutual connectedness at different levels of church life.</w:t>
      </w:r>
    </w:p>
    <w:p>
      <w:pPr>
        <w:pStyle w:val="Heading9"/>
        <w:numPr>
          <w:ilvl w:val="0"/>
          <w:numId w:val="68"/>
        </w:numPr>
        <w:tabs>
          <w:tab w:pos="3458" w:val="left" w:leader="none"/>
          <w:tab w:pos="3459" w:val="left" w:leader="none"/>
        </w:tabs>
        <w:spacing w:line="261" w:lineRule="exact" w:before="155" w:after="0"/>
        <w:ind w:left="3458" w:right="0" w:hanging="795"/>
        <w:jc w:val="left"/>
      </w:pPr>
      <w:r>
        <w:rPr>
          <w:w w:val="110"/>
        </w:rPr>
        <w:t>Agendas</w:t>
      </w:r>
    </w:p>
    <w:p>
      <w:pPr>
        <w:pStyle w:val="BodyText"/>
        <w:spacing w:line="235" w:lineRule="auto"/>
        <w:ind w:left="3458" w:right="1352"/>
      </w:pPr>
      <w:r>
        <w:rPr>
          <w:w w:val="120"/>
        </w:rPr>
        <w:t>Many different views have emerged about church meetings and their role in practice. Would it be helpful to undertake more research into church meetings’ issues as they are perceived on the ground? Could church meetings be a focus for the imaginative retrieval of the centrality of the Gospel, both in the content of the items discussed and in the way these items are addressed?</w:t>
      </w:r>
    </w:p>
    <w:p>
      <w:pPr>
        <w:pStyle w:val="Heading9"/>
        <w:numPr>
          <w:ilvl w:val="0"/>
          <w:numId w:val="68"/>
        </w:numPr>
        <w:tabs>
          <w:tab w:pos="3458" w:val="left" w:leader="none"/>
          <w:tab w:pos="3459" w:val="left" w:leader="none"/>
        </w:tabs>
        <w:spacing w:line="261" w:lineRule="exact" w:before="153" w:after="0"/>
        <w:ind w:left="3458" w:right="0" w:hanging="795"/>
        <w:jc w:val="left"/>
      </w:pPr>
      <w:r>
        <w:rPr>
          <w:w w:val="110"/>
        </w:rPr>
        <w:t>Local ecumenical</w:t>
      </w:r>
      <w:r>
        <w:rPr>
          <w:spacing w:val="-1"/>
          <w:w w:val="110"/>
        </w:rPr>
        <w:t> </w:t>
      </w:r>
      <w:r>
        <w:rPr>
          <w:w w:val="110"/>
        </w:rPr>
        <w:t>partnerships</w:t>
      </w:r>
    </w:p>
    <w:p>
      <w:pPr>
        <w:pStyle w:val="BodyText"/>
        <w:spacing w:line="235" w:lineRule="auto"/>
        <w:ind w:left="3458" w:right="1352"/>
      </w:pPr>
      <w:r>
        <w:rPr>
          <w:w w:val="120"/>
        </w:rPr>
        <w:t>More work needs to be done on how United Reformed Church conciliarity and the role of the church meeting finds expression in local ecumenical partnerships.</w:t>
      </w:r>
    </w:p>
    <w:p>
      <w:pPr>
        <w:pStyle w:val="Heading9"/>
        <w:numPr>
          <w:ilvl w:val="0"/>
          <w:numId w:val="68"/>
        </w:numPr>
        <w:tabs>
          <w:tab w:pos="3458" w:val="left" w:leader="none"/>
          <w:tab w:pos="3459" w:val="left" w:leader="none"/>
        </w:tabs>
        <w:spacing w:line="261" w:lineRule="exact" w:before="151" w:after="0"/>
        <w:ind w:left="3458" w:right="0" w:hanging="795"/>
        <w:jc w:val="left"/>
      </w:pPr>
      <w:r>
        <w:rPr>
          <w:w w:val="110"/>
        </w:rPr>
        <w:t>Membership</w:t>
      </w:r>
    </w:p>
    <w:p>
      <w:pPr>
        <w:pStyle w:val="BodyText"/>
        <w:spacing w:line="235" w:lineRule="auto"/>
        <w:ind w:left="3458" w:right="1301"/>
      </w:pPr>
      <w:r>
        <w:rPr>
          <w:w w:val="120"/>
        </w:rPr>
        <w:t>This has been identified as an area on which more works needs to be done and the faith and order committee will be responding to this request in its autumn 2014 meeting, noting that the children’s and youth work committee have also identified this need.</w:t>
      </w:r>
    </w:p>
    <w:p>
      <w:pPr>
        <w:pStyle w:val="Heading9"/>
        <w:numPr>
          <w:ilvl w:val="0"/>
          <w:numId w:val="68"/>
        </w:numPr>
        <w:tabs>
          <w:tab w:pos="3458" w:val="left" w:leader="none"/>
          <w:tab w:pos="3459" w:val="left" w:leader="none"/>
        </w:tabs>
        <w:spacing w:line="261" w:lineRule="exact" w:before="151" w:after="0"/>
        <w:ind w:left="3458" w:right="0" w:hanging="795"/>
        <w:jc w:val="left"/>
      </w:pPr>
      <w:r>
        <w:rPr>
          <w:w w:val="110"/>
        </w:rPr>
        <w:t>Good</w:t>
      </w:r>
      <w:r>
        <w:rPr>
          <w:spacing w:val="-1"/>
          <w:w w:val="110"/>
        </w:rPr>
        <w:t> </w:t>
      </w:r>
      <w:r>
        <w:rPr>
          <w:w w:val="110"/>
        </w:rPr>
        <w:t>practice</w:t>
      </w:r>
    </w:p>
    <w:p>
      <w:pPr>
        <w:pStyle w:val="BodyText"/>
        <w:spacing w:line="235" w:lineRule="auto"/>
        <w:ind w:left="3458" w:right="1352"/>
      </w:pPr>
      <w:r>
        <w:rPr>
          <w:w w:val="120"/>
        </w:rPr>
        <w:t>It might be helpful to draw together and share some stories of fruitful and effective examples of conciliarity and the</w:t>
      </w:r>
    </w:p>
    <w:p>
      <w:pPr>
        <w:pStyle w:val="BodyText"/>
        <w:spacing w:line="242" w:lineRule="exact"/>
        <w:ind w:left="3458"/>
      </w:pPr>
      <w:r>
        <w:rPr>
          <w:w w:val="125"/>
        </w:rPr>
        <w:t>church meeting.</w:t>
      </w:r>
    </w:p>
    <w:p>
      <w:pPr>
        <w:pStyle w:val="BodyText"/>
        <w:spacing w:before="3"/>
        <w:rPr>
          <w:sz w:val="19"/>
        </w:rPr>
      </w:pPr>
    </w:p>
    <w:p>
      <w:pPr>
        <w:pStyle w:val="ListParagraph"/>
        <w:numPr>
          <w:ilvl w:val="1"/>
          <w:numId w:val="65"/>
        </w:numPr>
        <w:tabs>
          <w:tab w:pos="2664" w:val="left" w:leader="none"/>
          <w:tab w:pos="2665" w:val="left" w:leader="none"/>
        </w:tabs>
        <w:spacing w:line="235" w:lineRule="auto" w:before="0" w:after="0"/>
        <w:ind w:left="1984" w:right="1418" w:firstLine="0"/>
        <w:jc w:val="left"/>
        <w:rPr>
          <w:sz w:val="20"/>
        </w:rPr>
      </w:pPr>
      <w:r>
        <w:rPr>
          <w:w w:val="120"/>
          <w:sz w:val="20"/>
        </w:rPr>
        <w:t>Conciliarity and the possibility it provides for discernment has at its best the potential to be a renewing, re-energising, fruitful and creative response to the work of the Holy Spirit in the United Reformed</w:t>
      </w:r>
      <w:r>
        <w:rPr>
          <w:spacing w:val="18"/>
          <w:w w:val="120"/>
          <w:sz w:val="20"/>
        </w:rPr>
        <w:t> </w:t>
      </w:r>
      <w:r>
        <w:rPr>
          <w:w w:val="120"/>
          <w:sz w:val="20"/>
        </w:rPr>
        <w:t>Church.</w:t>
      </w:r>
    </w:p>
    <w:p>
      <w:pPr>
        <w:spacing w:after="0" w:line="235" w:lineRule="auto"/>
        <w:jc w:val="left"/>
        <w:rPr>
          <w:sz w:val="20"/>
        </w:rPr>
        <w:sectPr>
          <w:type w:val="continuous"/>
          <w:pgSz w:w="11910" w:h="16840"/>
          <w:pgMar w:top="680" w:bottom="280" w:left="0" w:right="0"/>
        </w:sectPr>
      </w:pPr>
    </w:p>
    <w:p>
      <w:pPr>
        <w:pStyle w:val="BodyText"/>
      </w:pPr>
    </w:p>
    <w:p>
      <w:pPr>
        <w:pStyle w:val="BodyText"/>
        <w:spacing w:before="7"/>
        <w:rPr>
          <w:sz w:val="21"/>
        </w:rPr>
      </w:pPr>
    </w:p>
    <w:p>
      <w:pPr>
        <w:spacing w:after="0"/>
        <w:rPr>
          <w:sz w:val="21"/>
        </w:rPr>
        <w:sectPr>
          <w:headerReference w:type="even" r:id="rId278"/>
          <w:footerReference w:type="even" r:id="rId279"/>
          <w:footerReference w:type="default" r:id="rId280"/>
          <w:pgSz w:w="11910" w:h="16840"/>
          <w:pgMar w:header="0" w:footer="647" w:top="0" w:bottom="840" w:left="0" w:right="0"/>
          <w:pgNumType w:start="118"/>
        </w:sectPr>
      </w:pPr>
    </w:p>
    <w:p>
      <w:pPr>
        <w:spacing w:before="106"/>
        <w:ind w:left="1247" w:right="0" w:firstLine="0"/>
        <w:jc w:val="left"/>
        <w:rPr>
          <w:sz w:val="26"/>
        </w:rPr>
      </w:pPr>
      <w:r>
        <w:rPr>
          <w:color w:val="7EAABF"/>
          <w:w w:val="115"/>
          <w:sz w:val="26"/>
        </w:rPr>
        <w:t>Faith and</w:t>
      </w:r>
      <w:r>
        <w:rPr>
          <w:color w:val="7EAABF"/>
          <w:spacing w:val="-5"/>
          <w:w w:val="115"/>
          <w:sz w:val="26"/>
        </w:rPr>
        <w:t> order</w:t>
      </w:r>
    </w:p>
    <w:p>
      <w:pPr>
        <w:pStyle w:val="BodyText"/>
        <w:spacing w:before="4"/>
        <w:rPr>
          <w:sz w:val="52"/>
        </w:rPr>
      </w:pPr>
      <w:r>
        <w:rPr/>
        <w:br w:type="column"/>
      </w:r>
      <w:r>
        <w:rPr>
          <w:sz w:val="52"/>
        </w:rPr>
      </w:r>
    </w:p>
    <w:p>
      <w:pPr>
        <w:tabs>
          <w:tab w:pos="1665" w:val="left" w:leader="none"/>
          <w:tab w:pos="3826" w:val="left" w:leader="none"/>
        </w:tabs>
        <w:spacing w:before="0"/>
        <w:ind w:left="992" w:right="0" w:firstLine="0"/>
        <w:jc w:val="left"/>
        <w:rPr>
          <w:rFonts w:ascii="Stone Sans II ITC Std X Bd"/>
          <w:b/>
          <w:sz w:val="29"/>
        </w:rPr>
      </w:pPr>
      <w:r>
        <w:rPr>
          <w:rFonts w:ascii="Stone Sans II ITC Std X Bd"/>
          <w:b/>
          <w:w w:val="110"/>
          <w:sz w:val="29"/>
          <w:shd w:fill="D3E5C3" w:color="auto" w:val="clear"/>
        </w:rPr>
        <w:t> </w:t>
      </w:r>
      <w:r>
        <w:rPr>
          <w:rFonts w:ascii="Stone Sans II ITC Std X Bd"/>
          <w:b/>
          <w:sz w:val="29"/>
          <w:shd w:fill="D3E5C3" w:color="auto" w:val="clear"/>
        </w:rPr>
        <w:tab/>
      </w:r>
      <w:r>
        <w:rPr>
          <w:rFonts w:ascii="Stone Sans II ITC Std X Bd"/>
          <w:b/>
          <w:w w:val="110"/>
          <w:sz w:val="29"/>
          <w:shd w:fill="D3E5C3" w:color="auto" w:val="clear"/>
        </w:rPr>
        <w:t>Appendix</w:t>
      </w:r>
      <w:r>
        <w:rPr>
          <w:rFonts w:ascii="Stone Sans II ITC Std X Bd"/>
          <w:b/>
          <w:sz w:val="29"/>
          <w:shd w:fill="D3E5C3" w:color="auto" w:val="clear"/>
        </w:rPr>
        <w:tab/>
      </w:r>
    </w:p>
    <w:p>
      <w:pPr>
        <w:spacing w:after="0"/>
        <w:jc w:val="left"/>
        <w:rPr>
          <w:rFonts w:ascii="Stone Sans II ITC Std X Bd"/>
          <w:sz w:val="29"/>
        </w:rPr>
        <w:sectPr>
          <w:type w:val="continuous"/>
          <w:pgSz w:w="11910" w:h="16840"/>
          <w:pgMar w:top="680" w:bottom="280" w:left="0" w:right="0"/>
          <w:cols w:num="2" w:equalWidth="0">
            <w:col w:w="3107" w:space="40"/>
            <w:col w:w="8763"/>
          </w:cols>
        </w:sectPr>
      </w:pPr>
    </w:p>
    <w:p>
      <w:pPr>
        <w:pStyle w:val="BodyText"/>
        <w:spacing w:before="7"/>
        <w:rPr>
          <w:rFonts w:ascii="Stone Sans II ITC Std X Bd"/>
          <w:b/>
          <w:sz w:val="23"/>
        </w:rPr>
      </w:pPr>
      <w:r>
        <w:rPr/>
        <w:drawing>
          <wp:anchor distT="0" distB="0" distL="0" distR="0" allowOverlap="1" layoutInCell="1" locked="0" behindDoc="0" simplePos="0" relativeHeight="251977728">
            <wp:simplePos x="0" y="0"/>
            <wp:positionH relativeFrom="page">
              <wp:posOffset>0</wp:posOffset>
            </wp:positionH>
            <wp:positionV relativeFrom="page">
              <wp:posOffset>0</wp:posOffset>
            </wp:positionV>
            <wp:extent cx="594067" cy="10692003"/>
            <wp:effectExtent l="0" t="0" r="0" b="0"/>
            <wp:wrapNone/>
            <wp:docPr id="217" name="image28.png"/>
            <wp:cNvGraphicFramePr>
              <a:graphicFrameLocks noChangeAspect="1"/>
            </wp:cNvGraphicFramePr>
            <a:graphic>
              <a:graphicData uri="http://schemas.openxmlformats.org/drawingml/2006/picture">
                <pic:pic>
                  <pic:nvPicPr>
                    <pic:cNvPr id="218" name="image28.png"/>
                    <pic:cNvPicPr/>
                  </pic:nvPicPr>
                  <pic:blipFill>
                    <a:blip r:embed="rId198" cstate="print"/>
                    <a:stretch>
                      <a:fillRect/>
                    </a:stretch>
                  </pic:blipFill>
                  <pic:spPr>
                    <a:xfrm>
                      <a:off x="0" y="0"/>
                      <a:ext cx="594067" cy="10692003"/>
                    </a:xfrm>
                    <a:prstGeom prst="rect">
                      <a:avLst/>
                    </a:prstGeom>
                  </pic:spPr>
                </pic:pic>
              </a:graphicData>
            </a:graphic>
          </wp:anchor>
        </w:drawing>
      </w:r>
    </w:p>
    <w:p>
      <w:pPr>
        <w:pStyle w:val="ListParagraph"/>
        <w:numPr>
          <w:ilvl w:val="0"/>
          <w:numId w:val="69"/>
        </w:numPr>
        <w:tabs>
          <w:tab w:pos="1927" w:val="left" w:leader="none"/>
          <w:tab w:pos="1928" w:val="left" w:leader="none"/>
        </w:tabs>
        <w:spacing w:line="240" w:lineRule="auto" w:before="90" w:after="0"/>
        <w:ind w:left="1927" w:right="0" w:hanging="681"/>
        <w:jc w:val="left"/>
        <w:rPr>
          <w:rFonts w:ascii="Stone Sans II ITC Std Bk"/>
          <w:b/>
          <w:sz w:val="29"/>
        </w:rPr>
      </w:pPr>
      <w:r>
        <w:rPr/>
        <w:pict>
          <v:shape style="position:absolute;margin-left:20.519100pt;margin-top:-44.825592pt;width:25.9pt;height:411pt;mso-position-horizontal-relative:page;mso-position-vertical-relative:paragraph;z-index:251978752" type="#_x0000_t202" filled="false" stroked="false">
            <v:textbox inset="0,0,0,0" style="layout-flow:vertical">
              <w:txbxContent>
                <w:p>
                  <w:pPr>
                    <w:spacing w:before="27"/>
                    <w:ind w:left="20" w:right="0" w:firstLine="0"/>
                    <w:jc w:val="left"/>
                    <w:rPr>
                      <w:sz w:val="39"/>
                    </w:rPr>
                  </w:pPr>
                  <w:r>
                    <w:rPr>
                      <w:color w:val="FFFFFF"/>
                      <w:spacing w:val="7"/>
                      <w:w w:val="120"/>
                      <w:sz w:val="39"/>
                    </w:rPr>
                    <w:t>The </w:t>
                  </w:r>
                  <w:r>
                    <w:rPr>
                      <w:color w:val="FFFFFF"/>
                      <w:spacing w:val="-4"/>
                      <w:w w:val="120"/>
                      <w:sz w:val="39"/>
                    </w:rPr>
                    <w:t>URC’s </w:t>
                  </w:r>
                  <w:r>
                    <w:rPr>
                      <w:color w:val="FFFFFF"/>
                      <w:spacing w:val="11"/>
                      <w:w w:val="120"/>
                      <w:sz w:val="39"/>
                    </w:rPr>
                    <w:t>gift </w:t>
                  </w:r>
                  <w:r>
                    <w:rPr>
                      <w:color w:val="FFFFFF"/>
                      <w:spacing w:val="5"/>
                      <w:w w:val="120"/>
                      <w:sz w:val="39"/>
                    </w:rPr>
                    <w:t>of </w:t>
                  </w:r>
                  <w:r>
                    <w:rPr>
                      <w:color w:val="FFFFFF"/>
                      <w:spacing w:val="10"/>
                      <w:w w:val="120"/>
                      <w:sz w:val="39"/>
                    </w:rPr>
                    <w:t>conciliarity </w:t>
                  </w:r>
                  <w:r>
                    <w:rPr>
                      <w:color w:val="FFFFFF"/>
                      <w:w w:val="120"/>
                      <w:sz w:val="39"/>
                    </w:rPr>
                    <w:t>–</w:t>
                  </w:r>
                  <w:r>
                    <w:rPr>
                      <w:color w:val="FFFFFF"/>
                      <w:spacing w:val="96"/>
                      <w:w w:val="120"/>
                      <w:sz w:val="39"/>
                    </w:rPr>
                    <w:t> </w:t>
                  </w:r>
                  <w:r>
                    <w:rPr>
                      <w:spacing w:val="11"/>
                      <w:w w:val="120"/>
                      <w:sz w:val="39"/>
                    </w:rPr>
                    <w:t>Appendix</w:t>
                  </w:r>
                </w:p>
              </w:txbxContent>
            </v:textbox>
            <w10:wrap type="none"/>
          </v:shape>
        </w:pict>
      </w:r>
      <w:r>
        <w:rPr>
          <w:rFonts w:ascii="Stone Sans II ITC Std Bk"/>
          <w:b/>
          <w:w w:val="110"/>
          <w:sz w:val="29"/>
        </w:rPr>
        <w:t>A </w:t>
      </w:r>
      <w:r>
        <w:rPr>
          <w:rFonts w:ascii="Stone Sans II ITC Std Bk"/>
          <w:b/>
          <w:spacing w:val="4"/>
          <w:w w:val="110"/>
          <w:sz w:val="29"/>
        </w:rPr>
        <w:t>brief history </w:t>
      </w:r>
      <w:r>
        <w:rPr>
          <w:rFonts w:ascii="Stone Sans II ITC Std Bk"/>
          <w:b/>
          <w:w w:val="110"/>
          <w:sz w:val="29"/>
        </w:rPr>
        <w:t>of </w:t>
      </w:r>
      <w:r>
        <w:rPr>
          <w:rFonts w:ascii="Stone Sans II ITC Std Bk"/>
          <w:b/>
          <w:spacing w:val="2"/>
          <w:w w:val="110"/>
          <w:sz w:val="29"/>
        </w:rPr>
        <w:t>the </w:t>
      </w:r>
      <w:r>
        <w:rPr>
          <w:rFonts w:ascii="Stone Sans II ITC Std Bk"/>
          <w:b/>
          <w:spacing w:val="3"/>
          <w:w w:val="110"/>
          <w:sz w:val="29"/>
        </w:rPr>
        <w:t>church</w:t>
      </w:r>
      <w:r>
        <w:rPr>
          <w:rFonts w:ascii="Stone Sans II ITC Std Bk"/>
          <w:b/>
          <w:spacing w:val="68"/>
          <w:w w:val="110"/>
          <w:sz w:val="29"/>
        </w:rPr>
        <w:t> </w:t>
      </w:r>
      <w:r>
        <w:rPr>
          <w:rFonts w:ascii="Stone Sans II ITC Std Bk"/>
          <w:b/>
          <w:spacing w:val="3"/>
          <w:w w:val="110"/>
          <w:sz w:val="29"/>
        </w:rPr>
        <w:t>meeting</w:t>
      </w:r>
    </w:p>
    <w:p>
      <w:pPr>
        <w:pStyle w:val="ListParagraph"/>
        <w:numPr>
          <w:ilvl w:val="1"/>
          <w:numId w:val="69"/>
        </w:numPr>
        <w:tabs>
          <w:tab w:pos="1927" w:val="left" w:leader="none"/>
          <w:tab w:pos="1928" w:val="left" w:leader="none"/>
        </w:tabs>
        <w:spacing w:line="235" w:lineRule="auto" w:before="69" w:after="0"/>
        <w:ind w:left="1247" w:right="2003" w:firstLine="0"/>
        <w:jc w:val="left"/>
        <w:rPr>
          <w:sz w:val="20"/>
        </w:rPr>
      </w:pPr>
      <w:r>
        <w:rPr>
          <w:w w:val="120"/>
          <w:sz w:val="20"/>
        </w:rPr>
        <w:t>The Reformation highlighted the relationship of the Church to the State. Most Reformers, following Luther and Calvin, developed Augustine’s notions of the two Kingdoms, mutually supportive, although Calvin had a torrid time in Geneva as political control of the city was taken over by his opponents. The first English Separatists  rejected the idea that the State had any say in the government of the Church. The two things they found most objectionable were the imposition of ministry and</w:t>
      </w:r>
      <w:r>
        <w:rPr>
          <w:spacing w:val="10"/>
          <w:w w:val="120"/>
          <w:sz w:val="20"/>
        </w:rPr>
        <w:t> </w:t>
      </w:r>
      <w:r>
        <w:rPr>
          <w:w w:val="120"/>
          <w:sz w:val="20"/>
        </w:rPr>
        <w:t>discipline</w:t>
      </w:r>
    </w:p>
    <w:p>
      <w:pPr>
        <w:pStyle w:val="BodyText"/>
        <w:spacing w:line="235" w:lineRule="auto" w:before="4"/>
        <w:ind w:left="1247" w:right="2107"/>
      </w:pPr>
      <w:r>
        <w:rPr>
          <w:w w:val="120"/>
        </w:rPr>
        <w:t>by bishops appointed by the State and the assumption that everyone in a parish had  the right to take Communion at their parish church. There was no scriptural warrant for either of these practices, since the primitive Church existed on the margins of society. They located the presence of Christ in the sincerity of those gathered at the Lord’s  </w:t>
      </w:r>
      <w:r>
        <w:rPr>
          <w:spacing w:val="-3"/>
          <w:w w:val="120"/>
        </w:rPr>
        <w:t>Table </w:t>
      </w:r>
      <w:r>
        <w:rPr>
          <w:w w:val="120"/>
        </w:rPr>
        <w:t>rather than in the physical elements. It followed that the president at the Lord’s </w:t>
      </w:r>
      <w:r>
        <w:rPr>
          <w:spacing w:val="-3"/>
          <w:w w:val="120"/>
        </w:rPr>
        <w:t>Table </w:t>
      </w:r>
      <w:r>
        <w:rPr>
          <w:w w:val="120"/>
        </w:rPr>
        <w:t>was one called by the Christian community. That community might also appoint other officers mentioned in the New Testament, such as teachers or relievers. It also disciplined its members. Hence, there was a need for the gathered church to meet to discern the will of the Holy Spirit in these</w:t>
      </w:r>
      <w:r>
        <w:rPr>
          <w:spacing w:val="17"/>
          <w:w w:val="120"/>
        </w:rPr>
        <w:t> </w:t>
      </w:r>
      <w:r>
        <w:rPr>
          <w:w w:val="120"/>
        </w:rPr>
        <w:t>matters.</w:t>
      </w:r>
    </w:p>
    <w:p>
      <w:pPr>
        <w:pStyle w:val="BodyText"/>
        <w:spacing w:before="3"/>
      </w:pPr>
    </w:p>
    <w:p>
      <w:pPr>
        <w:pStyle w:val="ListParagraph"/>
        <w:numPr>
          <w:ilvl w:val="1"/>
          <w:numId w:val="69"/>
        </w:numPr>
        <w:tabs>
          <w:tab w:pos="1927" w:val="left" w:leader="none"/>
          <w:tab w:pos="1928" w:val="left" w:leader="none"/>
        </w:tabs>
        <w:spacing w:line="235" w:lineRule="auto" w:before="0" w:after="0"/>
        <w:ind w:left="1247" w:right="2214" w:firstLine="0"/>
        <w:jc w:val="left"/>
        <w:rPr>
          <w:sz w:val="20"/>
        </w:rPr>
      </w:pPr>
      <w:r>
        <w:rPr>
          <w:w w:val="120"/>
          <w:sz w:val="20"/>
        </w:rPr>
        <w:t>During the Commonwealth period, attempts were made to give the local parishioners a say in the appointment of their minister, although the State still exercised control. After </w:t>
      </w:r>
      <w:r>
        <w:rPr>
          <w:spacing w:val="-5"/>
          <w:w w:val="120"/>
          <w:sz w:val="20"/>
        </w:rPr>
        <w:t>1662, </w:t>
      </w:r>
      <w:r>
        <w:rPr>
          <w:w w:val="120"/>
          <w:sz w:val="20"/>
        </w:rPr>
        <w:t>those who followed a Congregational or Presbyterian way held meetings to call ministers and make any other appointments. Not until </w:t>
      </w:r>
      <w:r>
        <w:rPr>
          <w:spacing w:val="-5"/>
          <w:w w:val="120"/>
          <w:sz w:val="20"/>
        </w:rPr>
        <w:t>1689 </w:t>
      </w:r>
      <w:r>
        <w:rPr>
          <w:w w:val="120"/>
          <w:sz w:val="20"/>
        </w:rPr>
        <w:t>were they able to register places of worship, and few of these were the</w:t>
      </w:r>
      <w:r>
        <w:rPr>
          <w:spacing w:val="17"/>
          <w:w w:val="120"/>
          <w:sz w:val="20"/>
        </w:rPr>
        <w:t> </w:t>
      </w:r>
      <w:r>
        <w:rPr>
          <w:spacing w:val="2"/>
          <w:w w:val="120"/>
          <w:sz w:val="20"/>
        </w:rPr>
        <w:t>property</w:t>
      </w:r>
    </w:p>
    <w:p>
      <w:pPr>
        <w:pStyle w:val="BodyText"/>
        <w:spacing w:line="235" w:lineRule="auto" w:before="4"/>
        <w:ind w:left="1247" w:right="2412"/>
      </w:pPr>
      <w:r>
        <w:rPr>
          <w:w w:val="120"/>
        </w:rPr>
        <w:t>of the congregation. Until well into the 18th Century, the provision of the meeting house might be the responsibility of a sympathetic local landowner, or a few of the more prosperous members of the congregation. The business of church meetings was to admit or dismiss members and set aside officers. A frequent agenda item in Congregational churches would be the testimonies of people seeking membership. These local churches usually associated with others in their locality, though such associations, even amongst nominally Presbyterian churches, were influential rather than ruling bodies.</w:t>
      </w:r>
    </w:p>
    <w:p>
      <w:pPr>
        <w:pStyle w:val="BodyText"/>
        <w:spacing w:before="1"/>
      </w:pPr>
    </w:p>
    <w:p>
      <w:pPr>
        <w:pStyle w:val="ListParagraph"/>
        <w:numPr>
          <w:ilvl w:val="1"/>
          <w:numId w:val="69"/>
        </w:numPr>
        <w:tabs>
          <w:tab w:pos="1927" w:val="left" w:leader="none"/>
          <w:tab w:pos="1928" w:val="left" w:leader="none"/>
        </w:tabs>
        <w:spacing w:line="235" w:lineRule="auto" w:before="0" w:after="0"/>
        <w:ind w:left="1247" w:right="2108" w:firstLine="0"/>
        <w:jc w:val="left"/>
        <w:rPr>
          <w:sz w:val="20"/>
        </w:rPr>
      </w:pPr>
      <w:r>
        <w:rPr>
          <w:w w:val="120"/>
          <w:sz w:val="20"/>
        </w:rPr>
        <w:t>The number of Congregational churches began to increase after the Evangelical Revival. The effect of this was to reinforce the role of the church meeting as a place of mutual testimony and spiritual development. Business might include planning local evangelism or even a decision to move to another building, but the trusteeship of buildings,</w:t>
      </w:r>
      <w:r>
        <w:rPr>
          <w:spacing w:val="5"/>
          <w:w w:val="120"/>
          <w:sz w:val="20"/>
        </w:rPr>
        <w:t> </w:t>
      </w:r>
      <w:r>
        <w:rPr>
          <w:w w:val="120"/>
          <w:sz w:val="20"/>
        </w:rPr>
        <w:t>including</w:t>
      </w:r>
      <w:r>
        <w:rPr>
          <w:spacing w:val="6"/>
          <w:w w:val="120"/>
          <w:sz w:val="20"/>
        </w:rPr>
        <w:t> </w:t>
      </w:r>
      <w:r>
        <w:rPr>
          <w:w w:val="120"/>
          <w:sz w:val="20"/>
        </w:rPr>
        <w:t>their</w:t>
      </w:r>
      <w:r>
        <w:rPr>
          <w:spacing w:val="6"/>
          <w:w w:val="120"/>
          <w:sz w:val="20"/>
        </w:rPr>
        <w:t> </w:t>
      </w:r>
      <w:r>
        <w:rPr>
          <w:w w:val="120"/>
          <w:sz w:val="20"/>
        </w:rPr>
        <w:t>management,</w:t>
      </w:r>
      <w:r>
        <w:rPr>
          <w:spacing w:val="5"/>
          <w:w w:val="120"/>
          <w:sz w:val="20"/>
        </w:rPr>
        <w:t> </w:t>
      </w:r>
      <w:r>
        <w:rPr>
          <w:w w:val="120"/>
          <w:sz w:val="20"/>
        </w:rPr>
        <w:t>tended</w:t>
      </w:r>
      <w:r>
        <w:rPr>
          <w:spacing w:val="6"/>
          <w:w w:val="120"/>
          <w:sz w:val="20"/>
        </w:rPr>
        <w:t> </w:t>
      </w:r>
      <w:r>
        <w:rPr>
          <w:w w:val="120"/>
          <w:sz w:val="20"/>
        </w:rPr>
        <w:t>to</w:t>
      </w:r>
      <w:r>
        <w:rPr>
          <w:spacing w:val="6"/>
          <w:w w:val="120"/>
          <w:sz w:val="20"/>
        </w:rPr>
        <w:t> </w:t>
      </w:r>
      <w:r>
        <w:rPr>
          <w:w w:val="120"/>
          <w:sz w:val="20"/>
        </w:rPr>
        <w:t>be</w:t>
      </w:r>
      <w:r>
        <w:rPr>
          <w:spacing w:val="5"/>
          <w:w w:val="120"/>
          <w:sz w:val="20"/>
        </w:rPr>
        <w:t> </w:t>
      </w:r>
      <w:r>
        <w:rPr>
          <w:w w:val="120"/>
          <w:sz w:val="20"/>
        </w:rPr>
        <w:t>a</w:t>
      </w:r>
      <w:r>
        <w:rPr>
          <w:spacing w:val="6"/>
          <w:w w:val="120"/>
          <w:sz w:val="20"/>
        </w:rPr>
        <w:t> </w:t>
      </w:r>
      <w:r>
        <w:rPr>
          <w:w w:val="120"/>
          <w:sz w:val="20"/>
        </w:rPr>
        <w:t>separate</w:t>
      </w:r>
      <w:r>
        <w:rPr>
          <w:spacing w:val="6"/>
          <w:w w:val="120"/>
          <w:sz w:val="20"/>
        </w:rPr>
        <w:t> </w:t>
      </w:r>
      <w:r>
        <w:rPr>
          <w:w w:val="120"/>
          <w:sz w:val="20"/>
        </w:rPr>
        <w:t>concern</w:t>
      </w:r>
      <w:r>
        <w:rPr>
          <w:spacing w:val="5"/>
          <w:w w:val="120"/>
          <w:sz w:val="20"/>
        </w:rPr>
        <w:t> </w:t>
      </w:r>
      <w:r>
        <w:rPr>
          <w:w w:val="120"/>
          <w:sz w:val="20"/>
        </w:rPr>
        <w:t>of</w:t>
      </w:r>
      <w:r>
        <w:rPr>
          <w:spacing w:val="6"/>
          <w:w w:val="120"/>
          <w:sz w:val="20"/>
        </w:rPr>
        <w:t> </w:t>
      </w:r>
      <w:r>
        <w:rPr>
          <w:w w:val="120"/>
          <w:sz w:val="20"/>
        </w:rPr>
        <w:t>a</w:t>
      </w:r>
      <w:r>
        <w:rPr>
          <w:spacing w:val="6"/>
          <w:w w:val="120"/>
          <w:sz w:val="20"/>
        </w:rPr>
        <w:t> </w:t>
      </w:r>
      <w:r>
        <w:rPr>
          <w:spacing w:val="-3"/>
          <w:w w:val="120"/>
          <w:sz w:val="20"/>
        </w:rPr>
        <w:t>few.</w:t>
      </w:r>
    </w:p>
    <w:p>
      <w:pPr>
        <w:pStyle w:val="BodyText"/>
        <w:spacing w:line="235" w:lineRule="auto" w:before="4"/>
        <w:ind w:left="1247" w:right="2200"/>
      </w:pPr>
      <w:r>
        <w:rPr>
          <w:w w:val="120"/>
        </w:rPr>
        <w:t>The county associations and Congregational Unions which began to emerge in the  early </w:t>
      </w:r>
      <w:r>
        <w:rPr>
          <w:spacing w:val="-4"/>
          <w:w w:val="120"/>
        </w:rPr>
        <w:t>19th </w:t>
      </w:r>
      <w:r>
        <w:rPr>
          <w:w w:val="120"/>
        </w:rPr>
        <w:t>Century had a similar agenda, built around worship, sermons and plans for evangelism at home and abroad. The political questions around the civil emancipation of Dissenters were treated in specially-summoned public meetings. There were interdenominational societies which pursued charitable objectives such as education and medical care for the poor, and Bible and tract distribution. Church meeting might pray for them but it would not manage</w:t>
      </w:r>
      <w:r>
        <w:rPr>
          <w:spacing w:val="18"/>
          <w:w w:val="120"/>
        </w:rPr>
        <w:t> </w:t>
      </w:r>
      <w:r>
        <w:rPr>
          <w:w w:val="120"/>
        </w:rPr>
        <w:t>them.</w:t>
      </w:r>
    </w:p>
    <w:p>
      <w:pPr>
        <w:pStyle w:val="BodyText"/>
        <w:spacing w:before="1"/>
      </w:pPr>
    </w:p>
    <w:p>
      <w:pPr>
        <w:pStyle w:val="ListParagraph"/>
        <w:numPr>
          <w:ilvl w:val="1"/>
          <w:numId w:val="69"/>
        </w:numPr>
        <w:tabs>
          <w:tab w:pos="1927" w:val="left" w:leader="none"/>
          <w:tab w:pos="1928" w:val="left" w:leader="none"/>
        </w:tabs>
        <w:spacing w:line="235" w:lineRule="auto" w:before="0" w:after="0"/>
        <w:ind w:left="1247" w:right="2069" w:firstLine="0"/>
        <w:jc w:val="left"/>
        <w:rPr>
          <w:sz w:val="20"/>
        </w:rPr>
      </w:pPr>
      <w:r>
        <w:rPr>
          <w:w w:val="120"/>
          <w:sz w:val="20"/>
        </w:rPr>
        <w:t>The widening of the franchise and the rise of trades unions and cooperative bodies gave church members a taste for participation in decision-making. Congregationalists were sympathetic to political reform and counted their resistance   of state control in the past as </w:t>
      </w:r>
      <w:r>
        <w:rPr>
          <w:spacing w:val="2"/>
          <w:w w:val="120"/>
          <w:sz w:val="20"/>
        </w:rPr>
        <w:t>part </w:t>
      </w:r>
      <w:r>
        <w:rPr>
          <w:w w:val="120"/>
          <w:sz w:val="20"/>
        </w:rPr>
        <w:t>of the development of civil liberties. The church meeting began to be held up as an example of how people from different social classes might work together. However much the theoreticians might emphasise that this was working together to discover the mind of Christ, there was a confusion in the minds of members</w:t>
      </w:r>
      <w:r>
        <w:rPr>
          <w:spacing w:val="8"/>
          <w:w w:val="120"/>
          <w:sz w:val="20"/>
        </w:rPr>
        <w:t> </w:t>
      </w:r>
      <w:r>
        <w:rPr>
          <w:w w:val="120"/>
          <w:sz w:val="20"/>
        </w:rPr>
        <w:t>between</w:t>
      </w:r>
      <w:r>
        <w:rPr>
          <w:spacing w:val="9"/>
          <w:w w:val="120"/>
          <w:sz w:val="20"/>
        </w:rPr>
        <w:t> </w:t>
      </w:r>
      <w:r>
        <w:rPr>
          <w:w w:val="120"/>
          <w:sz w:val="20"/>
        </w:rPr>
        <w:t>the</w:t>
      </w:r>
      <w:r>
        <w:rPr>
          <w:spacing w:val="9"/>
          <w:w w:val="120"/>
          <w:sz w:val="20"/>
        </w:rPr>
        <w:t> </w:t>
      </w:r>
      <w:r>
        <w:rPr>
          <w:w w:val="120"/>
          <w:sz w:val="20"/>
        </w:rPr>
        <w:t>church</w:t>
      </w:r>
      <w:r>
        <w:rPr>
          <w:spacing w:val="9"/>
          <w:w w:val="120"/>
          <w:sz w:val="20"/>
        </w:rPr>
        <w:t> </w:t>
      </w:r>
      <w:r>
        <w:rPr>
          <w:w w:val="120"/>
          <w:sz w:val="20"/>
        </w:rPr>
        <w:t>meeting</w:t>
      </w:r>
      <w:r>
        <w:rPr>
          <w:spacing w:val="9"/>
          <w:w w:val="120"/>
          <w:sz w:val="20"/>
        </w:rPr>
        <w:t> </w:t>
      </w:r>
      <w:r>
        <w:rPr>
          <w:w w:val="120"/>
          <w:sz w:val="20"/>
        </w:rPr>
        <w:t>and</w:t>
      </w:r>
      <w:r>
        <w:rPr>
          <w:spacing w:val="9"/>
          <w:w w:val="120"/>
          <w:sz w:val="20"/>
        </w:rPr>
        <w:t> </w:t>
      </w:r>
      <w:r>
        <w:rPr>
          <w:w w:val="120"/>
          <w:sz w:val="20"/>
        </w:rPr>
        <w:t>popular</w:t>
      </w:r>
      <w:r>
        <w:rPr>
          <w:spacing w:val="9"/>
          <w:w w:val="120"/>
          <w:sz w:val="20"/>
        </w:rPr>
        <w:t> </w:t>
      </w:r>
      <w:r>
        <w:rPr>
          <w:w w:val="120"/>
          <w:sz w:val="20"/>
        </w:rPr>
        <w:t>democracy.</w:t>
      </w:r>
      <w:r>
        <w:rPr>
          <w:spacing w:val="9"/>
          <w:w w:val="120"/>
          <w:sz w:val="20"/>
        </w:rPr>
        <w:t> </w:t>
      </w:r>
      <w:r>
        <w:rPr>
          <w:w w:val="120"/>
          <w:sz w:val="20"/>
        </w:rPr>
        <w:t>In</w:t>
      </w:r>
      <w:r>
        <w:rPr>
          <w:spacing w:val="9"/>
          <w:w w:val="120"/>
          <w:sz w:val="20"/>
        </w:rPr>
        <w:t> </w:t>
      </w:r>
      <w:r>
        <w:rPr>
          <w:w w:val="120"/>
          <w:sz w:val="20"/>
        </w:rPr>
        <w:t>the</w:t>
      </w:r>
      <w:r>
        <w:rPr>
          <w:spacing w:val="9"/>
          <w:w w:val="120"/>
          <w:sz w:val="20"/>
        </w:rPr>
        <w:t> </w:t>
      </w:r>
      <w:r>
        <w:rPr>
          <w:spacing w:val="-4"/>
          <w:w w:val="120"/>
          <w:sz w:val="20"/>
        </w:rPr>
        <w:t>18th</w:t>
      </w:r>
      <w:r>
        <w:rPr>
          <w:spacing w:val="9"/>
          <w:w w:val="120"/>
          <w:sz w:val="20"/>
        </w:rPr>
        <w:t> </w:t>
      </w:r>
      <w:r>
        <w:rPr>
          <w:w w:val="120"/>
          <w:sz w:val="20"/>
        </w:rPr>
        <w:t>Century</w:t>
      </w:r>
    </w:p>
    <w:p>
      <w:pPr>
        <w:pStyle w:val="BodyText"/>
        <w:spacing w:line="235" w:lineRule="auto" w:before="6"/>
        <w:ind w:left="1247" w:right="2030"/>
      </w:pPr>
      <w:r>
        <w:rPr>
          <w:w w:val="120"/>
        </w:rPr>
        <w:t>a minister could still adopt a fairly autocratic style on the basis that he had been called by the congregation, not set over them by an external authority. There were autocratic Congregational ministers in the late 19th Century, but they were much more likely to</w:t>
      </w:r>
    </w:p>
    <w:p>
      <w:pPr>
        <w:spacing w:after="0" w:line="235" w:lineRule="auto"/>
        <w:sectPr>
          <w:type w:val="continuous"/>
          <w:pgSz w:w="11910" w:h="16840"/>
          <w:pgMar w:top="680" w:bottom="280" w:left="0" w:right="0"/>
        </w:sectPr>
      </w:pPr>
    </w:p>
    <w:p>
      <w:pPr>
        <w:pStyle w:val="BodyText"/>
      </w:pPr>
      <w:r>
        <w:rPr/>
        <w:drawing>
          <wp:anchor distT="0" distB="0" distL="0" distR="0" allowOverlap="1" layoutInCell="1" locked="0" behindDoc="0" simplePos="0" relativeHeight="251979776">
            <wp:simplePos x="0" y="0"/>
            <wp:positionH relativeFrom="page">
              <wp:posOffset>6974928</wp:posOffset>
            </wp:positionH>
            <wp:positionV relativeFrom="page">
              <wp:posOffset>0</wp:posOffset>
            </wp:positionV>
            <wp:extent cx="585063" cy="10692003"/>
            <wp:effectExtent l="0" t="0" r="0" b="0"/>
            <wp:wrapNone/>
            <wp:docPr id="219" name="image25.png"/>
            <wp:cNvGraphicFramePr>
              <a:graphicFrameLocks noChangeAspect="1"/>
            </wp:cNvGraphicFramePr>
            <a:graphic>
              <a:graphicData uri="http://schemas.openxmlformats.org/drawingml/2006/picture">
                <pic:pic>
                  <pic:nvPicPr>
                    <pic:cNvPr id="220" name="image25.png"/>
                    <pic:cNvPicPr/>
                  </pic:nvPicPr>
                  <pic:blipFill>
                    <a:blip r:embed="rId192"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pStyle w:val="Heading5"/>
        <w:ind w:left="0" w:right="1245"/>
        <w:jc w:val="right"/>
      </w:pPr>
      <w:r>
        <w:rPr/>
        <w:pict>
          <v:shape style="position:absolute;margin-left:554.141174pt;margin-top:22.593945pt;width:25.9pt;height:411pt;mso-position-horizontal-relative:page;mso-position-vertical-relative:paragraph;z-index:251980800" type="#_x0000_t202" filled="false" stroked="false">
            <v:textbox inset="0,0,0,0" style="layout-flow:vertical">
              <w:txbxContent>
                <w:p>
                  <w:pPr>
                    <w:spacing w:before="27"/>
                    <w:ind w:left="20" w:right="0" w:firstLine="0"/>
                    <w:jc w:val="left"/>
                    <w:rPr>
                      <w:sz w:val="39"/>
                    </w:rPr>
                  </w:pPr>
                  <w:r>
                    <w:rPr>
                      <w:color w:val="FFFFFF"/>
                      <w:spacing w:val="7"/>
                      <w:w w:val="120"/>
                      <w:sz w:val="39"/>
                    </w:rPr>
                    <w:t>The </w:t>
                  </w:r>
                  <w:r>
                    <w:rPr>
                      <w:color w:val="FFFFFF"/>
                      <w:spacing w:val="-4"/>
                      <w:w w:val="120"/>
                      <w:sz w:val="39"/>
                    </w:rPr>
                    <w:t>URC’s </w:t>
                  </w:r>
                  <w:r>
                    <w:rPr>
                      <w:color w:val="FFFFFF"/>
                      <w:spacing w:val="11"/>
                      <w:w w:val="120"/>
                      <w:sz w:val="39"/>
                    </w:rPr>
                    <w:t>gift </w:t>
                  </w:r>
                  <w:r>
                    <w:rPr>
                      <w:color w:val="FFFFFF"/>
                      <w:spacing w:val="5"/>
                      <w:w w:val="120"/>
                      <w:sz w:val="39"/>
                    </w:rPr>
                    <w:t>of </w:t>
                  </w:r>
                  <w:r>
                    <w:rPr>
                      <w:color w:val="FFFFFF"/>
                      <w:spacing w:val="10"/>
                      <w:w w:val="120"/>
                      <w:sz w:val="39"/>
                    </w:rPr>
                    <w:t>conciliarity </w:t>
                  </w:r>
                  <w:r>
                    <w:rPr>
                      <w:color w:val="FFFFFF"/>
                      <w:w w:val="120"/>
                      <w:sz w:val="39"/>
                    </w:rPr>
                    <w:t>–</w:t>
                  </w:r>
                  <w:r>
                    <w:rPr>
                      <w:color w:val="FFFFFF"/>
                      <w:spacing w:val="96"/>
                      <w:w w:val="120"/>
                      <w:sz w:val="39"/>
                    </w:rPr>
                    <w:t> </w:t>
                  </w:r>
                  <w:r>
                    <w:rPr>
                      <w:spacing w:val="11"/>
                      <w:w w:val="120"/>
                      <w:sz w:val="39"/>
                    </w:rPr>
                    <w:t>Appendix</w:t>
                  </w:r>
                </w:p>
              </w:txbxContent>
            </v:textbox>
            <w10:wrap type="none"/>
          </v:shape>
        </w:pict>
      </w:r>
      <w:r>
        <w:rPr>
          <w:color w:val="7EAABF"/>
          <w:w w:val="115"/>
        </w:rPr>
        <w:t>Faith and order</w:t>
      </w:r>
    </w:p>
    <w:p>
      <w:pPr>
        <w:pStyle w:val="BodyText"/>
        <w:spacing w:line="235" w:lineRule="auto" w:before="222"/>
        <w:ind w:left="1984" w:right="1820"/>
      </w:pPr>
      <w:r>
        <w:rPr>
          <w:w w:val="120"/>
        </w:rPr>
        <w:t>face a challenge from the church meeting. The agenda of the meeting broadened, especially as more members had a financial stake in the property of the Church.</w:t>
      </w:r>
    </w:p>
    <w:p>
      <w:pPr>
        <w:pStyle w:val="BodyText"/>
        <w:spacing w:line="235" w:lineRule="auto" w:before="1"/>
        <w:ind w:left="1984" w:right="1454"/>
      </w:pPr>
      <w:r>
        <w:rPr>
          <w:w w:val="120"/>
        </w:rPr>
        <w:t>Instead of a rich patron, a church was more dependent on the regular income from pew rents, a de facto shareholding system. Even so, a Victorian church meeting would have been more interested in holding to account those who managed the buildings than entering into the details. Disciplining erring members was still a function of the meeting. Communion attendance registers were kept by both Congregationalists and Presbyterians with a view to withdrawing membership from non-attenders. </w:t>
      </w:r>
      <w:r>
        <w:rPr>
          <w:spacing w:val="3"/>
          <w:w w:val="120"/>
        </w:rPr>
        <w:t>As </w:t>
      </w:r>
      <w:r>
        <w:rPr>
          <w:w w:val="120"/>
        </w:rPr>
        <w:t>the  </w:t>
      </w:r>
      <w:r>
        <w:rPr>
          <w:spacing w:val="-4"/>
          <w:w w:val="120"/>
        </w:rPr>
        <w:t>19th </w:t>
      </w:r>
      <w:r>
        <w:rPr>
          <w:w w:val="120"/>
        </w:rPr>
        <w:t>Century closed, Congregationalists saw denominational structures as subordinate to the local church meeting while English Presbyterianism was consolidating a more connexional structure. However, attendance records of this time – which some</w:t>
      </w:r>
      <w:r>
        <w:rPr>
          <w:spacing w:val="39"/>
          <w:w w:val="120"/>
        </w:rPr>
        <w:t> </w:t>
      </w:r>
      <w:r>
        <w:rPr>
          <w:w w:val="120"/>
        </w:rPr>
        <w:t>regard</w:t>
      </w:r>
    </w:p>
    <w:p>
      <w:pPr>
        <w:pStyle w:val="BodyText"/>
        <w:spacing w:line="235" w:lineRule="auto" w:before="7"/>
        <w:ind w:left="1984" w:right="1352"/>
      </w:pPr>
      <w:r>
        <w:rPr>
          <w:w w:val="120"/>
        </w:rPr>
        <w:t>as their golden age of Congregational church meetings – reveals that only a minority of members, especially in larger churches, actually attended.</w:t>
      </w:r>
    </w:p>
    <w:p>
      <w:pPr>
        <w:pStyle w:val="BodyText"/>
        <w:spacing w:before="9"/>
        <w:rPr>
          <w:sz w:val="19"/>
        </w:rPr>
      </w:pPr>
    </w:p>
    <w:p>
      <w:pPr>
        <w:pStyle w:val="ListParagraph"/>
        <w:numPr>
          <w:ilvl w:val="1"/>
          <w:numId w:val="69"/>
        </w:numPr>
        <w:tabs>
          <w:tab w:pos="2664" w:val="left" w:leader="none"/>
          <w:tab w:pos="2665" w:val="left" w:leader="none"/>
        </w:tabs>
        <w:spacing w:line="235" w:lineRule="auto" w:before="0" w:after="0"/>
        <w:ind w:left="1984" w:right="1324" w:firstLine="0"/>
        <w:jc w:val="left"/>
        <w:rPr>
          <w:sz w:val="20"/>
        </w:rPr>
      </w:pPr>
      <w:r>
        <w:rPr>
          <w:w w:val="120"/>
          <w:sz w:val="20"/>
        </w:rPr>
        <w:t>The modern church meeting is dominated by organisational questions. </w:t>
      </w:r>
      <w:r>
        <w:rPr>
          <w:spacing w:val="3"/>
          <w:w w:val="120"/>
          <w:sz w:val="20"/>
        </w:rPr>
        <w:t>As </w:t>
      </w:r>
      <w:r>
        <w:rPr>
          <w:w w:val="120"/>
          <w:sz w:val="20"/>
        </w:rPr>
        <w:t>our churches grow smaller there is less capacity, or even willingness, to delegate decision- making. The more the meeting concerns itself with minutiae, the more it becomes important to those who like working that way and the less it is attended by those who are impatient with detail. The spiritual building of the congregation is concentrated in opening devotions. Discipline has become somehow inappropriate. The appointment   of church officers has become a question of falling on the willing rather than discerning the </w:t>
      </w:r>
      <w:r>
        <w:rPr>
          <w:spacing w:val="2"/>
          <w:w w:val="120"/>
          <w:sz w:val="20"/>
        </w:rPr>
        <w:t>gifts </w:t>
      </w:r>
      <w:r>
        <w:rPr>
          <w:w w:val="120"/>
          <w:sz w:val="20"/>
        </w:rPr>
        <w:t>of the Spirit. Some churches have overcome the mass of detail by devising rules for the handling of business. This is to be encouraged. There is a balance to be struck between the meeting of all members and the meeting of elders. However, in   any kind of meeting, how it is conducted is secondary to how the agenda is set. If the pressure of circumstances becomes ‘how do we keep going?’ and this determines the agenda,</w:t>
      </w:r>
      <w:r>
        <w:rPr>
          <w:spacing w:val="5"/>
          <w:w w:val="120"/>
          <w:sz w:val="20"/>
        </w:rPr>
        <w:t> </w:t>
      </w:r>
      <w:r>
        <w:rPr>
          <w:w w:val="120"/>
          <w:sz w:val="20"/>
        </w:rPr>
        <w:t>being</w:t>
      </w:r>
      <w:r>
        <w:rPr>
          <w:spacing w:val="6"/>
          <w:w w:val="120"/>
          <w:sz w:val="20"/>
        </w:rPr>
        <w:t> </w:t>
      </w:r>
      <w:r>
        <w:rPr>
          <w:w w:val="120"/>
          <w:sz w:val="20"/>
        </w:rPr>
        <w:t>more</w:t>
      </w:r>
      <w:r>
        <w:rPr>
          <w:spacing w:val="6"/>
          <w:w w:val="120"/>
          <w:sz w:val="20"/>
        </w:rPr>
        <w:t> </w:t>
      </w:r>
      <w:r>
        <w:rPr>
          <w:w w:val="120"/>
          <w:sz w:val="20"/>
        </w:rPr>
        <w:t>efficient</w:t>
      </w:r>
      <w:r>
        <w:rPr>
          <w:spacing w:val="6"/>
          <w:w w:val="120"/>
          <w:sz w:val="20"/>
        </w:rPr>
        <w:t> </w:t>
      </w:r>
      <w:r>
        <w:rPr>
          <w:w w:val="120"/>
          <w:sz w:val="20"/>
        </w:rPr>
        <w:t>about</w:t>
      </w:r>
      <w:r>
        <w:rPr>
          <w:spacing w:val="6"/>
          <w:w w:val="120"/>
          <w:sz w:val="20"/>
        </w:rPr>
        <w:t> </w:t>
      </w:r>
      <w:r>
        <w:rPr>
          <w:w w:val="120"/>
          <w:sz w:val="20"/>
        </w:rPr>
        <w:t>it</w:t>
      </w:r>
      <w:r>
        <w:rPr>
          <w:spacing w:val="6"/>
          <w:w w:val="120"/>
          <w:sz w:val="20"/>
        </w:rPr>
        <w:t> </w:t>
      </w:r>
      <w:r>
        <w:rPr>
          <w:w w:val="120"/>
          <w:sz w:val="20"/>
        </w:rPr>
        <w:t>will</w:t>
      </w:r>
      <w:r>
        <w:rPr>
          <w:spacing w:val="6"/>
          <w:w w:val="120"/>
          <w:sz w:val="20"/>
        </w:rPr>
        <w:t> </w:t>
      </w:r>
      <w:r>
        <w:rPr>
          <w:w w:val="120"/>
          <w:sz w:val="20"/>
        </w:rPr>
        <w:t>not</w:t>
      </w:r>
      <w:r>
        <w:rPr>
          <w:spacing w:val="6"/>
          <w:w w:val="120"/>
          <w:sz w:val="20"/>
        </w:rPr>
        <w:t> </w:t>
      </w:r>
      <w:r>
        <w:rPr>
          <w:w w:val="120"/>
          <w:sz w:val="20"/>
        </w:rPr>
        <w:t>recover</w:t>
      </w:r>
      <w:r>
        <w:rPr>
          <w:spacing w:val="6"/>
          <w:w w:val="120"/>
          <w:sz w:val="20"/>
        </w:rPr>
        <w:t> </w:t>
      </w:r>
      <w:r>
        <w:rPr>
          <w:w w:val="120"/>
          <w:sz w:val="20"/>
        </w:rPr>
        <w:t>the</w:t>
      </w:r>
      <w:r>
        <w:rPr>
          <w:spacing w:val="6"/>
          <w:w w:val="120"/>
          <w:sz w:val="20"/>
        </w:rPr>
        <w:t> </w:t>
      </w:r>
      <w:r>
        <w:rPr>
          <w:w w:val="120"/>
          <w:sz w:val="20"/>
        </w:rPr>
        <w:t>role</w:t>
      </w:r>
      <w:r>
        <w:rPr>
          <w:spacing w:val="6"/>
          <w:w w:val="120"/>
          <w:sz w:val="20"/>
        </w:rPr>
        <w:t> </w:t>
      </w:r>
      <w:r>
        <w:rPr>
          <w:w w:val="120"/>
          <w:sz w:val="20"/>
        </w:rPr>
        <w:t>of</w:t>
      </w:r>
      <w:r>
        <w:rPr>
          <w:spacing w:val="6"/>
          <w:w w:val="120"/>
          <w:sz w:val="20"/>
        </w:rPr>
        <w:t> </w:t>
      </w:r>
      <w:r>
        <w:rPr>
          <w:w w:val="120"/>
          <w:sz w:val="20"/>
        </w:rPr>
        <w:t>the</w:t>
      </w:r>
      <w:r>
        <w:rPr>
          <w:spacing w:val="6"/>
          <w:w w:val="120"/>
          <w:sz w:val="20"/>
        </w:rPr>
        <w:t> </w:t>
      </w:r>
      <w:r>
        <w:rPr>
          <w:w w:val="120"/>
          <w:sz w:val="20"/>
        </w:rPr>
        <w:t>church</w:t>
      </w:r>
      <w:r>
        <w:rPr>
          <w:spacing w:val="6"/>
          <w:w w:val="120"/>
          <w:sz w:val="20"/>
        </w:rPr>
        <w:t> </w:t>
      </w:r>
      <w:r>
        <w:rPr>
          <w:w w:val="120"/>
          <w:sz w:val="20"/>
        </w:rPr>
        <w:t>meeting</w:t>
      </w:r>
      <w:r>
        <w:rPr>
          <w:spacing w:val="6"/>
          <w:w w:val="120"/>
          <w:sz w:val="20"/>
        </w:rPr>
        <w:t> </w:t>
      </w:r>
      <w:r>
        <w:rPr>
          <w:w w:val="120"/>
          <w:sz w:val="20"/>
        </w:rPr>
        <w:t>in</w:t>
      </w:r>
    </w:p>
    <w:p>
      <w:pPr>
        <w:pStyle w:val="BodyText"/>
        <w:spacing w:line="235" w:lineRule="auto" w:before="10"/>
        <w:ind w:left="1984" w:right="1352"/>
      </w:pPr>
      <w:r>
        <w:rPr>
          <w:w w:val="120"/>
        </w:rPr>
        <w:t>guiding us in the essentials of the Christian life. The guiding theological principle of the United Reformed Church in this matter is embedded in the Manual, where the major functions of the church meeting are summarised under the headings: ‘Concerning the outgoing of the Church’ and ‘Concerning the nurture of the fellowship’. The church meeting should also take note of §4 in The Structure: “Decisions on the part of any council shall be reached only after the fullest attempt has been made to discover the mind of the other councils or of local churches likely to be affected by the decision.” Beyond this lies our responsibility as disciples to discover the mind of Christ, not just what we can all agree upon.</w:t>
      </w:r>
    </w:p>
    <w:p>
      <w:pPr>
        <w:spacing w:after="0" w:line="235" w:lineRule="auto"/>
        <w:sectPr>
          <w:headerReference w:type="default" r:id="rId281"/>
          <w:pgSz w:w="11910" w:h="16840"/>
          <w:pgMar w:header="0" w:footer="647" w:top="0" w:bottom="840" w:left="0" w:right="0"/>
        </w:sectPr>
      </w:pPr>
    </w:p>
    <w:tbl>
      <w:tblPr>
        <w:tblW w:w="0" w:type="auto"/>
        <w:jc w:val="left"/>
        <w:tblInd w:w="9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3"/>
        <w:gridCol w:w="2664"/>
        <w:gridCol w:w="6463"/>
      </w:tblGrid>
      <w:tr>
        <w:trPr>
          <w:trHeight w:val="4302" w:hRule="atLeast"/>
        </w:trPr>
        <w:tc>
          <w:tcPr>
            <w:tcW w:w="9440" w:type="dxa"/>
            <w:gridSpan w:val="3"/>
            <w:tcBorders>
              <w:top w:val="nil"/>
              <w:left w:val="nil"/>
              <w:bottom w:val="nil"/>
              <w:right w:val="nil"/>
            </w:tcBorders>
            <w:shd w:val="clear" w:color="auto" w:fill="D3E5C3"/>
          </w:tcPr>
          <w:p>
            <w:pPr>
              <w:pStyle w:val="TableParagraph"/>
              <w:ind w:left="0"/>
              <w:rPr>
                <w:sz w:val="64"/>
              </w:rPr>
            </w:pPr>
          </w:p>
          <w:p>
            <w:pPr>
              <w:pStyle w:val="TableParagraph"/>
              <w:spacing w:line="213" w:lineRule="auto" w:before="451"/>
              <w:ind w:left="311" w:right="1475"/>
              <w:jc w:val="both"/>
              <w:rPr>
                <w:rFonts w:ascii="Stone Sans II ITC Std X Bd"/>
                <w:b/>
                <w:sz w:val="50"/>
              </w:rPr>
            </w:pPr>
            <w:r>
              <w:rPr>
                <w:rFonts w:ascii="Stone Sans II ITC Std X Bd"/>
                <w:b/>
                <w:color w:val="41A62B"/>
                <w:w w:val="110"/>
                <w:sz w:val="50"/>
              </w:rPr>
              <w:t>Faith and order committee: </w:t>
            </w:r>
            <w:r>
              <w:rPr>
                <w:rFonts w:ascii="Stone Sans II ITC Std X Bd"/>
                <w:b/>
                <w:w w:val="110"/>
                <w:sz w:val="50"/>
              </w:rPr>
              <w:t>What is the Spirit saying to the Churches?</w:t>
            </w:r>
          </w:p>
          <w:p>
            <w:pPr>
              <w:pStyle w:val="TableParagraph"/>
              <w:spacing w:line="615" w:lineRule="exact"/>
              <w:ind w:left="311"/>
              <w:jc w:val="both"/>
              <w:rPr>
                <w:rFonts w:ascii="Stone Sans II ITC Std X Bd"/>
                <w:b/>
                <w:sz w:val="50"/>
              </w:rPr>
            </w:pPr>
            <w:r>
              <w:rPr>
                <w:rFonts w:ascii="Stone Sans II ITC Std X Bd"/>
                <w:b/>
                <w:w w:val="110"/>
                <w:sz w:val="50"/>
              </w:rPr>
              <w:t>Ordained local ministry</w:t>
            </w:r>
          </w:p>
          <w:p>
            <w:pPr>
              <w:pStyle w:val="TableParagraph"/>
              <w:spacing w:before="361"/>
              <w:ind w:left="311"/>
              <w:jc w:val="both"/>
              <w:rPr>
                <w:sz w:val="20"/>
              </w:rPr>
            </w:pPr>
            <w:r>
              <w:rPr>
                <w:w w:val="120"/>
                <w:sz w:val="20"/>
              </w:rPr>
              <w:t>Basic Information</w:t>
            </w:r>
          </w:p>
        </w:tc>
      </w:tr>
      <w:tr>
        <w:trPr>
          <w:trHeight w:val="680" w:hRule="atLeast"/>
        </w:trPr>
        <w:tc>
          <w:tcPr>
            <w:tcW w:w="313" w:type="dxa"/>
            <w:vMerge w:val="restart"/>
            <w:tcBorders>
              <w:top w:val="nil"/>
              <w:left w:val="nil"/>
              <w:bottom w:val="nil"/>
            </w:tcBorders>
            <w:shd w:val="clear" w:color="auto" w:fill="D3E5C3"/>
          </w:tcPr>
          <w:p>
            <w:pPr>
              <w:pStyle w:val="TableParagraph"/>
              <w:ind w:left="0"/>
              <w:rPr>
                <w:rFonts w:ascii="Times New Roman"/>
                <w:sz w:val="24"/>
              </w:rPr>
            </w:pPr>
          </w:p>
        </w:tc>
        <w:tc>
          <w:tcPr>
            <w:tcW w:w="2664" w:type="dxa"/>
            <w:shd w:val="clear" w:color="auto" w:fill="FFFFFF"/>
          </w:tcPr>
          <w:p>
            <w:pPr>
              <w:pStyle w:val="TableParagraph"/>
              <w:spacing w:line="213" w:lineRule="auto" w:before="133"/>
              <w:ind w:left="78" w:right="601"/>
              <w:rPr>
                <w:rFonts w:ascii="Stone Sans II ITC Std Bk"/>
                <w:b/>
                <w:sz w:val="20"/>
              </w:rPr>
            </w:pPr>
            <w:r>
              <w:rPr>
                <w:rFonts w:ascii="Stone Sans II ITC Std Bk"/>
                <w:b/>
                <w:w w:val="110"/>
                <w:sz w:val="20"/>
              </w:rPr>
              <w:t>Contact name and email address</w:t>
            </w:r>
          </w:p>
        </w:tc>
        <w:tc>
          <w:tcPr>
            <w:tcW w:w="6463" w:type="dxa"/>
            <w:tcBorders>
              <w:right w:val="nil"/>
            </w:tcBorders>
            <w:shd w:val="clear" w:color="auto" w:fill="FFFFFF"/>
          </w:tcPr>
          <w:p>
            <w:pPr>
              <w:pStyle w:val="TableParagraph"/>
              <w:spacing w:line="235" w:lineRule="auto" w:before="127"/>
              <w:ind w:left="74" w:right="3107"/>
              <w:rPr>
                <w:sz w:val="20"/>
              </w:rPr>
            </w:pPr>
            <w:r>
              <w:rPr>
                <w:w w:val="120"/>
                <w:sz w:val="20"/>
              </w:rPr>
              <w:t>Elizabeth Welch </w:t>
            </w:r>
            <w:hyperlink r:id="rId246">
              <w:r>
                <w:rPr>
                  <w:w w:val="120"/>
                  <w:sz w:val="20"/>
                </w:rPr>
                <w:t>minister@theroundchapel.org.uk</w:t>
              </w:r>
            </w:hyperlink>
          </w:p>
        </w:tc>
      </w:tr>
      <w:tr>
        <w:trPr>
          <w:trHeight w:val="440" w:hRule="atLeast"/>
        </w:trPr>
        <w:tc>
          <w:tcPr>
            <w:tcW w:w="313" w:type="dxa"/>
            <w:vMerge/>
            <w:tcBorders>
              <w:top w:val="nil"/>
              <w:left w:val="nil"/>
              <w:bottom w:val="nil"/>
            </w:tcBorders>
            <w:shd w:val="clear" w:color="auto" w:fill="D3E5C3"/>
          </w:tcPr>
          <w:p>
            <w:pPr>
              <w:rPr>
                <w:sz w:val="2"/>
                <w:szCs w:val="2"/>
              </w:rPr>
            </w:pPr>
          </w:p>
        </w:tc>
        <w:tc>
          <w:tcPr>
            <w:tcW w:w="2664" w:type="dxa"/>
            <w:shd w:val="clear" w:color="auto" w:fill="FFFFFF"/>
          </w:tcPr>
          <w:p>
            <w:pPr>
              <w:pStyle w:val="TableParagraph"/>
              <w:spacing w:before="111"/>
              <w:ind w:left="78"/>
              <w:rPr>
                <w:rFonts w:ascii="Stone Sans II ITC Std Bk"/>
                <w:b/>
                <w:sz w:val="20"/>
              </w:rPr>
            </w:pPr>
            <w:r>
              <w:rPr>
                <w:rFonts w:ascii="Stone Sans II ITC Std Bk"/>
                <w:b/>
                <w:w w:val="110"/>
                <w:sz w:val="20"/>
              </w:rPr>
              <w:t>Action required</w:t>
            </w:r>
          </w:p>
        </w:tc>
        <w:tc>
          <w:tcPr>
            <w:tcW w:w="6463" w:type="dxa"/>
            <w:tcBorders>
              <w:right w:val="nil"/>
            </w:tcBorders>
            <w:shd w:val="clear" w:color="auto" w:fill="FFFFFF"/>
          </w:tcPr>
          <w:p>
            <w:pPr>
              <w:pStyle w:val="TableParagraph"/>
              <w:spacing w:before="123"/>
              <w:ind w:left="74"/>
              <w:rPr>
                <w:sz w:val="20"/>
              </w:rPr>
            </w:pPr>
            <w:r>
              <w:rPr>
                <w:w w:val="120"/>
                <w:sz w:val="20"/>
              </w:rPr>
              <w:t>Decision</w:t>
            </w:r>
          </w:p>
        </w:tc>
      </w:tr>
      <w:tr>
        <w:trPr>
          <w:trHeight w:val="8840" w:hRule="atLeast"/>
        </w:trPr>
        <w:tc>
          <w:tcPr>
            <w:tcW w:w="313" w:type="dxa"/>
            <w:vMerge/>
            <w:tcBorders>
              <w:top w:val="nil"/>
              <w:left w:val="nil"/>
              <w:bottom w:val="nil"/>
            </w:tcBorders>
            <w:shd w:val="clear" w:color="auto" w:fill="D3E5C3"/>
          </w:tcPr>
          <w:p>
            <w:pPr>
              <w:rPr>
                <w:sz w:val="2"/>
                <w:szCs w:val="2"/>
              </w:rPr>
            </w:pPr>
          </w:p>
        </w:tc>
        <w:tc>
          <w:tcPr>
            <w:tcW w:w="2664" w:type="dxa"/>
            <w:shd w:val="clear" w:color="auto" w:fill="FFFFFF"/>
          </w:tcPr>
          <w:p>
            <w:pPr>
              <w:pStyle w:val="TableParagraph"/>
              <w:spacing w:before="111"/>
              <w:ind w:left="78"/>
              <w:rPr>
                <w:rFonts w:ascii="Stone Sans II ITC Std Bk"/>
                <w:b/>
                <w:sz w:val="20"/>
              </w:rPr>
            </w:pPr>
            <w:r>
              <w:rPr>
                <w:rFonts w:ascii="Stone Sans II ITC Std Bk"/>
                <w:b/>
                <w:w w:val="110"/>
                <w:sz w:val="20"/>
              </w:rPr>
              <w:t>Draft resolution(s)</w:t>
            </w:r>
          </w:p>
        </w:tc>
        <w:tc>
          <w:tcPr>
            <w:tcW w:w="6463" w:type="dxa"/>
            <w:tcBorders>
              <w:right w:val="nil"/>
            </w:tcBorders>
            <w:shd w:val="clear" w:color="auto" w:fill="FFFFFF"/>
          </w:tcPr>
          <w:p>
            <w:pPr>
              <w:pStyle w:val="TableParagraph"/>
              <w:numPr>
                <w:ilvl w:val="0"/>
                <w:numId w:val="70"/>
              </w:numPr>
              <w:tabs>
                <w:tab w:pos="754" w:val="left" w:leader="none"/>
                <w:tab w:pos="755" w:val="left" w:leader="none"/>
              </w:tabs>
              <w:spacing w:line="213" w:lineRule="auto" w:before="133" w:after="0"/>
              <w:ind w:left="74" w:right="770" w:firstLine="0"/>
              <w:jc w:val="left"/>
              <w:rPr>
                <w:rFonts w:ascii="Stone Sans II ITC Std Bk" w:hAnsi="Stone Sans II ITC Std Bk"/>
                <w:b/>
                <w:sz w:val="20"/>
              </w:rPr>
            </w:pPr>
            <w:r>
              <w:rPr>
                <w:rFonts w:ascii="Stone Sans II ITC Std Bk" w:hAnsi="Stone Sans II ITC Std Bk"/>
                <w:b/>
                <w:w w:val="110"/>
                <w:sz w:val="20"/>
              </w:rPr>
              <w:t>General Assembly, affirming the existing </w:t>
            </w:r>
            <w:r>
              <w:rPr>
                <w:rFonts w:ascii="Stone Sans II ITC Std Bk" w:hAnsi="Stone Sans II ITC Std Bk"/>
                <w:b/>
                <w:spacing w:val="2"/>
                <w:w w:val="110"/>
                <w:sz w:val="20"/>
              </w:rPr>
              <w:t>gift </w:t>
            </w:r>
            <w:r>
              <w:rPr>
                <w:rFonts w:ascii="Stone Sans II ITC Std Bk" w:hAnsi="Stone Sans II ITC Std Bk"/>
                <w:b/>
                <w:w w:val="110"/>
                <w:sz w:val="20"/>
              </w:rPr>
              <w:t>of elders and the diversity of </w:t>
            </w:r>
            <w:r>
              <w:rPr>
                <w:rFonts w:ascii="Stone Sans II ITC Std Bk" w:hAnsi="Stone Sans II ITC Std Bk"/>
                <w:b/>
                <w:spacing w:val="2"/>
                <w:w w:val="110"/>
                <w:sz w:val="20"/>
              </w:rPr>
              <w:t>gifts </w:t>
            </w:r>
            <w:r>
              <w:rPr>
                <w:rFonts w:ascii="Stone Sans II ITC Std Bk" w:hAnsi="Stone Sans II ITC Std Bk"/>
                <w:b/>
                <w:w w:val="110"/>
                <w:sz w:val="20"/>
              </w:rPr>
              <w:t>within each elders meeting as part of the United Reformed</w:t>
            </w:r>
            <w:r>
              <w:rPr>
                <w:rFonts w:ascii="Stone Sans II ITC Std Bk" w:hAnsi="Stone Sans II ITC Std Bk"/>
                <w:b/>
                <w:spacing w:val="1"/>
                <w:w w:val="110"/>
                <w:sz w:val="20"/>
              </w:rPr>
              <w:t> </w:t>
            </w:r>
            <w:r>
              <w:rPr>
                <w:rFonts w:ascii="Stone Sans II ITC Std Bk" w:hAnsi="Stone Sans II ITC Std Bk"/>
                <w:b/>
                <w:w w:val="110"/>
                <w:sz w:val="20"/>
              </w:rPr>
              <w:t>Church’s</w:t>
            </w:r>
          </w:p>
          <w:p>
            <w:pPr>
              <w:pStyle w:val="TableParagraph"/>
              <w:spacing w:line="213" w:lineRule="auto"/>
              <w:ind w:left="74" w:right="460"/>
              <w:jc w:val="both"/>
              <w:rPr>
                <w:rFonts w:ascii="Stone Sans II ITC Std Bk"/>
                <w:b/>
                <w:sz w:val="20"/>
              </w:rPr>
            </w:pPr>
            <w:r>
              <w:rPr>
                <w:rFonts w:ascii="Stone Sans II ITC Std Bk"/>
                <w:b/>
                <w:w w:val="110"/>
                <w:sz w:val="20"/>
              </w:rPr>
              <w:t>distinctive contribution to the Church universal, wishes to reinvigorate the role of elders and welcomes current work to that end.</w:t>
            </w:r>
          </w:p>
          <w:p>
            <w:pPr>
              <w:pStyle w:val="TableParagraph"/>
              <w:spacing w:before="4"/>
              <w:ind w:left="0"/>
              <w:rPr>
                <w:sz w:val="19"/>
              </w:rPr>
            </w:pPr>
          </w:p>
          <w:p>
            <w:pPr>
              <w:pStyle w:val="TableParagraph"/>
              <w:numPr>
                <w:ilvl w:val="0"/>
                <w:numId w:val="70"/>
              </w:numPr>
              <w:tabs>
                <w:tab w:pos="754" w:val="left" w:leader="none"/>
                <w:tab w:pos="755" w:val="left" w:leader="none"/>
              </w:tabs>
              <w:spacing w:line="213" w:lineRule="auto" w:before="0" w:after="0"/>
              <w:ind w:left="74" w:right="234" w:firstLine="0"/>
              <w:jc w:val="left"/>
              <w:rPr>
                <w:rFonts w:ascii="Stone Sans II ITC Std Bk" w:hAnsi="Stone Sans II ITC Std Bk"/>
                <w:b/>
                <w:sz w:val="20"/>
              </w:rPr>
            </w:pPr>
            <w:r>
              <w:rPr>
                <w:rFonts w:ascii="Stone Sans II ITC Std Bk" w:hAnsi="Stone Sans II ITC Std Bk"/>
                <w:b/>
                <w:w w:val="110"/>
                <w:sz w:val="20"/>
              </w:rPr>
              <w:t>General Assembly directs the faith and order committee to set up a task group incorporating expertise from other committees of the United Reformed Church  to explore the possibility of authorising ‘celebrant elders’ to preside at the</w:t>
            </w:r>
            <w:r>
              <w:rPr>
                <w:rFonts w:ascii="Stone Sans II ITC Std Bk" w:hAnsi="Stone Sans II ITC Std Bk"/>
                <w:b/>
                <w:spacing w:val="-1"/>
                <w:w w:val="110"/>
                <w:sz w:val="20"/>
              </w:rPr>
              <w:t> </w:t>
            </w:r>
            <w:r>
              <w:rPr>
                <w:rFonts w:ascii="Stone Sans II ITC Std Bk" w:hAnsi="Stone Sans II ITC Std Bk"/>
                <w:b/>
                <w:w w:val="110"/>
                <w:sz w:val="20"/>
              </w:rPr>
              <w:t>sacraments.</w:t>
            </w:r>
          </w:p>
          <w:p>
            <w:pPr>
              <w:pStyle w:val="TableParagraph"/>
              <w:spacing w:line="213" w:lineRule="auto"/>
              <w:ind w:left="74" w:right="314"/>
              <w:rPr>
                <w:rFonts w:ascii="Stone Sans II ITC Std Bk"/>
                <w:b/>
                <w:sz w:val="20"/>
              </w:rPr>
            </w:pPr>
            <w:r>
              <w:rPr>
                <w:rFonts w:ascii="Stone Sans II ITC Std Bk"/>
                <w:b/>
                <w:w w:val="110"/>
                <w:sz w:val="20"/>
              </w:rPr>
              <w:t>To that end, General Assembly asks for work to be done in the following areas:</w:t>
            </w:r>
          </w:p>
          <w:p>
            <w:pPr>
              <w:pStyle w:val="TableParagraph"/>
              <w:numPr>
                <w:ilvl w:val="0"/>
                <w:numId w:val="71"/>
              </w:numPr>
              <w:tabs>
                <w:tab w:pos="754" w:val="left" w:leader="none"/>
                <w:tab w:pos="755" w:val="left" w:leader="none"/>
              </w:tabs>
              <w:spacing w:line="213" w:lineRule="auto" w:before="0" w:after="0"/>
              <w:ind w:left="755" w:right="1164" w:hanging="681"/>
              <w:jc w:val="left"/>
              <w:rPr>
                <w:rFonts w:ascii="Stone Sans II ITC Std Bk"/>
                <w:b/>
                <w:sz w:val="20"/>
              </w:rPr>
            </w:pPr>
            <w:r>
              <w:rPr>
                <w:rFonts w:ascii="Stone Sans II ITC Std Bk"/>
                <w:b/>
                <w:w w:val="110"/>
                <w:sz w:val="20"/>
              </w:rPr>
              <w:t>the nature of ordination within the United Reformed Church, both of ministers</w:t>
            </w:r>
          </w:p>
          <w:p>
            <w:pPr>
              <w:pStyle w:val="TableParagraph"/>
              <w:spacing w:line="232" w:lineRule="exact"/>
              <w:ind w:left="755"/>
              <w:rPr>
                <w:rFonts w:ascii="Stone Sans II ITC Std Bk"/>
                <w:b/>
                <w:sz w:val="20"/>
              </w:rPr>
            </w:pPr>
            <w:r>
              <w:rPr>
                <w:rFonts w:ascii="Stone Sans II ITC Std Bk"/>
                <w:b/>
                <w:w w:val="110"/>
                <w:sz w:val="20"/>
              </w:rPr>
              <w:t>of Word and sacrament and of elders;</w:t>
            </w:r>
          </w:p>
          <w:p>
            <w:pPr>
              <w:pStyle w:val="TableParagraph"/>
              <w:numPr>
                <w:ilvl w:val="0"/>
                <w:numId w:val="71"/>
              </w:numPr>
              <w:tabs>
                <w:tab w:pos="754" w:val="left" w:leader="none"/>
                <w:tab w:pos="755" w:val="left" w:leader="none"/>
              </w:tabs>
              <w:spacing w:line="213" w:lineRule="auto" w:before="3" w:after="0"/>
              <w:ind w:left="755" w:right="812" w:hanging="681"/>
              <w:jc w:val="left"/>
              <w:rPr>
                <w:rFonts w:ascii="Stone Sans II ITC Std Bk"/>
                <w:b/>
                <w:sz w:val="20"/>
              </w:rPr>
            </w:pPr>
            <w:r>
              <w:rPr>
                <w:rFonts w:ascii="Stone Sans II ITC Std Bk"/>
                <w:b/>
                <w:w w:val="110"/>
                <w:sz w:val="20"/>
              </w:rPr>
              <w:t>how within the understandings of the various traditions which make up our Church the sacrament of Holy Communion is linked to ordination;</w:t>
            </w:r>
          </w:p>
          <w:p>
            <w:pPr>
              <w:pStyle w:val="TableParagraph"/>
              <w:numPr>
                <w:ilvl w:val="0"/>
                <w:numId w:val="71"/>
              </w:numPr>
              <w:tabs>
                <w:tab w:pos="754" w:val="left" w:leader="none"/>
                <w:tab w:pos="755" w:val="left" w:leader="none"/>
              </w:tabs>
              <w:spacing w:line="213" w:lineRule="auto" w:before="0" w:after="0"/>
              <w:ind w:left="755" w:right="606" w:hanging="681"/>
              <w:jc w:val="left"/>
              <w:rPr>
                <w:rFonts w:ascii="Stone Sans II ITC Std Bk" w:hAnsi="Stone Sans II ITC Std Bk"/>
                <w:b/>
                <w:sz w:val="20"/>
              </w:rPr>
            </w:pPr>
            <w:r>
              <w:rPr>
                <w:rFonts w:ascii="Stone Sans II ITC Std Bk" w:hAnsi="Stone Sans II ITC Std Bk"/>
                <w:b/>
                <w:w w:val="110"/>
                <w:sz w:val="20"/>
              </w:rPr>
              <w:t>the suggested future relationships of ‘celebrant elders’ to local church leaders, lay preachers, ministers of Word and sacrament, synods and General</w:t>
            </w:r>
            <w:r>
              <w:rPr>
                <w:rFonts w:ascii="Stone Sans II ITC Std Bk" w:hAnsi="Stone Sans II ITC Std Bk"/>
                <w:b/>
                <w:spacing w:val="-1"/>
                <w:w w:val="110"/>
                <w:sz w:val="20"/>
              </w:rPr>
              <w:t> </w:t>
            </w:r>
            <w:r>
              <w:rPr>
                <w:rFonts w:ascii="Stone Sans II ITC Std Bk" w:hAnsi="Stone Sans II ITC Std Bk"/>
                <w:b/>
                <w:w w:val="110"/>
                <w:sz w:val="20"/>
              </w:rPr>
              <w:t>Assembly;</w:t>
            </w:r>
          </w:p>
          <w:p>
            <w:pPr>
              <w:pStyle w:val="TableParagraph"/>
              <w:numPr>
                <w:ilvl w:val="0"/>
                <w:numId w:val="71"/>
              </w:numPr>
              <w:tabs>
                <w:tab w:pos="754" w:val="left" w:leader="none"/>
                <w:tab w:pos="755" w:val="left" w:leader="none"/>
              </w:tabs>
              <w:spacing w:line="213" w:lineRule="auto" w:before="0" w:after="0"/>
              <w:ind w:left="755" w:right="426" w:hanging="681"/>
              <w:jc w:val="left"/>
              <w:rPr>
                <w:rFonts w:ascii="Stone Sans II ITC Std Bk"/>
                <w:b/>
                <w:sz w:val="20"/>
              </w:rPr>
            </w:pPr>
            <w:r>
              <w:rPr>
                <w:rFonts w:ascii="Stone Sans II ITC Std Bk"/>
                <w:b/>
                <w:w w:val="110"/>
                <w:sz w:val="20"/>
              </w:rPr>
              <w:t>the nature and financing of the requisite training to support such elders in their</w:t>
            </w:r>
            <w:r>
              <w:rPr>
                <w:rFonts w:ascii="Stone Sans II ITC Std Bk"/>
                <w:b/>
                <w:spacing w:val="2"/>
                <w:w w:val="110"/>
                <w:sz w:val="20"/>
              </w:rPr>
              <w:t> </w:t>
            </w:r>
            <w:r>
              <w:rPr>
                <w:rFonts w:ascii="Stone Sans II ITC Std Bk"/>
                <w:b/>
                <w:w w:val="110"/>
                <w:sz w:val="20"/>
              </w:rPr>
              <w:t>calling;</w:t>
            </w:r>
          </w:p>
          <w:p>
            <w:pPr>
              <w:pStyle w:val="TableParagraph"/>
              <w:numPr>
                <w:ilvl w:val="0"/>
                <w:numId w:val="71"/>
              </w:numPr>
              <w:tabs>
                <w:tab w:pos="754" w:val="left" w:leader="none"/>
                <w:tab w:pos="755" w:val="left" w:leader="none"/>
              </w:tabs>
              <w:spacing w:line="213" w:lineRule="auto" w:before="0" w:after="0"/>
              <w:ind w:left="755" w:right="354" w:hanging="681"/>
              <w:jc w:val="left"/>
              <w:rPr>
                <w:rFonts w:ascii="Stone Sans II ITC Std Bk"/>
                <w:b/>
                <w:sz w:val="20"/>
              </w:rPr>
            </w:pPr>
            <w:r>
              <w:rPr>
                <w:rFonts w:ascii="Stone Sans II ITC Std Bk"/>
                <w:b/>
                <w:w w:val="110"/>
                <w:sz w:val="20"/>
              </w:rPr>
              <w:t>the accountability of such elders and the question of who would be responsible for discerning, authorising and supporting their</w:t>
            </w:r>
            <w:r>
              <w:rPr>
                <w:rFonts w:ascii="Stone Sans II ITC Std Bk"/>
                <w:b/>
                <w:spacing w:val="2"/>
                <w:w w:val="110"/>
                <w:sz w:val="20"/>
              </w:rPr>
              <w:t> </w:t>
            </w:r>
            <w:r>
              <w:rPr>
                <w:rFonts w:ascii="Stone Sans II ITC Std Bk"/>
                <w:b/>
                <w:w w:val="110"/>
                <w:sz w:val="20"/>
              </w:rPr>
              <w:t>vocation;</w:t>
            </w:r>
          </w:p>
          <w:p>
            <w:pPr>
              <w:pStyle w:val="TableParagraph"/>
              <w:numPr>
                <w:ilvl w:val="0"/>
                <w:numId w:val="71"/>
              </w:numPr>
              <w:tabs>
                <w:tab w:pos="754" w:val="left" w:leader="none"/>
                <w:tab w:pos="755" w:val="left" w:leader="none"/>
              </w:tabs>
              <w:spacing w:line="213" w:lineRule="auto" w:before="0" w:after="0"/>
              <w:ind w:left="755" w:right="1082" w:hanging="681"/>
              <w:jc w:val="left"/>
              <w:rPr>
                <w:rFonts w:ascii="Stone Sans II ITC Std Bk"/>
                <w:b/>
                <w:sz w:val="20"/>
              </w:rPr>
            </w:pPr>
            <w:r>
              <w:rPr>
                <w:rFonts w:ascii="Stone Sans II ITC Std Bk"/>
                <w:b/>
                <w:w w:val="110"/>
                <w:sz w:val="20"/>
              </w:rPr>
              <w:t>the place of such elders in local ecumenical partnerships.</w:t>
            </w:r>
          </w:p>
          <w:p>
            <w:pPr>
              <w:pStyle w:val="TableParagraph"/>
              <w:spacing w:before="10"/>
              <w:ind w:left="0"/>
              <w:rPr>
                <w:sz w:val="18"/>
              </w:rPr>
            </w:pPr>
          </w:p>
          <w:p>
            <w:pPr>
              <w:pStyle w:val="TableParagraph"/>
              <w:spacing w:line="213" w:lineRule="auto"/>
              <w:ind w:left="74" w:right="314"/>
              <w:rPr>
                <w:rFonts w:ascii="Stone Sans II ITC Std Bk"/>
                <w:b/>
                <w:sz w:val="20"/>
              </w:rPr>
            </w:pPr>
            <w:r>
              <w:rPr>
                <w:rFonts w:ascii="Stone Sans II ITC Std Bk"/>
                <w:b/>
                <w:w w:val="110"/>
                <w:sz w:val="20"/>
              </w:rPr>
              <w:t>General Assembly instructs that the progress of such work be reported to General Assembly in 2016.</w:t>
            </w:r>
          </w:p>
        </w:tc>
      </w:tr>
      <w:tr>
        <w:trPr>
          <w:trHeight w:val="2535" w:hRule="atLeast"/>
        </w:trPr>
        <w:tc>
          <w:tcPr>
            <w:tcW w:w="9440" w:type="dxa"/>
            <w:gridSpan w:val="3"/>
            <w:tcBorders>
              <w:top w:val="nil"/>
              <w:left w:val="nil"/>
              <w:bottom w:val="nil"/>
              <w:right w:val="nil"/>
            </w:tcBorders>
            <w:shd w:val="clear" w:color="auto" w:fill="D3E5C3"/>
          </w:tcPr>
          <w:p>
            <w:pPr>
              <w:pStyle w:val="TableParagraph"/>
              <w:ind w:left="0"/>
              <w:rPr>
                <w:sz w:val="30"/>
              </w:rPr>
            </w:pPr>
          </w:p>
          <w:p>
            <w:pPr>
              <w:pStyle w:val="TableParagraph"/>
              <w:ind w:left="0"/>
              <w:rPr>
                <w:sz w:val="30"/>
              </w:rPr>
            </w:pPr>
          </w:p>
          <w:p>
            <w:pPr>
              <w:pStyle w:val="TableParagraph"/>
              <w:ind w:left="0"/>
              <w:rPr>
                <w:sz w:val="30"/>
              </w:rPr>
            </w:pPr>
          </w:p>
          <w:p>
            <w:pPr>
              <w:pStyle w:val="TableParagraph"/>
              <w:ind w:left="0"/>
              <w:rPr>
                <w:sz w:val="30"/>
              </w:rPr>
            </w:pPr>
          </w:p>
          <w:p>
            <w:pPr>
              <w:pStyle w:val="TableParagraph"/>
              <w:spacing w:before="202"/>
              <w:ind w:left="311"/>
              <w:rPr>
                <w:sz w:val="23"/>
              </w:rPr>
            </w:pPr>
            <w:r>
              <w:rPr>
                <w:rFonts w:ascii="Stone Sans II ITC Std X Bd" w:hAnsi="Stone Sans II ITC Std X Bd"/>
                <w:b/>
                <w:w w:val="110"/>
                <w:sz w:val="24"/>
              </w:rPr>
              <w:t>120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c>
      </w:tr>
    </w:tbl>
    <w:p>
      <w:pPr>
        <w:rPr>
          <w:sz w:val="2"/>
          <w:szCs w:val="2"/>
        </w:rPr>
      </w:pPr>
      <w:r>
        <w:rPr/>
        <w:pict>
          <v:rect style="position:absolute;margin-left:594.374023pt;margin-top:.000015pt;width:.901pt;height:841.89pt;mso-position-horizontal-relative:page;mso-position-vertical-relative:page;z-index:251981824" filled="true" fillcolor="#d3e5c3" stroked="false">
            <v:fill type="solid"/>
            <w10:wrap type="none"/>
          </v:rect>
        </w:pict>
      </w:r>
      <w:r>
        <w:rPr/>
        <w:drawing>
          <wp:anchor distT="0" distB="0" distL="0" distR="0" allowOverlap="1" layoutInCell="1" locked="0" behindDoc="0" simplePos="0" relativeHeight="251982848">
            <wp:simplePos x="0" y="0"/>
            <wp:positionH relativeFrom="page">
              <wp:posOffset>0</wp:posOffset>
            </wp:positionH>
            <wp:positionV relativeFrom="page">
              <wp:posOffset>0</wp:posOffset>
            </wp:positionV>
            <wp:extent cx="594067" cy="10692003"/>
            <wp:effectExtent l="0" t="0" r="0" b="0"/>
            <wp:wrapNone/>
            <wp:docPr id="221" name="image28.png"/>
            <wp:cNvGraphicFramePr>
              <a:graphicFrameLocks noChangeAspect="1"/>
            </wp:cNvGraphicFramePr>
            <a:graphic>
              <a:graphicData uri="http://schemas.openxmlformats.org/drawingml/2006/picture">
                <pic:pic>
                  <pic:nvPicPr>
                    <pic:cNvPr id="222" name="image28.png"/>
                    <pic:cNvPicPr/>
                  </pic:nvPicPr>
                  <pic:blipFill>
                    <a:blip r:embed="rId198"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239.8pt;mso-position-horizontal-relative:page;mso-position-vertical-relative:page;z-index:251983872" type="#_x0000_t202" filled="false" stroked="false">
            <v:textbox inset="0,0,0,0" style="layout-flow:vertical">
              <w:txbxContent>
                <w:p>
                  <w:pPr>
                    <w:spacing w:before="27"/>
                    <w:ind w:left="20" w:right="0" w:firstLine="0"/>
                    <w:jc w:val="left"/>
                    <w:rPr>
                      <w:sz w:val="39"/>
                    </w:rPr>
                  </w:pPr>
                  <w:r>
                    <w:rPr>
                      <w:color w:val="FFFFFF"/>
                      <w:w w:val="120"/>
                      <w:sz w:val="39"/>
                    </w:rPr>
                    <w:t>Ordained local ministry</w:t>
                  </w:r>
                </w:p>
              </w:txbxContent>
            </v:textbox>
            <w10:wrap type="none"/>
          </v:shape>
        </w:pict>
      </w:r>
    </w:p>
    <w:p>
      <w:pPr>
        <w:spacing w:after="0"/>
        <w:rPr>
          <w:sz w:val="2"/>
          <w:szCs w:val="2"/>
        </w:rPr>
        <w:sectPr>
          <w:headerReference w:type="even" r:id="rId282"/>
          <w:footerReference w:type="even" r:id="rId283"/>
          <w:pgSz w:w="11910" w:h="16840"/>
          <w:pgMar w:header="0" w:footer="0" w:top="0" w:bottom="0" w:left="0" w:right="0"/>
        </w:sectPr>
      </w:pPr>
    </w:p>
    <w:tbl>
      <w:tblPr>
        <w:tblW w:w="0" w:type="auto"/>
        <w:jc w:val="left"/>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989"/>
        <w:gridCol w:w="2660"/>
        <w:gridCol w:w="6335"/>
      </w:tblGrid>
      <w:tr>
        <w:trPr>
          <w:trHeight w:val="1437" w:hRule="atLeast"/>
        </w:trPr>
        <w:tc>
          <w:tcPr>
            <w:tcW w:w="10984" w:type="dxa"/>
            <w:gridSpan w:val="3"/>
            <w:tcBorders>
              <w:top w:val="nil"/>
              <w:left w:val="nil"/>
              <w:bottom w:val="nil"/>
              <w:right w:val="nil"/>
            </w:tcBorders>
            <w:shd w:val="clear" w:color="auto" w:fill="D3E5C3"/>
          </w:tcPr>
          <w:p>
            <w:pPr>
              <w:pStyle w:val="TableParagraph"/>
              <w:ind w:left="0"/>
              <w:rPr>
                <w:sz w:val="32"/>
              </w:rPr>
            </w:pPr>
          </w:p>
          <w:p>
            <w:pPr>
              <w:pStyle w:val="TableParagraph"/>
              <w:spacing w:before="223"/>
              <w:ind w:left="0" w:right="323"/>
              <w:jc w:val="right"/>
              <w:rPr>
                <w:sz w:val="26"/>
              </w:rPr>
            </w:pPr>
            <w:r>
              <w:rPr>
                <w:color w:val="7EAABF"/>
                <w:w w:val="115"/>
                <w:sz w:val="26"/>
              </w:rPr>
              <w:t>Faith and order</w:t>
            </w:r>
          </w:p>
          <w:p>
            <w:pPr>
              <w:pStyle w:val="TableParagraph"/>
              <w:spacing w:before="218"/>
              <w:ind w:left="1984"/>
              <w:rPr>
                <w:sz w:val="20"/>
              </w:rPr>
            </w:pPr>
            <w:r>
              <w:rPr>
                <w:w w:val="120"/>
                <w:sz w:val="20"/>
              </w:rPr>
              <w:t>Summary of Content</w:t>
            </w:r>
          </w:p>
        </w:tc>
      </w:tr>
      <w:tr>
        <w:trPr>
          <w:trHeight w:val="1343" w:hRule="atLeast"/>
        </w:trPr>
        <w:tc>
          <w:tcPr>
            <w:tcW w:w="1989" w:type="dxa"/>
            <w:vMerge w:val="restart"/>
            <w:tcBorders>
              <w:top w:val="nil"/>
              <w:left w:val="nil"/>
              <w:bottom w:val="nil"/>
            </w:tcBorders>
            <w:shd w:val="clear" w:color="auto" w:fill="D3E5C3"/>
          </w:tcPr>
          <w:p>
            <w:pPr>
              <w:pStyle w:val="TableParagraph"/>
              <w:ind w:left="0"/>
              <w:rPr>
                <w:rFonts w:ascii="Times New Roman"/>
                <w:sz w:val="22"/>
              </w:rPr>
            </w:pPr>
          </w:p>
        </w:tc>
        <w:tc>
          <w:tcPr>
            <w:tcW w:w="2660" w:type="dxa"/>
            <w:shd w:val="clear" w:color="auto" w:fill="FFFFFF"/>
          </w:tcPr>
          <w:p>
            <w:pPr>
              <w:pStyle w:val="TableParagraph"/>
              <w:spacing w:before="111"/>
              <w:ind w:left="75"/>
              <w:rPr>
                <w:rFonts w:ascii="Stone Sans II ITC Std Bk"/>
                <w:b/>
                <w:sz w:val="20"/>
              </w:rPr>
            </w:pPr>
            <w:r>
              <w:rPr>
                <w:rFonts w:ascii="Stone Sans II ITC Std Bk"/>
                <w:b/>
                <w:w w:val="110"/>
                <w:sz w:val="20"/>
              </w:rPr>
              <w:t>Subject and aim(s)</w:t>
            </w:r>
          </w:p>
        </w:tc>
        <w:tc>
          <w:tcPr>
            <w:tcW w:w="6335" w:type="dxa"/>
            <w:tcBorders>
              <w:right w:val="nil"/>
            </w:tcBorders>
            <w:shd w:val="clear" w:color="auto" w:fill="FFFFFF"/>
          </w:tcPr>
          <w:p>
            <w:pPr>
              <w:pStyle w:val="TableParagraph"/>
              <w:spacing w:line="235" w:lineRule="auto" w:before="127"/>
              <w:ind w:left="75" w:right="289"/>
              <w:rPr>
                <w:sz w:val="20"/>
              </w:rPr>
            </w:pPr>
            <w:r>
              <w:rPr>
                <w:w w:val="120"/>
                <w:sz w:val="20"/>
              </w:rPr>
              <w:t>Assembly 2012 asked for consideration of ordained local ministry. This paper outlines a range of thinking about ordained local ministry and lay presidency, asks for the role of elders to be affirmed, and proposes further work on the concept of ‘celebrant’ elders.</w:t>
            </w:r>
          </w:p>
        </w:tc>
      </w:tr>
      <w:tr>
        <w:trPr>
          <w:trHeight w:val="383" w:hRule="atLeast"/>
        </w:trPr>
        <w:tc>
          <w:tcPr>
            <w:tcW w:w="1989" w:type="dxa"/>
            <w:vMerge/>
            <w:tcBorders>
              <w:top w:val="nil"/>
              <w:left w:val="nil"/>
              <w:bottom w:val="nil"/>
            </w:tcBorders>
            <w:shd w:val="clear" w:color="auto" w:fill="D3E5C3"/>
          </w:tcPr>
          <w:p>
            <w:pPr>
              <w:rPr>
                <w:sz w:val="2"/>
                <w:szCs w:val="2"/>
              </w:rPr>
            </w:pPr>
          </w:p>
        </w:tc>
        <w:tc>
          <w:tcPr>
            <w:tcW w:w="2660" w:type="dxa"/>
            <w:shd w:val="clear" w:color="auto" w:fill="FFFFFF"/>
          </w:tcPr>
          <w:p>
            <w:pPr>
              <w:pStyle w:val="TableParagraph"/>
              <w:spacing w:line="252" w:lineRule="exact" w:before="111"/>
              <w:ind w:left="75"/>
              <w:rPr>
                <w:rFonts w:ascii="Stone Sans II ITC Std Bk"/>
                <w:b/>
                <w:sz w:val="20"/>
              </w:rPr>
            </w:pPr>
            <w:r>
              <w:rPr>
                <w:rFonts w:ascii="Stone Sans II ITC Std Bk"/>
                <w:b/>
                <w:w w:val="110"/>
                <w:sz w:val="20"/>
              </w:rPr>
              <w:t>Main points</w:t>
            </w:r>
          </w:p>
        </w:tc>
        <w:tc>
          <w:tcPr>
            <w:tcW w:w="6335" w:type="dxa"/>
            <w:tcBorders>
              <w:right w:val="nil"/>
            </w:tcBorders>
            <w:shd w:val="clear" w:color="auto" w:fill="FFFFFF"/>
          </w:tcPr>
          <w:p>
            <w:pPr>
              <w:pStyle w:val="TableParagraph"/>
              <w:spacing w:line="240" w:lineRule="exact" w:before="123"/>
              <w:ind w:left="75"/>
              <w:rPr>
                <w:sz w:val="20"/>
              </w:rPr>
            </w:pPr>
            <w:r>
              <w:rPr>
                <w:w w:val="120"/>
                <w:sz w:val="20"/>
              </w:rPr>
              <w:t>See resolution above</w:t>
            </w:r>
          </w:p>
        </w:tc>
      </w:tr>
      <w:tr>
        <w:trPr>
          <w:trHeight w:val="623" w:hRule="atLeast"/>
        </w:trPr>
        <w:tc>
          <w:tcPr>
            <w:tcW w:w="1989" w:type="dxa"/>
            <w:vMerge/>
            <w:tcBorders>
              <w:top w:val="nil"/>
              <w:left w:val="nil"/>
              <w:bottom w:val="nil"/>
            </w:tcBorders>
            <w:shd w:val="clear" w:color="auto" w:fill="D3E5C3"/>
          </w:tcPr>
          <w:p>
            <w:pPr>
              <w:rPr>
                <w:sz w:val="2"/>
                <w:szCs w:val="2"/>
              </w:rPr>
            </w:pPr>
          </w:p>
        </w:tc>
        <w:tc>
          <w:tcPr>
            <w:tcW w:w="2660" w:type="dxa"/>
            <w:shd w:val="clear" w:color="auto" w:fill="FFFFFF"/>
          </w:tcPr>
          <w:p>
            <w:pPr>
              <w:pStyle w:val="TableParagraph"/>
              <w:spacing w:line="213" w:lineRule="auto" w:before="133"/>
              <w:ind w:left="75" w:right="706"/>
              <w:rPr>
                <w:rFonts w:ascii="Stone Sans II ITC Std Bk"/>
                <w:b/>
                <w:sz w:val="20"/>
              </w:rPr>
            </w:pPr>
            <w:r>
              <w:rPr>
                <w:rFonts w:ascii="Stone Sans II ITC Std Bk"/>
                <w:b/>
                <w:w w:val="110"/>
                <w:sz w:val="20"/>
              </w:rPr>
              <w:t>Previous relevant documents</w:t>
            </w:r>
          </w:p>
        </w:tc>
        <w:tc>
          <w:tcPr>
            <w:tcW w:w="6335" w:type="dxa"/>
            <w:tcBorders>
              <w:right w:val="nil"/>
            </w:tcBorders>
            <w:shd w:val="clear" w:color="auto" w:fill="FFFFFF"/>
          </w:tcPr>
          <w:p>
            <w:pPr>
              <w:pStyle w:val="TableParagraph"/>
              <w:spacing w:line="242" w:lineRule="exact" w:before="123"/>
              <w:ind w:left="75"/>
              <w:rPr>
                <w:i/>
                <w:sz w:val="20"/>
              </w:rPr>
            </w:pPr>
            <w:r>
              <w:rPr>
                <w:w w:val="115"/>
                <w:sz w:val="20"/>
              </w:rPr>
              <w:t>2012 General Assembly resolution 35 and </w:t>
            </w:r>
            <w:r>
              <w:rPr>
                <w:i/>
                <w:w w:val="115"/>
                <w:sz w:val="20"/>
              </w:rPr>
              <w:t>Patterns of Ministry</w:t>
            </w:r>
          </w:p>
          <w:p>
            <w:pPr>
              <w:pStyle w:val="TableParagraph"/>
              <w:spacing w:line="238" w:lineRule="exact"/>
              <w:ind w:left="75"/>
              <w:rPr>
                <w:sz w:val="20"/>
              </w:rPr>
            </w:pPr>
            <w:r>
              <w:rPr>
                <w:w w:val="120"/>
                <w:sz w:val="20"/>
              </w:rPr>
              <w:t>report to General Assembly 1994</w:t>
            </w:r>
          </w:p>
        </w:tc>
      </w:tr>
      <w:tr>
        <w:trPr>
          <w:trHeight w:val="623" w:hRule="atLeast"/>
        </w:trPr>
        <w:tc>
          <w:tcPr>
            <w:tcW w:w="1989" w:type="dxa"/>
            <w:vMerge/>
            <w:tcBorders>
              <w:top w:val="nil"/>
              <w:left w:val="nil"/>
              <w:bottom w:val="nil"/>
            </w:tcBorders>
            <w:shd w:val="clear" w:color="auto" w:fill="D3E5C3"/>
          </w:tcPr>
          <w:p>
            <w:pPr>
              <w:rPr>
                <w:sz w:val="2"/>
                <w:szCs w:val="2"/>
              </w:rPr>
            </w:pPr>
          </w:p>
        </w:tc>
        <w:tc>
          <w:tcPr>
            <w:tcW w:w="2660" w:type="dxa"/>
            <w:shd w:val="clear" w:color="auto" w:fill="FFFFFF"/>
          </w:tcPr>
          <w:p>
            <w:pPr>
              <w:pStyle w:val="TableParagraph"/>
              <w:spacing w:line="235" w:lineRule="auto" w:before="127"/>
              <w:ind w:left="75" w:right="322"/>
              <w:rPr>
                <w:sz w:val="20"/>
              </w:rPr>
            </w:pPr>
            <w:r>
              <w:rPr>
                <w:w w:val="120"/>
                <w:sz w:val="20"/>
              </w:rPr>
              <w:t>Consultation has taken place with...</w:t>
            </w:r>
          </w:p>
        </w:tc>
        <w:tc>
          <w:tcPr>
            <w:tcW w:w="6335" w:type="dxa"/>
            <w:tcBorders>
              <w:right w:val="nil"/>
            </w:tcBorders>
            <w:shd w:val="clear" w:color="auto" w:fill="FFFFFF"/>
          </w:tcPr>
          <w:p>
            <w:pPr>
              <w:pStyle w:val="TableParagraph"/>
              <w:spacing w:line="235" w:lineRule="auto" w:before="127"/>
              <w:ind w:left="75"/>
              <w:rPr>
                <w:sz w:val="20"/>
              </w:rPr>
            </w:pPr>
            <w:r>
              <w:rPr>
                <w:w w:val="120"/>
                <w:sz w:val="20"/>
              </w:rPr>
              <w:t>Ministries committee, education and learning committee, synods and Mission Council</w:t>
            </w:r>
          </w:p>
        </w:tc>
      </w:tr>
      <w:tr>
        <w:trPr>
          <w:trHeight w:val="720" w:hRule="atLeast"/>
        </w:trPr>
        <w:tc>
          <w:tcPr>
            <w:tcW w:w="10984" w:type="dxa"/>
            <w:gridSpan w:val="3"/>
            <w:tcBorders>
              <w:top w:val="nil"/>
              <w:left w:val="nil"/>
              <w:bottom w:val="nil"/>
              <w:right w:val="nil"/>
            </w:tcBorders>
            <w:shd w:val="clear" w:color="auto" w:fill="D3E5C3"/>
          </w:tcPr>
          <w:p>
            <w:pPr>
              <w:pStyle w:val="TableParagraph"/>
              <w:spacing w:before="4"/>
              <w:ind w:left="0"/>
              <w:rPr>
                <w:sz w:val="35"/>
              </w:rPr>
            </w:pPr>
          </w:p>
          <w:p>
            <w:pPr>
              <w:pStyle w:val="TableParagraph"/>
              <w:ind w:left="1984"/>
              <w:rPr>
                <w:sz w:val="20"/>
              </w:rPr>
            </w:pPr>
            <w:r>
              <w:rPr>
                <w:w w:val="120"/>
                <w:sz w:val="20"/>
              </w:rPr>
              <w:t>Summary of Impact</w:t>
            </w:r>
          </w:p>
        </w:tc>
      </w:tr>
      <w:tr>
        <w:trPr>
          <w:trHeight w:val="440" w:hRule="atLeast"/>
        </w:trPr>
        <w:tc>
          <w:tcPr>
            <w:tcW w:w="1989" w:type="dxa"/>
            <w:vMerge w:val="restart"/>
            <w:tcBorders>
              <w:top w:val="nil"/>
              <w:left w:val="nil"/>
              <w:bottom w:val="nil"/>
            </w:tcBorders>
            <w:shd w:val="clear" w:color="auto" w:fill="D3E5C3"/>
          </w:tcPr>
          <w:p>
            <w:pPr>
              <w:pStyle w:val="TableParagraph"/>
              <w:ind w:left="0"/>
              <w:rPr>
                <w:rFonts w:ascii="Times New Roman"/>
                <w:sz w:val="22"/>
              </w:rPr>
            </w:pPr>
          </w:p>
        </w:tc>
        <w:tc>
          <w:tcPr>
            <w:tcW w:w="2660" w:type="dxa"/>
            <w:shd w:val="clear" w:color="auto" w:fill="FFFFFF"/>
          </w:tcPr>
          <w:p>
            <w:pPr>
              <w:pStyle w:val="TableParagraph"/>
              <w:spacing w:before="111"/>
              <w:ind w:left="75"/>
              <w:rPr>
                <w:rFonts w:ascii="Stone Sans II ITC Std Bk"/>
                <w:b/>
                <w:sz w:val="20"/>
              </w:rPr>
            </w:pPr>
            <w:r>
              <w:rPr>
                <w:rFonts w:ascii="Stone Sans II ITC Std Bk"/>
                <w:b/>
                <w:w w:val="110"/>
                <w:sz w:val="20"/>
              </w:rPr>
              <w:t>Financial</w:t>
            </w:r>
          </w:p>
        </w:tc>
        <w:tc>
          <w:tcPr>
            <w:tcW w:w="6335" w:type="dxa"/>
            <w:tcBorders>
              <w:right w:val="nil"/>
            </w:tcBorders>
            <w:shd w:val="clear" w:color="auto" w:fill="FFFFFF"/>
          </w:tcPr>
          <w:p>
            <w:pPr>
              <w:pStyle w:val="TableParagraph"/>
              <w:spacing w:before="123"/>
              <w:ind w:left="75"/>
              <w:rPr>
                <w:sz w:val="20"/>
              </w:rPr>
            </w:pPr>
            <w:r>
              <w:rPr>
                <w:w w:val="120"/>
                <w:sz w:val="20"/>
              </w:rPr>
              <w:t>Yet to be worked out</w:t>
            </w:r>
          </w:p>
        </w:tc>
      </w:tr>
      <w:tr>
        <w:trPr>
          <w:trHeight w:val="680" w:hRule="atLeast"/>
        </w:trPr>
        <w:tc>
          <w:tcPr>
            <w:tcW w:w="1989" w:type="dxa"/>
            <w:vMerge/>
            <w:tcBorders>
              <w:top w:val="nil"/>
              <w:left w:val="nil"/>
              <w:bottom w:val="nil"/>
            </w:tcBorders>
            <w:shd w:val="clear" w:color="auto" w:fill="D3E5C3"/>
          </w:tcPr>
          <w:p>
            <w:pPr>
              <w:rPr>
                <w:sz w:val="2"/>
                <w:szCs w:val="2"/>
              </w:rPr>
            </w:pPr>
          </w:p>
        </w:tc>
        <w:tc>
          <w:tcPr>
            <w:tcW w:w="2660" w:type="dxa"/>
            <w:shd w:val="clear" w:color="auto" w:fill="FFFFFF"/>
          </w:tcPr>
          <w:p>
            <w:pPr>
              <w:pStyle w:val="TableParagraph"/>
              <w:spacing w:line="255" w:lineRule="exact" w:before="111"/>
              <w:ind w:left="75"/>
              <w:rPr>
                <w:rFonts w:ascii="Stone Sans II ITC Std Bk"/>
                <w:b/>
                <w:sz w:val="20"/>
              </w:rPr>
            </w:pPr>
            <w:r>
              <w:rPr>
                <w:rFonts w:ascii="Stone Sans II ITC Std Bk"/>
                <w:b/>
                <w:w w:val="110"/>
                <w:sz w:val="20"/>
              </w:rPr>
              <w:t>External</w:t>
            </w:r>
          </w:p>
          <w:p>
            <w:pPr>
              <w:pStyle w:val="TableParagraph"/>
              <w:spacing w:line="255" w:lineRule="exact"/>
              <w:ind w:left="75"/>
              <w:rPr>
                <w:rFonts w:ascii="Stone Sans II ITC Std Bk"/>
                <w:b/>
                <w:sz w:val="20"/>
              </w:rPr>
            </w:pPr>
            <w:r>
              <w:rPr>
                <w:rFonts w:ascii="Stone Sans II ITC Std Bk"/>
                <w:b/>
                <w:w w:val="110"/>
                <w:sz w:val="20"/>
              </w:rPr>
              <w:t>(e.g. ecumenical)</w:t>
            </w:r>
          </w:p>
        </w:tc>
        <w:tc>
          <w:tcPr>
            <w:tcW w:w="6335" w:type="dxa"/>
            <w:tcBorders>
              <w:right w:val="nil"/>
            </w:tcBorders>
            <w:shd w:val="clear" w:color="auto" w:fill="FFFFFF"/>
          </w:tcPr>
          <w:p>
            <w:pPr>
              <w:pStyle w:val="TableParagraph"/>
              <w:spacing w:line="235" w:lineRule="auto" w:before="127"/>
              <w:ind w:left="75"/>
              <w:rPr>
                <w:sz w:val="20"/>
              </w:rPr>
            </w:pPr>
            <w:r>
              <w:rPr>
                <w:w w:val="120"/>
                <w:sz w:val="20"/>
              </w:rPr>
              <w:t>Relationships with ecumenical partners would be affected, particularly within local ecumenical partnerships.</w:t>
            </w:r>
          </w:p>
        </w:tc>
      </w:tr>
      <w:tr>
        <w:trPr>
          <w:trHeight w:val="500" w:hRule="atLeast"/>
        </w:trPr>
        <w:tc>
          <w:tcPr>
            <w:tcW w:w="10984" w:type="dxa"/>
            <w:gridSpan w:val="3"/>
            <w:tcBorders>
              <w:top w:val="nil"/>
              <w:left w:val="nil"/>
              <w:bottom w:val="nil"/>
              <w:right w:val="nil"/>
            </w:tcBorders>
            <w:shd w:val="clear" w:color="auto" w:fill="D3E5C3"/>
          </w:tcPr>
          <w:p>
            <w:pPr>
              <w:pStyle w:val="TableParagraph"/>
              <w:ind w:left="0"/>
              <w:rPr>
                <w:rFonts w:ascii="Times New Roman"/>
                <w:sz w:val="22"/>
              </w:rPr>
            </w:pPr>
          </w:p>
        </w:tc>
      </w:tr>
    </w:tbl>
    <w:p>
      <w:pPr>
        <w:pStyle w:val="BodyText"/>
      </w:pPr>
      <w:r>
        <w:rPr/>
        <w:drawing>
          <wp:anchor distT="0" distB="0" distL="0" distR="0" allowOverlap="1" layoutInCell="1" locked="0" behindDoc="0" simplePos="0" relativeHeight="251984896">
            <wp:simplePos x="0" y="0"/>
            <wp:positionH relativeFrom="page">
              <wp:posOffset>6974928</wp:posOffset>
            </wp:positionH>
            <wp:positionV relativeFrom="page">
              <wp:posOffset>0</wp:posOffset>
            </wp:positionV>
            <wp:extent cx="585063" cy="10692003"/>
            <wp:effectExtent l="0" t="0" r="0" b="0"/>
            <wp:wrapNone/>
            <wp:docPr id="223" name="image25.png"/>
            <wp:cNvGraphicFramePr>
              <a:graphicFrameLocks noChangeAspect="1"/>
            </wp:cNvGraphicFramePr>
            <a:graphic>
              <a:graphicData uri="http://schemas.openxmlformats.org/drawingml/2006/picture">
                <pic:pic>
                  <pic:nvPicPr>
                    <pic:cNvPr id="224" name="image25.png"/>
                    <pic:cNvPicPr/>
                  </pic:nvPicPr>
                  <pic:blipFill>
                    <a:blip r:embed="rId192" cstate="print"/>
                    <a:stretch>
                      <a:fillRect/>
                    </a:stretch>
                  </pic:blipFill>
                  <pic:spPr>
                    <a:xfrm>
                      <a:off x="0" y="0"/>
                      <a:ext cx="585063" cy="10692003"/>
                    </a:xfrm>
                    <a:prstGeom prst="rect">
                      <a:avLst/>
                    </a:prstGeom>
                  </pic:spPr>
                </pic:pic>
              </a:graphicData>
            </a:graphic>
          </wp:anchor>
        </w:drawing>
      </w:r>
      <w:r>
        <w:rPr/>
        <w:pict>
          <v:shape style="position:absolute;margin-left:554.141174pt;margin-top:48.890015pt;width:25.9pt;height:239.8pt;mso-position-horizontal-relative:page;mso-position-vertical-relative:page;z-index:251985920" type="#_x0000_t202" filled="false" stroked="false">
            <v:textbox inset="0,0,0,0" style="layout-flow:vertical">
              <w:txbxContent>
                <w:p>
                  <w:pPr>
                    <w:spacing w:before="27"/>
                    <w:ind w:left="20" w:right="0" w:firstLine="0"/>
                    <w:jc w:val="left"/>
                    <w:rPr>
                      <w:sz w:val="39"/>
                    </w:rPr>
                  </w:pPr>
                  <w:r>
                    <w:rPr>
                      <w:color w:val="FFFFFF"/>
                      <w:w w:val="120"/>
                      <w:sz w:val="39"/>
                    </w:rPr>
                    <w:t>Ordained local ministry</w:t>
                  </w:r>
                </w:p>
              </w:txbxContent>
            </v:textbox>
            <w10:wrap type="none"/>
          </v:shape>
        </w:pict>
      </w:r>
    </w:p>
    <w:p>
      <w:pPr>
        <w:pStyle w:val="BodyText"/>
      </w:pPr>
    </w:p>
    <w:p>
      <w:pPr>
        <w:pStyle w:val="BodyText"/>
      </w:pPr>
    </w:p>
    <w:p>
      <w:pPr>
        <w:pStyle w:val="BodyText"/>
        <w:spacing w:before="2"/>
        <w:rPr>
          <w:sz w:val="28"/>
        </w:rPr>
      </w:pPr>
    </w:p>
    <w:p>
      <w:pPr>
        <w:pStyle w:val="Heading2"/>
        <w:spacing w:line="213" w:lineRule="auto"/>
        <w:ind w:left="1984" w:right="2823"/>
        <w:rPr>
          <w:b/>
        </w:rPr>
      </w:pPr>
      <w:r>
        <w:rPr>
          <w:b/>
          <w:w w:val="110"/>
        </w:rPr>
        <w:t>What is the Spirit saying to the Churches?</w:t>
      </w:r>
    </w:p>
    <w:p>
      <w:pPr>
        <w:spacing w:line="617" w:lineRule="exact" w:before="0"/>
        <w:ind w:left="1984" w:right="0" w:firstLine="0"/>
        <w:jc w:val="left"/>
        <w:rPr>
          <w:rFonts w:ascii="Stone Sans II ITC Std X Bd"/>
          <w:b/>
          <w:sz w:val="50"/>
        </w:rPr>
      </w:pPr>
      <w:r>
        <w:rPr>
          <w:rFonts w:ascii="Stone Sans II ITC Std X Bd"/>
          <w:b/>
          <w:w w:val="110"/>
          <w:sz w:val="50"/>
        </w:rPr>
        <w:t>Ordained local ministry</w:t>
      </w:r>
    </w:p>
    <w:p>
      <w:pPr>
        <w:pStyle w:val="Heading4"/>
        <w:spacing w:before="257"/>
        <w:ind w:left="1984" w:firstLine="0"/>
        <w:rPr>
          <w:rFonts w:ascii="Stone Sans II ITC Std X Bd"/>
          <w:b/>
        </w:rPr>
      </w:pPr>
      <w:r>
        <w:rPr>
          <w:rFonts w:ascii="Stone Sans II ITC Std X Bd"/>
          <w:b/>
          <w:w w:val="110"/>
        </w:rPr>
        <w:t>Future of the Church paper 3</w:t>
      </w:r>
    </w:p>
    <w:p>
      <w:pPr>
        <w:spacing w:line="199" w:lineRule="auto" w:before="206"/>
        <w:ind w:left="2378" w:right="1639" w:firstLine="0"/>
        <w:jc w:val="center"/>
        <w:rPr>
          <w:rFonts w:ascii="Stone Sans II ITC Std Bk" w:hAnsi="Stone Sans II ITC Std Bk"/>
          <w:b/>
          <w:sz w:val="14"/>
        </w:rPr>
      </w:pPr>
      <w:r>
        <w:rPr>
          <w:rFonts w:ascii="Stone Sans II ITC Std Bk" w:hAnsi="Stone Sans II ITC Std Bk"/>
          <w:b/>
          <w:w w:val="115"/>
          <w:sz w:val="21"/>
        </w:rPr>
        <w:t>“The Lord Jesus Christ gives particular gifts for particular ministries and calls some of his servants to exercise them in offices duly recognised within his Church.” </w:t>
      </w:r>
      <w:r>
        <w:rPr>
          <w:rFonts w:ascii="Stone Sans II ITC Std Bk" w:hAnsi="Stone Sans II ITC Std Bk"/>
          <w:b/>
          <w:w w:val="115"/>
          <w:position w:val="8"/>
          <w:sz w:val="14"/>
        </w:rPr>
        <w:t>1</w:t>
      </w:r>
    </w:p>
    <w:p>
      <w:pPr>
        <w:pStyle w:val="BodyText"/>
        <w:spacing w:before="7"/>
        <w:rPr>
          <w:rFonts w:ascii="Stone Sans II ITC Std Bk"/>
          <w:b/>
          <w:sz w:val="32"/>
        </w:rPr>
      </w:pPr>
    </w:p>
    <w:p>
      <w:pPr>
        <w:pStyle w:val="Heading4"/>
        <w:numPr>
          <w:ilvl w:val="0"/>
          <w:numId w:val="72"/>
        </w:numPr>
        <w:tabs>
          <w:tab w:pos="2664" w:val="left" w:leader="none"/>
          <w:tab w:pos="2665" w:val="left" w:leader="none"/>
        </w:tabs>
        <w:spacing w:line="240" w:lineRule="auto" w:before="0" w:after="0"/>
        <w:ind w:left="2664" w:right="0" w:hanging="681"/>
        <w:jc w:val="left"/>
      </w:pPr>
      <w:r>
        <w:rPr>
          <w:spacing w:val="4"/>
          <w:w w:val="110"/>
        </w:rPr>
        <w:t>Summary</w:t>
      </w:r>
    </w:p>
    <w:p>
      <w:pPr>
        <w:pStyle w:val="BodyText"/>
        <w:spacing w:line="235" w:lineRule="auto" w:before="69"/>
        <w:ind w:left="1984" w:right="1521"/>
      </w:pPr>
      <w:r>
        <w:rPr>
          <w:w w:val="120"/>
        </w:rPr>
        <w:t>The faith and order committee was asked to respond to resolution 35 of General Assembly 2012 which asked whether a newly-constituted ‘ordained local ministry’ might be of use to the United Reformed Church. This paper considers the idea of adding this additional category of ministry to those already recognised within the United Reformed Church. It notes that we inherit from our parent traditions differing views on the interpretation of the phrase ‘pastoral necessity’ and the value of lay presidency at Communion. It also recognises concerns that ordained local ministry could be construed as ordination by the back door and lead to unaccountable</w:t>
      </w:r>
    </w:p>
    <w:p>
      <w:pPr>
        <w:pStyle w:val="BodyText"/>
        <w:spacing w:line="230" w:lineRule="auto" w:before="10"/>
        <w:ind w:left="1984" w:right="1484"/>
      </w:pPr>
      <w:r>
        <w:rPr>
          <w:w w:val="120"/>
        </w:rPr>
        <w:t>local leadership and it names some practical difficulties. A brief examination of past resolutions brought to Assembly on this topic, and of feedback at synod level, has led to the suggestion that, instead of an extra category of ordained ministry or a blanket approval of lay presidency, the United Reformed Church should explore further use of that local ordained leadership we already value </w:t>
      </w:r>
      <w:r>
        <w:rPr>
          <w:rFonts w:ascii="Stone Sans II ITC Std Bk" w:hAnsi="Stone Sans II ITC Std Bk"/>
          <w:b/>
          <w:w w:val="120"/>
          <w:sz w:val="21"/>
        </w:rPr>
        <w:t>– </w:t>
      </w:r>
      <w:r>
        <w:rPr>
          <w:w w:val="120"/>
        </w:rPr>
        <w:t>the eldership.</w:t>
      </w:r>
    </w:p>
    <w:p>
      <w:pPr>
        <w:spacing w:after="0" w:line="230" w:lineRule="auto"/>
        <w:sectPr>
          <w:headerReference w:type="default" r:id="rId284"/>
          <w:footerReference w:type="default" r:id="rId285"/>
          <w:footerReference w:type="even" r:id="rId286"/>
          <w:pgSz w:w="11910" w:h="16840"/>
          <w:pgMar w:header="0" w:footer="647" w:top="0" w:bottom="840" w:left="0" w:right="0"/>
        </w:sectPr>
      </w:pPr>
    </w:p>
    <w:p>
      <w:pPr>
        <w:pStyle w:val="BodyText"/>
      </w:pPr>
      <w:r>
        <w:rPr/>
        <w:drawing>
          <wp:anchor distT="0" distB="0" distL="0" distR="0" allowOverlap="1" layoutInCell="1" locked="0" behindDoc="0" simplePos="0" relativeHeight="251986944">
            <wp:simplePos x="0" y="0"/>
            <wp:positionH relativeFrom="page">
              <wp:posOffset>0</wp:posOffset>
            </wp:positionH>
            <wp:positionV relativeFrom="page">
              <wp:posOffset>0</wp:posOffset>
            </wp:positionV>
            <wp:extent cx="594067" cy="10692003"/>
            <wp:effectExtent l="0" t="0" r="0" b="0"/>
            <wp:wrapNone/>
            <wp:docPr id="225" name="image28.png"/>
            <wp:cNvGraphicFramePr>
              <a:graphicFrameLocks noChangeAspect="1"/>
            </wp:cNvGraphicFramePr>
            <a:graphic>
              <a:graphicData uri="http://schemas.openxmlformats.org/drawingml/2006/picture">
                <pic:pic>
                  <pic:nvPicPr>
                    <pic:cNvPr id="226" name="image28.png"/>
                    <pic:cNvPicPr/>
                  </pic:nvPicPr>
                  <pic:blipFill>
                    <a:blip r:embed="rId198"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shape style="position:absolute;margin-left:20.519100pt;margin-top:22.593945pt;width:25.9pt;height:239.8pt;mso-position-horizontal-relative:page;mso-position-vertical-relative:paragraph;z-index:251987968" type="#_x0000_t202" filled="false" stroked="false">
            <v:textbox inset="0,0,0,0" style="layout-flow:vertical">
              <w:txbxContent>
                <w:p>
                  <w:pPr>
                    <w:spacing w:before="27"/>
                    <w:ind w:left="20" w:right="0" w:firstLine="0"/>
                    <w:jc w:val="left"/>
                    <w:rPr>
                      <w:sz w:val="39"/>
                    </w:rPr>
                  </w:pPr>
                  <w:r>
                    <w:rPr>
                      <w:color w:val="FFFFFF"/>
                      <w:w w:val="120"/>
                      <w:sz w:val="39"/>
                    </w:rPr>
                    <w:t>Ordained local ministry</w:t>
                  </w:r>
                </w:p>
              </w:txbxContent>
            </v:textbox>
            <w10:wrap type="none"/>
          </v:shape>
        </w:pict>
      </w:r>
      <w:r>
        <w:rPr>
          <w:color w:val="7EAABF"/>
          <w:w w:val="115"/>
        </w:rPr>
        <w:t>Faith and order</w:t>
      </w:r>
    </w:p>
    <w:p>
      <w:pPr>
        <w:pStyle w:val="ListParagraph"/>
        <w:numPr>
          <w:ilvl w:val="0"/>
          <w:numId w:val="72"/>
        </w:numPr>
        <w:tabs>
          <w:tab w:pos="1927" w:val="left" w:leader="none"/>
          <w:tab w:pos="1928" w:val="left" w:leader="none"/>
        </w:tabs>
        <w:spacing w:line="240" w:lineRule="auto" w:before="215" w:after="0"/>
        <w:ind w:left="1927" w:right="0" w:hanging="681"/>
        <w:jc w:val="left"/>
        <w:rPr>
          <w:rFonts w:ascii="Stone Sans II ITC Std Bk"/>
          <w:b/>
          <w:sz w:val="29"/>
        </w:rPr>
      </w:pPr>
      <w:r>
        <w:rPr>
          <w:rFonts w:ascii="Stone Sans II ITC Std Bk"/>
          <w:b/>
          <w:spacing w:val="4"/>
          <w:w w:val="110"/>
          <w:sz w:val="29"/>
        </w:rPr>
        <w:t>The</w:t>
      </w:r>
      <w:r>
        <w:rPr>
          <w:rFonts w:ascii="Stone Sans II ITC Std Bk"/>
          <w:b/>
          <w:spacing w:val="12"/>
          <w:w w:val="110"/>
          <w:sz w:val="29"/>
        </w:rPr>
        <w:t> </w:t>
      </w:r>
      <w:r>
        <w:rPr>
          <w:rFonts w:ascii="Stone Sans II ITC Std Bk"/>
          <w:b/>
          <w:spacing w:val="2"/>
          <w:w w:val="110"/>
          <w:sz w:val="29"/>
        </w:rPr>
        <w:t>issue</w:t>
      </w:r>
    </w:p>
    <w:p>
      <w:pPr>
        <w:pStyle w:val="ListParagraph"/>
        <w:numPr>
          <w:ilvl w:val="1"/>
          <w:numId w:val="72"/>
        </w:numPr>
        <w:tabs>
          <w:tab w:pos="1927" w:val="left" w:leader="none"/>
          <w:tab w:pos="1928" w:val="left" w:leader="none"/>
        </w:tabs>
        <w:spacing w:line="235" w:lineRule="auto" w:before="69" w:after="0"/>
        <w:ind w:left="1247" w:right="2030" w:firstLine="0"/>
        <w:jc w:val="left"/>
        <w:rPr>
          <w:sz w:val="20"/>
        </w:rPr>
      </w:pPr>
      <w:r>
        <w:rPr>
          <w:w w:val="120"/>
          <w:sz w:val="20"/>
        </w:rPr>
        <w:t>Given the demography of the United Reformed Church, it is not uncommon for members of our smaller churches to feel they have insufficient contact with ordained ministers, either when wishing to celebrate Communion, or in terms of local leadership more generally. Attempting to address this difficulty, resolution </w:t>
      </w:r>
      <w:r>
        <w:rPr>
          <w:spacing w:val="-3"/>
          <w:w w:val="120"/>
          <w:sz w:val="20"/>
        </w:rPr>
        <w:t>35 </w:t>
      </w:r>
      <w:r>
        <w:rPr>
          <w:w w:val="120"/>
          <w:sz w:val="20"/>
        </w:rPr>
        <w:t>of the </w:t>
      </w:r>
      <w:r>
        <w:rPr>
          <w:spacing w:val="-7"/>
          <w:w w:val="120"/>
          <w:sz w:val="20"/>
        </w:rPr>
        <w:t>2012 </w:t>
      </w:r>
      <w:r>
        <w:rPr>
          <w:w w:val="120"/>
          <w:sz w:val="20"/>
        </w:rPr>
        <w:t>General Assembly, brought by Wessex Synod, stated: “General Assembly requests the ministries committee and the faith and order committee to consider whether some form of locally ordained ministry would be helpful to the mission of the United Reformed Church and to </w:t>
      </w:r>
      <w:r>
        <w:rPr>
          <w:spacing w:val="2"/>
          <w:w w:val="120"/>
          <w:sz w:val="20"/>
        </w:rPr>
        <w:t>report </w:t>
      </w:r>
      <w:r>
        <w:rPr>
          <w:w w:val="120"/>
          <w:sz w:val="20"/>
        </w:rPr>
        <w:t>back to Mission Council with a view to further discussion and a decision at General Assembly </w:t>
      </w:r>
      <w:r>
        <w:rPr>
          <w:spacing w:val="-8"/>
          <w:w w:val="120"/>
          <w:sz w:val="20"/>
        </w:rPr>
        <w:t>2014.”</w:t>
      </w:r>
      <w:r>
        <w:rPr>
          <w:spacing w:val="7"/>
          <w:w w:val="120"/>
          <w:sz w:val="20"/>
        </w:rPr>
        <w:t> </w:t>
      </w:r>
      <w:r>
        <w:rPr>
          <w:w w:val="120"/>
          <w:sz w:val="20"/>
          <w:vertAlign w:val="superscript"/>
        </w:rPr>
        <w:t>2</w:t>
      </w:r>
    </w:p>
    <w:p>
      <w:pPr>
        <w:pStyle w:val="BodyText"/>
        <w:spacing w:before="3"/>
      </w:pPr>
    </w:p>
    <w:p>
      <w:pPr>
        <w:pStyle w:val="ListParagraph"/>
        <w:numPr>
          <w:ilvl w:val="1"/>
          <w:numId w:val="72"/>
        </w:numPr>
        <w:tabs>
          <w:tab w:pos="1927" w:val="left" w:leader="none"/>
          <w:tab w:pos="1928" w:val="left" w:leader="none"/>
        </w:tabs>
        <w:spacing w:line="235" w:lineRule="auto" w:before="0" w:after="0"/>
        <w:ind w:left="1247" w:right="1916" w:firstLine="0"/>
        <w:jc w:val="left"/>
        <w:rPr>
          <w:sz w:val="20"/>
        </w:rPr>
      </w:pPr>
      <w:r>
        <w:rPr>
          <w:w w:val="120"/>
          <w:sz w:val="20"/>
        </w:rPr>
        <w:t>The text accompanying this resolution noted that: “there are many lay preachers, and some elders, who are regularly presiding at sacraments, usually with appropriate authorisation, often in a reasonably small number of churches which they visit fairly regularly. In practice, such people are already exercising a ministry of Word and sacraments. We believe that it would be far better theologically to ordain such people to a ministry of Word and sacraments. We also believe our ecumenical partners would find this easier to understand.”</w:t>
      </w:r>
      <w:r>
        <w:rPr>
          <w:spacing w:val="6"/>
          <w:w w:val="120"/>
          <w:sz w:val="20"/>
        </w:rPr>
        <w:t> </w:t>
      </w:r>
      <w:r>
        <w:rPr>
          <w:w w:val="120"/>
          <w:sz w:val="20"/>
          <w:vertAlign w:val="superscript"/>
        </w:rPr>
        <w:t>3</w:t>
      </w:r>
    </w:p>
    <w:p>
      <w:pPr>
        <w:pStyle w:val="BodyText"/>
        <w:spacing w:before="1"/>
      </w:pPr>
    </w:p>
    <w:p>
      <w:pPr>
        <w:pStyle w:val="ListParagraph"/>
        <w:numPr>
          <w:ilvl w:val="1"/>
          <w:numId w:val="72"/>
        </w:numPr>
        <w:tabs>
          <w:tab w:pos="1927" w:val="left" w:leader="none"/>
          <w:tab w:pos="1928" w:val="left" w:leader="none"/>
        </w:tabs>
        <w:spacing w:line="235" w:lineRule="auto" w:before="0" w:after="0"/>
        <w:ind w:left="1247" w:right="2047" w:firstLine="0"/>
        <w:jc w:val="left"/>
        <w:rPr>
          <w:sz w:val="20"/>
        </w:rPr>
      </w:pPr>
      <w:r>
        <w:rPr>
          <w:spacing w:val="-3"/>
          <w:w w:val="120"/>
          <w:sz w:val="20"/>
        </w:rPr>
        <w:t>David</w:t>
      </w:r>
      <w:r>
        <w:rPr>
          <w:spacing w:val="-19"/>
          <w:w w:val="120"/>
          <w:sz w:val="20"/>
        </w:rPr>
        <w:t> </w:t>
      </w:r>
      <w:r>
        <w:rPr>
          <w:w w:val="120"/>
          <w:sz w:val="20"/>
        </w:rPr>
        <w:t>Thompson,</w:t>
      </w:r>
      <w:r>
        <w:rPr>
          <w:spacing w:val="-19"/>
          <w:w w:val="120"/>
          <w:sz w:val="20"/>
        </w:rPr>
        <w:t> </w:t>
      </w:r>
      <w:r>
        <w:rPr>
          <w:w w:val="120"/>
          <w:sz w:val="20"/>
        </w:rPr>
        <w:t>a</w:t>
      </w:r>
      <w:r>
        <w:rPr>
          <w:spacing w:val="-18"/>
          <w:w w:val="120"/>
          <w:sz w:val="20"/>
        </w:rPr>
        <w:t> </w:t>
      </w:r>
      <w:r>
        <w:rPr>
          <w:w w:val="120"/>
          <w:sz w:val="20"/>
        </w:rPr>
        <w:t>former</w:t>
      </w:r>
      <w:r>
        <w:rPr>
          <w:spacing w:val="-19"/>
          <w:w w:val="120"/>
          <w:sz w:val="20"/>
        </w:rPr>
        <w:t> </w:t>
      </w:r>
      <w:r>
        <w:rPr>
          <w:w w:val="120"/>
          <w:sz w:val="20"/>
        </w:rPr>
        <w:t>moderator</w:t>
      </w:r>
      <w:r>
        <w:rPr>
          <w:spacing w:val="-18"/>
          <w:w w:val="120"/>
          <w:sz w:val="20"/>
        </w:rPr>
        <w:t> </w:t>
      </w:r>
      <w:r>
        <w:rPr>
          <w:w w:val="120"/>
          <w:sz w:val="20"/>
        </w:rPr>
        <w:t>of</w:t>
      </w:r>
      <w:r>
        <w:rPr>
          <w:spacing w:val="-19"/>
          <w:w w:val="120"/>
          <w:sz w:val="20"/>
        </w:rPr>
        <w:t> </w:t>
      </w:r>
      <w:r>
        <w:rPr>
          <w:w w:val="120"/>
          <w:sz w:val="20"/>
        </w:rPr>
        <w:t>General</w:t>
      </w:r>
      <w:r>
        <w:rPr>
          <w:spacing w:val="-18"/>
          <w:w w:val="120"/>
          <w:sz w:val="20"/>
        </w:rPr>
        <w:t> </w:t>
      </w:r>
      <w:r>
        <w:rPr>
          <w:spacing w:val="-3"/>
          <w:w w:val="120"/>
          <w:sz w:val="20"/>
        </w:rPr>
        <w:t>Assembly,</w:t>
      </w:r>
      <w:r>
        <w:rPr>
          <w:spacing w:val="-19"/>
          <w:w w:val="120"/>
          <w:sz w:val="20"/>
        </w:rPr>
        <w:t> </w:t>
      </w:r>
      <w:r>
        <w:rPr>
          <w:w w:val="120"/>
          <w:sz w:val="20"/>
        </w:rPr>
        <w:t>puts</w:t>
      </w:r>
      <w:r>
        <w:rPr>
          <w:spacing w:val="-18"/>
          <w:w w:val="120"/>
          <w:sz w:val="20"/>
        </w:rPr>
        <w:t> </w:t>
      </w:r>
      <w:r>
        <w:rPr>
          <w:w w:val="120"/>
          <w:sz w:val="20"/>
        </w:rPr>
        <w:t>the</w:t>
      </w:r>
      <w:r>
        <w:rPr>
          <w:spacing w:val="-19"/>
          <w:w w:val="120"/>
          <w:sz w:val="20"/>
        </w:rPr>
        <w:t> </w:t>
      </w:r>
      <w:r>
        <w:rPr>
          <w:w w:val="120"/>
          <w:sz w:val="20"/>
        </w:rPr>
        <w:t>case</w:t>
      </w:r>
      <w:r>
        <w:rPr>
          <w:spacing w:val="-19"/>
          <w:w w:val="120"/>
          <w:sz w:val="20"/>
        </w:rPr>
        <w:t> </w:t>
      </w:r>
      <w:r>
        <w:rPr>
          <w:spacing w:val="-3"/>
          <w:w w:val="120"/>
          <w:sz w:val="20"/>
        </w:rPr>
        <w:t>concisely: </w:t>
      </w:r>
      <w:r>
        <w:rPr>
          <w:w w:val="120"/>
          <w:sz w:val="20"/>
        </w:rPr>
        <w:t>“The principle here is the </w:t>
      </w:r>
      <w:r>
        <w:rPr>
          <w:spacing w:val="-3"/>
          <w:w w:val="120"/>
          <w:sz w:val="20"/>
        </w:rPr>
        <w:t>philosophical </w:t>
      </w:r>
      <w:r>
        <w:rPr>
          <w:w w:val="120"/>
          <w:sz w:val="20"/>
        </w:rPr>
        <w:t>one, that if something looks </w:t>
      </w:r>
      <w:r>
        <w:rPr>
          <w:spacing w:val="-3"/>
          <w:w w:val="120"/>
          <w:sz w:val="20"/>
        </w:rPr>
        <w:t>like </w:t>
      </w:r>
      <w:r>
        <w:rPr>
          <w:w w:val="120"/>
          <w:sz w:val="20"/>
        </w:rPr>
        <w:t>a </w:t>
      </w:r>
      <w:r>
        <w:rPr>
          <w:spacing w:val="-4"/>
          <w:w w:val="120"/>
          <w:sz w:val="20"/>
        </w:rPr>
        <w:t>minister, </w:t>
      </w:r>
      <w:r>
        <w:rPr>
          <w:w w:val="120"/>
          <w:sz w:val="20"/>
        </w:rPr>
        <w:t>acts </w:t>
      </w:r>
      <w:r>
        <w:rPr>
          <w:spacing w:val="-3"/>
          <w:w w:val="120"/>
          <w:sz w:val="20"/>
        </w:rPr>
        <w:t>like</w:t>
      </w:r>
      <w:r>
        <w:rPr>
          <w:spacing w:val="-7"/>
          <w:w w:val="120"/>
          <w:sz w:val="20"/>
        </w:rPr>
        <w:t> </w:t>
      </w:r>
      <w:r>
        <w:rPr>
          <w:w w:val="120"/>
          <w:sz w:val="20"/>
        </w:rPr>
        <w:t>a</w:t>
      </w:r>
      <w:r>
        <w:rPr>
          <w:spacing w:val="-6"/>
          <w:w w:val="120"/>
          <w:sz w:val="20"/>
        </w:rPr>
        <w:t> </w:t>
      </w:r>
      <w:r>
        <w:rPr>
          <w:spacing w:val="-4"/>
          <w:w w:val="120"/>
          <w:sz w:val="20"/>
        </w:rPr>
        <w:t>minister,</w:t>
      </w:r>
      <w:r>
        <w:rPr>
          <w:spacing w:val="-6"/>
          <w:w w:val="120"/>
          <w:sz w:val="20"/>
        </w:rPr>
        <w:t> </w:t>
      </w:r>
      <w:r>
        <w:rPr>
          <w:w w:val="120"/>
          <w:sz w:val="20"/>
        </w:rPr>
        <w:t>and</w:t>
      </w:r>
      <w:r>
        <w:rPr>
          <w:spacing w:val="-7"/>
          <w:w w:val="120"/>
          <w:sz w:val="20"/>
        </w:rPr>
        <w:t> </w:t>
      </w:r>
      <w:r>
        <w:rPr>
          <w:w w:val="120"/>
          <w:sz w:val="20"/>
        </w:rPr>
        <w:t>does</w:t>
      </w:r>
      <w:r>
        <w:rPr>
          <w:spacing w:val="-6"/>
          <w:w w:val="120"/>
          <w:sz w:val="20"/>
        </w:rPr>
        <w:t> </w:t>
      </w:r>
      <w:r>
        <w:rPr>
          <w:w w:val="120"/>
          <w:sz w:val="20"/>
        </w:rPr>
        <w:t>the</w:t>
      </w:r>
      <w:r>
        <w:rPr>
          <w:spacing w:val="-6"/>
          <w:w w:val="120"/>
          <w:sz w:val="20"/>
        </w:rPr>
        <w:t> </w:t>
      </w:r>
      <w:r>
        <w:rPr>
          <w:w w:val="120"/>
          <w:sz w:val="20"/>
        </w:rPr>
        <w:t>things</w:t>
      </w:r>
      <w:r>
        <w:rPr>
          <w:spacing w:val="-7"/>
          <w:w w:val="120"/>
          <w:sz w:val="20"/>
        </w:rPr>
        <w:t> </w:t>
      </w:r>
      <w:r>
        <w:rPr>
          <w:w w:val="120"/>
          <w:sz w:val="20"/>
        </w:rPr>
        <w:t>that</w:t>
      </w:r>
      <w:r>
        <w:rPr>
          <w:spacing w:val="-6"/>
          <w:w w:val="120"/>
          <w:sz w:val="20"/>
        </w:rPr>
        <w:t> </w:t>
      </w:r>
      <w:r>
        <w:rPr>
          <w:spacing w:val="-3"/>
          <w:w w:val="120"/>
          <w:sz w:val="20"/>
        </w:rPr>
        <w:t>ministers</w:t>
      </w:r>
      <w:r>
        <w:rPr>
          <w:spacing w:val="-6"/>
          <w:w w:val="120"/>
          <w:sz w:val="20"/>
        </w:rPr>
        <w:t> </w:t>
      </w:r>
      <w:r>
        <w:rPr>
          <w:spacing w:val="-3"/>
          <w:w w:val="120"/>
          <w:sz w:val="20"/>
        </w:rPr>
        <w:t>do,</w:t>
      </w:r>
      <w:r>
        <w:rPr>
          <w:spacing w:val="-7"/>
          <w:w w:val="120"/>
          <w:sz w:val="20"/>
        </w:rPr>
        <w:t> </w:t>
      </w:r>
      <w:r>
        <w:rPr>
          <w:w w:val="120"/>
          <w:sz w:val="20"/>
        </w:rPr>
        <w:t>then</w:t>
      </w:r>
      <w:r>
        <w:rPr>
          <w:spacing w:val="-6"/>
          <w:w w:val="120"/>
          <w:sz w:val="20"/>
        </w:rPr>
        <w:t> </w:t>
      </w:r>
      <w:r>
        <w:rPr>
          <w:w w:val="120"/>
          <w:sz w:val="20"/>
        </w:rPr>
        <w:t>it</w:t>
      </w:r>
      <w:r>
        <w:rPr>
          <w:spacing w:val="-6"/>
          <w:w w:val="120"/>
          <w:sz w:val="20"/>
        </w:rPr>
        <w:t> </w:t>
      </w:r>
      <w:r>
        <w:rPr>
          <w:w w:val="120"/>
          <w:sz w:val="20"/>
        </w:rPr>
        <w:t>is</w:t>
      </w:r>
      <w:r>
        <w:rPr>
          <w:spacing w:val="-7"/>
          <w:w w:val="120"/>
          <w:sz w:val="20"/>
        </w:rPr>
        <w:t> </w:t>
      </w:r>
      <w:r>
        <w:rPr>
          <w:w w:val="120"/>
          <w:sz w:val="20"/>
        </w:rPr>
        <w:t>reasonable</w:t>
      </w:r>
      <w:r>
        <w:rPr>
          <w:spacing w:val="-6"/>
          <w:w w:val="120"/>
          <w:sz w:val="20"/>
        </w:rPr>
        <w:t> </w:t>
      </w:r>
      <w:r>
        <w:rPr>
          <w:spacing w:val="-3"/>
          <w:w w:val="120"/>
          <w:sz w:val="20"/>
        </w:rPr>
        <w:t>to</w:t>
      </w:r>
      <w:r>
        <w:rPr>
          <w:spacing w:val="-6"/>
          <w:w w:val="120"/>
          <w:sz w:val="20"/>
        </w:rPr>
        <w:t> </w:t>
      </w:r>
      <w:r>
        <w:rPr>
          <w:spacing w:val="-3"/>
          <w:w w:val="120"/>
          <w:sz w:val="20"/>
        </w:rPr>
        <w:t>suppose</w:t>
      </w:r>
      <w:r>
        <w:rPr>
          <w:spacing w:val="-7"/>
          <w:w w:val="120"/>
          <w:sz w:val="20"/>
        </w:rPr>
        <w:t> </w:t>
      </w:r>
      <w:r>
        <w:rPr>
          <w:w w:val="120"/>
          <w:sz w:val="20"/>
        </w:rPr>
        <w:t>that it</w:t>
      </w:r>
      <w:r>
        <w:rPr>
          <w:spacing w:val="-5"/>
          <w:w w:val="120"/>
          <w:sz w:val="20"/>
        </w:rPr>
        <w:t> </w:t>
      </w:r>
      <w:r>
        <w:rPr>
          <w:w w:val="120"/>
          <w:sz w:val="20"/>
        </w:rPr>
        <w:t>is</w:t>
      </w:r>
      <w:r>
        <w:rPr>
          <w:spacing w:val="-4"/>
          <w:w w:val="120"/>
          <w:sz w:val="20"/>
        </w:rPr>
        <w:t> </w:t>
      </w:r>
      <w:r>
        <w:rPr>
          <w:w w:val="120"/>
          <w:sz w:val="20"/>
        </w:rPr>
        <w:t>a</w:t>
      </w:r>
      <w:r>
        <w:rPr>
          <w:spacing w:val="-5"/>
          <w:w w:val="120"/>
          <w:sz w:val="20"/>
        </w:rPr>
        <w:t> </w:t>
      </w:r>
      <w:r>
        <w:rPr>
          <w:spacing w:val="-4"/>
          <w:w w:val="120"/>
          <w:sz w:val="20"/>
        </w:rPr>
        <w:t>minister. Moreover,</w:t>
      </w:r>
      <w:r>
        <w:rPr>
          <w:spacing w:val="-5"/>
          <w:w w:val="120"/>
          <w:sz w:val="20"/>
        </w:rPr>
        <w:t> </w:t>
      </w:r>
      <w:r>
        <w:rPr>
          <w:w w:val="120"/>
          <w:sz w:val="20"/>
        </w:rPr>
        <w:t>if</w:t>
      </w:r>
      <w:r>
        <w:rPr>
          <w:spacing w:val="-4"/>
          <w:w w:val="120"/>
          <w:sz w:val="20"/>
        </w:rPr>
        <w:t> </w:t>
      </w:r>
      <w:r>
        <w:rPr>
          <w:w w:val="120"/>
          <w:sz w:val="20"/>
        </w:rPr>
        <w:t>they</w:t>
      </w:r>
      <w:r>
        <w:rPr>
          <w:spacing w:val="-5"/>
          <w:w w:val="120"/>
          <w:sz w:val="20"/>
        </w:rPr>
        <w:t> </w:t>
      </w:r>
      <w:r>
        <w:rPr>
          <w:w w:val="120"/>
          <w:sz w:val="20"/>
        </w:rPr>
        <w:t>are</w:t>
      </w:r>
      <w:r>
        <w:rPr>
          <w:spacing w:val="-4"/>
          <w:w w:val="120"/>
          <w:sz w:val="20"/>
        </w:rPr>
        <w:t> </w:t>
      </w:r>
      <w:r>
        <w:rPr>
          <w:spacing w:val="-3"/>
          <w:w w:val="120"/>
          <w:sz w:val="20"/>
        </w:rPr>
        <w:t>ministers,</w:t>
      </w:r>
      <w:r>
        <w:rPr>
          <w:spacing w:val="-5"/>
          <w:w w:val="120"/>
          <w:sz w:val="20"/>
        </w:rPr>
        <w:t> </w:t>
      </w:r>
      <w:r>
        <w:rPr>
          <w:spacing w:val="-3"/>
          <w:w w:val="120"/>
          <w:sz w:val="20"/>
        </w:rPr>
        <w:t>why</w:t>
      </w:r>
      <w:r>
        <w:rPr>
          <w:spacing w:val="-4"/>
          <w:w w:val="120"/>
          <w:sz w:val="20"/>
        </w:rPr>
        <w:t> </w:t>
      </w:r>
      <w:r>
        <w:rPr>
          <w:w w:val="120"/>
          <w:sz w:val="20"/>
        </w:rPr>
        <w:t>should</w:t>
      </w:r>
      <w:r>
        <w:rPr>
          <w:spacing w:val="-5"/>
          <w:w w:val="120"/>
          <w:sz w:val="20"/>
        </w:rPr>
        <w:t> </w:t>
      </w:r>
      <w:r>
        <w:rPr>
          <w:w w:val="120"/>
          <w:sz w:val="20"/>
        </w:rPr>
        <w:t>they</w:t>
      </w:r>
      <w:r>
        <w:rPr>
          <w:spacing w:val="-4"/>
          <w:w w:val="120"/>
          <w:sz w:val="20"/>
        </w:rPr>
        <w:t> </w:t>
      </w:r>
      <w:r>
        <w:rPr>
          <w:spacing w:val="-2"/>
          <w:w w:val="120"/>
          <w:sz w:val="20"/>
        </w:rPr>
        <w:t>not</w:t>
      </w:r>
      <w:r>
        <w:rPr>
          <w:spacing w:val="-5"/>
          <w:w w:val="120"/>
          <w:sz w:val="20"/>
        </w:rPr>
        <w:t> </w:t>
      </w:r>
      <w:r>
        <w:rPr>
          <w:w w:val="120"/>
          <w:sz w:val="20"/>
        </w:rPr>
        <w:t>be</w:t>
      </w:r>
      <w:r>
        <w:rPr>
          <w:spacing w:val="-4"/>
          <w:w w:val="120"/>
          <w:sz w:val="20"/>
        </w:rPr>
        <w:t> </w:t>
      </w:r>
      <w:r>
        <w:rPr>
          <w:w w:val="120"/>
          <w:sz w:val="20"/>
        </w:rPr>
        <w:t>ordained?”</w:t>
      </w:r>
      <w:r>
        <w:rPr>
          <w:spacing w:val="-4"/>
          <w:w w:val="120"/>
          <w:sz w:val="20"/>
        </w:rPr>
        <w:t> </w:t>
      </w:r>
      <w:r>
        <w:rPr>
          <w:w w:val="120"/>
          <w:sz w:val="20"/>
          <w:vertAlign w:val="superscript"/>
        </w:rPr>
        <w:t>4</w:t>
      </w:r>
    </w:p>
    <w:p>
      <w:pPr>
        <w:pStyle w:val="BodyText"/>
        <w:spacing w:before="11"/>
        <w:rPr>
          <w:sz w:val="19"/>
        </w:rPr>
      </w:pPr>
    </w:p>
    <w:p>
      <w:pPr>
        <w:pStyle w:val="ListParagraph"/>
        <w:numPr>
          <w:ilvl w:val="1"/>
          <w:numId w:val="72"/>
        </w:numPr>
        <w:tabs>
          <w:tab w:pos="1927" w:val="left" w:leader="none"/>
          <w:tab w:pos="1928" w:val="left" w:leader="none"/>
        </w:tabs>
        <w:spacing w:line="235" w:lineRule="auto" w:before="0" w:after="0"/>
        <w:ind w:left="1247" w:right="2064" w:firstLine="0"/>
        <w:jc w:val="left"/>
        <w:rPr>
          <w:sz w:val="20"/>
        </w:rPr>
      </w:pPr>
      <w:r>
        <w:rPr>
          <w:w w:val="120"/>
          <w:sz w:val="20"/>
        </w:rPr>
        <w:t>This had also been the perspective of the earlier faith and order reference group when this question was brought to their attention. In </w:t>
      </w:r>
      <w:r>
        <w:rPr>
          <w:spacing w:val="-10"/>
          <w:w w:val="120"/>
          <w:sz w:val="20"/>
        </w:rPr>
        <w:t>2011, </w:t>
      </w:r>
      <w:r>
        <w:rPr>
          <w:w w:val="120"/>
          <w:sz w:val="20"/>
        </w:rPr>
        <w:t>as the result of initiatives from the Synods of Scotland and the West Midlands, the general secretary requested the faith and order reference group to consider whether lay presidency at Communion could be theologically affirmed as a </w:t>
      </w:r>
      <w:r>
        <w:rPr>
          <w:spacing w:val="2"/>
          <w:w w:val="120"/>
          <w:sz w:val="20"/>
        </w:rPr>
        <w:t>gift </w:t>
      </w:r>
      <w:r>
        <w:rPr>
          <w:w w:val="120"/>
          <w:sz w:val="20"/>
        </w:rPr>
        <w:t>to other churches. Reference was made</w:t>
      </w:r>
      <w:r>
        <w:rPr>
          <w:spacing w:val="31"/>
          <w:w w:val="120"/>
          <w:sz w:val="20"/>
        </w:rPr>
        <w:t> </w:t>
      </w:r>
      <w:r>
        <w:rPr>
          <w:w w:val="120"/>
          <w:sz w:val="20"/>
        </w:rPr>
        <w:t>in</w:t>
      </w:r>
    </w:p>
    <w:p>
      <w:pPr>
        <w:pStyle w:val="BodyText"/>
        <w:spacing w:line="235" w:lineRule="auto" w:before="4"/>
        <w:ind w:left="1247" w:right="2004"/>
      </w:pPr>
      <w:r>
        <w:rPr>
          <w:w w:val="120"/>
        </w:rPr>
        <w:t>the group’s discussions to the Church of Scotland’s recent development of an order of ordained local ministers: Assessed, trained (to certificate level) and qualified; deployed locally with a remit for preaching, sacramental ministry and pastoral care; serving under the direction of an ordained national minister; normally in a non-stipendiary role, but able to be paid if circumstances dictated this to be the best option. </w:t>
      </w:r>
      <w:r>
        <w:rPr>
          <w:w w:val="120"/>
          <w:vertAlign w:val="superscript"/>
        </w:rPr>
        <w:t>5</w:t>
      </w:r>
    </w:p>
    <w:p>
      <w:pPr>
        <w:pStyle w:val="BodyText"/>
        <w:spacing w:before="11"/>
        <w:rPr>
          <w:sz w:val="19"/>
        </w:rPr>
      </w:pPr>
    </w:p>
    <w:p>
      <w:pPr>
        <w:pStyle w:val="ListParagraph"/>
        <w:numPr>
          <w:ilvl w:val="1"/>
          <w:numId w:val="72"/>
        </w:numPr>
        <w:tabs>
          <w:tab w:pos="1927" w:val="left" w:leader="none"/>
          <w:tab w:pos="1928" w:val="left" w:leader="none"/>
        </w:tabs>
        <w:spacing w:line="235" w:lineRule="auto" w:before="0" w:after="0"/>
        <w:ind w:left="1247" w:right="1896" w:firstLine="0"/>
        <w:jc w:val="left"/>
        <w:rPr>
          <w:sz w:val="20"/>
        </w:rPr>
      </w:pPr>
      <w:r>
        <w:rPr>
          <w:w w:val="120"/>
          <w:sz w:val="20"/>
        </w:rPr>
        <w:t>However, the Synod of Scotland said that ordained local ministry was not necessarily the answer. It was felt that the transition from Churches of Christ presiding elders </w:t>
      </w:r>
      <w:r>
        <w:rPr>
          <w:spacing w:val="-4"/>
          <w:w w:val="120"/>
          <w:sz w:val="20"/>
        </w:rPr>
        <w:t>(see </w:t>
      </w:r>
      <w:r>
        <w:rPr>
          <w:w w:val="120"/>
          <w:sz w:val="20"/>
        </w:rPr>
        <w:t>the appendix) to auxiliary ministers, with all the demands of training </w:t>
      </w:r>
      <w:r>
        <w:rPr>
          <w:spacing w:val="-5"/>
          <w:w w:val="120"/>
          <w:sz w:val="20"/>
        </w:rPr>
        <w:t>(now </w:t>
      </w:r>
      <w:r>
        <w:rPr>
          <w:w w:val="120"/>
          <w:sz w:val="20"/>
        </w:rPr>
        <w:t>essentially identical to those for stipendiary ministry) on what are now ‘non-stipendiary </w:t>
      </w:r>
      <w:r>
        <w:rPr>
          <w:spacing w:val="-3"/>
          <w:w w:val="120"/>
          <w:sz w:val="20"/>
        </w:rPr>
        <w:t>ministers’, </w:t>
      </w:r>
      <w:r>
        <w:rPr>
          <w:w w:val="120"/>
          <w:sz w:val="20"/>
        </w:rPr>
        <w:t>had discouraged many from offering a local ministry of Word and sacrament. The demands of </w:t>
      </w:r>
      <w:r>
        <w:rPr>
          <w:spacing w:val="2"/>
          <w:w w:val="120"/>
          <w:sz w:val="20"/>
        </w:rPr>
        <w:t>extra </w:t>
      </w:r>
      <w:r>
        <w:rPr>
          <w:w w:val="120"/>
          <w:sz w:val="20"/>
        </w:rPr>
        <w:t>training inherent in the Church of Scotland ordained local ministry model could equally jeopardise the relationship between lay preachers and the local congregations whom they have got to know well over the years, and put off</w:t>
      </w:r>
      <w:r>
        <w:rPr>
          <w:spacing w:val="44"/>
          <w:w w:val="120"/>
          <w:sz w:val="20"/>
        </w:rPr>
        <w:t> </w:t>
      </w:r>
      <w:r>
        <w:rPr>
          <w:w w:val="120"/>
          <w:sz w:val="20"/>
        </w:rPr>
        <w:t>others</w:t>
      </w:r>
    </w:p>
    <w:p>
      <w:pPr>
        <w:pStyle w:val="BodyText"/>
        <w:spacing w:line="235" w:lineRule="auto" w:before="6"/>
        <w:ind w:left="1247" w:right="2004"/>
      </w:pPr>
      <w:r>
        <w:rPr>
          <w:w w:val="120"/>
        </w:rPr>
        <w:t>from developing such relationships, thus repeating the mistake originally made when presiding elders morphed into ministers. Age might also prove a bar for such transitions to be feasible.</w:t>
      </w:r>
    </w:p>
    <w:p>
      <w:pPr>
        <w:pStyle w:val="BodyText"/>
        <w:spacing w:before="11"/>
        <w:rPr>
          <w:sz w:val="19"/>
        </w:rPr>
      </w:pPr>
    </w:p>
    <w:p>
      <w:pPr>
        <w:pStyle w:val="ListParagraph"/>
        <w:numPr>
          <w:ilvl w:val="1"/>
          <w:numId w:val="72"/>
        </w:numPr>
        <w:tabs>
          <w:tab w:pos="1927" w:val="left" w:leader="none"/>
          <w:tab w:pos="1928" w:val="left" w:leader="none"/>
        </w:tabs>
        <w:spacing w:line="235" w:lineRule="auto" w:before="0" w:after="0"/>
        <w:ind w:left="1247" w:right="1918" w:firstLine="0"/>
        <w:jc w:val="left"/>
        <w:rPr>
          <w:sz w:val="20"/>
        </w:rPr>
      </w:pPr>
      <w:r>
        <w:rPr>
          <w:w w:val="120"/>
          <w:sz w:val="20"/>
        </w:rPr>
        <w:t>Papers were exchanged between the reference group and the Synod of Scotland. A meeting held between representatives of each concluded: “We all recognise that the United Reformed Church has a problem, that the pattern of our ministry is not fitting the needs of the churches, and indeed the communities we serve.”</w:t>
      </w:r>
      <w:r>
        <w:rPr>
          <w:spacing w:val="23"/>
          <w:w w:val="120"/>
          <w:sz w:val="20"/>
        </w:rPr>
        <w:t> </w:t>
      </w:r>
      <w:r>
        <w:rPr>
          <w:w w:val="120"/>
          <w:sz w:val="20"/>
          <w:vertAlign w:val="superscript"/>
        </w:rPr>
        <w:t>6</w:t>
      </w:r>
    </w:p>
    <w:p>
      <w:pPr>
        <w:pStyle w:val="Heading4"/>
        <w:numPr>
          <w:ilvl w:val="0"/>
          <w:numId w:val="72"/>
        </w:numPr>
        <w:tabs>
          <w:tab w:pos="1927" w:val="left" w:leader="none"/>
          <w:tab w:pos="1928" w:val="left" w:leader="none"/>
        </w:tabs>
        <w:spacing w:line="240" w:lineRule="auto" w:before="215" w:after="0"/>
        <w:ind w:left="1927" w:right="0" w:hanging="681"/>
        <w:jc w:val="left"/>
      </w:pPr>
      <w:r>
        <w:rPr>
          <w:spacing w:val="4"/>
          <w:w w:val="110"/>
        </w:rPr>
        <w:t>The</w:t>
      </w:r>
      <w:r>
        <w:rPr>
          <w:spacing w:val="12"/>
          <w:w w:val="110"/>
        </w:rPr>
        <w:t> </w:t>
      </w:r>
      <w:r>
        <w:rPr>
          <w:spacing w:val="4"/>
          <w:w w:val="110"/>
        </w:rPr>
        <w:t>difficulty</w:t>
      </w:r>
    </w:p>
    <w:p>
      <w:pPr>
        <w:pStyle w:val="ListParagraph"/>
        <w:numPr>
          <w:ilvl w:val="1"/>
          <w:numId w:val="72"/>
        </w:numPr>
        <w:tabs>
          <w:tab w:pos="1927" w:val="left" w:leader="none"/>
          <w:tab w:pos="1928" w:val="left" w:leader="none"/>
        </w:tabs>
        <w:spacing w:line="235" w:lineRule="auto" w:before="69" w:after="0"/>
        <w:ind w:left="1247" w:right="2097" w:firstLine="0"/>
        <w:jc w:val="left"/>
        <w:rPr>
          <w:sz w:val="20"/>
        </w:rPr>
      </w:pPr>
      <w:r>
        <w:rPr>
          <w:w w:val="120"/>
          <w:sz w:val="20"/>
        </w:rPr>
        <w:t>But though the difficulty was easily recognised, as with many other questions, we in the United Reformed Church hold in good faith a spectrum of views as to how to categorise or resolve it. While the Wessex resolution exemplifies the desire of many</w:t>
      </w:r>
      <w:r>
        <w:rPr>
          <w:spacing w:val="-17"/>
          <w:w w:val="120"/>
          <w:sz w:val="20"/>
        </w:rPr>
        <w:t> </w:t>
      </w:r>
      <w:r>
        <w:rPr>
          <w:w w:val="120"/>
          <w:sz w:val="20"/>
        </w:rPr>
        <w:t>in</w:t>
      </w:r>
    </w:p>
    <w:p>
      <w:pPr>
        <w:pStyle w:val="BodyText"/>
        <w:spacing w:line="235" w:lineRule="auto" w:before="2"/>
        <w:ind w:left="1247" w:right="1895"/>
        <w:jc w:val="both"/>
      </w:pPr>
      <w:r>
        <w:rPr>
          <w:w w:val="120"/>
        </w:rPr>
        <w:t>our churches to do things ‘decently and in order’, the discussion above, catalysed by the Synod of Scotland, demonstrates an equally strong desire to take seriously the role of the whole people of God in sacramental leadership.</w:t>
      </w:r>
    </w:p>
    <w:p>
      <w:pPr>
        <w:spacing w:after="0" w:line="235" w:lineRule="auto"/>
        <w:jc w:val="both"/>
        <w:sectPr>
          <w:headerReference w:type="even" r:id="rId287"/>
          <w:pgSz w:w="11910" w:h="16840"/>
          <w:pgMar w:header="0" w:footer="647" w:top="0" w:bottom="840" w:left="0" w:right="0"/>
        </w:sectPr>
      </w:pPr>
    </w:p>
    <w:p>
      <w:pPr>
        <w:pStyle w:val="BodyText"/>
      </w:pPr>
      <w:r>
        <w:rPr/>
        <w:drawing>
          <wp:anchor distT="0" distB="0" distL="0" distR="0" allowOverlap="1" layoutInCell="1" locked="0" behindDoc="0" simplePos="0" relativeHeight="251988992">
            <wp:simplePos x="0" y="0"/>
            <wp:positionH relativeFrom="page">
              <wp:posOffset>6974928</wp:posOffset>
            </wp:positionH>
            <wp:positionV relativeFrom="page">
              <wp:posOffset>0</wp:posOffset>
            </wp:positionV>
            <wp:extent cx="585063" cy="10692003"/>
            <wp:effectExtent l="0" t="0" r="0" b="0"/>
            <wp:wrapNone/>
            <wp:docPr id="227" name="image25.png"/>
            <wp:cNvGraphicFramePr>
              <a:graphicFrameLocks noChangeAspect="1"/>
            </wp:cNvGraphicFramePr>
            <a:graphic>
              <a:graphicData uri="http://schemas.openxmlformats.org/drawingml/2006/picture">
                <pic:pic>
                  <pic:nvPicPr>
                    <pic:cNvPr id="228" name="image25.png"/>
                    <pic:cNvPicPr/>
                  </pic:nvPicPr>
                  <pic:blipFill>
                    <a:blip r:embed="rId192"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pStyle w:val="Heading5"/>
        <w:ind w:left="0" w:right="1245"/>
        <w:jc w:val="right"/>
      </w:pPr>
      <w:r>
        <w:rPr/>
        <w:pict>
          <v:shape style="position:absolute;margin-left:554.141174pt;margin-top:22.593945pt;width:25.9pt;height:239.8pt;mso-position-horizontal-relative:page;mso-position-vertical-relative:paragraph;z-index:251990016" type="#_x0000_t202" filled="false" stroked="false">
            <v:textbox inset="0,0,0,0" style="layout-flow:vertical">
              <w:txbxContent>
                <w:p>
                  <w:pPr>
                    <w:spacing w:before="27"/>
                    <w:ind w:left="20" w:right="0" w:firstLine="0"/>
                    <w:jc w:val="left"/>
                    <w:rPr>
                      <w:sz w:val="39"/>
                    </w:rPr>
                  </w:pPr>
                  <w:r>
                    <w:rPr>
                      <w:color w:val="FFFFFF"/>
                      <w:w w:val="120"/>
                      <w:sz w:val="39"/>
                    </w:rPr>
                    <w:t>Ordained local ministry</w:t>
                  </w:r>
                </w:p>
              </w:txbxContent>
            </v:textbox>
            <w10:wrap type="none"/>
          </v:shape>
        </w:pict>
      </w:r>
      <w:r>
        <w:rPr>
          <w:color w:val="7EAABF"/>
          <w:w w:val="115"/>
        </w:rPr>
        <w:t>Faith and order</w:t>
      </w:r>
    </w:p>
    <w:p>
      <w:pPr>
        <w:pStyle w:val="ListParagraph"/>
        <w:numPr>
          <w:ilvl w:val="1"/>
          <w:numId w:val="72"/>
        </w:numPr>
        <w:tabs>
          <w:tab w:pos="2664" w:val="left" w:leader="none"/>
          <w:tab w:pos="2665" w:val="left" w:leader="none"/>
        </w:tabs>
        <w:spacing w:line="235" w:lineRule="auto" w:before="222" w:after="0"/>
        <w:ind w:left="1984" w:right="1574" w:firstLine="0"/>
        <w:jc w:val="left"/>
        <w:rPr>
          <w:sz w:val="20"/>
        </w:rPr>
      </w:pPr>
      <w:r>
        <w:rPr>
          <w:w w:val="120"/>
          <w:sz w:val="20"/>
        </w:rPr>
        <w:t>The interpretation of the phrase </w:t>
      </w:r>
      <w:r>
        <w:rPr>
          <w:spacing w:val="-3"/>
          <w:w w:val="120"/>
          <w:sz w:val="20"/>
        </w:rPr>
        <w:t>‘pastoral </w:t>
      </w:r>
      <w:r>
        <w:rPr>
          <w:w w:val="120"/>
          <w:sz w:val="20"/>
        </w:rPr>
        <w:t>necessity’ in the current criteria for authorisation of </w:t>
      </w:r>
      <w:r>
        <w:rPr>
          <w:spacing w:val="-2"/>
          <w:w w:val="120"/>
          <w:sz w:val="20"/>
        </w:rPr>
        <w:t>lay </w:t>
      </w:r>
      <w:r>
        <w:rPr>
          <w:w w:val="120"/>
          <w:sz w:val="20"/>
        </w:rPr>
        <w:t>presidency at </w:t>
      </w:r>
      <w:r>
        <w:rPr>
          <w:spacing w:val="-3"/>
          <w:w w:val="120"/>
          <w:sz w:val="20"/>
        </w:rPr>
        <w:t>Communion </w:t>
      </w:r>
      <w:r>
        <w:rPr>
          <w:spacing w:val="-4"/>
          <w:w w:val="120"/>
          <w:sz w:val="20"/>
        </w:rPr>
        <w:t>(resolution </w:t>
      </w:r>
      <w:r>
        <w:rPr>
          <w:spacing w:val="-7"/>
          <w:w w:val="120"/>
          <w:sz w:val="20"/>
        </w:rPr>
        <w:t>10 </w:t>
      </w:r>
      <w:r>
        <w:rPr>
          <w:w w:val="120"/>
          <w:sz w:val="20"/>
        </w:rPr>
        <w:t>of Assembly </w:t>
      </w:r>
      <w:r>
        <w:rPr>
          <w:spacing w:val="-6"/>
          <w:w w:val="120"/>
          <w:sz w:val="20"/>
        </w:rPr>
        <w:t>1998 </w:t>
      </w:r>
      <w:r>
        <w:rPr>
          <w:spacing w:val="-8"/>
          <w:w w:val="120"/>
          <w:sz w:val="20"/>
          <w:vertAlign w:val="superscript"/>
        </w:rPr>
        <w:t>7</w:t>
      </w:r>
      <w:r>
        <w:rPr>
          <w:spacing w:val="-8"/>
          <w:w w:val="120"/>
          <w:sz w:val="20"/>
          <w:vertAlign w:val="baseline"/>
        </w:rPr>
        <w:t>) </w:t>
      </w:r>
      <w:r>
        <w:rPr>
          <w:w w:val="120"/>
          <w:sz w:val="20"/>
          <w:vertAlign w:val="baseline"/>
        </w:rPr>
        <w:t>exemplifies the tension between different understandings of ‘normal’ practice  within our churches: </w:t>
      </w:r>
      <w:r>
        <w:rPr>
          <w:spacing w:val="-7"/>
          <w:w w:val="120"/>
          <w:sz w:val="20"/>
          <w:vertAlign w:val="baseline"/>
        </w:rPr>
        <w:t>“A </w:t>
      </w:r>
      <w:r>
        <w:rPr>
          <w:w w:val="120"/>
          <w:sz w:val="20"/>
          <w:vertAlign w:val="baseline"/>
        </w:rPr>
        <w:t>pastoral dimension has been understood to mean </w:t>
      </w:r>
      <w:r>
        <w:rPr>
          <w:spacing w:val="-7"/>
          <w:w w:val="120"/>
          <w:sz w:val="20"/>
          <w:vertAlign w:val="baseline"/>
        </w:rPr>
        <w:t>a) </w:t>
      </w:r>
      <w:r>
        <w:rPr>
          <w:w w:val="120"/>
          <w:sz w:val="20"/>
          <w:vertAlign w:val="baseline"/>
        </w:rPr>
        <w:t>in cases of pastoral need and </w:t>
      </w:r>
      <w:r>
        <w:rPr>
          <w:spacing w:val="-8"/>
          <w:w w:val="120"/>
          <w:sz w:val="20"/>
          <w:vertAlign w:val="baseline"/>
        </w:rPr>
        <w:t>b) </w:t>
      </w:r>
      <w:r>
        <w:rPr>
          <w:w w:val="120"/>
          <w:sz w:val="20"/>
          <w:vertAlign w:val="baseline"/>
        </w:rPr>
        <w:t>by those who had a pastoral relationship with the church concerned. In some </w:t>
      </w:r>
      <w:r>
        <w:rPr>
          <w:spacing w:val="2"/>
          <w:w w:val="120"/>
          <w:sz w:val="20"/>
          <w:vertAlign w:val="baseline"/>
        </w:rPr>
        <w:t>parts </w:t>
      </w:r>
      <w:r>
        <w:rPr>
          <w:w w:val="120"/>
          <w:sz w:val="20"/>
          <w:vertAlign w:val="baseline"/>
        </w:rPr>
        <w:t>of the United Reformed Church the necessary pastoral dimension in lay presidency has been interpreted more in terms of the pastoral</w:t>
      </w:r>
      <w:r>
        <w:rPr>
          <w:spacing w:val="35"/>
          <w:w w:val="120"/>
          <w:sz w:val="20"/>
          <w:vertAlign w:val="baseline"/>
        </w:rPr>
        <w:t> </w:t>
      </w:r>
      <w:r>
        <w:rPr>
          <w:w w:val="120"/>
          <w:sz w:val="20"/>
          <w:vertAlign w:val="baseline"/>
        </w:rPr>
        <w:t>need</w:t>
      </w:r>
    </w:p>
    <w:p>
      <w:pPr>
        <w:pStyle w:val="BodyText"/>
        <w:spacing w:line="235" w:lineRule="auto" w:before="5"/>
        <w:ind w:left="1984" w:right="1352"/>
      </w:pPr>
      <w:r>
        <w:rPr>
          <w:w w:val="120"/>
        </w:rPr>
        <w:t>(which has made it an exception) and in other parts of the Church more in terms of the pastoral relationship (which has made it more commonplace).” </w:t>
      </w:r>
      <w:r>
        <w:rPr>
          <w:w w:val="120"/>
          <w:vertAlign w:val="superscript"/>
        </w:rPr>
        <w:t>8</w:t>
      </w:r>
    </w:p>
    <w:p>
      <w:pPr>
        <w:pStyle w:val="Heading4"/>
        <w:numPr>
          <w:ilvl w:val="0"/>
          <w:numId w:val="72"/>
        </w:numPr>
        <w:tabs>
          <w:tab w:pos="2664" w:val="left" w:leader="none"/>
          <w:tab w:pos="2665" w:val="left" w:leader="none"/>
        </w:tabs>
        <w:spacing w:line="240" w:lineRule="auto" w:before="214" w:after="0"/>
        <w:ind w:left="2664" w:right="0" w:hanging="681"/>
        <w:jc w:val="left"/>
      </w:pPr>
      <w:r>
        <w:rPr>
          <w:spacing w:val="4"/>
          <w:w w:val="110"/>
        </w:rPr>
        <w:t>The</w:t>
      </w:r>
      <w:r>
        <w:rPr>
          <w:spacing w:val="12"/>
          <w:w w:val="110"/>
        </w:rPr>
        <w:t> </w:t>
      </w:r>
      <w:r>
        <w:rPr>
          <w:spacing w:val="4"/>
          <w:w w:val="110"/>
        </w:rPr>
        <w:t>history</w:t>
      </w:r>
    </w:p>
    <w:p>
      <w:pPr>
        <w:pStyle w:val="ListParagraph"/>
        <w:numPr>
          <w:ilvl w:val="1"/>
          <w:numId w:val="72"/>
        </w:numPr>
        <w:tabs>
          <w:tab w:pos="2664" w:val="left" w:leader="none"/>
          <w:tab w:pos="2665" w:val="left" w:leader="none"/>
        </w:tabs>
        <w:spacing w:line="235" w:lineRule="auto" w:before="69" w:after="0"/>
        <w:ind w:left="1984" w:right="1783" w:firstLine="0"/>
        <w:jc w:val="left"/>
        <w:rPr>
          <w:sz w:val="20"/>
        </w:rPr>
      </w:pPr>
      <w:r>
        <w:rPr>
          <w:w w:val="120"/>
          <w:sz w:val="20"/>
        </w:rPr>
        <w:t>These conflicting understandings of what is ‘normal’ have deep roots in our pre-union</w:t>
      </w:r>
      <w:r>
        <w:rPr>
          <w:spacing w:val="2"/>
          <w:w w:val="120"/>
          <w:sz w:val="20"/>
        </w:rPr>
        <w:t> </w:t>
      </w:r>
      <w:r>
        <w:rPr>
          <w:w w:val="120"/>
          <w:sz w:val="20"/>
        </w:rPr>
        <w:t>traditions.</w:t>
      </w:r>
    </w:p>
    <w:p>
      <w:pPr>
        <w:pStyle w:val="BodyText"/>
        <w:spacing w:before="9"/>
        <w:rPr>
          <w:sz w:val="19"/>
        </w:rPr>
      </w:pPr>
    </w:p>
    <w:p>
      <w:pPr>
        <w:pStyle w:val="ListParagraph"/>
        <w:numPr>
          <w:ilvl w:val="1"/>
          <w:numId w:val="72"/>
        </w:numPr>
        <w:tabs>
          <w:tab w:pos="2664" w:val="left" w:leader="none"/>
          <w:tab w:pos="2665" w:val="left" w:leader="none"/>
        </w:tabs>
        <w:spacing w:line="235" w:lineRule="auto" w:before="0" w:after="0"/>
        <w:ind w:left="1984" w:right="1406" w:firstLine="0"/>
        <w:jc w:val="left"/>
        <w:rPr>
          <w:sz w:val="20"/>
        </w:rPr>
      </w:pPr>
      <w:r>
        <w:rPr>
          <w:w w:val="120"/>
          <w:sz w:val="20"/>
        </w:rPr>
        <w:t>“The Churches of Christ had both deacons and elders but only the elders were ordained to Word and sacrament. Under the Union [in </w:t>
      </w:r>
      <w:r>
        <w:rPr>
          <w:spacing w:val="-8"/>
          <w:w w:val="120"/>
          <w:sz w:val="20"/>
        </w:rPr>
        <w:t>1981], </w:t>
      </w:r>
      <w:r>
        <w:rPr>
          <w:w w:val="120"/>
          <w:sz w:val="20"/>
        </w:rPr>
        <w:t>elders became auxiliary ministers gradually morphing into the present title of non-stipendiary minister. In the Churches of Christ, elders were elected by the congregation and formed </w:t>
      </w:r>
      <w:r>
        <w:rPr>
          <w:spacing w:val="2"/>
          <w:w w:val="120"/>
          <w:sz w:val="20"/>
        </w:rPr>
        <w:t>part </w:t>
      </w:r>
      <w:r>
        <w:rPr>
          <w:w w:val="120"/>
          <w:sz w:val="20"/>
        </w:rPr>
        <w:t>of a   team ministry, leading worship including presiding at Communion and involved in the pastoral care of the congregation.”</w:t>
      </w:r>
      <w:r>
        <w:rPr>
          <w:spacing w:val="10"/>
          <w:w w:val="120"/>
          <w:sz w:val="20"/>
        </w:rPr>
        <w:t> </w:t>
      </w:r>
      <w:r>
        <w:rPr>
          <w:w w:val="120"/>
          <w:sz w:val="20"/>
          <w:vertAlign w:val="superscript"/>
        </w:rPr>
        <w:t>9</w:t>
      </w:r>
    </w:p>
    <w:p>
      <w:pPr>
        <w:pStyle w:val="ListParagraph"/>
        <w:numPr>
          <w:ilvl w:val="1"/>
          <w:numId w:val="72"/>
        </w:numPr>
        <w:tabs>
          <w:tab w:pos="2664" w:val="left" w:leader="none"/>
          <w:tab w:pos="2665" w:val="left" w:leader="none"/>
        </w:tabs>
        <w:spacing w:line="235" w:lineRule="auto" w:before="245" w:after="0"/>
        <w:ind w:left="1984" w:right="1245" w:firstLine="0"/>
        <w:jc w:val="left"/>
        <w:rPr>
          <w:sz w:val="20"/>
        </w:rPr>
      </w:pPr>
      <w:r>
        <w:rPr>
          <w:w w:val="120"/>
          <w:sz w:val="20"/>
        </w:rPr>
        <w:t>“Moreover, in the Congregational tradition, lay presidency at the sacraments   had been exercised and received as a </w:t>
      </w:r>
      <w:r>
        <w:rPr>
          <w:spacing w:val="2"/>
          <w:w w:val="120"/>
          <w:sz w:val="20"/>
        </w:rPr>
        <w:t>gift </w:t>
      </w:r>
      <w:r>
        <w:rPr>
          <w:w w:val="120"/>
          <w:sz w:val="20"/>
        </w:rPr>
        <w:t>to congregations for decades by the time the United Reformed Church was formed. There were different historic reasons for this: ‘In the </w:t>
      </w:r>
      <w:r>
        <w:rPr>
          <w:spacing w:val="-4"/>
          <w:w w:val="120"/>
          <w:sz w:val="20"/>
        </w:rPr>
        <w:t>19th </w:t>
      </w:r>
      <w:r>
        <w:rPr>
          <w:w w:val="120"/>
          <w:sz w:val="20"/>
        </w:rPr>
        <w:t>Century – the period of most rapid growth – the celebration of the sacraments was very much less frequent than it subsequently became… In the 20th Century, </w:t>
      </w:r>
      <w:r>
        <w:rPr>
          <w:spacing w:val="-3"/>
          <w:w w:val="120"/>
          <w:sz w:val="20"/>
        </w:rPr>
        <w:t>however, </w:t>
      </w:r>
      <w:r>
        <w:rPr>
          <w:w w:val="120"/>
          <w:sz w:val="20"/>
        </w:rPr>
        <w:t>a gradual change took place… in the incorporation of Communion into the main service, rather than being an ‘after-service’ for the faithful </w:t>
      </w:r>
      <w:r>
        <w:rPr>
          <w:spacing w:val="-3"/>
          <w:w w:val="120"/>
          <w:sz w:val="20"/>
        </w:rPr>
        <w:t>few. </w:t>
      </w:r>
      <w:r>
        <w:rPr>
          <w:w w:val="120"/>
          <w:sz w:val="20"/>
        </w:rPr>
        <w:t>Thus, by the </w:t>
      </w:r>
      <w:r>
        <w:rPr>
          <w:spacing w:val="-3"/>
          <w:w w:val="120"/>
          <w:sz w:val="20"/>
        </w:rPr>
        <w:t>1960s, </w:t>
      </w:r>
      <w:r>
        <w:rPr>
          <w:w w:val="120"/>
          <w:sz w:val="20"/>
        </w:rPr>
        <w:t>the expectation that lay preachers would preside, assisted by the publication of service books from the </w:t>
      </w:r>
      <w:r>
        <w:rPr>
          <w:spacing w:val="-5"/>
          <w:w w:val="120"/>
          <w:sz w:val="20"/>
        </w:rPr>
        <w:t>1930s </w:t>
      </w:r>
      <w:r>
        <w:rPr>
          <w:w w:val="120"/>
          <w:sz w:val="20"/>
        </w:rPr>
        <w:t>onwards, had </w:t>
      </w:r>
      <w:r>
        <w:rPr>
          <w:spacing w:val="-3"/>
          <w:w w:val="120"/>
          <w:sz w:val="20"/>
        </w:rPr>
        <w:t>grown.”</w:t>
      </w:r>
      <w:r>
        <w:rPr>
          <w:spacing w:val="24"/>
          <w:w w:val="120"/>
          <w:sz w:val="20"/>
        </w:rPr>
        <w:t> </w:t>
      </w:r>
      <w:r>
        <w:rPr>
          <w:spacing w:val="-6"/>
          <w:w w:val="120"/>
          <w:sz w:val="20"/>
          <w:vertAlign w:val="superscript"/>
        </w:rPr>
        <w:t>10</w:t>
      </w:r>
    </w:p>
    <w:p>
      <w:pPr>
        <w:pStyle w:val="BodyText"/>
        <w:spacing w:before="2"/>
      </w:pPr>
    </w:p>
    <w:p>
      <w:pPr>
        <w:pStyle w:val="ListParagraph"/>
        <w:numPr>
          <w:ilvl w:val="1"/>
          <w:numId w:val="72"/>
        </w:numPr>
        <w:tabs>
          <w:tab w:pos="2664" w:val="left" w:leader="none"/>
          <w:tab w:pos="2665" w:val="left" w:leader="none"/>
        </w:tabs>
        <w:spacing w:line="235" w:lineRule="auto" w:before="0" w:after="0"/>
        <w:ind w:left="1984" w:right="1454" w:firstLine="0"/>
        <w:jc w:val="left"/>
        <w:rPr>
          <w:sz w:val="20"/>
        </w:rPr>
      </w:pPr>
      <w:r>
        <w:rPr>
          <w:w w:val="120"/>
          <w:sz w:val="20"/>
        </w:rPr>
        <w:t>While the statement concerning the nature, faith and order of the United Reformed Church makes it clear that we are not bound by the past, but must follow Christ wherever he leads, we need some understanding of our different histories if we are to take into consideration the viewpoints of</w:t>
      </w:r>
      <w:r>
        <w:rPr>
          <w:spacing w:val="12"/>
          <w:w w:val="120"/>
          <w:sz w:val="20"/>
        </w:rPr>
        <w:t> </w:t>
      </w:r>
      <w:r>
        <w:rPr>
          <w:w w:val="120"/>
          <w:sz w:val="20"/>
        </w:rPr>
        <w:t>others.</w:t>
      </w:r>
    </w:p>
    <w:p>
      <w:pPr>
        <w:pStyle w:val="Heading4"/>
        <w:numPr>
          <w:ilvl w:val="0"/>
          <w:numId w:val="72"/>
        </w:numPr>
        <w:tabs>
          <w:tab w:pos="2664" w:val="left" w:leader="none"/>
          <w:tab w:pos="2665" w:val="left" w:leader="none"/>
        </w:tabs>
        <w:spacing w:line="240" w:lineRule="auto" w:before="215" w:after="0"/>
        <w:ind w:left="2664" w:right="0" w:hanging="681"/>
        <w:jc w:val="left"/>
      </w:pPr>
      <w:r>
        <w:rPr>
          <w:spacing w:val="4"/>
          <w:w w:val="110"/>
        </w:rPr>
        <w:t>The</w:t>
      </w:r>
      <w:r>
        <w:rPr>
          <w:spacing w:val="12"/>
          <w:w w:val="110"/>
        </w:rPr>
        <w:t> </w:t>
      </w:r>
      <w:r>
        <w:rPr>
          <w:spacing w:val="4"/>
          <w:w w:val="110"/>
        </w:rPr>
        <w:t>theology</w:t>
      </w:r>
    </w:p>
    <w:p>
      <w:pPr>
        <w:pStyle w:val="ListParagraph"/>
        <w:numPr>
          <w:ilvl w:val="1"/>
          <w:numId w:val="72"/>
        </w:numPr>
        <w:tabs>
          <w:tab w:pos="2664" w:val="left" w:leader="none"/>
          <w:tab w:pos="2665" w:val="left" w:leader="none"/>
        </w:tabs>
        <w:spacing w:line="235" w:lineRule="auto" w:before="69" w:after="0"/>
        <w:ind w:left="1984" w:right="1306" w:firstLine="0"/>
        <w:jc w:val="left"/>
        <w:rPr>
          <w:sz w:val="20"/>
        </w:rPr>
      </w:pPr>
      <w:r>
        <w:rPr>
          <w:w w:val="120"/>
          <w:sz w:val="20"/>
        </w:rPr>
        <w:t>All </w:t>
      </w:r>
      <w:r>
        <w:rPr>
          <w:spacing w:val="-3"/>
          <w:w w:val="120"/>
          <w:sz w:val="20"/>
        </w:rPr>
        <w:t>Church </w:t>
      </w:r>
      <w:r>
        <w:rPr>
          <w:w w:val="120"/>
          <w:sz w:val="20"/>
        </w:rPr>
        <w:t>traditions claim a biblical pattern for the forms and orders of ministry that they establish. One </w:t>
      </w:r>
      <w:r>
        <w:rPr>
          <w:spacing w:val="-3"/>
          <w:w w:val="120"/>
          <w:sz w:val="20"/>
        </w:rPr>
        <w:t>key </w:t>
      </w:r>
      <w:r>
        <w:rPr>
          <w:w w:val="120"/>
          <w:sz w:val="20"/>
        </w:rPr>
        <w:t>text in all our traditions has been </w:t>
      </w:r>
      <w:r>
        <w:rPr>
          <w:spacing w:val="-3"/>
          <w:w w:val="120"/>
          <w:sz w:val="20"/>
        </w:rPr>
        <w:t>Ephesians </w:t>
      </w:r>
      <w:r>
        <w:rPr>
          <w:spacing w:val="-4"/>
          <w:w w:val="120"/>
          <w:sz w:val="20"/>
        </w:rPr>
        <w:t>4. </w:t>
      </w:r>
      <w:r>
        <w:rPr>
          <w:w w:val="120"/>
          <w:sz w:val="20"/>
        </w:rPr>
        <w:t>Of the gifts that</w:t>
      </w:r>
      <w:r>
        <w:rPr>
          <w:spacing w:val="-7"/>
          <w:w w:val="120"/>
          <w:sz w:val="20"/>
        </w:rPr>
        <w:t> </w:t>
      </w:r>
      <w:r>
        <w:rPr>
          <w:w w:val="120"/>
          <w:sz w:val="20"/>
        </w:rPr>
        <w:t>are</w:t>
      </w:r>
      <w:r>
        <w:rPr>
          <w:spacing w:val="-6"/>
          <w:w w:val="120"/>
          <w:sz w:val="20"/>
        </w:rPr>
        <w:t> </w:t>
      </w:r>
      <w:r>
        <w:rPr>
          <w:spacing w:val="-3"/>
          <w:w w:val="120"/>
          <w:sz w:val="20"/>
        </w:rPr>
        <w:t>given,</w:t>
      </w:r>
      <w:r>
        <w:rPr>
          <w:spacing w:val="-6"/>
          <w:w w:val="120"/>
          <w:sz w:val="20"/>
        </w:rPr>
        <w:t> </w:t>
      </w:r>
      <w:r>
        <w:rPr>
          <w:spacing w:val="-3"/>
          <w:w w:val="120"/>
          <w:sz w:val="20"/>
        </w:rPr>
        <w:t>“some</w:t>
      </w:r>
      <w:r>
        <w:rPr>
          <w:spacing w:val="-6"/>
          <w:w w:val="120"/>
          <w:sz w:val="20"/>
        </w:rPr>
        <w:t> </w:t>
      </w:r>
      <w:r>
        <w:rPr>
          <w:spacing w:val="-3"/>
          <w:w w:val="120"/>
          <w:sz w:val="20"/>
        </w:rPr>
        <w:t>would</w:t>
      </w:r>
      <w:r>
        <w:rPr>
          <w:spacing w:val="-6"/>
          <w:w w:val="120"/>
          <w:sz w:val="20"/>
        </w:rPr>
        <w:t> </w:t>
      </w:r>
      <w:r>
        <w:rPr>
          <w:w w:val="120"/>
          <w:sz w:val="20"/>
        </w:rPr>
        <w:t>be</w:t>
      </w:r>
      <w:r>
        <w:rPr>
          <w:spacing w:val="-6"/>
          <w:w w:val="120"/>
          <w:sz w:val="20"/>
        </w:rPr>
        <w:t> </w:t>
      </w:r>
      <w:r>
        <w:rPr>
          <w:w w:val="120"/>
          <w:sz w:val="20"/>
        </w:rPr>
        <w:t>apostles,</w:t>
      </w:r>
      <w:r>
        <w:rPr>
          <w:spacing w:val="-6"/>
          <w:w w:val="120"/>
          <w:sz w:val="20"/>
        </w:rPr>
        <w:t> </w:t>
      </w:r>
      <w:r>
        <w:rPr>
          <w:w w:val="120"/>
          <w:sz w:val="20"/>
        </w:rPr>
        <w:t>some</w:t>
      </w:r>
      <w:r>
        <w:rPr>
          <w:spacing w:val="-6"/>
          <w:w w:val="120"/>
          <w:sz w:val="20"/>
        </w:rPr>
        <w:t> </w:t>
      </w:r>
      <w:r>
        <w:rPr>
          <w:w w:val="120"/>
          <w:sz w:val="20"/>
        </w:rPr>
        <w:t>prophets,</w:t>
      </w:r>
      <w:r>
        <w:rPr>
          <w:spacing w:val="-6"/>
          <w:w w:val="120"/>
          <w:sz w:val="20"/>
        </w:rPr>
        <w:t> </w:t>
      </w:r>
      <w:r>
        <w:rPr>
          <w:w w:val="120"/>
          <w:sz w:val="20"/>
        </w:rPr>
        <w:t>some</w:t>
      </w:r>
      <w:r>
        <w:rPr>
          <w:spacing w:val="-6"/>
          <w:w w:val="120"/>
          <w:sz w:val="20"/>
        </w:rPr>
        <w:t> </w:t>
      </w:r>
      <w:r>
        <w:rPr>
          <w:w w:val="120"/>
          <w:sz w:val="20"/>
        </w:rPr>
        <w:t>evangelists,</w:t>
      </w:r>
      <w:r>
        <w:rPr>
          <w:spacing w:val="-6"/>
          <w:w w:val="120"/>
          <w:sz w:val="20"/>
        </w:rPr>
        <w:t> </w:t>
      </w:r>
      <w:r>
        <w:rPr>
          <w:w w:val="120"/>
          <w:sz w:val="20"/>
        </w:rPr>
        <w:t>some</w:t>
      </w:r>
      <w:r>
        <w:rPr>
          <w:spacing w:val="-6"/>
          <w:w w:val="120"/>
          <w:sz w:val="20"/>
        </w:rPr>
        <w:t> </w:t>
      </w:r>
      <w:r>
        <w:rPr>
          <w:w w:val="120"/>
          <w:sz w:val="20"/>
        </w:rPr>
        <w:t>pastors and teachers, </w:t>
      </w:r>
      <w:r>
        <w:rPr>
          <w:spacing w:val="-3"/>
          <w:w w:val="120"/>
          <w:sz w:val="20"/>
        </w:rPr>
        <w:t>to </w:t>
      </w:r>
      <w:r>
        <w:rPr>
          <w:w w:val="120"/>
          <w:sz w:val="20"/>
        </w:rPr>
        <w:t>equip the saints for the work of </w:t>
      </w:r>
      <w:r>
        <w:rPr>
          <w:spacing w:val="-3"/>
          <w:w w:val="120"/>
          <w:sz w:val="20"/>
        </w:rPr>
        <w:t>ministry, </w:t>
      </w:r>
      <w:r>
        <w:rPr>
          <w:w w:val="120"/>
          <w:sz w:val="20"/>
        </w:rPr>
        <w:t>for building up the body of </w:t>
      </w:r>
      <w:r>
        <w:rPr>
          <w:spacing w:val="-4"/>
          <w:w w:val="120"/>
          <w:sz w:val="20"/>
        </w:rPr>
        <w:t>Christ.” </w:t>
      </w:r>
      <w:r>
        <w:rPr>
          <w:w w:val="120"/>
          <w:sz w:val="20"/>
        </w:rPr>
        <w:t>From </w:t>
      </w:r>
      <w:r>
        <w:rPr>
          <w:spacing w:val="-3"/>
          <w:w w:val="120"/>
          <w:sz w:val="20"/>
        </w:rPr>
        <w:t>this </w:t>
      </w:r>
      <w:r>
        <w:rPr>
          <w:w w:val="120"/>
          <w:sz w:val="20"/>
        </w:rPr>
        <w:t>text, Calvin argues that pastors and teachers are </w:t>
      </w:r>
      <w:r>
        <w:rPr>
          <w:spacing w:val="-3"/>
          <w:w w:val="120"/>
          <w:sz w:val="20"/>
        </w:rPr>
        <w:t>those </w:t>
      </w:r>
      <w:r>
        <w:rPr>
          <w:w w:val="120"/>
          <w:sz w:val="20"/>
        </w:rPr>
        <w:t>“whom the </w:t>
      </w:r>
      <w:r>
        <w:rPr>
          <w:spacing w:val="-3"/>
          <w:w w:val="120"/>
          <w:sz w:val="20"/>
        </w:rPr>
        <w:t>Church </w:t>
      </w:r>
      <w:r>
        <w:rPr>
          <w:w w:val="120"/>
          <w:sz w:val="20"/>
        </w:rPr>
        <w:t>can never go </w:t>
      </w:r>
      <w:r>
        <w:rPr>
          <w:spacing w:val="-4"/>
          <w:w w:val="120"/>
          <w:sz w:val="20"/>
        </w:rPr>
        <w:t>without.” </w:t>
      </w:r>
      <w:r>
        <w:rPr>
          <w:spacing w:val="-8"/>
          <w:w w:val="120"/>
          <w:sz w:val="20"/>
          <w:vertAlign w:val="superscript"/>
        </w:rPr>
        <w:t>11</w:t>
      </w:r>
      <w:r>
        <w:rPr>
          <w:spacing w:val="-8"/>
          <w:w w:val="120"/>
          <w:sz w:val="20"/>
          <w:vertAlign w:val="baseline"/>
        </w:rPr>
        <w:t> To </w:t>
      </w:r>
      <w:r>
        <w:rPr>
          <w:spacing w:val="-3"/>
          <w:w w:val="120"/>
          <w:sz w:val="20"/>
          <w:vertAlign w:val="baseline"/>
        </w:rPr>
        <w:t>this, </w:t>
      </w:r>
      <w:r>
        <w:rPr>
          <w:w w:val="120"/>
          <w:sz w:val="20"/>
          <w:vertAlign w:val="baseline"/>
        </w:rPr>
        <w:t>he adds the ministries of elder and </w:t>
      </w:r>
      <w:r>
        <w:rPr>
          <w:spacing w:val="-3"/>
          <w:w w:val="120"/>
          <w:sz w:val="20"/>
          <w:vertAlign w:val="baseline"/>
        </w:rPr>
        <w:t>deacon. </w:t>
      </w:r>
      <w:r>
        <w:rPr>
          <w:w w:val="120"/>
          <w:sz w:val="20"/>
          <w:vertAlign w:val="baseline"/>
        </w:rPr>
        <w:t>There is a claim of a biblical pattern for </w:t>
      </w:r>
      <w:r>
        <w:rPr>
          <w:spacing w:val="-3"/>
          <w:w w:val="120"/>
          <w:sz w:val="20"/>
          <w:vertAlign w:val="baseline"/>
        </w:rPr>
        <w:t>this ministry. </w:t>
      </w:r>
      <w:r>
        <w:rPr>
          <w:w w:val="120"/>
          <w:sz w:val="20"/>
          <w:vertAlign w:val="baseline"/>
        </w:rPr>
        <w:t>Nevertheless, some will argue that there is a sense of pragmatism </w:t>
      </w:r>
      <w:r>
        <w:rPr>
          <w:spacing w:val="-3"/>
          <w:w w:val="120"/>
          <w:sz w:val="20"/>
          <w:vertAlign w:val="baseline"/>
        </w:rPr>
        <w:t>within </w:t>
      </w:r>
      <w:r>
        <w:rPr>
          <w:w w:val="120"/>
          <w:sz w:val="20"/>
          <w:vertAlign w:val="baseline"/>
        </w:rPr>
        <w:t>the Reformed tradition </w:t>
      </w:r>
      <w:r>
        <w:rPr>
          <w:spacing w:val="-3"/>
          <w:w w:val="120"/>
          <w:sz w:val="20"/>
          <w:vertAlign w:val="baseline"/>
        </w:rPr>
        <w:t>such </w:t>
      </w:r>
      <w:r>
        <w:rPr>
          <w:w w:val="120"/>
          <w:sz w:val="20"/>
          <w:vertAlign w:val="baseline"/>
        </w:rPr>
        <w:t>that the ordering of our</w:t>
      </w:r>
      <w:r>
        <w:rPr>
          <w:spacing w:val="-4"/>
          <w:w w:val="120"/>
          <w:sz w:val="20"/>
          <w:vertAlign w:val="baseline"/>
        </w:rPr>
        <w:t> </w:t>
      </w:r>
      <w:r>
        <w:rPr>
          <w:w w:val="120"/>
          <w:sz w:val="20"/>
          <w:vertAlign w:val="baseline"/>
        </w:rPr>
        <w:t>ministries</w:t>
      </w:r>
      <w:r>
        <w:rPr>
          <w:spacing w:val="-4"/>
          <w:w w:val="120"/>
          <w:sz w:val="20"/>
          <w:vertAlign w:val="baseline"/>
        </w:rPr>
        <w:t> </w:t>
      </w:r>
      <w:r>
        <w:rPr>
          <w:w w:val="120"/>
          <w:sz w:val="20"/>
          <w:vertAlign w:val="baseline"/>
        </w:rPr>
        <w:t>is</w:t>
      </w:r>
      <w:r>
        <w:rPr>
          <w:spacing w:val="-3"/>
          <w:w w:val="120"/>
          <w:sz w:val="20"/>
          <w:vertAlign w:val="baseline"/>
        </w:rPr>
        <w:t> </w:t>
      </w:r>
      <w:r>
        <w:rPr>
          <w:w w:val="120"/>
          <w:sz w:val="20"/>
          <w:vertAlign w:val="baseline"/>
        </w:rPr>
        <w:t>in</w:t>
      </w:r>
      <w:r>
        <w:rPr>
          <w:spacing w:val="-4"/>
          <w:w w:val="120"/>
          <w:sz w:val="20"/>
          <w:vertAlign w:val="baseline"/>
        </w:rPr>
        <w:t> </w:t>
      </w:r>
      <w:r>
        <w:rPr>
          <w:w w:val="120"/>
          <w:sz w:val="20"/>
          <w:vertAlign w:val="baseline"/>
        </w:rPr>
        <w:t>principle</w:t>
      </w:r>
      <w:r>
        <w:rPr>
          <w:spacing w:val="-3"/>
          <w:w w:val="120"/>
          <w:sz w:val="20"/>
          <w:vertAlign w:val="baseline"/>
        </w:rPr>
        <w:t> </w:t>
      </w:r>
      <w:r>
        <w:rPr>
          <w:w w:val="120"/>
          <w:sz w:val="20"/>
          <w:vertAlign w:val="baseline"/>
        </w:rPr>
        <w:t>flexible</w:t>
      </w:r>
      <w:r>
        <w:rPr>
          <w:spacing w:val="-4"/>
          <w:w w:val="120"/>
          <w:sz w:val="20"/>
          <w:vertAlign w:val="baseline"/>
        </w:rPr>
        <w:t> </w:t>
      </w:r>
      <w:r>
        <w:rPr>
          <w:w w:val="120"/>
          <w:sz w:val="20"/>
          <w:vertAlign w:val="baseline"/>
        </w:rPr>
        <w:t>and</w:t>
      </w:r>
      <w:r>
        <w:rPr>
          <w:spacing w:val="-3"/>
          <w:w w:val="120"/>
          <w:sz w:val="20"/>
          <w:vertAlign w:val="baseline"/>
        </w:rPr>
        <w:t> contingent,</w:t>
      </w:r>
      <w:r>
        <w:rPr>
          <w:spacing w:val="-4"/>
          <w:w w:val="120"/>
          <w:sz w:val="20"/>
          <w:vertAlign w:val="baseline"/>
        </w:rPr>
        <w:t> </w:t>
      </w:r>
      <w:r>
        <w:rPr>
          <w:w w:val="120"/>
          <w:sz w:val="20"/>
          <w:vertAlign w:val="baseline"/>
        </w:rPr>
        <w:t>at</w:t>
      </w:r>
      <w:r>
        <w:rPr>
          <w:spacing w:val="-3"/>
          <w:w w:val="120"/>
          <w:sz w:val="20"/>
          <w:vertAlign w:val="baseline"/>
        </w:rPr>
        <w:t> </w:t>
      </w:r>
      <w:r>
        <w:rPr>
          <w:w w:val="120"/>
          <w:sz w:val="20"/>
          <w:vertAlign w:val="baseline"/>
        </w:rPr>
        <w:t>least</w:t>
      </w:r>
      <w:r>
        <w:rPr>
          <w:spacing w:val="-4"/>
          <w:w w:val="120"/>
          <w:sz w:val="20"/>
          <w:vertAlign w:val="baseline"/>
        </w:rPr>
        <w:t> </w:t>
      </w:r>
      <w:r>
        <w:rPr>
          <w:spacing w:val="-3"/>
          <w:w w:val="120"/>
          <w:sz w:val="20"/>
          <w:vertAlign w:val="baseline"/>
        </w:rPr>
        <w:t>to </w:t>
      </w:r>
      <w:r>
        <w:rPr>
          <w:w w:val="120"/>
          <w:sz w:val="20"/>
          <w:vertAlign w:val="baseline"/>
        </w:rPr>
        <w:t>an</w:t>
      </w:r>
      <w:r>
        <w:rPr>
          <w:spacing w:val="-4"/>
          <w:w w:val="120"/>
          <w:sz w:val="20"/>
          <w:vertAlign w:val="baseline"/>
        </w:rPr>
        <w:t> </w:t>
      </w:r>
      <w:r>
        <w:rPr>
          <w:w w:val="120"/>
          <w:sz w:val="20"/>
          <w:vertAlign w:val="baseline"/>
        </w:rPr>
        <w:t>extent.</w:t>
      </w:r>
      <w:r>
        <w:rPr>
          <w:spacing w:val="-3"/>
          <w:w w:val="120"/>
          <w:sz w:val="20"/>
          <w:vertAlign w:val="baseline"/>
        </w:rPr>
        <w:t> </w:t>
      </w:r>
      <w:r>
        <w:rPr>
          <w:spacing w:val="-12"/>
          <w:w w:val="120"/>
          <w:sz w:val="20"/>
          <w:vertAlign w:val="superscript"/>
        </w:rPr>
        <w:t>12</w:t>
      </w:r>
    </w:p>
    <w:p>
      <w:pPr>
        <w:pStyle w:val="BodyText"/>
        <w:spacing w:before="3"/>
      </w:pPr>
    </w:p>
    <w:p>
      <w:pPr>
        <w:pStyle w:val="ListParagraph"/>
        <w:numPr>
          <w:ilvl w:val="1"/>
          <w:numId w:val="72"/>
        </w:numPr>
        <w:tabs>
          <w:tab w:pos="2664" w:val="left" w:leader="none"/>
          <w:tab w:pos="2665" w:val="left" w:leader="none"/>
        </w:tabs>
        <w:spacing w:line="235" w:lineRule="auto" w:before="0" w:after="0"/>
        <w:ind w:left="1984" w:right="1301" w:firstLine="0"/>
        <w:jc w:val="left"/>
        <w:rPr>
          <w:sz w:val="20"/>
        </w:rPr>
      </w:pPr>
      <w:r>
        <w:rPr>
          <w:w w:val="120"/>
          <w:sz w:val="20"/>
        </w:rPr>
        <w:t>The faith and order reference group response when this was first discussed in </w:t>
      </w:r>
      <w:r>
        <w:rPr>
          <w:spacing w:val="2"/>
          <w:w w:val="120"/>
          <w:sz w:val="20"/>
        </w:rPr>
        <w:t>February </w:t>
      </w:r>
      <w:r>
        <w:rPr>
          <w:spacing w:val="-8"/>
          <w:w w:val="120"/>
          <w:sz w:val="20"/>
        </w:rPr>
        <w:t>2011  </w:t>
      </w:r>
      <w:r>
        <w:rPr>
          <w:w w:val="120"/>
          <w:sz w:val="20"/>
        </w:rPr>
        <w:t>highlighted the following points: “The sacraments should be available   to God’s people in a way that corresponds to our theological inheritance and Reformed faith; there is a need to involve the wider Church in an affirmation of the suitability of those who preside; there is a sense in which presidency at the sacraments is a discipline and it is reasonable to expect that those who preside should be under orders.”</w:t>
      </w:r>
      <w:r>
        <w:rPr>
          <w:spacing w:val="42"/>
          <w:w w:val="120"/>
          <w:sz w:val="20"/>
        </w:rPr>
        <w:t> </w:t>
      </w:r>
      <w:r>
        <w:rPr>
          <w:spacing w:val="-13"/>
          <w:w w:val="120"/>
          <w:sz w:val="20"/>
          <w:vertAlign w:val="superscript"/>
        </w:rPr>
        <w:t>13</w:t>
      </w:r>
    </w:p>
    <w:p>
      <w:pPr>
        <w:pStyle w:val="BodyText"/>
      </w:pPr>
    </w:p>
    <w:p>
      <w:pPr>
        <w:pStyle w:val="ListParagraph"/>
        <w:numPr>
          <w:ilvl w:val="1"/>
          <w:numId w:val="72"/>
        </w:numPr>
        <w:tabs>
          <w:tab w:pos="2664" w:val="left" w:leader="none"/>
          <w:tab w:pos="2665" w:val="left" w:leader="none"/>
        </w:tabs>
        <w:spacing w:line="235" w:lineRule="auto" w:before="0" w:after="0"/>
        <w:ind w:left="1984" w:right="1442" w:firstLine="0"/>
        <w:jc w:val="left"/>
        <w:rPr>
          <w:sz w:val="20"/>
        </w:rPr>
      </w:pPr>
      <w:r>
        <w:rPr>
          <w:w w:val="120"/>
          <w:sz w:val="20"/>
        </w:rPr>
        <w:t>John Bradbury of Westminster College helpfully brings in the perspective of   our European colleagues in the Community of Protestant Churches in Europe, where the</w:t>
      </w:r>
      <w:r>
        <w:rPr>
          <w:spacing w:val="6"/>
          <w:w w:val="120"/>
          <w:sz w:val="20"/>
        </w:rPr>
        <w:t> </w:t>
      </w:r>
      <w:r>
        <w:rPr>
          <w:w w:val="120"/>
          <w:sz w:val="20"/>
        </w:rPr>
        <w:t>question</w:t>
      </w:r>
      <w:r>
        <w:rPr>
          <w:spacing w:val="6"/>
          <w:w w:val="120"/>
          <w:sz w:val="20"/>
        </w:rPr>
        <w:t> </w:t>
      </w:r>
      <w:r>
        <w:rPr>
          <w:w w:val="120"/>
          <w:sz w:val="20"/>
        </w:rPr>
        <w:t>of</w:t>
      </w:r>
      <w:r>
        <w:rPr>
          <w:spacing w:val="7"/>
          <w:w w:val="120"/>
          <w:sz w:val="20"/>
        </w:rPr>
        <w:t> </w:t>
      </w:r>
      <w:r>
        <w:rPr>
          <w:w w:val="120"/>
          <w:sz w:val="20"/>
        </w:rPr>
        <w:t>locally</w:t>
      </w:r>
      <w:r>
        <w:rPr>
          <w:spacing w:val="6"/>
          <w:w w:val="120"/>
          <w:sz w:val="20"/>
        </w:rPr>
        <w:t> </w:t>
      </w:r>
      <w:r>
        <w:rPr>
          <w:w w:val="120"/>
          <w:sz w:val="20"/>
        </w:rPr>
        <w:t>ordained</w:t>
      </w:r>
      <w:r>
        <w:rPr>
          <w:spacing w:val="7"/>
          <w:w w:val="120"/>
          <w:sz w:val="20"/>
        </w:rPr>
        <w:t> </w:t>
      </w:r>
      <w:r>
        <w:rPr>
          <w:w w:val="120"/>
          <w:sz w:val="20"/>
        </w:rPr>
        <w:t>ministers</w:t>
      </w:r>
      <w:r>
        <w:rPr>
          <w:spacing w:val="6"/>
          <w:w w:val="120"/>
          <w:sz w:val="20"/>
        </w:rPr>
        <w:t> </w:t>
      </w:r>
      <w:r>
        <w:rPr>
          <w:w w:val="120"/>
          <w:sz w:val="20"/>
        </w:rPr>
        <w:t>has</w:t>
      </w:r>
      <w:r>
        <w:rPr>
          <w:spacing w:val="7"/>
          <w:w w:val="120"/>
          <w:sz w:val="20"/>
        </w:rPr>
        <w:t> </w:t>
      </w:r>
      <w:r>
        <w:rPr>
          <w:w w:val="120"/>
          <w:sz w:val="20"/>
        </w:rPr>
        <w:t>also</w:t>
      </w:r>
      <w:r>
        <w:rPr>
          <w:spacing w:val="6"/>
          <w:w w:val="120"/>
          <w:sz w:val="20"/>
        </w:rPr>
        <w:t> </w:t>
      </w:r>
      <w:r>
        <w:rPr>
          <w:w w:val="120"/>
          <w:sz w:val="20"/>
        </w:rPr>
        <w:t>been</w:t>
      </w:r>
      <w:r>
        <w:rPr>
          <w:spacing w:val="7"/>
          <w:w w:val="120"/>
          <w:sz w:val="20"/>
        </w:rPr>
        <w:t> </w:t>
      </w:r>
      <w:r>
        <w:rPr>
          <w:w w:val="120"/>
          <w:sz w:val="20"/>
        </w:rPr>
        <w:t>explored:</w:t>
      </w:r>
      <w:r>
        <w:rPr>
          <w:spacing w:val="6"/>
          <w:w w:val="120"/>
          <w:sz w:val="20"/>
        </w:rPr>
        <w:t> </w:t>
      </w:r>
      <w:r>
        <w:rPr>
          <w:w w:val="120"/>
          <w:sz w:val="20"/>
        </w:rPr>
        <w:t>“The</w:t>
      </w:r>
      <w:r>
        <w:rPr>
          <w:spacing w:val="7"/>
          <w:w w:val="120"/>
          <w:sz w:val="20"/>
        </w:rPr>
        <w:t> </w:t>
      </w:r>
      <w:r>
        <w:rPr>
          <w:w w:val="120"/>
          <w:sz w:val="20"/>
        </w:rPr>
        <w:t>Community</w:t>
      </w:r>
      <w:r>
        <w:rPr>
          <w:spacing w:val="6"/>
          <w:w w:val="120"/>
          <w:sz w:val="20"/>
        </w:rPr>
        <w:t> </w:t>
      </w:r>
      <w:r>
        <w:rPr>
          <w:w w:val="120"/>
          <w:sz w:val="20"/>
        </w:rPr>
        <w:t>of</w:t>
      </w:r>
    </w:p>
    <w:p>
      <w:pPr>
        <w:pStyle w:val="BodyText"/>
        <w:spacing w:line="235" w:lineRule="auto" w:before="2"/>
        <w:ind w:left="1984" w:right="1352"/>
      </w:pPr>
      <w:r>
        <w:rPr>
          <w:w w:val="120"/>
        </w:rPr>
        <w:t>Protestant Churches in Europe maintains that where the ministry to be exercised is one of Word and sacrament, ordination is appropriate and necessary. The text states that:</w:t>
      </w:r>
    </w:p>
    <w:p>
      <w:pPr>
        <w:spacing w:after="0" w:line="235" w:lineRule="auto"/>
        <w:sectPr>
          <w:headerReference w:type="default" r:id="rId288"/>
          <w:footerReference w:type="default" r:id="rId289"/>
          <w:footerReference w:type="even" r:id="rId290"/>
          <w:pgSz w:w="11910" w:h="16840"/>
          <w:pgMar w:header="0" w:footer="647" w:top="0" w:bottom="840" w:left="0" w:right="0"/>
          <w:pgNumType w:start="123"/>
        </w:sectPr>
      </w:pPr>
    </w:p>
    <w:p>
      <w:pPr>
        <w:pStyle w:val="BodyText"/>
      </w:pPr>
      <w:r>
        <w:rPr/>
        <w:drawing>
          <wp:anchor distT="0" distB="0" distL="0" distR="0" allowOverlap="1" layoutInCell="1" locked="0" behindDoc="0" simplePos="0" relativeHeight="251991040">
            <wp:simplePos x="0" y="0"/>
            <wp:positionH relativeFrom="page">
              <wp:posOffset>0</wp:posOffset>
            </wp:positionH>
            <wp:positionV relativeFrom="page">
              <wp:posOffset>0</wp:posOffset>
            </wp:positionV>
            <wp:extent cx="594067" cy="10692003"/>
            <wp:effectExtent l="0" t="0" r="0" b="0"/>
            <wp:wrapNone/>
            <wp:docPr id="229" name="image28.png"/>
            <wp:cNvGraphicFramePr>
              <a:graphicFrameLocks noChangeAspect="1"/>
            </wp:cNvGraphicFramePr>
            <a:graphic>
              <a:graphicData uri="http://schemas.openxmlformats.org/drawingml/2006/picture">
                <pic:pic>
                  <pic:nvPicPr>
                    <pic:cNvPr id="230" name="image28.png"/>
                    <pic:cNvPicPr/>
                  </pic:nvPicPr>
                  <pic:blipFill>
                    <a:blip r:embed="rId198"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shape style="position:absolute;margin-left:20.519100pt;margin-top:22.593945pt;width:25.9pt;height:239.8pt;mso-position-horizontal-relative:page;mso-position-vertical-relative:paragraph;z-index:251992064" type="#_x0000_t202" filled="false" stroked="false">
            <v:textbox inset="0,0,0,0" style="layout-flow:vertical">
              <w:txbxContent>
                <w:p>
                  <w:pPr>
                    <w:spacing w:before="27"/>
                    <w:ind w:left="20" w:right="0" w:firstLine="0"/>
                    <w:jc w:val="left"/>
                    <w:rPr>
                      <w:sz w:val="39"/>
                    </w:rPr>
                  </w:pPr>
                  <w:r>
                    <w:rPr>
                      <w:color w:val="FFFFFF"/>
                      <w:w w:val="120"/>
                      <w:sz w:val="39"/>
                    </w:rPr>
                    <w:t>Ordained local ministry</w:t>
                  </w:r>
                </w:p>
              </w:txbxContent>
            </v:textbox>
            <w10:wrap type="none"/>
          </v:shape>
        </w:pict>
      </w:r>
      <w:r>
        <w:rPr>
          <w:color w:val="7EAABF"/>
          <w:w w:val="115"/>
        </w:rPr>
        <w:t>Faith and order</w:t>
      </w:r>
    </w:p>
    <w:p>
      <w:pPr>
        <w:pStyle w:val="BodyText"/>
        <w:spacing w:line="235" w:lineRule="auto" w:before="222"/>
        <w:ind w:left="1247" w:right="2004"/>
      </w:pPr>
      <w:r>
        <w:rPr>
          <w:w w:val="120"/>
        </w:rPr>
        <w:t>‘The decisive factor for ordination is whether or not the service in question is a ministry of Word and sacraments. If it is, the person to serve should be ordained [as a minister of Word and sacraments], regardless of the time frame and geographical limitations that have been set for the particular service’.” </w:t>
      </w:r>
      <w:r>
        <w:rPr>
          <w:w w:val="120"/>
          <w:vertAlign w:val="superscript"/>
        </w:rPr>
        <w:t>14</w:t>
      </w:r>
    </w:p>
    <w:p>
      <w:pPr>
        <w:pStyle w:val="BodyText"/>
        <w:spacing w:before="10"/>
        <w:rPr>
          <w:sz w:val="19"/>
        </w:rPr>
      </w:pPr>
    </w:p>
    <w:p>
      <w:pPr>
        <w:pStyle w:val="ListParagraph"/>
        <w:numPr>
          <w:ilvl w:val="1"/>
          <w:numId w:val="72"/>
        </w:numPr>
        <w:tabs>
          <w:tab w:pos="1927" w:val="left" w:leader="none"/>
          <w:tab w:pos="1928" w:val="left" w:leader="none"/>
        </w:tabs>
        <w:spacing w:line="235" w:lineRule="auto" w:before="1" w:after="0"/>
        <w:ind w:left="1247" w:right="2000" w:firstLine="0"/>
        <w:jc w:val="left"/>
        <w:rPr>
          <w:sz w:val="20"/>
        </w:rPr>
      </w:pPr>
      <w:r>
        <w:rPr>
          <w:w w:val="120"/>
          <w:sz w:val="20"/>
        </w:rPr>
        <w:t>However, we cannot </w:t>
      </w:r>
      <w:r>
        <w:rPr>
          <w:spacing w:val="2"/>
          <w:w w:val="120"/>
          <w:sz w:val="20"/>
        </w:rPr>
        <w:t>forget </w:t>
      </w:r>
      <w:r>
        <w:rPr>
          <w:w w:val="120"/>
          <w:sz w:val="20"/>
        </w:rPr>
        <w:t>that recognition of the vocation and </w:t>
      </w:r>
      <w:r>
        <w:rPr>
          <w:spacing w:val="3"/>
          <w:w w:val="120"/>
          <w:sz w:val="20"/>
        </w:rPr>
        <w:t>ministry </w:t>
      </w:r>
      <w:r>
        <w:rPr>
          <w:w w:val="120"/>
          <w:sz w:val="20"/>
        </w:rPr>
        <w:t>of the </w:t>
      </w:r>
      <w:r>
        <w:rPr>
          <w:i/>
          <w:w w:val="120"/>
          <w:sz w:val="20"/>
        </w:rPr>
        <w:t>laos</w:t>
      </w:r>
      <w:r>
        <w:rPr>
          <w:w w:val="120"/>
          <w:sz w:val="20"/>
        </w:rPr>
        <w:t>, the </w:t>
      </w:r>
      <w:r>
        <w:rPr>
          <w:spacing w:val="2"/>
          <w:w w:val="120"/>
          <w:sz w:val="20"/>
        </w:rPr>
        <w:t>whole people </w:t>
      </w:r>
      <w:r>
        <w:rPr>
          <w:w w:val="120"/>
          <w:sz w:val="20"/>
        </w:rPr>
        <w:t>of </w:t>
      </w:r>
      <w:r>
        <w:rPr>
          <w:spacing w:val="2"/>
          <w:w w:val="120"/>
          <w:sz w:val="20"/>
        </w:rPr>
        <w:t>God, </w:t>
      </w:r>
      <w:r>
        <w:rPr>
          <w:w w:val="120"/>
          <w:sz w:val="20"/>
        </w:rPr>
        <w:t>is also a </w:t>
      </w:r>
      <w:r>
        <w:rPr>
          <w:spacing w:val="2"/>
          <w:w w:val="120"/>
          <w:sz w:val="20"/>
        </w:rPr>
        <w:t>theological imperative held </w:t>
      </w:r>
      <w:r>
        <w:rPr>
          <w:w w:val="120"/>
          <w:sz w:val="20"/>
        </w:rPr>
        <w:t>dear </w:t>
      </w:r>
      <w:r>
        <w:rPr>
          <w:spacing w:val="2"/>
          <w:w w:val="120"/>
          <w:sz w:val="20"/>
        </w:rPr>
        <w:t>among </w:t>
      </w:r>
      <w:r>
        <w:rPr>
          <w:w w:val="120"/>
          <w:sz w:val="20"/>
        </w:rPr>
        <w:t>some in the United </w:t>
      </w:r>
      <w:r>
        <w:rPr>
          <w:spacing w:val="2"/>
          <w:w w:val="120"/>
          <w:sz w:val="20"/>
        </w:rPr>
        <w:t>Reformed </w:t>
      </w:r>
      <w:r>
        <w:rPr>
          <w:w w:val="120"/>
          <w:sz w:val="20"/>
        </w:rPr>
        <w:t>Church. “In the Churches of </w:t>
      </w:r>
      <w:r>
        <w:rPr>
          <w:spacing w:val="2"/>
          <w:w w:val="120"/>
          <w:sz w:val="20"/>
        </w:rPr>
        <w:t>Christ, presidency </w:t>
      </w:r>
      <w:r>
        <w:rPr>
          <w:w w:val="120"/>
          <w:sz w:val="20"/>
        </w:rPr>
        <w:t>at communion was always the </w:t>
      </w:r>
      <w:r>
        <w:rPr>
          <w:spacing w:val="3"/>
          <w:w w:val="120"/>
          <w:sz w:val="20"/>
        </w:rPr>
        <w:t>function </w:t>
      </w:r>
      <w:r>
        <w:rPr>
          <w:w w:val="120"/>
          <w:sz w:val="20"/>
        </w:rPr>
        <w:t>of the </w:t>
      </w:r>
      <w:r>
        <w:rPr>
          <w:spacing w:val="2"/>
          <w:w w:val="120"/>
          <w:sz w:val="20"/>
        </w:rPr>
        <w:t>elders </w:t>
      </w:r>
      <w:r>
        <w:rPr>
          <w:w w:val="120"/>
          <w:sz w:val="20"/>
        </w:rPr>
        <w:t>of the </w:t>
      </w:r>
      <w:r>
        <w:rPr>
          <w:spacing w:val="2"/>
          <w:w w:val="120"/>
          <w:sz w:val="20"/>
        </w:rPr>
        <w:t>local congregation. </w:t>
      </w:r>
      <w:r>
        <w:rPr>
          <w:w w:val="120"/>
          <w:sz w:val="20"/>
        </w:rPr>
        <w:t>However, it was never the custom for the </w:t>
      </w:r>
      <w:r>
        <w:rPr>
          <w:spacing w:val="2"/>
          <w:w w:val="120"/>
          <w:sz w:val="20"/>
        </w:rPr>
        <w:t>same person </w:t>
      </w:r>
      <w:r>
        <w:rPr>
          <w:w w:val="120"/>
          <w:sz w:val="20"/>
        </w:rPr>
        <w:t>to </w:t>
      </w:r>
      <w:r>
        <w:rPr>
          <w:spacing w:val="2"/>
          <w:w w:val="120"/>
          <w:sz w:val="20"/>
        </w:rPr>
        <w:t>preside </w:t>
      </w:r>
      <w:r>
        <w:rPr>
          <w:w w:val="120"/>
          <w:sz w:val="20"/>
        </w:rPr>
        <w:t>and preach, even if the minister was the preacher. Hence the </w:t>
      </w:r>
      <w:r>
        <w:rPr>
          <w:spacing w:val="3"/>
          <w:w w:val="120"/>
          <w:sz w:val="20"/>
        </w:rPr>
        <w:t>function </w:t>
      </w:r>
      <w:r>
        <w:rPr>
          <w:w w:val="120"/>
          <w:sz w:val="20"/>
        </w:rPr>
        <w:t>of the </w:t>
      </w:r>
      <w:r>
        <w:rPr>
          <w:spacing w:val="2"/>
          <w:w w:val="120"/>
          <w:sz w:val="20"/>
        </w:rPr>
        <w:t>elders </w:t>
      </w:r>
      <w:r>
        <w:rPr>
          <w:w w:val="120"/>
          <w:sz w:val="20"/>
        </w:rPr>
        <w:t>(who were </w:t>
      </w:r>
      <w:r>
        <w:rPr>
          <w:spacing w:val="2"/>
          <w:w w:val="120"/>
          <w:sz w:val="20"/>
        </w:rPr>
        <w:t>understood </w:t>
      </w:r>
      <w:r>
        <w:rPr>
          <w:w w:val="120"/>
          <w:sz w:val="20"/>
        </w:rPr>
        <w:t>in the </w:t>
      </w:r>
      <w:r>
        <w:rPr>
          <w:spacing w:val="2"/>
          <w:w w:val="120"/>
          <w:sz w:val="20"/>
        </w:rPr>
        <w:t>earliest </w:t>
      </w:r>
      <w:r>
        <w:rPr>
          <w:w w:val="120"/>
          <w:sz w:val="20"/>
        </w:rPr>
        <w:t>days  to be the bishops of the </w:t>
      </w:r>
      <w:r>
        <w:rPr>
          <w:spacing w:val="2"/>
          <w:w w:val="120"/>
          <w:sz w:val="20"/>
        </w:rPr>
        <w:t>congregation </w:t>
      </w:r>
      <w:r>
        <w:rPr>
          <w:w w:val="120"/>
          <w:sz w:val="20"/>
        </w:rPr>
        <w:t>on New Testament lines) as </w:t>
      </w:r>
      <w:r>
        <w:rPr>
          <w:spacing w:val="2"/>
          <w:w w:val="120"/>
          <w:sz w:val="20"/>
        </w:rPr>
        <w:t>presidents </w:t>
      </w:r>
      <w:r>
        <w:rPr>
          <w:w w:val="120"/>
          <w:sz w:val="20"/>
        </w:rPr>
        <w:t>was   never in doubt.”</w:t>
      </w:r>
      <w:r>
        <w:rPr>
          <w:spacing w:val="18"/>
          <w:w w:val="120"/>
          <w:sz w:val="20"/>
        </w:rPr>
        <w:t> </w:t>
      </w:r>
      <w:r>
        <w:rPr>
          <w:spacing w:val="-8"/>
          <w:w w:val="120"/>
          <w:sz w:val="20"/>
          <w:vertAlign w:val="superscript"/>
        </w:rPr>
        <w:t>15</w:t>
      </w:r>
    </w:p>
    <w:p>
      <w:pPr>
        <w:pStyle w:val="BodyText"/>
        <w:spacing w:before="1"/>
      </w:pPr>
    </w:p>
    <w:p>
      <w:pPr>
        <w:pStyle w:val="ListParagraph"/>
        <w:numPr>
          <w:ilvl w:val="1"/>
          <w:numId w:val="72"/>
        </w:numPr>
        <w:tabs>
          <w:tab w:pos="1927" w:val="left" w:leader="none"/>
          <w:tab w:pos="1928" w:val="left" w:leader="none"/>
        </w:tabs>
        <w:spacing w:line="235" w:lineRule="auto" w:before="0" w:after="0"/>
        <w:ind w:left="1247" w:right="2063" w:firstLine="0"/>
        <w:jc w:val="left"/>
        <w:rPr>
          <w:sz w:val="20"/>
        </w:rPr>
      </w:pPr>
      <w:r>
        <w:rPr>
          <w:w w:val="120"/>
          <w:sz w:val="20"/>
        </w:rPr>
        <w:t>Could such apparently conflicting positions be reconciled? It seemed sensible to find out more about how the issue played out at grassroots level. Could any points of confluence be</w:t>
      </w:r>
      <w:r>
        <w:rPr>
          <w:spacing w:val="4"/>
          <w:w w:val="120"/>
          <w:sz w:val="20"/>
        </w:rPr>
        <w:t> </w:t>
      </w:r>
      <w:r>
        <w:rPr>
          <w:w w:val="120"/>
          <w:sz w:val="20"/>
        </w:rPr>
        <w:t>determined?</w:t>
      </w:r>
    </w:p>
    <w:p>
      <w:pPr>
        <w:pStyle w:val="Heading4"/>
        <w:numPr>
          <w:ilvl w:val="0"/>
          <w:numId w:val="72"/>
        </w:numPr>
        <w:tabs>
          <w:tab w:pos="1927" w:val="left" w:leader="none"/>
          <w:tab w:pos="1928" w:val="left" w:leader="none"/>
        </w:tabs>
        <w:spacing w:line="240" w:lineRule="auto" w:before="215" w:after="0"/>
        <w:ind w:left="1927" w:right="0" w:hanging="681"/>
        <w:jc w:val="left"/>
      </w:pPr>
      <w:r>
        <w:rPr>
          <w:w w:val="110"/>
        </w:rPr>
        <w:t>Voices </w:t>
      </w:r>
      <w:r>
        <w:rPr>
          <w:spacing w:val="3"/>
          <w:w w:val="110"/>
        </w:rPr>
        <w:t>from </w:t>
      </w:r>
      <w:r>
        <w:rPr>
          <w:spacing w:val="2"/>
          <w:w w:val="110"/>
        </w:rPr>
        <w:t>the</w:t>
      </w:r>
      <w:r>
        <w:rPr>
          <w:spacing w:val="35"/>
          <w:w w:val="110"/>
        </w:rPr>
        <w:t> </w:t>
      </w:r>
      <w:r>
        <w:rPr>
          <w:spacing w:val="4"/>
          <w:w w:val="110"/>
        </w:rPr>
        <w:t>synods</w:t>
      </w:r>
    </w:p>
    <w:p>
      <w:pPr>
        <w:pStyle w:val="ListParagraph"/>
        <w:numPr>
          <w:ilvl w:val="1"/>
          <w:numId w:val="72"/>
        </w:numPr>
        <w:tabs>
          <w:tab w:pos="1927" w:val="left" w:leader="none"/>
          <w:tab w:pos="1928" w:val="left" w:leader="none"/>
        </w:tabs>
        <w:spacing w:line="242" w:lineRule="exact" w:before="65" w:after="0"/>
        <w:ind w:left="1927" w:right="0" w:hanging="681"/>
        <w:jc w:val="left"/>
        <w:rPr>
          <w:sz w:val="20"/>
        </w:rPr>
      </w:pPr>
      <w:r>
        <w:rPr>
          <w:w w:val="120"/>
          <w:sz w:val="20"/>
        </w:rPr>
        <w:t>These questions have, of course, been raised and debated before,</w:t>
      </w:r>
      <w:r>
        <w:rPr>
          <w:spacing w:val="18"/>
          <w:w w:val="120"/>
          <w:sz w:val="20"/>
        </w:rPr>
        <w:t> </w:t>
      </w:r>
      <w:r>
        <w:rPr>
          <w:w w:val="120"/>
          <w:sz w:val="20"/>
        </w:rPr>
        <w:t>exhaustively.</w:t>
      </w:r>
    </w:p>
    <w:p>
      <w:pPr>
        <w:pStyle w:val="BodyText"/>
        <w:spacing w:line="235" w:lineRule="auto" w:before="2"/>
        <w:ind w:left="1247" w:right="2323"/>
      </w:pPr>
      <w:r>
        <w:rPr>
          <w:w w:val="120"/>
        </w:rPr>
        <w:t>However, when proposals for moderating elders and local ministers were brought   to Assembly in </w:t>
      </w:r>
      <w:r>
        <w:rPr>
          <w:spacing w:val="-6"/>
          <w:w w:val="120"/>
        </w:rPr>
        <w:t>1995, </w:t>
      </w:r>
      <w:r>
        <w:rPr>
          <w:w w:val="120"/>
        </w:rPr>
        <w:t>following the </w:t>
      </w:r>
      <w:r>
        <w:rPr>
          <w:spacing w:val="2"/>
          <w:w w:val="120"/>
        </w:rPr>
        <w:t>report </w:t>
      </w:r>
      <w:r>
        <w:rPr>
          <w:i/>
          <w:w w:val="120"/>
        </w:rPr>
        <w:t>Patterns of Ministry </w:t>
      </w:r>
      <w:r>
        <w:rPr>
          <w:spacing w:val="-7"/>
          <w:w w:val="120"/>
        </w:rPr>
        <w:t>(1994), </w:t>
      </w:r>
      <w:r>
        <w:rPr>
          <w:w w:val="120"/>
        </w:rPr>
        <w:t>these were</w:t>
      </w:r>
      <w:r>
        <w:rPr>
          <w:spacing w:val="-39"/>
          <w:w w:val="120"/>
        </w:rPr>
        <w:t> </w:t>
      </w:r>
      <w:r>
        <w:rPr>
          <w:w w:val="120"/>
        </w:rPr>
        <w:t>both defeated, the first by a large majority and the second by a clear</w:t>
      </w:r>
      <w:r>
        <w:rPr>
          <w:spacing w:val="21"/>
          <w:w w:val="120"/>
        </w:rPr>
        <w:t> </w:t>
      </w:r>
      <w:r>
        <w:rPr>
          <w:w w:val="120"/>
        </w:rPr>
        <w:t>majority.</w:t>
      </w:r>
    </w:p>
    <w:p>
      <w:pPr>
        <w:pStyle w:val="BodyText"/>
        <w:spacing w:before="10"/>
        <w:rPr>
          <w:sz w:val="19"/>
        </w:rPr>
      </w:pPr>
    </w:p>
    <w:p>
      <w:pPr>
        <w:pStyle w:val="ListParagraph"/>
        <w:numPr>
          <w:ilvl w:val="1"/>
          <w:numId w:val="72"/>
        </w:numPr>
        <w:tabs>
          <w:tab w:pos="1927" w:val="left" w:leader="none"/>
          <w:tab w:pos="1928" w:val="left" w:leader="none"/>
        </w:tabs>
        <w:spacing w:line="235" w:lineRule="auto" w:before="0" w:after="0"/>
        <w:ind w:left="1247" w:right="2050" w:firstLine="0"/>
        <w:jc w:val="left"/>
        <w:rPr>
          <w:sz w:val="20"/>
        </w:rPr>
      </w:pPr>
      <w:r>
        <w:rPr>
          <w:w w:val="120"/>
          <w:sz w:val="20"/>
        </w:rPr>
        <w:t>A compromise resolution encouraging Mission Council to explore the possibility of new forms of local leadership was approved</w:t>
      </w:r>
      <w:r>
        <w:rPr>
          <w:w w:val="120"/>
          <w:sz w:val="20"/>
          <w:vertAlign w:val="superscript"/>
        </w:rPr>
        <w:t>16</w:t>
      </w:r>
      <w:r>
        <w:rPr>
          <w:w w:val="120"/>
          <w:sz w:val="20"/>
          <w:vertAlign w:val="baseline"/>
        </w:rPr>
        <w:t> and through resolution 29 of the    </w:t>
      </w:r>
      <w:r>
        <w:rPr>
          <w:spacing w:val="-5"/>
          <w:w w:val="120"/>
          <w:sz w:val="20"/>
          <w:vertAlign w:val="baseline"/>
        </w:rPr>
        <w:t>1998 </w:t>
      </w:r>
      <w:r>
        <w:rPr>
          <w:w w:val="120"/>
          <w:sz w:val="20"/>
          <w:vertAlign w:val="baseline"/>
        </w:rPr>
        <w:t>Assembly the formal role of local church leaders was </w:t>
      </w:r>
      <w:r>
        <w:rPr>
          <w:spacing w:val="-3"/>
          <w:w w:val="120"/>
          <w:sz w:val="20"/>
          <w:vertAlign w:val="baseline"/>
        </w:rPr>
        <w:t>inaugurated.</w:t>
      </w:r>
      <w:r>
        <w:rPr>
          <w:spacing w:val="-3"/>
          <w:w w:val="120"/>
          <w:sz w:val="20"/>
          <w:vertAlign w:val="superscript"/>
        </w:rPr>
        <w:t>17</w:t>
      </w:r>
      <w:r>
        <w:rPr>
          <w:spacing w:val="-3"/>
          <w:w w:val="120"/>
          <w:sz w:val="20"/>
          <w:vertAlign w:val="baseline"/>
        </w:rPr>
        <w:t> </w:t>
      </w:r>
      <w:r>
        <w:rPr>
          <w:w w:val="120"/>
          <w:sz w:val="20"/>
          <w:vertAlign w:val="baseline"/>
        </w:rPr>
        <w:t>The result has been mixed, with a variety of patterns developed in different synods,</w:t>
      </w:r>
      <w:r>
        <w:rPr>
          <w:w w:val="120"/>
          <w:sz w:val="20"/>
          <w:vertAlign w:val="superscript"/>
        </w:rPr>
        <w:t>18</w:t>
      </w:r>
      <w:r>
        <w:rPr>
          <w:w w:val="120"/>
          <w:sz w:val="20"/>
          <w:vertAlign w:val="baseline"/>
        </w:rPr>
        <w:t> and a lack of clarity about how local church leaders relate to elders, church meeting and the wider structures of the</w:t>
      </w:r>
      <w:r>
        <w:rPr>
          <w:spacing w:val="6"/>
          <w:w w:val="120"/>
          <w:sz w:val="20"/>
          <w:vertAlign w:val="baseline"/>
        </w:rPr>
        <w:t> </w:t>
      </w:r>
      <w:r>
        <w:rPr>
          <w:w w:val="120"/>
          <w:sz w:val="20"/>
          <w:vertAlign w:val="baseline"/>
        </w:rPr>
        <w:t>Church.</w:t>
      </w:r>
    </w:p>
    <w:p>
      <w:pPr>
        <w:pStyle w:val="BodyText"/>
      </w:pPr>
    </w:p>
    <w:p>
      <w:pPr>
        <w:pStyle w:val="ListParagraph"/>
        <w:numPr>
          <w:ilvl w:val="1"/>
          <w:numId w:val="72"/>
        </w:numPr>
        <w:tabs>
          <w:tab w:pos="1927" w:val="left" w:leader="none"/>
          <w:tab w:pos="1928" w:val="left" w:leader="none"/>
        </w:tabs>
        <w:spacing w:line="235" w:lineRule="auto" w:before="0" w:after="0"/>
        <w:ind w:left="1247" w:right="2029" w:firstLine="0"/>
        <w:jc w:val="left"/>
        <w:rPr>
          <w:sz w:val="20"/>
        </w:rPr>
      </w:pPr>
      <w:r>
        <w:rPr>
          <w:w w:val="120"/>
          <w:sz w:val="20"/>
        </w:rPr>
        <w:t>In the 20 years since </w:t>
      </w:r>
      <w:r>
        <w:rPr>
          <w:i/>
          <w:w w:val="120"/>
          <w:sz w:val="20"/>
        </w:rPr>
        <w:t>Patterns of Ministry, </w:t>
      </w:r>
      <w:r>
        <w:rPr>
          <w:w w:val="120"/>
          <w:sz w:val="20"/>
        </w:rPr>
        <w:t>the number of ministers in active URC service has declined by almost 40% and continues to fall. The number of congregations has never declined as rapidly, so that whereas there were more than five ministers for every </w:t>
      </w:r>
      <w:r>
        <w:rPr>
          <w:spacing w:val="-6"/>
          <w:w w:val="120"/>
          <w:sz w:val="20"/>
        </w:rPr>
        <w:t>10 </w:t>
      </w:r>
      <w:r>
        <w:rPr>
          <w:w w:val="120"/>
          <w:sz w:val="20"/>
        </w:rPr>
        <w:t>churches in </w:t>
      </w:r>
      <w:r>
        <w:rPr>
          <w:spacing w:val="-5"/>
          <w:w w:val="120"/>
          <w:sz w:val="20"/>
        </w:rPr>
        <w:t>1994, </w:t>
      </w:r>
      <w:r>
        <w:rPr>
          <w:w w:val="120"/>
          <w:sz w:val="20"/>
        </w:rPr>
        <w:t>there are now fewer than </w:t>
      </w:r>
      <w:r>
        <w:rPr>
          <w:spacing w:val="-5"/>
          <w:w w:val="120"/>
          <w:sz w:val="20"/>
        </w:rPr>
        <w:t>four.</w:t>
      </w:r>
      <w:r>
        <w:rPr>
          <w:spacing w:val="-5"/>
          <w:w w:val="120"/>
          <w:sz w:val="20"/>
          <w:vertAlign w:val="superscript"/>
        </w:rPr>
        <w:t>19</w:t>
      </w:r>
      <w:r>
        <w:rPr>
          <w:spacing w:val="-5"/>
          <w:w w:val="120"/>
          <w:sz w:val="20"/>
          <w:vertAlign w:val="baseline"/>
        </w:rPr>
        <w:t> </w:t>
      </w:r>
      <w:r>
        <w:rPr>
          <w:w w:val="120"/>
          <w:sz w:val="20"/>
          <w:vertAlign w:val="baseline"/>
        </w:rPr>
        <w:t>This general trend applies even when numbers of retired ministers willing to offer service to the churches are taken into account. It therefore seemed right for the faith and order committee to canvass the current views of the synods, through the synod moderators, in order to explore how the situation is currently</w:t>
      </w:r>
      <w:r>
        <w:rPr>
          <w:spacing w:val="13"/>
          <w:w w:val="120"/>
          <w:sz w:val="20"/>
          <w:vertAlign w:val="baseline"/>
        </w:rPr>
        <w:t> </w:t>
      </w:r>
      <w:r>
        <w:rPr>
          <w:w w:val="120"/>
          <w:sz w:val="20"/>
          <w:vertAlign w:val="baseline"/>
        </w:rPr>
        <w:t>experienced.</w:t>
      </w:r>
    </w:p>
    <w:p>
      <w:pPr>
        <w:pStyle w:val="BodyText"/>
        <w:spacing w:before="2"/>
      </w:pPr>
    </w:p>
    <w:p>
      <w:pPr>
        <w:pStyle w:val="ListParagraph"/>
        <w:numPr>
          <w:ilvl w:val="1"/>
          <w:numId w:val="72"/>
        </w:numPr>
        <w:tabs>
          <w:tab w:pos="1927" w:val="left" w:leader="none"/>
          <w:tab w:pos="1928" w:val="left" w:leader="none"/>
        </w:tabs>
        <w:spacing w:line="235" w:lineRule="auto" w:before="0" w:after="0"/>
        <w:ind w:left="1247" w:right="1992" w:firstLine="0"/>
        <w:jc w:val="left"/>
        <w:rPr>
          <w:sz w:val="20"/>
        </w:rPr>
      </w:pPr>
      <w:r>
        <w:rPr>
          <w:spacing w:val="2"/>
          <w:w w:val="120"/>
          <w:sz w:val="20"/>
        </w:rPr>
        <w:t>The </w:t>
      </w:r>
      <w:r>
        <w:rPr>
          <w:w w:val="120"/>
          <w:sz w:val="20"/>
        </w:rPr>
        <w:t>Wessex </w:t>
      </w:r>
      <w:r>
        <w:rPr>
          <w:spacing w:val="2"/>
          <w:w w:val="120"/>
          <w:sz w:val="20"/>
        </w:rPr>
        <w:t>resolution </w:t>
      </w:r>
      <w:r>
        <w:rPr>
          <w:w w:val="120"/>
          <w:sz w:val="20"/>
        </w:rPr>
        <w:t>showed a clear desire in that </w:t>
      </w:r>
      <w:r>
        <w:rPr>
          <w:spacing w:val="3"/>
          <w:w w:val="120"/>
          <w:sz w:val="20"/>
        </w:rPr>
        <w:t>synod </w:t>
      </w:r>
      <w:r>
        <w:rPr>
          <w:w w:val="120"/>
          <w:sz w:val="20"/>
        </w:rPr>
        <w:t>for the development of</w:t>
      </w:r>
      <w:r>
        <w:rPr>
          <w:spacing w:val="9"/>
          <w:w w:val="120"/>
          <w:sz w:val="20"/>
        </w:rPr>
        <w:t> </w:t>
      </w:r>
      <w:r>
        <w:rPr>
          <w:w w:val="120"/>
          <w:sz w:val="20"/>
        </w:rPr>
        <w:t>ordained</w:t>
      </w:r>
      <w:r>
        <w:rPr>
          <w:spacing w:val="9"/>
          <w:w w:val="120"/>
          <w:sz w:val="20"/>
        </w:rPr>
        <w:t> </w:t>
      </w:r>
      <w:r>
        <w:rPr>
          <w:spacing w:val="2"/>
          <w:w w:val="120"/>
          <w:sz w:val="20"/>
        </w:rPr>
        <w:t>local</w:t>
      </w:r>
      <w:r>
        <w:rPr>
          <w:spacing w:val="9"/>
          <w:w w:val="120"/>
          <w:sz w:val="20"/>
        </w:rPr>
        <w:t> </w:t>
      </w:r>
      <w:r>
        <w:rPr>
          <w:spacing w:val="3"/>
          <w:w w:val="120"/>
          <w:sz w:val="20"/>
        </w:rPr>
        <w:t>ministry;</w:t>
      </w:r>
      <w:r>
        <w:rPr>
          <w:spacing w:val="9"/>
          <w:w w:val="120"/>
          <w:sz w:val="20"/>
        </w:rPr>
        <w:t> </w:t>
      </w:r>
      <w:r>
        <w:rPr>
          <w:spacing w:val="2"/>
          <w:w w:val="120"/>
          <w:sz w:val="20"/>
        </w:rPr>
        <w:t>Thames</w:t>
      </w:r>
      <w:r>
        <w:rPr>
          <w:spacing w:val="10"/>
          <w:w w:val="120"/>
          <w:sz w:val="20"/>
        </w:rPr>
        <w:t> </w:t>
      </w:r>
      <w:r>
        <w:rPr>
          <w:spacing w:val="4"/>
          <w:w w:val="120"/>
          <w:sz w:val="20"/>
        </w:rPr>
        <w:t>North</w:t>
      </w:r>
      <w:r>
        <w:rPr>
          <w:spacing w:val="9"/>
          <w:w w:val="120"/>
          <w:sz w:val="20"/>
        </w:rPr>
        <w:t> </w:t>
      </w:r>
      <w:r>
        <w:rPr>
          <w:w w:val="120"/>
          <w:sz w:val="20"/>
        </w:rPr>
        <w:t>indicated</w:t>
      </w:r>
      <w:r>
        <w:rPr>
          <w:spacing w:val="9"/>
          <w:w w:val="120"/>
          <w:sz w:val="20"/>
        </w:rPr>
        <w:t> </w:t>
      </w:r>
      <w:r>
        <w:rPr>
          <w:w w:val="120"/>
          <w:sz w:val="20"/>
        </w:rPr>
        <w:t>some</w:t>
      </w:r>
      <w:r>
        <w:rPr>
          <w:spacing w:val="9"/>
          <w:w w:val="120"/>
          <w:sz w:val="20"/>
        </w:rPr>
        <w:t> </w:t>
      </w:r>
      <w:r>
        <w:rPr>
          <w:spacing w:val="3"/>
          <w:w w:val="120"/>
          <w:sz w:val="20"/>
        </w:rPr>
        <w:t>support</w:t>
      </w:r>
      <w:r>
        <w:rPr>
          <w:spacing w:val="9"/>
          <w:w w:val="120"/>
          <w:sz w:val="20"/>
        </w:rPr>
        <w:t> </w:t>
      </w:r>
      <w:r>
        <w:rPr>
          <w:w w:val="120"/>
          <w:sz w:val="20"/>
        </w:rPr>
        <w:t>for</w:t>
      </w:r>
      <w:r>
        <w:rPr>
          <w:spacing w:val="10"/>
          <w:w w:val="120"/>
          <w:sz w:val="20"/>
        </w:rPr>
        <w:t> </w:t>
      </w:r>
      <w:r>
        <w:rPr>
          <w:w w:val="120"/>
          <w:sz w:val="20"/>
        </w:rPr>
        <w:t>this.</w:t>
      </w:r>
      <w:r>
        <w:rPr>
          <w:spacing w:val="9"/>
          <w:w w:val="120"/>
          <w:sz w:val="20"/>
        </w:rPr>
        <w:t> </w:t>
      </w:r>
      <w:r>
        <w:rPr>
          <w:spacing w:val="2"/>
          <w:w w:val="120"/>
          <w:sz w:val="20"/>
        </w:rPr>
        <w:t>The</w:t>
      </w:r>
    </w:p>
    <w:p>
      <w:pPr>
        <w:pStyle w:val="BodyText"/>
        <w:spacing w:line="235" w:lineRule="auto" w:before="2"/>
        <w:ind w:left="1247" w:right="2004"/>
      </w:pPr>
      <w:r>
        <w:rPr>
          <w:w w:val="120"/>
        </w:rPr>
        <w:t>Synod of Scotland showed an equally strong desire to affirm lay presidency; West Midlands also showed interest in this way forward, in light both of the increasing disparity between the number of ministers and of churches and that synod’s historical appreciation of lay presidency.</w:t>
      </w:r>
    </w:p>
    <w:p>
      <w:pPr>
        <w:pStyle w:val="BodyText"/>
        <w:spacing w:before="11"/>
        <w:rPr>
          <w:sz w:val="19"/>
        </w:rPr>
      </w:pPr>
    </w:p>
    <w:p>
      <w:pPr>
        <w:pStyle w:val="ListParagraph"/>
        <w:numPr>
          <w:ilvl w:val="1"/>
          <w:numId w:val="72"/>
        </w:numPr>
        <w:tabs>
          <w:tab w:pos="1927" w:val="left" w:leader="none"/>
          <w:tab w:pos="1928" w:val="left" w:leader="none"/>
        </w:tabs>
        <w:spacing w:line="235" w:lineRule="auto" w:before="0" w:after="0"/>
        <w:ind w:left="1247" w:right="2251" w:firstLine="0"/>
        <w:jc w:val="left"/>
        <w:rPr>
          <w:sz w:val="20"/>
        </w:rPr>
      </w:pPr>
      <w:r>
        <w:rPr>
          <w:w w:val="120"/>
          <w:sz w:val="20"/>
        </w:rPr>
        <w:t>However, a different point of view from either of these was raised in unanimity by six other synods: “We already have local ordained ministry. We have elders.”  While further questions can properly be raised about the distinction between the United Reformed </w:t>
      </w:r>
      <w:r>
        <w:rPr>
          <w:spacing w:val="-3"/>
          <w:w w:val="120"/>
          <w:sz w:val="20"/>
        </w:rPr>
        <w:t>Church’s </w:t>
      </w:r>
      <w:r>
        <w:rPr>
          <w:w w:val="120"/>
          <w:sz w:val="20"/>
        </w:rPr>
        <w:t>ordination of ministers of Word and sacrament and of elders </w:t>
      </w:r>
      <w:r>
        <w:rPr>
          <w:spacing w:val="-4"/>
          <w:w w:val="120"/>
          <w:sz w:val="20"/>
        </w:rPr>
        <w:t>(see </w:t>
      </w:r>
      <w:r>
        <w:rPr>
          <w:w w:val="120"/>
          <w:sz w:val="20"/>
        </w:rPr>
        <w:t>below </w:t>
      </w:r>
      <w:r>
        <w:rPr>
          <w:spacing w:val="-11"/>
          <w:w w:val="120"/>
          <w:sz w:val="20"/>
        </w:rPr>
        <w:t>7.1.2), </w:t>
      </w:r>
      <w:r>
        <w:rPr>
          <w:w w:val="120"/>
          <w:sz w:val="20"/>
        </w:rPr>
        <w:t>this groundswell of opinion was worth closer</w:t>
      </w:r>
      <w:r>
        <w:rPr>
          <w:spacing w:val="8"/>
          <w:w w:val="120"/>
          <w:sz w:val="20"/>
        </w:rPr>
        <w:t> </w:t>
      </w:r>
      <w:r>
        <w:rPr>
          <w:w w:val="120"/>
          <w:sz w:val="20"/>
        </w:rPr>
        <w:t>examination.</w:t>
      </w:r>
    </w:p>
    <w:p>
      <w:pPr>
        <w:pStyle w:val="BodyText"/>
        <w:spacing w:line="235" w:lineRule="auto" w:before="3"/>
        <w:ind w:left="1247" w:right="2004"/>
      </w:pPr>
      <w:r>
        <w:rPr>
          <w:w w:val="120"/>
        </w:rPr>
        <w:t>Furthermore, the potential for enhancement of the role of all elders was underlined by the response of Mission Council to an earlier version of this paper.</w:t>
      </w:r>
    </w:p>
    <w:p>
      <w:pPr>
        <w:spacing w:after="0" w:line="235" w:lineRule="auto"/>
        <w:sectPr>
          <w:headerReference w:type="even" r:id="rId291"/>
          <w:pgSz w:w="11910" w:h="16840"/>
          <w:pgMar w:header="0" w:footer="647" w:top="0" w:bottom="840" w:left="0" w:right="0"/>
        </w:sectPr>
      </w:pPr>
    </w:p>
    <w:p>
      <w:pPr>
        <w:pStyle w:val="BodyText"/>
      </w:pPr>
    </w:p>
    <w:p>
      <w:pPr>
        <w:pStyle w:val="BodyText"/>
        <w:spacing w:before="7"/>
        <w:rPr>
          <w:sz w:val="21"/>
        </w:rPr>
      </w:pPr>
    </w:p>
    <w:p>
      <w:pPr>
        <w:spacing w:after="0"/>
        <w:rPr>
          <w:sz w:val="21"/>
        </w:rPr>
        <w:sectPr>
          <w:headerReference w:type="default" r:id="rId292"/>
          <w:footerReference w:type="default" r:id="rId293"/>
          <w:footerReference w:type="even" r:id="rId294"/>
          <w:pgSz w:w="11910" w:h="16840"/>
          <w:pgMar w:header="0" w:footer="647" w:top="0" w:bottom="840" w:left="0" w:right="0"/>
          <w:pgNumType w:start="125"/>
        </w:sectPr>
      </w:pPr>
    </w:p>
    <w:p>
      <w:pPr>
        <w:pStyle w:val="BodyText"/>
        <w:spacing w:before="4"/>
        <w:rPr>
          <w:sz w:val="52"/>
        </w:rPr>
      </w:pPr>
    </w:p>
    <w:p>
      <w:pPr>
        <w:pStyle w:val="Heading4"/>
        <w:numPr>
          <w:ilvl w:val="0"/>
          <w:numId w:val="72"/>
        </w:numPr>
        <w:tabs>
          <w:tab w:pos="2664" w:val="left" w:leader="none"/>
          <w:tab w:pos="2665" w:val="left" w:leader="none"/>
        </w:tabs>
        <w:spacing w:line="344" w:lineRule="exact" w:before="0" w:after="0"/>
        <w:ind w:left="2664" w:right="0" w:hanging="681"/>
        <w:jc w:val="left"/>
        <w:rPr>
          <w:rFonts w:ascii="Stone Sans II ITC Std X Bd"/>
          <w:b/>
        </w:rPr>
      </w:pPr>
      <w:r>
        <w:rPr/>
        <w:pict>
          <v:shape style="position:absolute;margin-left:554.141174pt;margin-top:-9.325591pt;width:25.9pt;height:239.8pt;mso-position-horizontal-relative:page;mso-position-vertical-relative:paragraph;z-index:251994112" type="#_x0000_t202" filled="false" stroked="false">
            <v:textbox inset="0,0,0,0" style="layout-flow:vertical">
              <w:txbxContent>
                <w:p>
                  <w:pPr>
                    <w:spacing w:before="27"/>
                    <w:ind w:left="20" w:right="0" w:firstLine="0"/>
                    <w:jc w:val="left"/>
                    <w:rPr>
                      <w:sz w:val="39"/>
                    </w:rPr>
                  </w:pPr>
                  <w:r>
                    <w:rPr>
                      <w:color w:val="FFFFFF"/>
                      <w:w w:val="120"/>
                      <w:sz w:val="39"/>
                    </w:rPr>
                    <w:t>Ordained local ministry</w:t>
                  </w:r>
                </w:p>
              </w:txbxContent>
            </v:textbox>
            <w10:wrap type="none"/>
          </v:shape>
        </w:pict>
      </w:r>
      <w:r>
        <w:rPr>
          <w:rFonts w:ascii="Stone Sans II ITC Std X Bd"/>
          <w:b/>
          <w:w w:val="110"/>
        </w:rPr>
        <w:t>A</w:t>
      </w:r>
      <w:r>
        <w:rPr>
          <w:rFonts w:ascii="Stone Sans II ITC Std X Bd"/>
          <w:b/>
          <w:spacing w:val="5"/>
          <w:w w:val="110"/>
        </w:rPr>
        <w:t> </w:t>
      </w:r>
      <w:r>
        <w:rPr>
          <w:rFonts w:ascii="Stone Sans II ITC Std X Bd"/>
          <w:b/>
          <w:spacing w:val="-4"/>
          <w:w w:val="110"/>
        </w:rPr>
        <w:t>solution?</w:t>
      </w:r>
    </w:p>
    <w:p>
      <w:pPr>
        <w:pStyle w:val="Heading5"/>
        <w:ind w:left="1984"/>
      </w:pPr>
      <w:r>
        <w:rPr/>
        <w:br w:type="column"/>
      </w:r>
      <w:r>
        <w:rPr>
          <w:color w:val="7EAABF"/>
          <w:w w:val="115"/>
        </w:rPr>
        <w:t>Faith and order</w:t>
      </w:r>
    </w:p>
    <w:p>
      <w:pPr>
        <w:spacing w:after="0"/>
        <w:sectPr>
          <w:type w:val="continuous"/>
          <w:pgSz w:w="11910" w:h="16840"/>
          <w:pgMar w:top="680" w:bottom="280" w:left="0" w:right="0"/>
          <w:cols w:num="2" w:equalWidth="0">
            <w:col w:w="4482" w:space="2333"/>
            <w:col w:w="5095"/>
          </w:cols>
        </w:sectPr>
      </w:pPr>
    </w:p>
    <w:p>
      <w:pPr>
        <w:pStyle w:val="ListParagraph"/>
        <w:numPr>
          <w:ilvl w:val="1"/>
          <w:numId w:val="72"/>
        </w:numPr>
        <w:tabs>
          <w:tab w:pos="2664" w:val="left" w:leader="none"/>
          <w:tab w:pos="2665" w:val="left" w:leader="none"/>
        </w:tabs>
        <w:spacing w:line="235" w:lineRule="auto" w:before="4" w:after="0"/>
        <w:ind w:left="1984" w:right="1386" w:firstLine="0"/>
        <w:jc w:val="left"/>
        <w:rPr>
          <w:sz w:val="20"/>
        </w:rPr>
      </w:pPr>
      <w:r>
        <w:rPr/>
        <w:drawing>
          <wp:anchor distT="0" distB="0" distL="0" distR="0" allowOverlap="1" layoutInCell="1" locked="0" behindDoc="0" simplePos="0" relativeHeight="251993088">
            <wp:simplePos x="0" y="0"/>
            <wp:positionH relativeFrom="page">
              <wp:posOffset>6974928</wp:posOffset>
            </wp:positionH>
            <wp:positionV relativeFrom="page">
              <wp:posOffset>0</wp:posOffset>
            </wp:positionV>
            <wp:extent cx="585063" cy="10692003"/>
            <wp:effectExtent l="0" t="0" r="0" b="0"/>
            <wp:wrapNone/>
            <wp:docPr id="231" name="image25.png"/>
            <wp:cNvGraphicFramePr>
              <a:graphicFrameLocks noChangeAspect="1"/>
            </wp:cNvGraphicFramePr>
            <a:graphic>
              <a:graphicData uri="http://schemas.openxmlformats.org/drawingml/2006/picture">
                <pic:pic>
                  <pic:nvPicPr>
                    <pic:cNvPr id="232" name="image25.png"/>
                    <pic:cNvPicPr/>
                  </pic:nvPicPr>
                  <pic:blipFill>
                    <a:blip r:embed="rId192" cstate="print"/>
                    <a:stretch>
                      <a:fillRect/>
                    </a:stretch>
                  </pic:blipFill>
                  <pic:spPr>
                    <a:xfrm>
                      <a:off x="0" y="0"/>
                      <a:ext cx="585063" cy="10692003"/>
                    </a:xfrm>
                    <a:prstGeom prst="rect">
                      <a:avLst/>
                    </a:prstGeom>
                  </pic:spPr>
                </pic:pic>
              </a:graphicData>
            </a:graphic>
          </wp:anchor>
        </w:drawing>
      </w:r>
      <w:r>
        <w:rPr>
          <w:w w:val="120"/>
          <w:sz w:val="20"/>
        </w:rPr>
        <w:t>Elders have already been highlighted as one of the </w:t>
      </w:r>
      <w:r>
        <w:rPr>
          <w:spacing w:val="2"/>
          <w:w w:val="120"/>
          <w:sz w:val="20"/>
        </w:rPr>
        <w:t>gifts </w:t>
      </w:r>
      <w:r>
        <w:rPr>
          <w:w w:val="120"/>
          <w:sz w:val="20"/>
        </w:rPr>
        <w:t>of the United Reformed Church to the wider Church. What is the point, synods argued, of creating another category of ministry beyond that which we already </w:t>
      </w:r>
      <w:r>
        <w:rPr>
          <w:spacing w:val="-3"/>
          <w:w w:val="120"/>
          <w:sz w:val="20"/>
        </w:rPr>
        <w:t>have? </w:t>
      </w:r>
      <w:r>
        <w:rPr>
          <w:w w:val="120"/>
          <w:sz w:val="20"/>
        </w:rPr>
        <w:t>South Western Synod expanded: “URC ecclesiology bestows upon the local church the authority to elect elders and to invite whomsoever they wish to preach; it offers authorisation to preside to those not on the roll of ministers and allows us to be flexible in interpreting pastoral necessity. Inventing new categories of ministry will not change</w:t>
      </w:r>
      <w:r>
        <w:rPr>
          <w:spacing w:val="28"/>
          <w:w w:val="120"/>
          <w:sz w:val="20"/>
        </w:rPr>
        <w:t> </w:t>
      </w:r>
      <w:r>
        <w:rPr>
          <w:spacing w:val="-3"/>
          <w:w w:val="120"/>
          <w:sz w:val="20"/>
        </w:rPr>
        <w:t>these.”</w:t>
      </w:r>
    </w:p>
    <w:p>
      <w:pPr>
        <w:pStyle w:val="BodyText"/>
      </w:pPr>
    </w:p>
    <w:p>
      <w:pPr>
        <w:pStyle w:val="ListParagraph"/>
        <w:numPr>
          <w:ilvl w:val="1"/>
          <w:numId w:val="72"/>
        </w:numPr>
        <w:tabs>
          <w:tab w:pos="2664" w:val="left" w:leader="none"/>
          <w:tab w:pos="2665" w:val="left" w:leader="none"/>
        </w:tabs>
        <w:spacing w:line="235" w:lineRule="auto" w:before="1" w:after="0"/>
        <w:ind w:left="1984" w:right="1809" w:firstLine="0"/>
        <w:jc w:val="left"/>
        <w:rPr>
          <w:sz w:val="20"/>
        </w:rPr>
      </w:pPr>
      <w:r>
        <w:rPr>
          <w:w w:val="120"/>
          <w:sz w:val="20"/>
        </w:rPr>
        <w:t>Concerns were expressed about: The possibility of unsuccessful candidates for ordained ministry being ordained by the ‘back door’ of local ministry; the relationship of an ordained local ministry to the existing leadership team of elders; possible</w:t>
      </w:r>
      <w:r>
        <w:rPr>
          <w:spacing w:val="7"/>
          <w:w w:val="120"/>
          <w:sz w:val="20"/>
        </w:rPr>
        <w:t> </w:t>
      </w:r>
      <w:r>
        <w:rPr>
          <w:w w:val="120"/>
          <w:sz w:val="20"/>
        </w:rPr>
        <w:t>disciplinary</w:t>
      </w:r>
      <w:r>
        <w:rPr>
          <w:spacing w:val="7"/>
          <w:w w:val="120"/>
          <w:sz w:val="20"/>
        </w:rPr>
        <w:t> </w:t>
      </w:r>
      <w:r>
        <w:rPr>
          <w:w w:val="120"/>
          <w:sz w:val="20"/>
        </w:rPr>
        <w:t>issues</w:t>
      </w:r>
      <w:r>
        <w:rPr>
          <w:spacing w:val="7"/>
          <w:w w:val="120"/>
          <w:sz w:val="20"/>
        </w:rPr>
        <w:t> </w:t>
      </w:r>
      <w:r>
        <w:rPr>
          <w:w w:val="120"/>
          <w:sz w:val="20"/>
        </w:rPr>
        <w:t>if</w:t>
      </w:r>
      <w:r>
        <w:rPr>
          <w:spacing w:val="7"/>
          <w:w w:val="120"/>
          <w:sz w:val="20"/>
        </w:rPr>
        <w:t> </w:t>
      </w:r>
      <w:r>
        <w:rPr>
          <w:w w:val="120"/>
          <w:sz w:val="20"/>
        </w:rPr>
        <w:t>people</w:t>
      </w:r>
      <w:r>
        <w:rPr>
          <w:spacing w:val="8"/>
          <w:w w:val="120"/>
          <w:sz w:val="20"/>
        </w:rPr>
        <w:t> </w:t>
      </w:r>
      <w:r>
        <w:rPr>
          <w:w w:val="120"/>
          <w:sz w:val="20"/>
        </w:rPr>
        <w:t>rise</w:t>
      </w:r>
      <w:r>
        <w:rPr>
          <w:spacing w:val="7"/>
          <w:w w:val="120"/>
          <w:sz w:val="20"/>
        </w:rPr>
        <w:t> </w:t>
      </w:r>
      <w:r>
        <w:rPr>
          <w:w w:val="120"/>
          <w:sz w:val="20"/>
        </w:rPr>
        <w:t>to</w:t>
      </w:r>
      <w:r>
        <w:rPr>
          <w:spacing w:val="7"/>
          <w:w w:val="120"/>
          <w:sz w:val="20"/>
        </w:rPr>
        <w:t> </w:t>
      </w:r>
      <w:r>
        <w:rPr>
          <w:w w:val="120"/>
          <w:sz w:val="20"/>
        </w:rPr>
        <w:t>leadership</w:t>
      </w:r>
      <w:r>
        <w:rPr>
          <w:spacing w:val="7"/>
          <w:w w:val="120"/>
          <w:sz w:val="20"/>
        </w:rPr>
        <w:t> </w:t>
      </w:r>
      <w:r>
        <w:rPr>
          <w:w w:val="120"/>
          <w:sz w:val="20"/>
        </w:rPr>
        <w:t>without</w:t>
      </w:r>
      <w:r>
        <w:rPr>
          <w:spacing w:val="7"/>
          <w:w w:val="120"/>
          <w:sz w:val="20"/>
        </w:rPr>
        <w:t> </w:t>
      </w:r>
      <w:r>
        <w:rPr>
          <w:w w:val="120"/>
          <w:sz w:val="20"/>
        </w:rPr>
        <w:t>understanding</w:t>
      </w:r>
      <w:r>
        <w:rPr>
          <w:spacing w:val="8"/>
          <w:w w:val="120"/>
          <w:sz w:val="20"/>
        </w:rPr>
        <w:t> </w:t>
      </w:r>
      <w:r>
        <w:rPr>
          <w:w w:val="120"/>
          <w:sz w:val="20"/>
        </w:rPr>
        <w:t>the</w:t>
      </w:r>
    </w:p>
    <w:p>
      <w:pPr>
        <w:pStyle w:val="BodyText"/>
        <w:spacing w:line="235" w:lineRule="auto" w:before="3"/>
        <w:ind w:left="1984" w:right="1352"/>
      </w:pPr>
      <w:r>
        <w:rPr>
          <w:w w:val="120"/>
        </w:rPr>
        <w:t>conciliar nature of the local and wider Church in the United Reformed Church; and the difficulty of holding such leaders accountable, when the local church may prefer an unaccountable leader to none at all. It was pointed out that elders are accountable to the church meeting directly. Moreover, Assembly has already adopted guidelines for elders’ conduct paralleling those of ministers.</w:t>
      </w:r>
      <w:r>
        <w:rPr>
          <w:w w:val="120"/>
          <w:vertAlign w:val="superscript"/>
        </w:rPr>
        <w:t>20</w:t>
      </w:r>
    </w:p>
    <w:p>
      <w:pPr>
        <w:pStyle w:val="BodyText"/>
        <w:spacing w:before="11"/>
        <w:rPr>
          <w:sz w:val="19"/>
        </w:rPr>
      </w:pPr>
    </w:p>
    <w:p>
      <w:pPr>
        <w:pStyle w:val="ListParagraph"/>
        <w:numPr>
          <w:ilvl w:val="1"/>
          <w:numId w:val="72"/>
        </w:numPr>
        <w:tabs>
          <w:tab w:pos="2664" w:val="left" w:leader="none"/>
          <w:tab w:pos="2665" w:val="left" w:leader="none"/>
        </w:tabs>
        <w:spacing w:line="235" w:lineRule="auto" w:before="0" w:after="0"/>
        <w:ind w:left="1984" w:right="1942" w:firstLine="0"/>
        <w:jc w:val="left"/>
        <w:rPr>
          <w:sz w:val="20"/>
        </w:rPr>
      </w:pPr>
      <w:r>
        <w:rPr>
          <w:spacing w:val="-3"/>
          <w:w w:val="120"/>
          <w:sz w:val="20"/>
        </w:rPr>
        <w:t>Positively, </w:t>
      </w:r>
      <w:r>
        <w:rPr>
          <w:w w:val="120"/>
          <w:sz w:val="20"/>
        </w:rPr>
        <w:t>several synods described the </w:t>
      </w:r>
      <w:r>
        <w:rPr>
          <w:spacing w:val="2"/>
          <w:w w:val="120"/>
          <w:sz w:val="20"/>
        </w:rPr>
        <w:t>efforts </w:t>
      </w:r>
      <w:r>
        <w:rPr>
          <w:w w:val="120"/>
          <w:sz w:val="20"/>
        </w:rPr>
        <w:t>already being put into “encouraging and equipping our elders to embrace and fulfil their calling to give spiritual leadership to the </w:t>
      </w:r>
      <w:r>
        <w:rPr>
          <w:spacing w:val="-3"/>
          <w:w w:val="120"/>
          <w:sz w:val="20"/>
        </w:rPr>
        <w:t>church.” </w:t>
      </w:r>
      <w:r>
        <w:rPr>
          <w:w w:val="120"/>
          <w:sz w:val="20"/>
        </w:rPr>
        <w:t>(Yorkshire</w:t>
      </w:r>
      <w:r>
        <w:rPr>
          <w:spacing w:val="20"/>
          <w:w w:val="120"/>
          <w:sz w:val="20"/>
        </w:rPr>
        <w:t> </w:t>
      </w:r>
      <w:r>
        <w:rPr>
          <w:w w:val="120"/>
          <w:sz w:val="20"/>
        </w:rPr>
        <w:t>Synod)</w:t>
      </w:r>
    </w:p>
    <w:p>
      <w:pPr>
        <w:pStyle w:val="Heading4"/>
        <w:numPr>
          <w:ilvl w:val="0"/>
          <w:numId w:val="72"/>
        </w:numPr>
        <w:tabs>
          <w:tab w:pos="2664" w:val="left" w:leader="none"/>
          <w:tab w:pos="2665" w:val="left" w:leader="none"/>
        </w:tabs>
        <w:spacing w:line="240" w:lineRule="auto" w:before="215" w:after="0"/>
        <w:ind w:left="2664" w:right="0" w:hanging="681"/>
        <w:jc w:val="left"/>
      </w:pPr>
      <w:r>
        <w:rPr>
          <w:w w:val="110"/>
        </w:rPr>
        <w:t>Yes,</w:t>
      </w:r>
      <w:r>
        <w:rPr>
          <w:spacing w:val="12"/>
          <w:w w:val="110"/>
        </w:rPr>
        <w:t> </w:t>
      </w:r>
      <w:r>
        <w:rPr>
          <w:spacing w:val="4"/>
          <w:w w:val="110"/>
        </w:rPr>
        <w:t>but…</w:t>
      </w:r>
    </w:p>
    <w:p>
      <w:pPr>
        <w:pStyle w:val="ListParagraph"/>
        <w:numPr>
          <w:ilvl w:val="1"/>
          <w:numId w:val="72"/>
        </w:numPr>
        <w:tabs>
          <w:tab w:pos="2664" w:val="left" w:leader="none"/>
          <w:tab w:pos="2665" w:val="left" w:leader="none"/>
        </w:tabs>
        <w:spacing w:line="235" w:lineRule="auto" w:before="69" w:after="0"/>
        <w:ind w:left="1984" w:right="1669" w:firstLine="0"/>
        <w:jc w:val="left"/>
        <w:rPr>
          <w:sz w:val="20"/>
        </w:rPr>
      </w:pPr>
      <w:r>
        <w:rPr>
          <w:w w:val="120"/>
          <w:sz w:val="20"/>
        </w:rPr>
        <w:t>The committee is painfully aware of the complexities of this issue, covering theological, pastoral and practical aspects cutting to the heart of what we believe it means to be the United Reformed Church. Questions of both principle and practice remain to be resolved if we are to take this</w:t>
      </w:r>
      <w:r>
        <w:rPr>
          <w:spacing w:val="13"/>
          <w:w w:val="120"/>
          <w:sz w:val="20"/>
        </w:rPr>
        <w:t> </w:t>
      </w:r>
      <w:r>
        <w:rPr>
          <w:w w:val="120"/>
          <w:sz w:val="20"/>
        </w:rPr>
        <w:t>path.</w:t>
      </w:r>
    </w:p>
    <w:p>
      <w:pPr>
        <w:pStyle w:val="BodyText"/>
        <w:spacing w:before="11"/>
        <w:rPr>
          <w:sz w:val="19"/>
        </w:rPr>
      </w:pPr>
    </w:p>
    <w:p>
      <w:pPr>
        <w:pStyle w:val="ListParagraph"/>
        <w:numPr>
          <w:ilvl w:val="2"/>
          <w:numId w:val="72"/>
        </w:numPr>
        <w:tabs>
          <w:tab w:pos="2664" w:val="left" w:leader="none"/>
          <w:tab w:pos="2665" w:val="left" w:leader="none"/>
        </w:tabs>
        <w:spacing w:line="235" w:lineRule="auto" w:before="0" w:after="0"/>
        <w:ind w:left="1984" w:right="1322" w:firstLine="0"/>
        <w:jc w:val="left"/>
        <w:rPr>
          <w:sz w:val="20"/>
        </w:rPr>
      </w:pPr>
      <w:r>
        <w:rPr>
          <w:w w:val="120"/>
          <w:sz w:val="20"/>
        </w:rPr>
        <w:t>It could be argued that this is an old set of arguments, less relevant in the developing context of pioneer ministries, Fresh Expressions and our growing relationships with some of the new churches in which boundaries between lay and ordained leadership are less significant. Certainly questions of church order are looking different these days with some dialogue partners. </w:t>
      </w:r>
      <w:r>
        <w:rPr>
          <w:spacing w:val="-3"/>
          <w:w w:val="120"/>
          <w:sz w:val="20"/>
        </w:rPr>
        <w:t>Yet, </w:t>
      </w:r>
      <w:r>
        <w:rPr>
          <w:w w:val="120"/>
          <w:sz w:val="20"/>
        </w:rPr>
        <w:t>this question will not go away if we ignore it, for the balance between order and freedom, pragmatism and inspiration still needs to be</w:t>
      </w:r>
      <w:r>
        <w:rPr>
          <w:spacing w:val="8"/>
          <w:w w:val="120"/>
          <w:sz w:val="20"/>
        </w:rPr>
        <w:t> </w:t>
      </w:r>
      <w:r>
        <w:rPr>
          <w:w w:val="120"/>
          <w:sz w:val="20"/>
        </w:rPr>
        <w:t>struck.</w:t>
      </w:r>
    </w:p>
    <w:p>
      <w:pPr>
        <w:pStyle w:val="BodyText"/>
        <w:spacing w:before="1"/>
      </w:pPr>
    </w:p>
    <w:p>
      <w:pPr>
        <w:pStyle w:val="ListParagraph"/>
        <w:numPr>
          <w:ilvl w:val="2"/>
          <w:numId w:val="72"/>
        </w:numPr>
        <w:tabs>
          <w:tab w:pos="2665" w:val="left" w:leader="none"/>
        </w:tabs>
        <w:spacing w:line="235" w:lineRule="auto" w:before="0" w:after="0"/>
        <w:ind w:left="1984" w:right="1516" w:firstLine="0"/>
        <w:jc w:val="both"/>
        <w:rPr>
          <w:sz w:val="20"/>
        </w:rPr>
      </w:pPr>
      <w:r>
        <w:rPr>
          <w:w w:val="120"/>
          <w:sz w:val="20"/>
        </w:rPr>
        <w:t>During the compilation of this paper, questions of theology and good order in need of further work have arisen. For</w:t>
      </w:r>
      <w:r>
        <w:rPr>
          <w:spacing w:val="11"/>
          <w:w w:val="120"/>
          <w:sz w:val="20"/>
        </w:rPr>
        <w:t> </w:t>
      </w:r>
      <w:r>
        <w:rPr>
          <w:w w:val="120"/>
          <w:sz w:val="20"/>
        </w:rPr>
        <w:t>example:</w:t>
      </w:r>
    </w:p>
    <w:p>
      <w:pPr>
        <w:pStyle w:val="ListParagraph"/>
        <w:numPr>
          <w:ilvl w:val="0"/>
          <w:numId w:val="73"/>
        </w:numPr>
        <w:tabs>
          <w:tab w:pos="2664" w:val="left" w:leader="none"/>
          <w:tab w:pos="2665" w:val="left" w:leader="none"/>
        </w:tabs>
        <w:spacing w:line="235" w:lineRule="auto" w:before="2" w:after="0"/>
        <w:ind w:left="2664" w:right="1718" w:hanging="681"/>
        <w:jc w:val="both"/>
        <w:rPr>
          <w:sz w:val="20"/>
        </w:rPr>
      </w:pPr>
      <w:r>
        <w:rPr>
          <w:w w:val="120"/>
          <w:sz w:val="20"/>
        </w:rPr>
        <w:t>Is it the need for lay presidency or for local leadership, or both, that really lie at the heart of this problem? How can we</w:t>
      </w:r>
      <w:r>
        <w:rPr>
          <w:spacing w:val="17"/>
          <w:w w:val="120"/>
          <w:sz w:val="20"/>
        </w:rPr>
        <w:t> </w:t>
      </w:r>
      <w:r>
        <w:rPr>
          <w:w w:val="120"/>
          <w:sz w:val="20"/>
        </w:rPr>
        <w:t>decide?</w:t>
      </w:r>
    </w:p>
    <w:p>
      <w:pPr>
        <w:pStyle w:val="ListParagraph"/>
        <w:numPr>
          <w:ilvl w:val="0"/>
          <w:numId w:val="73"/>
        </w:numPr>
        <w:tabs>
          <w:tab w:pos="2665" w:val="left" w:leader="none"/>
        </w:tabs>
        <w:spacing w:line="240" w:lineRule="exact" w:before="0" w:after="0"/>
        <w:ind w:left="2664" w:right="0" w:hanging="681"/>
        <w:jc w:val="both"/>
        <w:rPr>
          <w:sz w:val="20"/>
        </w:rPr>
      </w:pPr>
      <w:r>
        <w:rPr>
          <w:w w:val="120"/>
          <w:sz w:val="20"/>
        </w:rPr>
        <w:t>Does good order necessarily imply</w:t>
      </w:r>
      <w:r>
        <w:rPr>
          <w:spacing w:val="12"/>
          <w:w w:val="120"/>
          <w:sz w:val="20"/>
        </w:rPr>
        <w:t> </w:t>
      </w:r>
      <w:r>
        <w:rPr>
          <w:w w:val="120"/>
          <w:sz w:val="20"/>
        </w:rPr>
        <w:t>ordination?</w:t>
      </w:r>
    </w:p>
    <w:p>
      <w:pPr>
        <w:pStyle w:val="ListParagraph"/>
        <w:numPr>
          <w:ilvl w:val="0"/>
          <w:numId w:val="73"/>
        </w:numPr>
        <w:tabs>
          <w:tab w:pos="2664" w:val="left" w:leader="none"/>
          <w:tab w:pos="2665" w:val="left" w:leader="none"/>
        </w:tabs>
        <w:spacing w:line="235" w:lineRule="auto" w:before="1" w:after="0"/>
        <w:ind w:left="2664" w:right="2268" w:hanging="681"/>
        <w:jc w:val="both"/>
        <w:rPr>
          <w:sz w:val="20"/>
        </w:rPr>
      </w:pPr>
      <w:r>
        <w:rPr>
          <w:w w:val="115"/>
          <w:sz w:val="20"/>
        </w:rPr>
        <w:t>How does the ordination of elders differ from that of ministers of Word and</w:t>
      </w:r>
      <w:r>
        <w:rPr>
          <w:spacing w:val="4"/>
          <w:w w:val="115"/>
          <w:sz w:val="20"/>
        </w:rPr>
        <w:t> </w:t>
      </w:r>
      <w:r>
        <w:rPr>
          <w:w w:val="115"/>
          <w:sz w:val="20"/>
        </w:rPr>
        <w:t>sacrament?</w:t>
      </w:r>
    </w:p>
    <w:p>
      <w:pPr>
        <w:pStyle w:val="ListParagraph"/>
        <w:numPr>
          <w:ilvl w:val="0"/>
          <w:numId w:val="73"/>
        </w:numPr>
        <w:tabs>
          <w:tab w:pos="2665" w:val="left" w:leader="none"/>
        </w:tabs>
        <w:spacing w:line="235" w:lineRule="auto" w:before="2" w:after="0"/>
        <w:ind w:left="2664" w:right="1669" w:hanging="681"/>
        <w:jc w:val="both"/>
        <w:rPr>
          <w:sz w:val="20"/>
        </w:rPr>
      </w:pPr>
      <w:r>
        <w:rPr>
          <w:w w:val="120"/>
          <w:sz w:val="20"/>
        </w:rPr>
        <w:t>Would the recognition of some elders as fitting celebrants of the sacraments be a pragmatic response to felt need, or a discernment of the Spirit’s gifting? How can we tell the difference, and how can the Church agree on</w:t>
      </w:r>
      <w:r>
        <w:rPr>
          <w:spacing w:val="49"/>
          <w:w w:val="120"/>
          <w:sz w:val="20"/>
        </w:rPr>
        <w:t> </w:t>
      </w:r>
      <w:r>
        <w:rPr>
          <w:spacing w:val="-3"/>
          <w:w w:val="120"/>
          <w:sz w:val="20"/>
        </w:rPr>
        <w:t>this?</w:t>
      </w:r>
    </w:p>
    <w:p>
      <w:pPr>
        <w:pStyle w:val="BodyText"/>
        <w:spacing w:before="10"/>
        <w:rPr>
          <w:sz w:val="19"/>
        </w:rPr>
      </w:pPr>
    </w:p>
    <w:p>
      <w:pPr>
        <w:pStyle w:val="ListParagraph"/>
        <w:numPr>
          <w:ilvl w:val="2"/>
          <w:numId w:val="72"/>
        </w:numPr>
        <w:tabs>
          <w:tab w:pos="2664" w:val="left" w:leader="none"/>
          <w:tab w:pos="2665" w:val="left" w:leader="none"/>
        </w:tabs>
        <w:spacing w:line="235" w:lineRule="auto" w:before="0" w:after="0"/>
        <w:ind w:left="1984" w:right="1324" w:firstLine="0"/>
        <w:jc w:val="left"/>
        <w:rPr>
          <w:sz w:val="20"/>
        </w:rPr>
      </w:pPr>
      <w:r>
        <w:rPr>
          <w:w w:val="120"/>
          <w:sz w:val="20"/>
        </w:rPr>
        <w:t>Practical issues with further theological implications have also emerged from  our discussions thus </w:t>
      </w:r>
      <w:r>
        <w:rPr>
          <w:spacing w:val="-3"/>
          <w:w w:val="120"/>
          <w:sz w:val="20"/>
        </w:rPr>
        <w:t>far, </w:t>
      </w:r>
      <w:r>
        <w:rPr>
          <w:w w:val="120"/>
          <w:sz w:val="20"/>
        </w:rPr>
        <w:t>highlighting the lack of hard evidence, beyond the anecdotal, concerning conditions on the ground in our churches. The Basis of Union promises that the United Reformed Church shall “</w:t>
      </w:r>
      <w:r>
        <w:rPr>
          <w:color w:val="00000A"/>
          <w:w w:val="120"/>
          <w:sz w:val="20"/>
        </w:rPr>
        <w:t>take steps to ensure that </w:t>
      </w:r>
      <w:r>
        <w:rPr>
          <w:i/>
          <w:color w:val="00000A"/>
          <w:w w:val="120"/>
          <w:sz w:val="20"/>
        </w:rPr>
        <w:t>so far as possible </w:t>
      </w:r>
      <w:r>
        <w:rPr>
          <w:color w:val="00000A"/>
          <w:w w:val="120"/>
          <w:sz w:val="20"/>
        </w:rPr>
        <w:t>ordained ministers of the Word and Sacraments are readily available to every local </w:t>
      </w:r>
      <w:r>
        <w:rPr>
          <w:color w:val="00000A"/>
          <w:spacing w:val="-3"/>
          <w:w w:val="120"/>
          <w:sz w:val="20"/>
        </w:rPr>
        <w:t>church.” </w:t>
      </w:r>
      <w:r>
        <w:rPr>
          <w:color w:val="00000A"/>
          <w:spacing w:val="-4"/>
          <w:w w:val="120"/>
          <w:sz w:val="20"/>
          <w:vertAlign w:val="superscript"/>
        </w:rPr>
        <w:t>21</w:t>
      </w:r>
      <w:r>
        <w:rPr>
          <w:color w:val="00000A"/>
          <w:spacing w:val="-4"/>
          <w:w w:val="120"/>
          <w:sz w:val="20"/>
          <w:vertAlign w:val="baseline"/>
        </w:rPr>
        <w:t> </w:t>
      </w:r>
      <w:r>
        <w:rPr>
          <w:color w:val="00000A"/>
          <w:w w:val="120"/>
          <w:sz w:val="20"/>
          <w:vertAlign w:val="baseline"/>
        </w:rPr>
        <w:t>[italics added] In considering the </w:t>
      </w:r>
      <w:r>
        <w:rPr>
          <w:color w:val="00000A"/>
          <w:spacing w:val="2"/>
          <w:w w:val="120"/>
          <w:sz w:val="20"/>
          <w:vertAlign w:val="baseline"/>
        </w:rPr>
        <w:t>report </w:t>
      </w:r>
      <w:r>
        <w:rPr>
          <w:i/>
          <w:color w:val="00000A"/>
          <w:w w:val="120"/>
          <w:sz w:val="20"/>
          <w:vertAlign w:val="baseline"/>
        </w:rPr>
        <w:t>Equipping the Saints </w:t>
      </w:r>
      <w:r>
        <w:rPr>
          <w:color w:val="00000A"/>
          <w:spacing w:val="-4"/>
          <w:w w:val="120"/>
          <w:sz w:val="20"/>
          <w:vertAlign w:val="baseline"/>
        </w:rPr>
        <w:t>(2005), </w:t>
      </w:r>
      <w:r>
        <w:rPr>
          <w:color w:val="00000A"/>
          <w:w w:val="120"/>
          <w:sz w:val="20"/>
          <w:vertAlign w:val="baseline"/>
        </w:rPr>
        <w:t>Assembly agreed that deployment patterns should accept “that not every congregation has or will have   a minister directly providing their day-to-day leadership.”</w:t>
      </w:r>
      <w:r>
        <w:rPr>
          <w:color w:val="00000A"/>
          <w:w w:val="120"/>
          <w:sz w:val="20"/>
          <w:vertAlign w:val="superscript"/>
        </w:rPr>
        <w:t>22</w:t>
      </w:r>
      <w:r>
        <w:rPr>
          <w:color w:val="00000A"/>
          <w:w w:val="120"/>
          <w:sz w:val="20"/>
          <w:vertAlign w:val="baseline"/>
        </w:rPr>
        <w:t> But </w:t>
      </w:r>
      <w:r>
        <w:rPr>
          <w:w w:val="120"/>
          <w:sz w:val="20"/>
          <w:vertAlign w:val="baseline"/>
        </w:rPr>
        <w:t>what is the current situation? What proportion of congregations in different synods still have regular  access to what level of ministerial oversight? What is the best use we can be</w:t>
      </w:r>
      <w:r>
        <w:rPr>
          <w:spacing w:val="-2"/>
          <w:w w:val="120"/>
          <w:sz w:val="20"/>
          <w:vertAlign w:val="baseline"/>
        </w:rPr>
        <w:t> </w:t>
      </w:r>
      <w:r>
        <w:rPr>
          <w:w w:val="120"/>
          <w:sz w:val="20"/>
          <w:vertAlign w:val="baseline"/>
        </w:rPr>
        <w:t>making</w:t>
      </w:r>
    </w:p>
    <w:p>
      <w:pPr>
        <w:spacing w:after="0" w:line="235" w:lineRule="auto"/>
        <w:jc w:val="left"/>
        <w:rPr>
          <w:sz w:val="20"/>
        </w:rPr>
        <w:sectPr>
          <w:type w:val="continuous"/>
          <w:pgSz w:w="11910" w:h="16840"/>
          <w:pgMar w:top="680" w:bottom="280" w:left="0" w:right="0"/>
        </w:sectPr>
      </w:pPr>
    </w:p>
    <w:p>
      <w:pPr>
        <w:pStyle w:val="BodyText"/>
      </w:pPr>
      <w:r>
        <w:rPr/>
        <w:drawing>
          <wp:anchor distT="0" distB="0" distL="0" distR="0" allowOverlap="1" layoutInCell="1" locked="0" behindDoc="0" simplePos="0" relativeHeight="251995136">
            <wp:simplePos x="0" y="0"/>
            <wp:positionH relativeFrom="page">
              <wp:posOffset>0</wp:posOffset>
            </wp:positionH>
            <wp:positionV relativeFrom="page">
              <wp:posOffset>0</wp:posOffset>
            </wp:positionV>
            <wp:extent cx="594067" cy="10692003"/>
            <wp:effectExtent l="0" t="0" r="0" b="0"/>
            <wp:wrapNone/>
            <wp:docPr id="233" name="image28.png"/>
            <wp:cNvGraphicFramePr>
              <a:graphicFrameLocks noChangeAspect="1"/>
            </wp:cNvGraphicFramePr>
            <a:graphic>
              <a:graphicData uri="http://schemas.openxmlformats.org/drawingml/2006/picture">
                <pic:pic>
                  <pic:nvPicPr>
                    <pic:cNvPr id="234" name="image28.png"/>
                    <pic:cNvPicPr/>
                  </pic:nvPicPr>
                  <pic:blipFill>
                    <a:blip r:embed="rId198"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jc w:val="both"/>
      </w:pPr>
      <w:r>
        <w:rPr/>
        <w:pict>
          <v:shape style="position:absolute;margin-left:20.519100pt;margin-top:22.593945pt;width:25.9pt;height:239.8pt;mso-position-horizontal-relative:page;mso-position-vertical-relative:paragraph;z-index:251996160" type="#_x0000_t202" filled="false" stroked="false">
            <v:textbox inset="0,0,0,0" style="layout-flow:vertical">
              <w:txbxContent>
                <w:p>
                  <w:pPr>
                    <w:spacing w:before="27"/>
                    <w:ind w:left="20" w:right="0" w:firstLine="0"/>
                    <w:jc w:val="left"/>
                    <w:rPr>
                      <w:sz w:val="39"/>
                    </w:rPr>
                  </w:pPr>
                  <w:r>
                    <w:rPr>
                      <w:color w:val="FFFFFF"/>
                      <w:w w:val="120"/>
                      <w:sz w:val="39"/>
                    </w:rPr>
                    <w:t>Ordained local ministry</w:t>
                  </w:r>
                </w:p>
              </w:txbxContent>
            </v:textbox>
            <w10:wrap type="none"/>
          </v:shape>
        </w:pict>
      </w:r>
      <w:r>
        <w:rPr>
          <w:color w:val="7EAABF"/>
          <w:w w:val="115"/>
        </w:rPr>
        <w:t>Faith and order</w:t>
      </w:r>
    </w:p>
    <w:p>
      <w:pPr>
        <w:pStyle w:val="BodyText"/>
        <w:spacing w:line="235" w:lineRule="auto" w:before="222"/>
        <w:ind w:left="1247" w:right="2314"/>
        <w:jc w:val="both"/>
      </w:pPr>
      <w:r>
        <w:rPr>
          <w:w w:val="120"/>
        </w:rPr>
        <w:t>of all – church related community workers, elders, ministers of Word and sacrament, lay preachers, local leaders and others – who are leading the churches? What are the implications for their training?</w:t>
      </w:r>
    </w:p>
    <w:p>
      <w:pPr>
        <w:pStyle w:val="BodyText"/>
        <w:spacing w:before="10"/>
        <w:rPr>
          <w:sz w:val="19"/>
        </w:rPr>
      </w:pPr>
    </w:p>
    <w:p>
      <w:pPr>
        <w:pStyle w:val="ListParagraph"/>
        <w:numPr>
          <w:ilvl w:val="1"/>
          <w:numId w:val="72"/>
        </w:numPr>
        <w:tabs>
          <w:tab w:pos="1927" w:val="left" w:leader="none"/>
          <w:tab w:pos="1928" w:val="left" w:leader="none"/>
        </w:tabs>
        <w:spacing w:line="235" w:lineRule="auto" w:before="0" w:after="0"/>
        <w:ind w:left="1247" w:right="2008" w:firstLine="0"/>
        <w:jc w:val="left"/>
        <w:rPr>
          <w:sz w:val="20"/>
        </w:rPr>
      </w:pPr>
      <w:r>
        <w:rPr>
          <w:w w:val="120"/>
          <w:sz w:val="20"/>
        </w:rPr>
        <w:t>What if we </w:t>
      </w:r>
      <w:r>
        <w:rPr>
          <w:i/>
          <w:w w:val="120"/>
          <w:sz w:val="20"/>
        </w:rPr>
        <w:t>were </w:t>
      </w:r>
      <w:r>
        <w:rPr>
          <w:w w:val="120"/>
          <w:sz w:val="20"/>
        </w:rPr>
        <w:t>to decide to move forward in the direction of ‘celebrant elders’? Careful development of good process would be necessary in order to support and   guide elders who felt called to this ministry, as well as their congregations. Here are just a few of the considerations that might</w:t>
      </w:r>
      <w:r>
        <w:rPr>
          <w:spacing w:val="11"/>
          <w:w w:val="120"/>
          <w:sz w:val="20"/>
        </w:rPr>
        <w:t> </w:t>
      </w:r>
      <w:r>
        <w:rPr>
          <w:w w:val="120"/>
          <w:sz w:val="20"/>
        </w:rPr>
        <w:t>arise.</w:t>
      </w:r>
    </w:p>
    <w:p>
      <w:pPr>
        <w:pStyle w:val="BodyText"/>
        <w:spacing w:before="11"/>
        <w:rPr>
          <w:sz w:val="19"/>
        </w:rPr>
      </w:pPr>
    </w:p>
    <w:p>
      <w:pPr>
        <w:pStyle w:val="ListParagraph"/>
        <w:numPr>
          <w:ilvl w:val="2"/>
          <w:numId w:val="72"/>
        </w:numPr>
        <w:tabs>
          <w:tab w:pos="1928" w:val="left" w:leader="none"/>
        </w:tabs>
        <w:spacing w:line="235" w:lineRule="auto" w:before="0" w:after="0"/>
        <w:ind w:left="1247" w:right="2059" w:firstLine="0"/>
        <w:jc w:val="left"/>
        <w:rPr>
          <w:sz w:val="20"/>
        </w:rPr>
      </w:pPr>
      <w:r>
        <w:rPr>
          <w:w w:val="120"/>
          <w:sz w:val="20"/>
        </w:rPr>
        <w:t>Since the proposal is not that every elder has the gifting and call to become  what one might label a celebrant elder, a call/discernment/authorisation process would still be required. How would this be done? Within the local church? Through synod pastoral committees? By an Assembly committee? Would those elders already regularly celebrating the sacraments need to go through further training initially, or regular refresher courses, in a parallel way to Assembly-accredited lay preachers?</w:t>
      </w:r>
      <w:r>
        <w:rPr>
          <w:w w:val="120"/>
          <w:sz w:val="20"/>
          <w:vertAlign w:val="superscript"/>
        </w:rPr>
        <w:t>23</w:t>
      </w:r>
      <w:r>
        <w:rPr>
          <w:w w:val="120"/>
          <w:sz w:val="20"/>
          <w:vertAlign w:val="baseline"/>
        </w:rPr>
        <w:t> Would the Church have the authority at Assembly level to insist on this, or the money to fund </w:t>
      </w:r>
      <w:r>
        <w:rPr>
          <w:spacing w:val="-3"/>
          <w:w w:val="120"/>
          <w:sz w:val="20"/>
          <w:vertAlign w:val="baseline"/>
        </w:rPr>
        <w:t>it? </w:t>
      </w:r>
      <w:r>
        <w:rPr>
          <w:w w:val="120"/>
          <w:sz w:val="20"/>
          <w:vertAlign w:val="baseline"/>
        </w:rPr>
        <w:t>How would celebrant elders in a congregation with little or no ministerial oversight receive support beyond the local level for their</w:t>
      </w:r>
      <w:r>
        <w:rPr>
          <w:spacing w:val="17"/>
          <w:w w:val="120"/>
          <w:sz w:val="20"/>
          <w:vertAlign w:val="baseline"/>
        </w:rPr>
        <w:t> </w:t>
      </w:r>
      <w:r>
        <w:rPr>
          <w:w w:val="120"/>
          <w:sz w:val="20"/>
          <w:vertAlign w:val="baseline"/>
        </w:rPr>
        <w:t>leadership?</w:t>
      </w:r>
    </w:p>
    <w:p>
      <w:pPr>
        <w:pStyle w:val="BodyText"/>
        <w:spacing w:before="2"/>
      </w:pPr>
    </w:p>
    <w:p>
      <w:pPr>
        <w:pStyle w:val="ListParagraph"/>
        <w:numPr>
          <w:ilvl w:val="2"/>
          <w:numId w:val="72"/>
        </w:numPr>
        <w:tabs>
          <w:tab w:pos="1928" w:val="left" w:leader="none"/>
        </w:tabs>
        <w:spacing w:line="235" w:lineRule="auto" w:before="0" w:after="0"/>
        <w:ind w:left="1247" w:right="2432" w:firstLine="0"/>
        <w:jc w:val="left"/>
        <w:rPr>
          <w:sz w:val="20"/>
        </w:rPr>
      </w:pPr>
      <w:r>
        <w:rPr>
          <w:w w:val="120"/>
          <w:sz w:val="20"/>
        </w:rPr>
        <w:t>Questions of power and accountability must also be tackled. For example, if  a lay preacher who is not an elder has a regular relationship including celebrating Communion with a church other than their own, and under this scheme they are ordained</w:t>
      </w:r>
      <w:r>
        <w:rPr>
          <w:spacing w:val="11"/>
          <w:w w:val="120"/>
          <w:sz w:val="20"/>
        </w:rPr>
        <w:t> </w:t>
      </w:r>
      <w:r>
        <w:rPr>
          <w:w w:val="120"/>
          <w:sz w:val="20"/>
        </w:rPr>
        <w:t>celebrant</w:t>
      </w:r>
      <w:r>
        <w:rPr>
          <w:spacing w:val="11"/>
          <w:w w:val="120"/>
          <w:sz w:val="20"/>
        </w:rPr>
        <w:t> </w:t>
      </w:r>
      <w:r>
        <w:rPr>
          <w:w w:val="120"/>
          <w:sz w:val="20"/>
        </w:rPr>
        <w:t>elder,</w:t>
      </w:r>
      <w:r>
        <w:rPr>
          <w:spacing w:val="11"/>
          <w:w w:val="120"/>
          <w:sz w:val="20"/>
        </w:rPr>
        <w:t> </w:t>
      </w:r>
      <w:r>
        <w:rPr>
          <w:w w:val="120"/>
          <w:sz w:val="20"/>
        </w:rPr>
        <w:t>in</w:t>
      </w:r>
      <w:r>
        <w:rPr>
          <w:spacing w:val="11"/>
          <w:w w:val="120"/>
          <w:sz w:val="20"/>
        </w:rPr>
        <w:t> </w:t>
      </w:r>
      <w:r>
        <w:rPr>
          <w:w w:val="120"/>
          <w:sz w:val="20"/>
        </w:rPr>
        <w:t>which</w:t>
      </w:r>
      <w:r>
        <w:rPr>
          <w:spacing w:val="11"/>
          <w:w w:val="120"/>
          <w:sz w:val="20"/>
        </w:rPr>
        <w:t> </w:t>
      </w:r>
      <w:r>
        <w:rPr>
          <w:w w:val="120"/>
          <w:sz w:val="20"/>
        </w:rPr>
        <w:t>congregation</w:t>
      </w:r>
      <w:r>
        <w:rPr>
          <w:spacing w:val="11"/>
          <w:w w:val="120"/>
          <w:sz w:val="20"/>
        </w:rPr>
        <w:t> </w:t>
      </w:r>
      <w:r>
        <w:rPr>
          <w:w w:val="120"/>
          <w:sz w:val="20"/>
        </w:rPr>
        <w:t>should</w:t>
      </w:r>
      <w:r>
        <w:rPr>
          <w:spacing w:val="11"/>
          <w:w w:val="120"/>
          <w:sz w:val="20"/>
        </w:rPr>
        <w:t> </w:t>
      </w:r>
      <w:r>
        <w:rPr>
          <w:w w:val="120"/>
          <w:sz w:val="20"/>
        </w:rPr>
        <w:t>their</w:t>
      </w:r>
      <w:r>
        <w:rPr>
          <w:spacing w:val="11"/>
          <w:w w:val="120"/>
          <w:sz w:val="20"/>
        </w:rPr>
        <w:t> </w:t>
      </w:r>
      <w:r>
        <w:rPr>
          <w:w w:val="120"/>
          <w:sz w:val="20"/>
        </w:rPr>
        <w:t>eldership</w:t>
      </w:r>
      <w:r>
        <w:rPr>
          <w:spacing w:val="11"/>
          <w:w w:val="120"/>
          <w:sz w:val="20"/>
        </w:rPr>
        <w:t> </w:t>
      </w:r>
      <w:r>
        <w:rPr>
          <w:w w:val="120"/>
          <w:sz w:val="20"/>
        </w:rPr>
        <w:t>be</w:t>
      </w:r>
      <w:r>
        <w:rPr>
          <w:spacing w:val="11"/>
          <w:w w:val="120"/>
          <w:sz w:val="20"/>
        </w:rPr>
        <w:t> </w:t>
      </w:r>
      <w:r>
        <w:rPr>
          <w:w w:val="120"/>
          <w:sz w:val="20"/>
        </w:rPr>
        <w:t>rooted</w:t>
      </w:r>
      <w:r>
        <w:rPr>
          <w:spacing w:val="11"/>
          <w:w w:val="120"/>
          <w:sz w:val="20"/>
        </w:rPr>
        <w:t> </w:t>
      </w:r>
      <w:r>
        <w:rPr>
          <w:w w:val="120"/>
          <w:sz w:val="20"/>
        </w:rPr>
        <w:t>–</w:t>
      </w:r>
    </w:p>
    <w:p>
      <w:pPr>
        <w:pStyle w:val="BodyText"/>
        <w:spacing w:line="235" w:lineRule="auto" w:before="3"/>
        <w:ind w:left="1247" w:right="2004"/>
      </w:pPr>
      <w:r>
        <w:rPr>
          <w:w w:val="120"/>
        </w:rPr>
        <w:t>their home church or one of those in which they exercise this aspect of their ministry? And, to which congregation are they answerable?</w:t>
      </w:r>
    </w:p>
    <w:p>
      <w:pPr>
        <w:pStyle w:val="BodyText"/>
        <w:spacing w:before="10"/>
        <w:rPr>
          <w:sz w:val="19"/>
        </w:rPr>
      </w:pPr>
    </w:p>
    <w:p>
      <w:pPr>
        <w:pStyle w:val="ListParagraph"/>
        <w:numPr>
          <w:ilvl w:val="1"/>
          <w:numId w:val="72"/>
        </w:numPr>
        <w:tabs>
          <w:tab w:pos="1927" w:val="left" w:leader="none"/>
          <w:tab w:pos="1928" w:val="left" w:leader="none"/>
        </w:tabs>
        <w:spacing w:line="235" w:lineRule="auto" w:before="0" w:after="0"/>
        <w:ind w:left="1247" w:right="2021" w:firstLine="0"/>
        <w:jc w:val="left"/>
        <w:rPr>
          <w:sz w:val="20"/>
        </w:rPr>
      </w:pPr>
      <w:r>
        <w:rPr>
          <w:w w:val="120"/>
          <w:sz w:val="20"/>
        </w:rPr>
        <w:t>Finally, to acknowledge the practicalities of the situation obtaining in each of our nations, if not every congregation can even find enough serving elders, is it naïve to expect a sufficient supply of celebrant elders to emerge, even from the pool of regular lay celebrants whom we know already exist within some of our synods? Age, and the rigours of training requirements (considered in </w:t>
      </w:r>
      <w:r>
        <w:rPr>
          <w:spacing w:val="-3"/>
          <w:w w:val="120"/>
          <w:sz w:val="20"/>
        </w:rPr>
        <w:t>2.5), </w:t>
      </w:r>
      <w:r>
        <w:rPr>
          <w:w w:val="120"/>
          <w:sz w:val="20"/>
        </w:rPr>
        <w:t>may prove dissuasive</w:t>
      </w:r>
      <w:r>
        <w:rPr>
          <w:spacing w:val="47"/>
          <w:w w:val="120"/>
          <w:sz w:val="20"/>
        </w:rPr>
        <w:t> </w:t>
      </w:r>
      <w:r>
        <w:rPr>
          <w:w w:val="120"/>
          <w:sz w:val="20"/>
        </w:rPr>
        <w:t>factors.</w:t>
      </w:r>
    </w:p>
    <w:p>
      <w:pPr>
        <w:pStyle w:val="BodyText"/>
        <w:spacing w:before="12"/>
        <w:rPr>
          <w:sz w:val="19"/>
        </w:rPr>
      </w:pPr>
    </w:p>
    <w:p>
      <w:pPr>
        <w:pStyle w:val="ListParagraph"/>
        <w:numPr>
          <w:ilvl w:val="1"/>
          <w:numId w:val="72"/>
        </w:numPr>
        <w:tabs>
          <w:tab w:pos="1927" w:val="left" w:leader="none"/>
          <w:tab w:pos="1928" w:val="left" w:leader="none"/>
        </w:tabs>
        <w:spacing w:line="235" w:lineRule="auto" w:before="0" w:after="0"/>
        <w:ind w:left="1247" w:right="2376" w:firstLine="0"/>
        <w:jc w:val="left"/>
        <w:rPr>
          <w:sz w:val="20"/>
        </w:rPr>
      </w:pPr>
      <w:r>
        <w:rPr>
          <w:w w:val="120"/>
          <w:sz w:val="20"/>
        </w:rPr>
        <w:t>The faith and order committee has not been able to agree unanimously on this proposal. Significant questions of principle remain unanswered or contested. However, the committee and Mission Council feel that the time has come to test the mind of the</w:t>
      </w:r>
      <w:r>
        <w:rPr>
          <w:spacing w:val="6"/>
          <w:w w:val="120"/>
          <w:sz w:val="20"/>
        </w:rPr>
        <w:t> </w:t>
      </w:r>
      <w:r>
        <w:rPr>
          <w:w w:val="120"/>
          <w:sz w:val="20"/>
        </w:rPr>
        <w:t>church.</w:t>
      </w:r>
    </w:p>
    <w:p>
      <w:pPr>
        <w:pStyle w:val="ListParagraph"/>
        <w:numPr>
          <w:ilvl w:val="0"/>
          <w:numId w:val="74"/>
        </w:numPr>
        <w:tabs>
          <w:tab w:pos="1927" w:val="left" w:leader="none"/>
          <w:tab w:pos="1928" w:val="left" w:leader="none"/>
        </w:tabs>
        <w:spacing w:line="235" w:lineRule="auto" w:before="3" w:after="0"/>
        <w:ind w:left="1927" w:right="2101" w:hanging="681"/>
        <w:jc w:val="left"/>
        <w:rPr>
          <w:sz w:val="20"/>
        </w:rPr>
      </w:pPr>
      <w:r>
        <w:rPr>
          <w:w w:val="120"/>
          <w:sz w:val="20"/>
        </w:rPr>
        <w:t>It seems to many that the current situation – lay presidency variously authorised under an elastic definition of ‘pastoral necessity’ – is neither theologically coherent nor practically viable in the longer</w:t>
      </w:r>
      <w:r>
        <w:rPr>
          <w:spacing w:val="18"/>
          <w:w w:val="120"/>
          <w:sz w:val="20"/>
        </w:rPr>
        <w:t> </w:t>
      </w:r>
      <w:r>
        <w:rPr>
          <w:w w:val="120"/>
          <w:sz w:val="20"/>
        </w:rPr>
        <w:t>term.</w:t>
      </w:r>
    </w:p>
    <w:p>
      <w:pPr>
        <w:pStyle w:val="ListParagraph"/>
        <w:numPr>
          <w:ilvl w:val="0"/>
          <w:numId w:val="74"/>
        </w:numPr>
        <w:tabs>
          <w:tab w:pos="1927" w:val="left" w:leader="none"/>
          <w:tab w:pos="1928" w:val="left" w:leader="none"/>
        </w:tabs>
        <w:spacing w:line="235" w:lineRule="auto" w:before="2" w:after="0"/>
        <w:ind w:left="1927" w:right="2109" w:hanging="681"/>
        <w:jc w:val="left"/>
        <w:rPr>
          <w:sz w:val="20"/>
        </w:rPr>
      </w:pPr>
      <w:r>
        <w:rPr>
          <w:w w:val="120"/>
          <w:sz w:val="20"/>
        </w:rPr>
        <w:t>However, the argument from ‘good order’ to ordain to the ministry of Word  and sacrament all who preside goes against the theological convictions of some in our churches, does not cohere with the sense of calling of others, and will therefore not solve the practical</w:t>
      </w:r>
      <w:r>
        <w:rPr>
          <w:spacing w:val="11"/>
          <w:w w:val="120"/>
          <w:sz w:val="20"/>
        </w:rPr>
        <w:t> </w:t>
      </w:r>
      <w:r>
        <w:rPr>
          <w:w w:val="120"/>
          <w:sz w:val="20"/>
        </w:rPr>
        <w:t>problem.</w:t>
      </w:r>
    </w:p>
    <w:p>
      <w:pPr>
        <w:pStyle w:val="ListParagraph"/>
        <w:numPr>
          <w:ilvl w:val="0"/>
          <w:numId w:val="74"/>
        </w:numPr>
        <w:tabs>
          <w:tab w:pos="1927" w:val="left" w:leader="none"/>
          <w:tab w:pos="1928" w:val="left" w:leader="none"/>
        </w:tabs>
        <w:spacing w:line="235" w:lineRule="auto" w:before="3" w:after="0"/>
        <w:ind w:left="1927" w:right="2403" w:hanging="681"/>
        <w:jc w:val="left"/>
        <w:rPr>
          <w:sz w:val="20"/>
        </w:rPr>
      </w:pPr>
      <w:r>
        <w:rPr>
          <w:w w:val="120"/>
          <w:sz w:val="20"/>
        </w:rPr>
        <w:t>We have found no neat or permanent solution to this question. We suggest however that the United Reformed Church explore further dimensions of the </w:t>
      </w:r>
      <w:r>
        <w:rPr>
          <w:spacing w:val="2"/>
          <w:w w:val="120"/>
          <w:sz w:val="20"/>
        </w:rPr>
        <w:t>gift </w:t>
      </w:r>
      <w:r>
        <w:rPr>
          <w:w w:val="120"/>
          <w:sz w:val="20"/>
        </w:rPr>
        <w:t>of eldership we already appreciate and which already exists within each congregation of the United Reformed</w:t>
      </w:r>
      <w:r>
        <w:rPr>
          <w:spacing w:val="14"/>
          <w:w w:val="120"/>
          <w:sz w:val="20"/>
        </w:rPr>
        <w:t> </w:t>
      </w:r>
      <w:r>
        <w:rPr>
          <w:w w:val="120"/>
          <w:sz w:val="20"/>
        </w:rPr>
        <w:t>Church.</w:t>
      </w:r>
    </w:p>
    <w:p>
      <w:pPr>
        <w:pStyle w:val="ListParagraph"/>
        <w:numPr>
          <w:ilvl w:val="0"/>
          <w:numId w:val="74"/>
        </w:numPr>
        <w:tabs>
          <w:tab w:pos="1927" w:val="left" w:leader="none"/>
          <w:tab w:pos="1928" w:val="left" w:leader="none"/>
        </w:tabs>
        <w:spacing w:line="235" w:lineRule="auto" w:before="3" w:after="0"/>
        <w:ind w:left="1927" w:right="2163" w:hanging="681"/>
        <w:jc w:val="left"/>
        <w:rPr>
          <w:sz w:val="20"/>
        </w:rPr>
      </w:pPr>
      <w:r>
        <w:rPr>
          <w:w w:val="120"/>
          <w:sz w:val="20"/>
        </w:rPr>
        <w:t>In the discussions leading to the production of this paper, one point that has emerged clearly is the need to affirm and reinvigorate the ministry of eldership as a distinctive feature of the United Reformed Church and a </w:t>
      </w:r>
      <w:r>
        <w:rPr>
          <w:spacing w:val="2"/>
          <w:w w:val="120"/>
          <w:sz w:val="20"/>
        </w:rPr>
        <w:t>gift </w:t>
      </w:r>
      <w:r>
        <w:rPr>
          <w:w w:val="120"/>
          <w:sz w:val="20"/>
        </w:rPr>
        <w:t>to the whole Church </w:t>
      </w:r>
      <w:r>
        <w:rPr>
          <w:spacing w:val="-6"/>
          <w:w w:val="120"/>
          <w:sz w:val="20"/>
        </w:rPr>
        <w:t>(as </w:t>
      </w:r>
      <w:r>
        <w:rPr>
          <w:w w:val="120"/>
          <w:sz w:val="20"/>
        </w:rPr>
        <w:t>for example in the work already being done by synods, education and learning committee work on the training of elders, and the commitment of the ministries committee to resourcing</w:t>
      </w:r>
      <w:r>
        <w:rPr>
          <w:spacing w:val="11"/>
          <w:w w:val="120"/>
          <w:sz w:val="20"/>
        </w:rPr>
        <w:t> </w:t>
      </w:r>
      <w:r>
        <w:rPr>
          <w:spacing w:val="-4"/>
          <w:w w:val="120"/>
          <w:sz w:val="20"/>
        </w:rPr>
        <w:t>them).</w:t>
      </w:r>
    </w:p>
    <w:p>
      <w:pPr>
        <w:pStyle w:val="ListParagraph"/>
        <w:numPr>
          <w:ilvl w:val="0"/>
          <w:numId w:val="74"/>
        </w:numPr>
        <w:tabs>
          <w:tab w:pos="1927" w:val="left" w:leader="none"/>
          <w:tab w:pos="1928" w:val="left" w:leader="none"/>
        </w:tabs>
        <w:spacing w:line="235" w:lineRule="auto" w:before="4" w:after="0"/>
        <w:ind w:left="1927" w:right="1998" w:hanging="681"/>
        <w:jc w:val="left"/>
        <w:rPr>
          <w:sz w:val="20"/>
        </w:rPr>
      </w:pPr>
      <w:r>
        <w:rPr>
          <w:w w:val="120"/>
          <w:sz w:val="20"/>
        </w:rPr>
        <w:t>We invite the United Reformed Church to explore further the possibility that some elders may be called to celebrate the sacraments within their own congregations or other local churches with which they have a significant pastoral relationship. Realising that this is a significant move which will affect not</w:t>
      </w:r>
      <w:r>
        <w:rPr>
          <w:spacing w:val="14"/>
          <w:w w:val="120"/>
          <w:sz w:val="20"/>
        </w:rPr>
        <w:t> </w:t>
      </w:r>
      <w:r>
        <w:rPr>
          <w:w w:val="120"/>
          <w:sz w:val="20"/>
        </w:rPr>
        <w:t>only</w:t>
      </w:r>
    </w:p>
    <w:p>
      <w:pPr>
        <w:pStyle w:val="BodyText"/>
        <w:spacing w:line="235" w:lineRule="auto" w:before="3"/>
        <w:ind w:left="1927" w:right="2004"/>
      </w:pPr>
      <w:r>
        <w:rPr>
          <w:w w:val="120"/>
        </w:rPr>
        <w:t>the lives of our churches but also those of others beyond our own fellowship, we seek the Spirit’s guidance through the councils of the Church.</w:t>
      </w:r>
    </w:p>
    <w:p>
      <w:pPr>
        <w:spacing w:after="0" w:line="235" w:lineRule="auto"/>
        <w:sectPr>
          <w:headerReference w:type="even" r:id="rId295"/>
          <w:pgSz w:w="11910" w:h="16840"/>
          <w:pgMar w:header="0" w:footer="647" w:top="0" w:bottom="840" w:left="0" w:right="0"/>
        </w:sectPr>
      </w:pPr>
    </w:p>
    <w:p>
      <w:pPr>
        <w:pStyle w:val="BodyText"/>
      </w:pPr>
      <w:r>
        <w:rPr/>
        <w:drawing>
          <wp:anchor distT="0" distB="0" distL="0" distR="0" allowOverlap="1" layoutInCell="1" locked="0" behindDoc="0" simplePos="0" relativeHeight="251997184">
            <wp:simplePos x="0" y="0"/>
            <wp:positionH relativeFrom="page">
              <wp:posOffset>6974928</wp:posOffset>
            </wp:positionH>
            <wp:positionV relativeFrom="page">
              <wp:posOffset>0</wp:posOffset>
            </wp:positionV>
            <wp:extent cx="585063" cy="10692003"/>
            <wp:effectExtent l="0" t="0" r="0" b="0"/>
            <wp:wrapNone/>
            <wp:docPr id="235" name="image25.png"/>
            <wp:cNvGraphicFramePr>
              <a:graphicFrameLocks noChangeAspect="1"/>
            </wp:cNvGraphicFramePr>
            <a:graphic>
              <a:graphicData uri="http://schemas.openxmlformats.org/drawingml/2006/picture">
                <pic:pic>
                  <pic:nvPicPr>
                    <pic:cNvPr id="236" name="image25.png"/>
                    <pic:cNvPicPr/>
                  </pic:nvPicPr>
                  <pic:blipFill>
                    <a:blip r:embed="rId192"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pStyle w:val="Heading5"/>
        <w:ind w:left="0" w:right="1245"/>
        <w:jc w:val="right"/>
      </w:pPr>
      <w:r>
        <w:rPr>
          <w:color w:val="7EAABF"/>
          <w:w w:val="115"/>
        </w:rPr>
        <w:t>Faith and order</w:t>
      </w:r>
    </w:p>
    <w:p>
      <w:pPr>
        <w:pStyle w:val="BodyText"/>
        <w:spacing w:before="11"/>
        <w:rPr>
          <w:sz w:val="28"/>
        </w:rPr>
      </w:pPr>
    </w:p>
    <w:p>
      <w:pPr>
        <w:pStyle w:val="Heading9"/>
        <w:spacing w:before="92"/>
        <w:ind w:left="1984" w:firstLine="0"/>
      </w:pPr>
      <w:r>
        <w:rPr/>
        <w:pict>
          <v:shape style="position:absolute;margin-left:554.141174pt;margin-top:-16.218079pt;width:25.9pt;height:239.8pt;mso-position-horizontal-relative:page;mso-position-vertical-relative:paragraph;z-index:251998208" type="#_x0000_t202" filled="false" stroked="false">
            <v:textbox inset="0,0,0,0" style="layout-flow:vertical">
              <w:txbxContent>
                <w:p>
                  <w:pPr>
                    <w:spacing w:before="27"/>
                    <w:ind w:left="20" w:right="0" w:firstLine="0"/>
                    <w:jc w:val="left"/>
                    <w:rPr>
                      <w:sz w:val="39"/>
                    </w:rPr>
                  </w:pPr>
                  <w:r>
                    <w:rPr>
                      <w:color w:val="FFFFFF"/>
                      <w:w w:val="120"/>
                      <w:sz w:val="39"/>
                    </w:rPr>
                    <w:t>Ordained local ministry</w:t>
                  </w:r>
                </w:p>
              </w:txbxContent>
            </v:textbox>
            <w10:wrap type="none"/>
          </v:shape>
        </w:pict>
      </w:r>
      <w:r>
        <w:rPr>
          <w:w w:val="110"/>
        </w:rPr>
        <w:t>Footnotes</w:t>
      </w:r>
    </w:p>
    <w:p>
      <w:pPr>
        <w:pStyle w:val="ListParagraph"/>
        <w:numPr>
          <w:ilvl w:val="1"/>
          <w:numId w:val="74"/>
        </w:numPr>
        <w:tabs>
          <w:tab w:pos="2437" w:val="left" w:leader="none"/>
          <w:tab w:pos="2438" w:val="left" w:leader="none"/>
        </w:tabs>
        <w:spacing w:line="240" w:lineRule="auto" w:before="0" w:after="0"/>
        <w:ind w:left="2437" w:right="2303" w:hanging="454"/>
        <w:jc w:val="left"/>
        <w:rPr>
          <w:sz w:val="18"/>
        </w:rPr>
      </w:pPr>
      <w:r>
        <w:rPr>
          <w:w w:val="120"/>
          <w:sz w:val="18"/>
        </w:rPr>
        <w:t>Basis</w:t>
      </w:r>
      <w:r>
        <w:rPr>
          <w:spacing w:val="-11"/>
          <w:w w:val="120"/>
          <w:sz w:val="18"/>
        </w:rPr>
        <w:t> </w:t>
      </w:r>
      <w:r>
        <w:rPr>
          <w:w w:val="120"/>
          <w:sz w:val="18"/>
        </w:rPr>
        <w:t>of</w:t>
      </w:r>
      <w:r>
        <w:rPr>
          <w:spacing w:val="-10"/>
          <w:w w:val="120"/>
          <w:sz w:val="18"/>
        </w:rPr>
        <w:t> </w:t>
      </w:r>
      <w:r>
        <w:rPr>
          <w:w w:val="120"/>
          <w:sz w:val="18"/>
        </w:rPr>
        <w:t>Union,</w:t>
      </w:r>
      <w:r>
        <w:rPr>
          <w:spacing w:val="-10"/>
          <w:w w:val="120"/>
          <w:sz w:val="18"/>
        </w:rPr>
        <w:t> </w:t>
      </w:r>
      <w:r>
        <w:rPr>
          <w:w w:val="120"/>
          <w:sz w:val="18"/>
        </w:rPr>
        <w:t>The</w:t>
      </w:r>
      <w:r>
        <w:rPr>
          <w:spacing w:val="-11"/>
          <w:w w:val="120"/>
          <w:sz w:val="18"/>
        </w:rPr>
        <w:t> </w:t>
      </w:r>
      <w:r>
        <w:rPr>
          <w:w w:val="120"/>
          <w:sz w:val="18"/>
        </w:rPr>
        <w:t>Manual</w:t>
      </w:r>
      <w:r>
        <w:rPr>
          <w:spacing w:val="-10"/>
          <w:w w:val="120"/>
          <w:sz w:val="18"/>
        </w:rPr>
        <w:t> </w:t>
      </w:r>
      <w:r>
        <w:rPr>
          <w:w w:val="120"/>
          <w:sz w:val="18"/>
        </w:rPr>
        <w:t>A.20,</w:t>
      </w:r>
      <w:r>
        <w:rPr>
          <w:spacing w:val="-10"/>
          <w:w w:val="120"/>
          <w:sz w:val="18"/>
        </w:rPr>
        <w:t> </w:t>
      </w:r>
      <w:r>
        <w:rPr>
          <w:i/>
          <w:w w:val="120"/>
          <w:sz w:val="18"/>
        </w:rPr>
        <w:t>The</w:t>
      </w:r>
      <w:r>
        <w:rPr>
          <w:i/>
          <w:spacing w:val="-13"/>
          <w:w w:val="120"/>
          <w:sz w:val="18"/>
        </w:rPr>
        <w:t> </w:t>
      </w:r>
      <w:r>
        <w:rPr>
          <w:i/>
          <w:w w:val="120"/>
          <w:sz w:val="18"/>
        </w:rPr>
        <w:t>Manual</w:t>
      </w:r>
      <w:r>
        <w:rPr>
          <w:i/>
          <w:spacing w:val="-12"/>
          <w:w w:val="120"/>
          <w:sz w:val="18"/>
        </w:rPr>
        <w:t> </w:t>
      </w:r>
      <w:r>
        <w:rPr>
          <w:i/>
          <w:w w:val="120"/>
          <w:sz w:val="18"/>
        </w:rPr>
        <w:t>Of</w:t>
      </w:r>
      <w:r>
        <w:rPr>
          <w:i/>
          <w:spacing w:val="-13"/>
          <w:w w:val="120"/>
          <w:sz w:val="18"/>
        </w:rPr>
        <w:t> </w:t>
      </w:r>
      <w:r>
        <w:rPr>
          <w:i/>
          <w:w w:val="120"/>
          <w:sz w:val="18"/>
        </w:rPr>
        <w:t>The</w:t>
      </w:r>
      <w:r>
        <w:rPr>
          <w:i/>
          <w:spacing w:val="-13"/>
          <w:w w:val="120"/>
          <w:sz w:val="18"/>
        </w:rPr>
        <w:t> </w:t>
      </w:r>
      <w:r>
        <w:rPr>
          <w:i/>
          <w:w w:val="120"/>
          <w:sz w:val="18"/>
        </w:rPr>
        <w:t>United</w:t>
      </w:r>
      <w:r>
        <w:rPr>
          <w:i/>
          <w:spacing w:val="-12"/>
          <w:w w:val="120"/>
          <w:sz w:val="18"/>
        </w:rPr>
        <w:t> </w:t>
      </w:r>
      <w:r>
        <w:rPr>
          <w:i/>
          <w:w w:val="120"/>
          <w:sz w:val="18"/>
        </w:rPr>
        <w:t>Reformed</w:t>
      </w:r>
      <w:r>
        <w:rPr>
          <w:i/>
          <w:spacing w:val="-13"/>
          <w:w w:val="120"/>
          <w:sz w:val="18"/>
        </w:rPr>
        <w:t> </w:t>
      </w:r>
      <w:r>
        <w:rPr>
          <w:i/>
          <w:w w:val="120"/>
          <w:sz w:val="18"/>
        </w:rPr>
        <w:t>Church</w:t>
      </w:r>
      <w:r>
        <w:rPr>
          <w:w w:val="120"/>
          <w:sz w:val="18"/>
        </w:rPr>
        <w:t>,</w:t>
      </w:r>
      <w:r>
        <w:rPr>
          <w:spacing w:val="-10"/>
          <w:w w:val="120"/>
          <w:sz w:val="18"/>
        </w:rPr>
        <w:t> </w:t>
      </w:r>
      <w:r>
        <w:rPr>
          <w:w w:val="120"/>
          <w:sz w:val="18"/>
        </w:rPr>
        <w:t>URC Publications,</w:t>
      </w:r>
      <w:r>
        <w:rPr>
          <w:spacing w:val="2"/>
          <w:w w:val="120"/>
          <w:sz w:val="18"/>
        </w:rPr>
        <w:t> </w:t>
      </w:r>
      <w:r>
        <w:rPr>
          <w:w w:val="120"/>
          <w:sz w:val="18"/>
        </w:rPr>
        <w:t>London.</w:t>
      </w:r>
    </w:p>
    <w:p>
      <w:pPr>
        <w:pStyle w:val="ListParagraph"/>
        <w:numPr>
          <w:ilvl w:val="1"/>
          <w:numId w:val="74"/>
        </w:numPr>
        <w:tabs>
          <w:tab w:pos="2437" w:val="left" w:leader="none"/>
          <w:tab w:pos="2438" w:val="left" w:leader="none"/>
        </w:tabs>
        <w:spacing w:line="240" w:lineRule="auto" w:before="0" w:after="0"/>
        <w:ind w:left="2437" w:right="0" w:hanging="454"/>
        <w:jc w:val="left"/>
        <w:rPr>
          <w:sz w:val="18"/>
        </w:rPr>
      </w:pPr>
      <w:r>
        <w:rPr>
          <w:i/>
          <w:w w:val="115"/>
          <w:sz w:val="18"/>
        </w:rPr>
        <w:t>Record of Assembly </w:t>
      </w:r>
      <w:r>
        <w:rPr>
          <w:i/>
          <w:spacing w:val="-7"/>
          <w:w w:val="115"/>
          <w:sz w:val="18"/>
        </w:rPr>
        <w:t>2012</w:t>
      </w:r>
      <w:r>
        <w:rPr>
          <w:spacing w:val="-7"/>
          <w:w w:val="115"/>
          <w:sz w:val="18"/>
        </w:rPr>
        <w:t>,</w:t>
      </w:r>
      <w:r>
        <w:rPr>
          <w:spacing w:val="6"/>
          <w:w w:val="115"/>
          <w:sz w:val="18"/>
        </w:rPr>
        <w:t> </w:t>
      </w:r>
      <w:r>
        <w:rPr>
          <w:spacing w:val="-6"/>
          <w:w w:val="115"/>
          <w:sz w:val="18"/>
        </w:rPr>
        <w:t>p41.</w:t>
      </w:r>
    </w:p>
    <w:p>
      <w:pPr>
        <w:pStyle w:val="ListParagraph"/>
        <w:numPr>
          <w:ilvl w:val="1"/>
          <w:numId w:val="74"/>
        </w:numPr>
        <w:tabs>
          <w:tab w:pos="2437" w:val="left" w:leader="none"/>
          <w:tab w:pos="2438" w:val="left" w:leader="none"/>
        </w:tabs>
        <w:spacing w:line="240" w:lineRule="auto" w:before="0" w:after="0"/>
        <w:ind w:left="2437" w:right="0" w:hanging="454"/>
        <w:jc w:val="left"/>
        <w:rPr>
          <w:sz w:val="18"/>
        </w:rPr>
      </w:pPr>
      <w:r>
        <w:rPr>
          <w:i/>
          <w:spacing w:val="2"/>
          <w:w w:val="115"/>
          <w:sz w:val="18"/>
        </w:rPr>
        <w:t>Reports </w:t>
      </w:r>
      <w:r>
        <w:rPr>
          <w:i/>
          <w:w w:val="115"/>
          <w:sz w:val="18"/>
        </w:rPr>
        <w:t>to Assembly </w:t>
      </w:r>
      <w:r>
        <w:rPr>
          <w:i/>
          <w:spacing w:val="-6"/>
          <w:w w:val="115"/>
          <w:sz w:val="18"/>
        </w:rPr>
        <w:t>2012</w:t>
      </w:r>
      <w:r>
        <w:rPr>
          <w:spacing w:val="-6"/>
          <w:w w:val="115"/>
          <w:sz w:val="18"/>
        </w:rPr>
        <w:t>,</w:t>
      </w:r>
      <w:r>
        <w:rPr>
          <w:spacing w:val="6"/>
          <w:w w:val="115"/>
          <w:sz w:val="18"/>
        </w:rPr>
        <w:t> </w:t>
      </w:r>
      <w:r>
        <w:rPr>
          <w:w w:val="115"/>
          <w:sz w:val="18"/>
        </w:rPr>
        <w:t>p268.</w:t>
      </w:r>
    </w:p>
    <w:p>
      <w:pPr>
        <w:pStyle w:val="ListParagraph"/>
        <w:numPr>
          <w:ilvl w:val="1"/>
          <w:numId w:val="74"/>
        </w:numPr>
        <w:tabs>
          <w:tab w:pos="2437" w:val="left" w:leader="none"/>
          <w:tab w:pos="2438" w:val="left" w:leader="none"/>
        </w:tabs>
        <w:spacing w:line="240" w:lineRule="auto" w:before="0" w:after="0"/>
        <w:ind w:left="2437" w:right="0" w:hanging="454"/>
        <w:jc w:val="left"/>
        <w:rPr>
          <w:sz w:val="18"/>
        </w:rPr>
      </w:pPr>
      <w:r>
        <w:rPr>
          <w:w w:val="115"/>
          <w:sz w:val="18"/>
        </w:rPr>
        <w:t>Thompson, David, </w:t>
      </w:r>
      <w:r>
        <w:rPr>
          <w:i/>
          <w:w w:val="115"/>
          <w:sz w:val="18"/>
        </w:rPr>
        <w:t>Lay preachers: a ministry in search of a theology</w:t>
      </w:r>
      <w:r>
        <w:rPr>
          <w:w w:val="115"/>
          <w:sz w:val="18"/>
        </w:rPr>
        <w:t>, unpublished paper,</w:t>
      </w:r>
      <w:r>
        <w:rPr>
          <w:spacing w:val="44"/>
          <w:w w:val="115"/>
          <w:sz w:val="18"/>
        </w:rPr>
        <w:t> </w:t>
      </w:r>
      <w:r>
        <w:rPr>
          <w:spacing w:val="-5"/>
          <w:w w:val="115"/>
          <w:sz w:val="18"/>
        </w:rPr>
        <w:t>2012.</w:t>
      </w:r>
    </w:p>
    <w:p>
      <w:pPr>
        <w:pStyle w:val="ListParagraph"/>
        <w:numPr>
          <w:ilvl w:val="1"/>
          <w:numId w:val="74"/>
        </w:numPr>
        <w:tabs>
          <w:tab w:pos="2437" w:val="left" w:leader="none"/>
          <w:tab w:pos="2438" w:val="left" w:leader="none"/>
        </w:tabs>
        <w:spacing w:line="240" w:lineRule="auto" w:before="0" w:after="0"/>
        <w:ind w:left="2437" w:right="1785" w:hanging="454"/>
        <w:jc w:val="left"/>
        <w:rPr>
          <w:sz w:val="18"/>
        </w:rPr>
      </w:pPr>
      <w:r>
        <w:rPr>
          <w:spacing w:val="-4"/>
          <w:w w:val="120"/>
          <w:sz w:val="18"/>
        </w:rPr>
        <w:t>2010 </w:t>
      </w:r>
      <w:r>
        <w:rPr>
          <w:w w:val="120"/>
          <w:sz w:val="18"/>
        </w:rPr>
        <w:t>Church of Scotland Ministries Council </w:t>
      </w:r>
      <w:r>
        <w:rPr>
          <w:spacing w:val="2"/>
          <w:w w:val="120"/>
          <w:sz w:val="18"/>
        </w:rPr>
        <w:t>report </w:t>
      </w:r>
      <w:r>
        <w:rPr>
          <w:w w:val="120"/>
          <w:sz w:val="18"/>
        </w:rPr>
        <w:t>to that Church’s General Assembly – </w:t>
      </w:r>
      <w:r>
        <w:rPr>
          <w:spacing w:val="-8"/>
          <w:w w:val="120"/>
          <w:sz w:val="18"/>
        </w:rPr>
        <w:t>p3/27, </w:t>
      </w:r>
      <w:r>
        <w:rPr>
          <w:w w:val="120"/>
          <w:sz w:val="18"/>
        </w:rPr>
        <w:t>Blue</w:t>
      </w:r>
      <w:r>
        <w:rPr>
          <w:spacing w:val="11"/>
          <w:w w:val="120"/>
          <w:sz w:val="18"/>
        </w:rPr>
        <w:t> </w:t>
      </w:r>
      <w:r>
        <w:rPr>
          <w:w w:val="120"/>
          <w:sz w:val="18"/>
        </w:rPr>
        <w:t>Book.</w:t>
      </w:r>
    </w:p>
    <w:p>
      <w:pPr>
        <w:pStyle w:val="ListParagraph"/>
        <w:numPr>
          <w:ilvl w:val="1"/>
          <w:numId w:val="74"/>
        </w:numPr>
        <w:tabs>
          <w:tab w:pos="2437" w:val="left" w:leader="none"/>
          <w:tab w:pos="2438" w:val="left" w:leader="none"/>
        </w:tabs>
        <w:spacing w:line="240" w:lineRule="auto" w:before="0" w:after="0"/>
        <w:ind w:left="2437" w:right="1293" w:hanging="454"/>
        <w:jc w:val="left"/>
        <w:rPr>
          <w:sz w:val="18"/>
        </w:rPr>
      </w:pPr>
      <w:r>
        <w:rPr>
          <w:w w:val="115"/>
          <w:sz w:val="18"/>
        </w:rPr>
        <w:t>From notes of a meeting between representatives of the United Reformed Church’s faith and  order reference group and representatives of the pastoral committee of the National Synod     </w:t>
      </w:r>
      <w:r>
        <w:rPr>
          <w:spacing w:val="46"/>
          <w:w w:val="115"/>
          <w:sz w:val="18"/>
        </w:rPr>
        <w:t> </w:t>
      </w:r>
      <w:r>
        <w:rPr>
          <w:w w:val="115"/>
          <w:sz w:val="18"/>
        </w:rPr>
        <w:t>of</w:t>
      </w:r>
      <w:r>
        <w:rPr>
          <w:spacing w:val="9"/>
          <w:w w:val="115"/>
          <w:sz w:val="18"/>
        </w:rPr>
        <w:t> </w:t>
      </w:r>
      <w:r>
        <w:rPr>
          <w:w w:val="115"/>
          <w:sz w:val="18"/>
        </w:rPr>
        <w:t>Scotland</w:t>
      </w:r>
      <w:r>
        <w:rPr>
          <w:spacing w:val="10"/>
          <w:w w:val="115"/>
          <w:sz w:val="18"/>
        </w:rPr>
        <w:t> </w:t>
      </w:r>
      <w:r>
        <w:rPr>
          <w:w w:val="115"/>
          <w:sz w:val="18"/>
        </w:rPr>
        <w:t>on</w:t>
      </w:r>
      <w:r>
        <w:rPr>
          <w:spacing w:val="10"/>
          <w:w w:val="115"/>
          <w:sz w:val="18"/>
        </w:rPr>
        <w:t> </w:t>
      </w:r>
      <w:r>
        <w:rPr>
          <w:w w:val="115"/>
          <w:sz w:val="18"/>
        </w:rPr>
        <w:t>the</w:t>
      </w:r>
      <w:r>
        <w:rPr>
          <w:spacing w:val="9"/>
          <w:w w:val="115"/>
          <w:sz w:val="18"/>
        </w:rPr>
        <w:t> </w:t>
      </w:r>
      <w:r>
        <w:rPr>
          <w:w w:val="115"/>
          <w:sz w:val="18"/>
        </w:rPr>
        <w:t>question</w:t>
      </w:r>
      <w:r>
        <w:rPr>
          <w:spacing w:val="10"/>
          <w:w w:val="115"/>
          <w:sz w:val="18"/>
        </w:rPr>
        <w:t> </w:t>
      </w:r>
      <w:r>
        <w:rPr>
          <w:w w:val="115"/>
          <w:sz w:val="18"/>
        </w:rPr>
        <w:t>of</w:t>
      </w:r>
      <w:r>
        <w:rPr>
          <w:spacing w:val="10"/>
          <w:w w:val="115"/>
          <w:sz w:val="18"/>
        </w:rPr>
        <w:t> </w:t>
      </w:r>
      <w:r>
        <w:rPr>
          <w:w w:val="115"/>
          <w:sz w:val="18"/>
        </w:rPr>
        <w:t>presidency</w:t>
      </w:r>
      <w:r>
        <w:rPr>
          <w:spacing w:val="9"/>
          <w:w w:val="115"/>
          <w:sz w:val="18"/>
        </w:rPr>
        <w:t> </w:t>
      </w:r>
      <w:r>
        <w:rPr>
          <w:w w:val="115"/>
          <w:sz w:val="18"/>
        </w:rPr>
        <w:t>at</w:t>
      </w:r>
      <w:r>
        <w:rPr>
          <w:spacing w:val="10"/>
          <w:w w:val="115"/>
          <w:sz w:val="18"/>
        </w:rPr>
        <w:t> </w:t>
      </w:r>
      <w:r>
        <w:rPr>
          <w:w w:val="115"/>
          <w:sz w:val="18"/>
        </w:rPr>
        <w:t>the</w:t>
      </w:r>
      <w:r>
        <w:rPr>
          <w:spacing w:val="10"/>
          <w:w w:val="115"/>
          <w:sz w:val="18"/>
        </w:rPr>
        <w:t> </w:t>
      </w:r>
      <w:r>
        <w:rPr>
          <w:w w:val="115"/>
          <w:sz w:val="18"/>
        </w:rPr>
        <w:t>Sacraments</w:t>
      </w:r>
      <w:r>
        <w:rPr>
          <w:spacing w:val="9"/>
          <w:w w:val="115"/>
          <w:sz w:val="18"/>
        </w:rPr>
        <w:t> </w:t>
      </w:r>
      <w:r>
        <w:rPr>
          <w:w w:val="115"/>
          <w:sz w:val="18"/>
        </w:rPr>
        <w:t>–</w:t>
      </w:r>
      <w:r>
        <w:rPr>
          <w:spacing w:val="10"/>
          <w:w w:val="115"/>
          <w:sz w:val="18"/>
        </w:rPr>
        <w:t> </w:t>
      </w:r>
      <w:r>
        <w:rPr>
          <w:spacing w:val="-7"/>
          <w:w w:val="115"/>
          <w:sz w:val="18"/>
        </w:rPr>
        <w:t>14</w:t>
      </w:r>
      <w:r>
        <w:rPr>
          <w:spacing w:val="10"/>
          <w:w w:val="115"/>
          <w:sz w:val="18"/>
        </w:rPr>
        <w:t> </w:t>
      </w:r>
      <w:r>
        <w:rPr>
          <w:w w:val="115"/>
          <w:sz w:val="18"/>
        </w:rPr>
        <w:t>May</w:t>
      </w:r>
      <w:r>
        <w:rPr>
          <w:spacing w:val="9"/>
          <w:w w:val="115"/>
          <w:sz w:val="18"/>
        </w:rPr>
        <w:t> </w:t>
      </w:r>
      <w:r>
        <w:rPr>
          <w:spacing w:val="-5"/>
          <w:w w:val="115"/>
          <w:sz w:val="18"/>
        </w:rPr>
        <w:t>2012.</w:t>
      </w:r>
    </w:p>
    <w:p>
      <w:pPr>
        <w:pStyle w:val="ListParagraph"/>
        <w:numPr>
          <w:ilvl w:val="1"/>
          <w:numId w:val="74"/>
        </w:numPr>
        <w:tabs>
          <w:tab w:pos="2437" w:val="left" w:leader="none"/>
          <w:tab w:pos="2438" w:val="left" w:leader="none"/>
        </w:tabs>
        <w:spacing w:line="240" w:lineRule="auto" w:before="0" w:after="0"/>
        <w:ind w:left="2437" w:right="0" w:hanging="454"/>
        <w:jc w:val="left"/>
        <w:rPr>
          <w:sz w:val="18"/>
        </w:rPr>
      </w:pPr>
      <w:r>
        <w:rPr>
          <w:i/>
          <w:w w:val="115"/>
          <w:sz w:val="18"/>
        </w:rPr>
        <w:t>Record of Assembly </w:t>
      </w:r>
      <w:r>
        <w:rPr>
          <w:i/>
          <w:spacing w:val="-4"/>
          <w:w w:val="115"/>
          <w:sz w:val="18"/>
        </w:rPr>
        <w:t>1998</w:t>
      </w:r>
      <w:r>
        <w:rPr>
          <w:spacing w:val="-4"/>
          <w:w w:val="115"/>
          <w:sz w:val="18"/>
        </w:rPr>
        <w:t>,</w:t>
      </w:r>
      <w:r>
        <w:rPr>
          <w:spacing w:val="6"/>
          <w:w w:val="115"/>
          <w:sz w:val="18"/>
        </w:rPr>
        <w:t> </w:t>
      </w:r>
      <w:r>
        <w:rPr>
          <w:spacing w:val="-7"/>
          <w:w w:val="115"/>
          <w:sz w:val="18"/>
        </w:rPr>
        <w:t>p10.</w:t>
      </w:r>
    </w:p>
    <w:p>
      <w:pPr>
        <w:pStyle w:val="ListParagraph"/>
        <w:numPr>
          <w:ilvl w:val="1"/>
          <w:numId w:val="74"/>
        </w:numPr>
        <w:tabs>
          <w:tab w:pos="2437" w:val="left" w:leader="none"/>
          <w:tab w:pos="2438" w:val="left" w:leader="none"/>
        </w:tabs>
        <w:spacing w:line="240" w:lineRule="auto" w:before="0" w:after="0"/>
        <w:ind w:left="2437" w:right="1648" w:hanging="454"/>
        <w:jc w:val="left"/>
        <w:rPr>
          <w:sz w:val="18"/>
        </w:rPr>
      </w:pPr>
      <w:r>
        <w:rPr>
          <w:w w:val="120"/>
          <w:sz w:val="18"/>
        </w:rPr>
        <w:t>Mortimer, Richard, unpublished paper submitted to the faith and order reference group, June</w:t>
      </w:r>
      <w:r>
        <w:rPr>
          <w:spacing w:val="1"/>
          <w:w w:val="120"/>
          <w:sz w:val="18"/>
        </w:rPr>
        <w:t> </w:t>
      </w:r>
      <w:r>
        <w:rPr>
          <w:spacing w:val="-4"/>
          <w:w w:val="120"/>
          <w:sz w:val="18"/>
        </w:rPr>
        <w:t>2010.</w:t>
      </w:r>
    </w:p>
    <w:p>
      <w:pPr>
        <w:pStyle w:val="ListParagraph"/>
        <w:numPr>
          <w:ilvl w:val="1"/>
          <w:numId w:val="74"/>
        </w:numPr>
        <w:tabs>
          <w:tab w:pos="2437" w:val="left" w:leader="none"/>
          <w:tab w:pos="2438" w:val="left" w:leader="none"/>
        </w:tabs>
        <w:spacing w:line="240" w:lineRule="auto" w:before="0" w:after="0"/>
        <w:ind w:left="2437" w:right="1265" w:hanging="454"/>
        <w:jc w:val="left"/>
        <w:rPr>
          <w:sz w:val="18"/>
        </w:rPr>
      </w:pPr>
      <w:r>
        <w:rPr>
          <w:w w:val="120"/>
          <w:sz w:val="18"/>
        </w:rPr>
        <w:t>Barr, Mary, paper prepared for Synod of Scotland meeting September </w:t>
      </w:r>
      <w:r>
        <w:rPr>
          <w:spacing w:val="-7"/>
          <w:w w:val="120"/>
          <w:sz w:val="18"/>
        </w:rPr>
        <w:t>2011 </w:t>
      </w:r>
      <w:r>
        <w:rPr>
          <w:w w:val="120"/>
          <w:sz w:val="18"/>
        </w:rPr>
        <w:t>and submitted to the faith and order reference group, August</w:t>
      </w:r>
      <w:r>
        <w:rPr>
          <w:spacing w:val="13"/>
          <w:w w:val="120"/>
          <w:sz w:val="18"/>
        </w:rPr>
        <w:t> </w:t>
      </w:r>
      <w:r>
        <w:rPr>
          <w:spacing w:val="-8"/>
          <w:w w:val="120"/>
          <w:sz w:val="18"/>
        </w:rPr>
        <w:t>2011.</w:t>
      </w:r>
    </w:p>
    <w:p>
      <w:pPr>
        <w:pStyle w:val="ListParagraph"/>
        <w:numPr>
          <w:ilvl w:val="1"/>
          <w:numId w:val="74"/>
        </w:numPr>
        <w:tabs>
          <w:tab w:pos="2437" w:val="left" w:leader="none"/>
          <w:tab w:pos="2438" w:val="left" w:leader="none"/>
        </w:tabs>
        <w:spacing w:line="240" w:lineRule="auto" w:before="0" w:after="0"/>
        <w:ind w:left="2437" w:right="0" w:hanging="454"/>
        <w:jc w:val="left"/>
        <w:rPr>
          <w:sz w:val="18"/>
        </w:rPr>
      </w:pPr>
      <w:r>
        <w:rPr>
          <w:w w:val="125"/>
          <w:sz w:val="18"/>
        </w:rPr>
        <w:t>Thompson, David, ibid,</w:t>
      </w:r>
      <w:r>
        <w:rPr>
          <w:spacing w:val="-2"/>
          <w:w w:val="125"/>
          <w:sz w:val="18"/>
        </w:rPr>
        <w:t> </w:t>
      </w:r>
      <w:r>
        <w:rPr>
          <w:spacing w:val="-5"/>
          <w:w w:val="125"/>
          <w:sz w:val="18"/>
        </w:rPr>
        <w:t>2012.</w:t>
      </w:r>
    </w:p>
    <w:p>
      <w:pPr>
        <w:pStyle w:val="ListParagraph"/>
        <w:numPr>
          <w:ilvl w:val="1"/>
          <w:numId w:val="74"/>
        </w:numPr>
        <w:tabs>
          <w:tab w:pos="2437" w:val="left" w:leader="none"/>
          <w:tab w:pos="2438" w:val="left" w:leader="none"/>
        </w:tabs>
        <w:spacing w:line="240" w:lineRule="auto" w:before="0" w:after="0"/>
        <w:ind w:left="2437" w:right="1508" w:hanging="454"/>
        <w:jc w:val="left"/>
        <w:rPr>
          <w:sz w:val="18"/>
        </w:rPr>
      </w:pPr>
      <w:r>
        <w:rPr>
          <w:w w:val="115"/>
          <w:sz w:val="18"/>
        </w:rPr>
        <w:t>John Calvin, </w:t>
      </w:r>
      <w:r>
        <w:rPr>
          <w:i/>
          <w:w w:val="115"/>
          <w:sz w:val="18"/>
        </w:rPr>
        <w:t>Institutes of the Christian Religion </w:t>
      </w:r>
      <w:r>
        <w:rPr>
          <w:i/>
          <w:spacing w:val="-8"/>
          <w:w w:val="115"/>
          <w:sz w:val="18"/>
        </w:rPr>
        <w:t>1559, </w:t>
      </w:r>
      <w:r>
        <w:rPr>
          <w:w w:val="115"/>
          <w:sz w:val="18"/>
        </w:rPr>
        <w:t>Book </w:t>
      </w:r>
      <w:r>
        <w:rPr>
          <w:spacing w:val="-3"/>
          <w:w w:val="115"/>
          <w:sz w:val="18"/>
        </w:rPr>
        <w:t>four, </w:t>
      </w:r>
      <w:r>
        <w:rPr>
          <w:w w:val="115"/>
          <w:sz w:val="18"/>
        </w:rPr>
        <w:t>III, 4, Westminster John Knox, Louisville, </w:t>
      </w:r>
      <w:r>
        <w:rPr>
          <w:spacing w:val="-3"/>
          <w:w w:val="115"/>
          <w:sz w:val="18"/>
        </w:rPr>
        <w:t>1960,</w:t>
      </w:r>
      <w:r>
        <w:rPr>
          <w:spacing w:val="9"/>
          <w:w w:val="115"/>
          <w:sz w:val="18"/>
        </w:rPr>
        <w:t> </w:t>
      </w:r>
      <w:r>
        <w:rPr>
          <w:spacing w:val="-10"/>
          <w:w w:val="115"/>
          <w:sz w:val="18"/>
        </w:rPr>
        <w:t>p1057.</w:t>
      </w:r>
    </w:p>
    <w:p>
      <w:pPr>
        <w:pStyle w:val="ListParagraph"/>
        <w:numPr>
          <w:ilvl w:val="1"/>
          <w:numId w:val="74"/>
        </w:numPr>
        <w:tabs>
          <w:tab w:pos="2437" w:val="left" w:leader="none"/>
          <w:tab w:pos="2438" w:val="left" w:leader="none"/>
        </w:tabs>
        <w:spacing w:line="240" w:lineRule="auto" w:before="0" w:after="0"/>
        <w:ind w:left="2437" w:right="1526" w:hanging="454"/>
        <w:jc w:val="left"/>
        <w:rPr>
          <w:sz w:val="18"/>
        </w:rPr>
      </w:pPr>
      <w:r>
        <w:rPr>
          <w:w w:val="110"/>
          <w:sz w:val="18"/>
        </w:rPr>
        <w:t>Bradbury, John, </w:t>
      </w:r>
      <w:r>
        <w:rPr>
          <w:i/>
          <w:w w:val="110"/>
          <w:sz w:val="18"/>
        </w:rPr>
        <w:t>Local Ordained Ministry: A discussion paper for the faith and order committee of </w:t>
      </w:r>
      <w:r>
        <w:rPr>
          <w:i/>
          <w:w w:val="110"/>
          <w:sz w:val="18"/>
        </w:rPr>
        <w:t>the United Reformed Church</w:t>
      </w:r>
      <w:r>
        <w:rPr>
          <w:w w:val="110"/>
          <w:sz w:val="18"/>
        </w:rPr>
        <w:t>, Nov</w:t>
      </w:r>
      <w:r>
        <w:rPr>
          <w:spacing w:val="26"/>
          <w:w w:val="110"/>
          <w:sz w:val="18"/>
        </w:rPr>
        <w:t> </w:t>
      </w:r>
      <w:r>
        <w:rPr>
          <w:spacing w:val="-5"/>
          <w:w w:val="110"/>
          <w:sz w:val="18"/>
        </w:rPr>
        <w:t>2012.</w:t>
      </w:r>
    </w:p>
    <w:p>
      <w:pPr>
        <w:pStyle w:val="ListParagraph"/>
        <w:numPr>
          <w:ilvl w:val="1"/>
          <w:numId w:val="74"/>
        </w:numPr>
        <w:tabs>
          <w:tab w:pos="2437" w:val="left" w:leader="none"/>
          <w:tab w:pos="2438" w:val="left" w:leader="none"/>
        </w:tabs>
        <w:spacing w:line="240" w:lineRule="auto" w:before="0" w:after="0"/>
        <w:ind w:left="2437" w:right="2045" w:hanging="454"/>
        <w:jc w:val="left"/>
        <w:rPr>
          <w:sz w:val="18"/>
        </w:rPr>
      </w:pPr>
      <w:r>
        <w:rPr>
          <w:w w:val="115"/>
          <w:sz w:val="18"/>
        </w:rPr>
        <w:t>Pope, Robert, </w:t>
      </w:r>
      <w:r>
        <w:rPr>
          <w:i/>
          <w:w w:val="115"/>
          <w:sz w:val="18"/>
        </w:rPr>
        <w:t>Presidency at the Sacraments</w:t>
      </w:r>
      <w:r>
        <w:rPr>
          <w:w w:val="115"/>
          <w:sz w:val="18"/>
        </w:rPr>
        <w:t>, unpublished paper for the faith and order reference group,</w:t>
      </w:r>
      <w:r>
        <w:rPr>
          <w:spacing w:val="9"/>
          <w:w w:val="115"/>
          <w:sz w:val="18"/>
        </w:rPr>
        <w:t> </w:t>
      </w:r>
      <w:r>
        <w:rPr>
          <w:spacing w:val="-8"/>
          <w:w w:val="115"/>
          <w:sz w:val="18"/>
        </w:rPr>
        <w:t>2011.</w:t>
      </w:r>
    </w:p>
    <w:p>
      <w:pPr>
        <w:pStyle w:val="ListParagraph"/>
        <w:numPr>
          <w:ilvl w:val="1"/>
          <w:numId w:val="74"/>
        </w:numPr>
        <w:tabs>
          <w:tab w:pos="2437" w:val="left" w:leader="none"/>
          <w:tab w:pos="2438" w:val="left" w:leader="none"/>
        </w:tabs>
        <w:spacing w:line="240" w:lineRule="auto" w:before="0" w:after="0"/>
        <w:ind w:left="2437" w:right="0" w:hanging="454"/>
        <w:jc w:val="left"/>
        <w:rPr>
          <w:sz w:val="18"/>
        </w:rPr>
      </w:pPr>
      <w:r>
        <w:rPr>
          <w:w w:val="120"/>
          <w:sz w:val="18"/>
        </w:rPr>
        <w:t>Bradbury, ibid quoting </w:t>
      </w:r>
      <w:r>
        <w:rPr>
          <w:i/>
          <w:w w:val="120"/>
          <w:sz w:val="18"/>
        </w:rPr>
        <w:t>Ministry, Order and Episkope</w:t>
      </w:r>
      <w:r>
        <w:rPr>
          <w:w w:val="120"/>
          <w:sz w:val="18"/>
        </w:rPr>
        <w:t>, CPCE </w:t>
      </w:r>
      <w:r>
        <w:rPr>
          <w:spacing w:val="-5"/>
          <w:w w:val="120"/>
          <w:sz w:val="18"/>
        </w:rPr>
        <w:t>2012,</w:t>
      </w:r>
      <w:r>
        <w:rPr>
          <w:spacing w:val="1"/>
          <w:w w:val="120"/>
          <w:sz w:val="18"/>
        </w:rPr>
        <w:t> </w:t>
      </w:r>
      <w:r>
        <w:rPr>
          <w:w w:val="120"/>
          <w:sz w:val="18"/>
        </w:rPr>
        <w:t>p66</w:t>
      </w:r>
    </w:p>
    <w:p>
      <w:pPr>
        <w:pStyle w:val="ListParagraph"/>
        <w:numPr>
          <w:ilvl w:val="1"/>
          <w:numId w:val="74"/>
        </w:numPr>
        <w:tabs>
          <w:tab w:pos="2437" w:val="left" w:leader="none"/>
          <w:tab w:pos="2438" w:val="left" w:leader="none"/>
        </w:tabs>
        <w:spacing w:line="240" w:lineRule="auto" w:before="0" w:after="0"/>
        <w:ind w:left="2437" w:right="1466" w:hanging="454"/>
        <w:jc w:val="left"/>
        <w:rPr>
          <w:sz w:val="18"/>
        </w:rPr>
      </w:pPr>
      <w:r>
        <w:rPr>
          <w:w w:val="120"/>
          <w:sz w:val="18"/>
        </w:rPr>
        <w:t>Thompson, David, ‘Some notes on Eldership in the United Reformed </w:t>
      </w:r>
      <w:r>
        <w:rPr>
          <w:spacing w:val="-3"/>
          <w:w w:val="120"/>
          <w:sz w:val="18"/>
        </w:rPr>
        <w:t>Church’, </w:t>
      </w:r>
      <w:r>
        <w:rPr>
          <w:w w:val="120"/>
          <w:sz w:val="18"/>
        </w:rPr>
        <w:t>unpublished paper,</w:t>
      </w:r>
      <w:r>
        <w:rPr>
          <w:spacing w:val="1"/>
          <w:w w:val="120"/>
          <w:sz w:val="18"/>
        </w:rPr>
        <w:t> </w:t>
      </w:r>
      <w:r>
        <w:rPr>
          <w:spacing w:val="-8"/>
          <w:w w:val="120"/>
          <w:sz w:val="18"/>
        </w:rPr>
        <w:t>2011.</w:t>
      </w:r>
    </w:p>
    <w:p>
      <w:pPr>
        <w:pStyle w:val="ListParagraph"/>
        <w:numPr>
          <w:ilvl w:val="1"/>
          <w:numId w:val="74"/>
        </w:numPr>
        <w:tabs>
          <w:tab w:pos="2437" w:val="left" w:leader="none"/>
          <w:tab w:pos="2438" w:val="left" w:leader="none"/>
        </w:tabs>
        <w:spacing w:line="240" w:lineRule="auto" w:before="0" w:after="0"/>
        <w:ind w:left="2437" w:right="0" w:hanging="454"/>
        <w:jc w:val="left"/>
        <w:rPr>
          <w:sz w:val="18"/>
        </w:rPr>
      </w:pPr>
      <w:r>
        <w:rPr>
          <w:i/>
          <w:w w:val="115"/>
          <w:sz w:val="18"/>
        </w:rPr>
        <w:t>Record of Assembly </w:t>
      </w:r>
      <w:r>
        <w:rPr>
          <w:i/>
          <w:spacing w:val="-5"/>
          <w:w w:val="115"/>
          <w:sz w:val="18"/>
        </w:rPr>
        <w:t>1995</w:t>
      </w:r>
      <w:r>
        <w:rPr>
          <w:spacing w:val="-5"/>
          <w:w w:val="115"/>
          <w:sz w:val="18"/>
        </w:rPr>
        <w:t>,</w:t>
      </w:r>
      <w:r>
        <w:rPr>
          <w:spacing w:val="22"/>
          <w:w w:val="115"/>
          <w:sz w:val="18"/>
        </w:rPr>
        <w:t> </w:t>
      </w:r>
      <w:r>
        <w:rPr>
          <w:spacing w:val="-6"/>
          <w:w w:val="115"/>
          <w:sz w:val="18"/>
        </w:rPr>
        <w:t>p44-47.</w:t>
      </w:r>
    </w:p>
    <w:p>
      <w:pPr>
        <w:pStyle w:val="ListParagraph"/>
        <w:numPr>
          <w:ilvl w:val="1"/>
          <w:numId w:val="74"/>
        </w:numPr>
        <w:tabs>
          <w:tab w:pos="2437" w:val="left" w:leader="none"/>
          <w:tab w:pos="2438" w:val="left" w:leader="none"/>
        </w:tabs>
        <w:spacing w:line="240" w:lineRule="auto" w:before="0" w:after="0"/>
        <w:ind w:left="2437" w:right="0" w:hanging="454"/>
        <w:jc w:val="left"/>
        <w:rPr>
          <w:sz w:val="18"/>
        </w:rPr>
      </w:pPr>
      <w:r>
        <w:rPr>
          <w:i/>
          <w:w w:val="115"/>
          <w:sz w:val="18"/>
        </w:rPr>
        <w:t>Record of Assembly </w:t>
      </w:r>
      <w:r>
        <w:rPr>
          <w:i/>
          <w:spacing w:val="-3"/>
          <w:w w:val="115"/>
          <w:sz w:val="18"/>
        </w:rPr>
        <w:t>1998,</w:t>
      </w:r>
      <w:r>
        <w:rPr>
          <w:i/>
          <w:spacing w:val="30"/>
          <w:w w:val="115"/>
          <w:sz w:val="18"/>
        </w:rPr>
        <w:t> </w:t>
      </w:r>
      <w:r>
        <w:rPr>
          <w:spacing w:val="-6"/>
          <w:w w:val="115"/>
          <w:sz w:val="18"/>
        </w:rPr>
        <w:t>p32-33.</w:t>
      </w:r>
    </w:p>
    <w:p>
      <w:pPr>
        <w:pStyle w:val="ListParagraph"/>
        <w:numPr>
          <w:ilvl w:val="1"/>
          <w:numId w:val="74"/>
        </w:numPr>
        <w:tabs>
          <w:tab w:pos="2437" w:val="left" w:leader="none"/>
          <w:tab w:pos="2438" w:val="left" w:leader="none"/>
        </w:tabs>
        <w:spacing w:line="240" w:lineRule="auto" w:before="0" w:after="0"/>
        <w:ind w:left="2437" w:right="0" w:hanging="454"/>
        <w:jc w:val="left"/>
        <w:rPr>
          <w:sz w:val="18"/>
        </w:rPr>
      </w:pPr>
      <w:r>
        <w:rPr>
          <w:w w:val="125"/>
          <w:sz w:val="18"/>
        </w:rPr>
        <w:t>Thompson, David, ibid,</w:t>
      </w:r>
      <w:r>
        <w:rPr>
          <w:spacing w:val="-2"/>
          <w:w w:val="125"/>
          <w:sz w:val="18"/>
        </w:rPr>
        <w:t> </w:t>
      </w:r>
      <w:r>
        <w:rPr>
          <w:spacing w:val="-5"/>
          <w:w w:val="125"/>
          <w:sz w:val="18"/>
        </w:rPr>
        <w:t>2012.</w:t>
      </w:r>
    </w:p>
    <w:p>
      <w:pPr>
        <w:pStyle w:val="ListParagraph"/>
        <w:numPr>
          <w:ilvl w:val="1"/>
          <w:numId w:val="74"/>
        </w:numPr>
        <w:tabs>
          <w:tab w:pos="2437" w:val="left" w:leader="none"/>
          <w:tab w:pos="2438" w:val="left" w:leader="none"/>
        </w:tabs>
        <w:spacing w:line="240" w:lineRule="auto" w:before="0" w:after="0"/>
        <w:ind w:left="2437" w:right="0" w:hanging="454"/>
        <w:jc w:val="left"/>
        <w:rPr>
          <w:sz w:val="18"/>
        </w:rPr>
      </w:pPr>
      <w:r>
        <w:rPr>
          <w:w w:val="120"/>
          <w:sz w:val="18"/>
        </w:rPr>
        <w:t>Statistics on numbers of ministers and churches are published in each</w:t>
      </w:r>
      <w:r>
        <w:rPr>
          <w:spacing w:val="12"/>
          <w:w w:val="120"/>
          <w:sz w:val="18"/>
        </w:rPr>
        <w:t> </w:t>
      </w:r>
      <w:r>
        <w:rPr>
          <w:w w:val="120"/>
          <w:sz w:val="18"/>
        </w:rPr>
        <w:t>Yearbook.</w:t>
      </w:r>
    </w:p>
    <w:p>
      <w:pPr>
        <w:pStyle w:val="ListParagraph"/>
        <w:numPr>
          <w:ilvl w:val="1"/>
          <w:numId w:val="74"/>
        </w:numPr>
        <w:tabs>
          <w:tab w:pos="2437" w:val="left" w:leader="none"/>
          <w:tab w:pos="2438" w:val="left" w:leader="none"/>
        </w:tabs>
        <w:spacing w:line="240" w:lineRule="auto" w:before="0" w:after="0"/>
        <w:ind w:left="2437" w:right="0" w:hanging="454"/>
        <w:jc w:val="left"/>
        <w:rPr>
          <w:sz w:val="18"/>
        </w:rPr>
      </w:pPr>
      <w:hyperlink r:id="rId298">
        <w:r>
          <w:rPr>
            <w:w w:val="120"/>
            <w:sz w:val="18"/>
          </w:rPr>
          <w:t>http://urc.org.uk/images/Ministries/Ministries%20Committee/Toolbox</w:t>
        </w:r>
      </w:hyperlink>
    </w:p>
    <w:p>
      <w:pPr>
        <w:spacing w:before="0"/>
        <w:ind w:left="2437" w:right="0" w:firstLine="0"/>
        <w:jc w:val="left"/>
        <w:rPr>
          <w:sz w:val="18"/>
        </w:rPr>
      </w:pPr>
      <w:r>
        <w:rPr>
          <w:w w:val="120"/>
          <w:sz w:val="18"/>
        </w:rPr>
        <w:t>/guidelines_elders.pdf</w:t>
      </w:r>
    </w:p>
    <w:p>
      <w:pPr>
        <w:pStyle w:val="ListParagraph"/>
        <w:numPr>
          <w:ilvl w:val="1"/>
          <w:numId w:val="74"/>
        </w:numPr>
        <w:tabs>
          <w:tab w:pos="2437" w:val="left" w:leader="none"/>
          <w:tab w:pos="2438" w:val="left" w:leader="none"/>
        </w:tabs>
        <w:spacing w:line="240" w:lineRule="auto" w:before="0" w:after="0"/>
        <w:ind w:left="2437" w:right="2355" w:hanging="454"/>
        <w:jc w:val="left"/>
        <w:rPr>
          <w:sz w:val="18"/>
        </w:rPr>
      </w:pPr>
      <w:r>
        <w:rPr>
          <w:w w:val="120"/>
          <w:sz w:val="18"/>
        </w:rPr>
        <w:t>Basis</w:t>
      </w:r>
      <w:r>
        <w:rPr>
          <w:spacing w:val="-15"/>
          <w:w w:val="120"/>
          <w:sz w:val="18"/>
        </w:rPr>
        <w:t> </w:t>
      </w:r>
      <w:r>
        <w:rPr>
          <w:w w:val="120"/>
          <w:sz w:val="18"/>
        </w:rPr>
        <w:t>of</w:t>
      </w:r>
      <w:r>
        <w:rPr>
          <w:spacing w:val="-14"/>
          <w:w w:val="120"/>
          <w:sz w:val="18"/>
        </w:rPr>
        <w:t> </w:t>
      </w:r>
      <w:r>
        <w:rPr>
          <w:w w:val="120"/>
          <w:sz w:val="18"/>
        </w:rPr>
        <w:t>Union,</w:t>
      </w:r>
      <w:r>
        <w:rPr>
          <w:spacing w:val="-14"/>
          <w:w w:val="120"/>
          <w:sz w:val="18"/>
        </w:rPr>
        <w:t> </w:t>
      </w:r>
      <w:r>
        <w:rPr>
          <w:i/>
          <w:w w:val="120"/>
          <w:sz w:val="18"/>
        </w:rPr>
        <w:t>The</w:t>
      </w:r>
      <w:r>
        <w:rPr>
          <w:i/>
          <w:spacing w:val="-16"/>
          <w:w w:val="120"/>
          <w:sz w:val="18"/>
        </w:rPr>
        <w:t> </w:t>
      </w:r>
      <w:r>
        <w:rPr>
          <w:i/>
          <w:w w:val="120"/>
          <w:sz w:val="18"/>
        </w:rPr>
        <w:t>Manual</w:t>
      </w:r>
      <w:r>
        <w:rPr>
          <w:i/>
          <w:spacing w:val="-15"/>
          <w:w w:val="120"/>
          <w:sz w:val="18"/>
        </w:rPr>
        <w:t> </w:t>
      </w:r>
      <w:r>
        <w:rPr>
          <w:w w:val="120"/>
          <w:sz w:val="18"/>
        </w:rPr>
        <w:t>A.24,</w:t>
      </w:r>
      <w:r>
        <w:rPr>
          <w:spacing w:val="-14"/>
          <w:w w:val="120"/>
          <w:sz w:val="18"/>
        </w:rPr>
        <w:t> </w:t>
      </w:r>
      <w:r>
        <w:rPr>
          <w:i/>
          <w:w w:val="120"/>
          <w:sz w:val="18"/>
        </w:rPr>
        <w:t>The</w:t>
      </w:r>
      <w:r>
        <w:rPr>
          <w:i/>
          <w:spacing w:val="-16"/>
          <w:w w:val="120"/>
          <w:sz w:val="18"/>
        </w:rPr>
        <w:t> </w:t>
      </w:r>
      <w:r>
        <w:rPr>
          <w:i/>
          <w:w w:val="120"/>
          <w:sz w:val="18"/>
        </w:rPr>
        <w:t>Manual</w:t>
      </w:r>
      <w:r>
        <w:rPr>
          <w:i/>
          <w:spacing w:val="-17"/>
          <w:w w:val="120"/>
          <w:sz w:val="18"/>
        </w:rPr>
        <w:t> </w:t>
      </w:r>
      <w:r>
        <w:rPr>
          <w:i/>
          <w:w w:val="120"/>
          <w:sz w:val="18"/>
        </w:rPr>
        <w:t>Of</w:t>
      </w:r>
      <w:r>
        <w:rPr>
          <w:i/>
          <w:spacing w:val="-16"/>
          <w:w w:val="120"/>
          <w:sz w:val="18"/>
        </w:rPr>
        <w:t> </w:t>
      </w:r>
      <w:r>
        <w:rPr>
          <w:i/>
          <w:w w:val="120"/>
          <w:sz w:val="18"/>
        </w:rPr>
        <w:t>The</w:t>
      </w:r>
      <w:r>
        <w:rPr>
          <w:i/>
          <w:spacing w:val="-16"/>
          <w:w w:val="120"/>
          <w:sz w:val="18"/>
        </w:rPr>
        <w:t> </w:t>
      </w:r>
      <w:r>
        <w:rPr>
          <w:i/>
          <w:w w:val="120"/>
          <w:sz w:val="18"/>
        </w:rPr>
        <w:t>United</w:t>
      </w:r>
      <w:r>
        <w:rPr>
          <w:i/>
          <w:spacing w:val="-16"/>
          <w:w w:val="120"/>
          <w:sz w:val="18"/>
        </w:rPr>
        <w:t> </w:t>
      </w:r>
      <w:r>
        <w:rPr>
          <w:i/>
          <w:w w:val="120"/>
          <w:sz w:val="18"/>
        </w:rPr>
        <w:t>Reformed</w:t>
      </w:r>
      <w:r>
        <w:rPr>
          <w:i/>
          <w:spacing w:val="-17"/>
          <w:w w:val="120"/>
          <w:sz w:val="18"/>
        </w:rPr>
        <w:t> </w:t>
      </w:r>
      <w:r>
        <w:rPr>
          <w:i/>
          <w:w w:val="120"/>
          <w:sz w:val="18"/>
        </w:rPr>
        <w:t>Church</w:t>
      </w:r>
      <w:r>
        <w:rPr>
          <w:w w:val="120"/>
          <w:sz w:val="18"/>
        </w:rPr>
        <w:t>,</w:t>
      </w:r>
      <w:r>
        <w:rPr>
          <w:spacing w:val="-14"/>
          <w:w w:val="120"/>
          <w:sz w:val="18"/>
        </w:rPr>
        <w:t> </w:t>
      </w:r>
      <w:r>
        <w:rPr>
          <w:w w:val="120"/>
          <w:sz w:val="18"/>
        </w:rPr>
        <w:t>URC Publications,</w:t>
      </w:r>
      <w:r>
        <w:rPr>
          <w:spacing w:val="2"/>
          <w:w w:val="120"/>
          <w:sz w:val="18"/>
        </w:rPr>
        <w:t> </w:t>
      </w:r>
      <w:r>
        <w:rPr>
          <w:w w:val="120"/>
          <w:sz w:val="18"/>
        </w:rPr>
        <w:t>London.</w:t>
      </w:r>
    </w:p>
    <w:p>
      <w:pPr>
        <w:pStyle w:val="ListParagraph"/>
        <w:numPr>
          <w:ilvl w:val="1"/>
          <w:numId w:val="74"/>
        </w:numPr>
        <w:tabs>
          <w:tab w:pos="2437" w:val="left" w:leader="none"/>
          <w:tab w:pos="2438" w:val="left" w:leader="none"/>
        </w:tabs>
        <w:spacing w:line="240" w:lineRule="auto" w:before="0" w:after="0"/>
        <w:ind w:left="2437" w:right="0" w:hanging="454"/>
        <w:jc w:val="left"/>
        <w:rPr>
          <w:sz w:val="18"/>
        </w:rPr>
      </w:pPr>
      <w:r>
        <w:rPr>
          <w:i/>
          <w:w w:val="115"/>
          <w:sz w:val="18"/>
        </w:rPr>
        <w:t>Record of Assembly 2005,</w:t>
      </w:r>
      <w:r>
        <w:rPr>
          <w:i/>
          <w:spacing w:val="3"/>
          <w:w w:val="115"/>
          <w:sz w:val="18"/>
        </w:rPr>
        <w:t> </w:t>
      </w:r>
      <w:r>
        <w:rPr>
          <w:i/>
          <w:spacing w:val="-9"/>
          <w:w w:val="115"/>
          <w:sz w:val="18"/>
        </w:rPr>
        <w:t>p</w:t>
      </w:r>
      <w:r>
        <w:rPr>
          <w:spacing w:val="-9"/>
          <w:w w:val="115"/>
          <w:sz w:val="18"/>
        </w:rPr>
        <w:t>15.</w:t>
      </w:r>
    </w:p>
    <w:p>
      <w:pPr>
        <w:pStyle w:val="ListParagraph"/>
        <w:numPr>
          <w:ilvl w:val="1"/>
          <w:numId w:val="74"/>
        </w:numPr>
        <w:tabs>
          <w:tab w:pos="2437" w:val="left" w:leader="none"/>
          <w:tab w:pos="2438" w:val="left" w:leader="none"/>
        </w:tabs>
        <w:spacing w:line="240" w:lineRule="auto" w:before="0" w:after="0"/>
        <w:ind w:left="2437" w:right="0" w:hanging="454"/>
        <w:jc w:val="left"/>
        <w:rPr>
          <w:sz w:val="18"/>
        </w:rPr>
      </w:pPr>
      <w:hyperlink r:id="rId299">
        <w:r>
          <w:rPr>
            <w:w w:val="120"/>
            <w:sz w:val="18"/>
          </w:rPr>
          <w:t>http://www.urc.org.uk/lay-preachers.html#four</w:t>
        </w:r>
      </w:hyperlink>
    </w:p>
    <w:p>
      <w:pPr>
        <w:spacing w:after="0" w:line="240" w:lineRule="auto"/>
        <w:jc w:val="left"/>
        <w:rPr>
          <w:sz w:val="18"/>
        </w:rPr>
        <w:sectPr>
          <w:headerReference w:type="default" r:id="rId296"/>
          <w:footerReference w:type="default" r:id="rId297"/>
          <w:pgSz w:w="11910" w:h="16840"/>
          <w:pgMar w:header="0" w:footer="647" w:top="0" w:bottom="840" w:left="0" w:right="0"/>
          <w:pgNumType w:start="127"/>
        </w:sectPr>
      </w:pPr>
    </w:p>
    <w:tbl>
      <w:tblPr>
        <w:tblW w:w="0" w:type="auto"/>
        <w:jc w:val="left"/>
        <w:tblInd w:w="9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
        <w:gridCol w:w="2660"/>
        <w:gridCol w:w="6463"/>
      </w:tblGrid>
      <w:tr>
        <w:trPr>
          <w:trHeight w:val="3702" w:hRule="atLeast"/>
        </w:trPr>
        <w:tc>
          <w:tcPr>
            <w:tcW w:w="9440" w:type="dxa"/>
            <w:gridSpan w:val="3"/>
            <w:tcBorders>
              <w:top w:val="nil"/>
              <w:left w:val="nil"/>
              <w:bottom w:val="nil"/>
              <w:right w:val="nil"/>
            </w:tcBorders>
            <w:shd w:val="clear" w:color="auto" w:fill="D3E5C3"/>
          </w:tcPr>
          <w:p>
            <w:pPr>
              <w:pStyle w:val="TableParagraph"/>
              <w:ind w:left="0"/>
              <w:rPr>
                <w:sz w:val="64"/>
              </w:rPr>
            </w:pPr>
          </w:p>
          <w:p>
            <w:pPr>
              <w:pStyle w:val="TableParagraph"/>
              <w:spacing w:line="638" w:lineRule="exact" w:before="395"/>
              <w:ind w:left="311"/>
              <w:rPr>
                <w:rFonts w:ascii="Stone Sans II ITC Std X Bd"/>
                <w:b/>
                <w:sz w:val="50"/>
              </w:rPr>
            </w:pPr>
            <w:bookmarkStart w:name="_bookmark20" w:id="24"/>
            <w:bookmarkEnd w:id="24"/>
            <w:r>
              <w:rPr/>
            </w:r>
            <w:r>
              <w:rPr>
                <w:rFonts w:ascii="Stone Sans II ITC Std X Bd"/>
                <w:b/>
                <w:color w:val="41A62B"/>
                <w:w w:val="110"/>
                <w:sz w:val="50"/>
              </w:rPr>
              <w:t>Finance committee:</w:t>
            </w:r>
          </w:p>
          <w:p>
            <w:pPr>
              <w:pStyle w:val="TableParagraph"/>
              <w:spacing w:line="213" w:lineRule="auto" w:before="18"/>
              <w:ind w:left="311" w:right="109"/>
              <w:rPr>
                <w:rFonts w:ascii="Stone Sans II ITC Std X Bd" w:hAnsi="Stone Sans II ITC Std X Bd"/>
                <w:b/>
                <w:sz w:val="50"/>
              </w:rPr>
            </w:pPr>
            <w:r>
              <w:rPr>
                <w:rFonts w:ascii="Stone Sans II ITC Std X Bd" w:hAnsi="Stone Sans II ITC Std X Bd"/>
                <w:b/>
                <w:w w:val="110"/>
                <w:sz w:val="50"/>
              </w:rPr>
              <w:t>Trustees’ report and accounts for 2013</w:t>
            </w:r>
          </w:p>
          <w:p>
            <w:pPr>
              <w:pStyle w:val="TableParagraph"/>
              <w:spacing w:before="378"/>
              <w:ind w:left="311"/>
              <w:rPr>
                <w:sz w:val="20"/>
              </w:rPr>
            </w:pPr>
            <w:r>
              <w:rPr>
                <w:w w:val="120"/>
                <w:sz w:val="20"/>
              </w:rPr>
              <w:t>Basic Information</w:t>
            </w:r>
          </w:p>
        </w:tc>
      </w:tr>
      <w:tr>
        <w:trPr>
          <w:trHeight w:val="680" w:hRule="atLeast"/>
        </w:trPr>
        <w:tc>
          <w:tcPr>
            <w:tcW w:w="317" w:type="dxa"/>
            <w:vMerge w:val="restart"/>
            <w:tcBorders>
              <w:top w:val="nil"/>
              <w:left w:val="nil"/>
              <w:bottom w:val="nil"/>
            </w:tcBorders>
            <w:shd w:val="clear" w:color="auto" w:fill="D3E5C3"/>
          </w:tcPr>
          <w:p>
            <w:pPr>
              <w:pStyle w:val="TableParagraph"/>
              <w:ind w:left="0"/>
              <w:rPr>
                <w:rFonts w:ascii="Times New Roman"/>
                <w:sz w:val="24"/>
              </w:rPr>
            </w:pPr>
          </w:p>
        </w:tc>
        <w:tc>
          <w:tcPr>
            <w:tcW w:w="2660" w:type="dxa"/>
            <w:shd w:val="clear" w:color="auto" w:fill="FFFFFF"/>
          </w:tcPr>
          <w:p>
            <w:pPr>
              <w:pStyle w:val="TableParagraph"/>
              <w:spacing w:line="213" w:lineRule="auto" w:before="133"/>
              <w:ind w:left="74" w:right="601"/>
              <w:rPr>
                <w:rFonts w:ascii="Stone Sans II ITC Std Bk"/>
                <w:b/>
                <w:sz w:val="20"/>
              </w:rPr>
            </w:pPr>
            <w:r>
              <w:rPr>
                <w:rFonts w:ascii="Stone Sans II ITC Std Bk"/>
                <w:b/>
                <w:w w:val="110"/>
                <w:sz w:val="20"/>
              </w:rPr>
              <w:t>Contact name and email address</w:t>
            </w:r>
          </w:p>
        </w:tc>
        <w:tc>
          <w:tcPr>
            <w:tcW w:w="6463" w:type="dxa"/>
            <w:tcBorders>
              <w:right w:val="nil"/>
            </w:tcBorders>
            <w:shd w:val="clear" w:color="auto" w:fill="FFFFFF"/>
          </w:tcPr>
          <w:p>
            <w:pPr>
              <w:pStyle w:val="TableParagraph"/>
              <w:spacing w:line="235" w:lineRule="auto" w:before="127"/>
              <w:ind w:left="74" w:right="2751"/>
              <w:rPr>
                <w:sz w:val="20"/>
              </w:rPr>
            </w:pPr>
            <w:r>
              <w:rPr>
                <w:w w:val="120"/>
                <w:sz w:val="20"/>
              </w:rPr>
              <w:t>John Ellis, Treasurer </w:t>
            </w:r>
            <w:hyperlink r:id="rId302">
              <w:r>
                <w:rPr>
                  <w:w w:val="120"/>
                  <w:sz w:val="20"/>
                </w:rPr>
                <w:t>john.ellis@urc.org.uk</w:t>
              </w:r>
            </w:hyperlink>
          </w:p>
        </w:tc>
      </w:tr>
      <w:tr>
        <w:trPr>
          <w:trHeight w:val="440" w:hRule="atLeast"/>
        </w:trPr>
        <w:tc>
          <w:tcPr>
            <w:tcW w:w="317" w:type="dxa"/>
            <w:vMerge/>
            <w:tcBorders>
              <w:top w:val="nil"/>
              <w:left w:val="nil"/>
              <w:bottom w:val="nil"/>
            </w:tcBorders>
            <w:shd w:val="clear" w:color="auto" w:fill="D3E5C3"/>
          </w:tcPr>
          <w:p>
            <w:pPr>
              <w:rPr>
                <w:sz w:val="2"/>
                <w:szCs w:val="2"/>
              </w:rPr>
            </w:pPr>
          </w:p>
        </w:tc>
        <w:tc>
          <w:tcPr>
            <w:tcW w:w="2660" w:type="dxa"/>
            <w:shd w:val="clear" w:color="auto" w:fill="FFFFFF"/>
          </w:tcPr>
          <w:p>
            <w:pPr>
              <w:pStyle w:val="TableParagraph"/>
              <w:spacing w:before="111"/>
              <w:ind w:left="74"/>
              <w:rPr>
                <w:rFonts w:ascii="Stone Sans II ITC Std Bk"/>
                <w:b/>
                <w:sz w:val="20"/>
              </w:rPr>
            </w:pPr>
            <w:r>
              <w:rPr>
                <w:rFonts w:ascii="Stone Sans II ITC Std Bk"/>
                <w:b/>
                <w:w w:val="110"/>
                <w:sz w:val="20"/>
              </w:rPr>
              <w:t>Action required</w:t>
            </w:r>
          </w:p>
        </w:tc>
        <w:tc>
          <w:tcPr>
            <w:tcW w:w="6463" w:type="dxa"/>
            <w:tcBorders>
              <w:right w:val="nil"/>
            </w:tcBorders>
            <w:shd w:val="clear" w:color="auto" w:fill="FFFFFF"/>
          </w:tcPr>
          <w:p>
            <w:pPr>
              <w:pStyle w:val="TableParagraph"/>
              <w:spacing w:before="123"/>
              <w:ind w:left="74"/>
              <w:rPr>
                <w:sz w:val="20"/>
              </w:rPr>
            </w:pPr>
            <w:r>
              <w:rPr>
                <w:w w:val="120"/>
                <w:sz w:val="20"/>
              </w:rPr>
              <w:t>Decision.</w:t>
            </w:r>
          </w:p>
        </w:tc>
      </w:tr>
      <w:tr>
        <w:trPr>
          <w:trHeight w:val="1160" w:hRule="atLeast"/>
        </w:trPr>
        <w:tc>
          <w:tcPr>
            <w:tcW w:w="317" w:type="dxa"/>
            <w:vMerge/>
            <w:tcBorders>
              <w:top w:val="nil"/>
              <w:left w:val="nil"/>
              <w:bottom w:val="nil"/>
            </w:tcBorders>
            <w:shd w:val="clear" w:color="auto" w:fill="D3E5C3"/>
          </w:tcPr>
          <w:p>
            <w:pPr>
              <w:rPr>
                <w:sz w:val="2"/>
                <w:szCs w:val="2"/>
              </w:rPr>
            </w:pPr>
          </w:p>
        </w:tc>
        <w:tc>
          <w:tcPr>
            <w:tcW w:w="2660" w:type="dxa"/>
            <w:shd w:val="clear" w:color="auto" w:fill="FFFFFF"/>
          </w:tcPr>
          <w:p>
            <w:pPr>
              <w:pStyle w:val="TableParagraph"/>
              <w:spacing w:before="111"/>
              <w:ind w:left="74"/>
              <w:rPr>
                <w:rFonts w:ascii="Stone Sans II ITC Std Bk"/>
                <w:b/>
                <w:sz w:val="20"/>
              </w:rPr>
            </w:pPr>
            <w:r>
              <w:rPr>
                <w:rFonts w:ascii="Stone Sans II ITC Std Bk"/>
                <w:b/>
                <w:w w:val="110"/>
                <w:sz w:val="20"/>
              </w:rPr>
              <w:t>Draft resolution(s)</w:t>
            </w:r>
          </w:p>
        </w:tc>
        <w:tc>
          <w:tcPr>
            <w:tcW w:w="6463" w:type="dxa"/>
            <w:tcBorders>
              <w:right w:val="nil"/>
            </w:tcBorders>
            <w:shd w:val="clear" w:color="auto" w:fill="FFFFFF"/>
          </w:tcPr>
          <w:p>
            <w:pPr>
              <w:pStyle w:val="TableParagraph"/>
              <w:spacing w:line="213" w:lineRule="auto" w:before="133"/>
              <w:ind w:left="74" w:right="1677"/>
              <w:jc w:val="both"/>
              <w:rPr>
                <w:rFonts w:ascii="Stone Sans II ITC Std Bk" w:hAnsi="Stone Sans II ITC Std Bk"/>
                <w:b/>
                <w:sz w:val="20"/>
              </w:rPr>
            </w:pPr>
            <w:r>
              <w:rPr>
                <w:rFonts w:ascii="Stone Sans II ITC Std Bk" w:hAnsi="Stone Sans II ITC Std Bk"/>
                <w:b/>
                <w:w w:val="110"/>
                <w:sz w:val="20"/>
              </w:rPr>
              <w:t>General Assembly notes the trustees’ report and financial statements for the year ended 31 December 2013.</w:t>
            </w:r>
          </w:p>
        </w:tc>
      </w:tr>
      <w:tr>
        <w:trPr>
          <w:trHeight w:val="720" w:hRule="atLeast"/>
        </w:trPr>
        <w:tc>
          <w:tcPr>
            <w:tcW w:w="9440" w:type="dxa"/>
            <w:gridSpan w:val="3"/>
            <w:tcBorders>
              <w:top w:val="nil"/>
              <w:left w:val="nil"/>
              <w:bottom w:val="nil"/>
              <w:right w:val="nil"/>
            </w:tcBorders>
            <w:shd w:val="clear" w:color="auto" w:fill="D3E5C3"/>
          </w:tcPr>
          <w:p>
            <w:pPr>
              <w:pStyle w:val="TableParagraph"/>
              <w:spacing w:before="4"/>
              <w:ind w:left="0"/>
              <w:rPr>
                <w:sz w:val="35"/>
              </w:rPr>
            </w:pPr>
          </w:p>
          <w:p>
            <w:pPr>
              <w:pStyle w:val="TableParagraph"/>
              <w:ind w:left="311"/>
              <w:rPr>
                <w:sz w:val="20"/>
              </w:rPr>
            </w:pPr>
            <w:r>
              <w:rPr>
                <w:w w:val="120"/>
                <w:sz w:val="20"/>
              </w:rPr>
              <w:t>Summary of Content</w:t>
            </w:r>
          </w:p>
        </w:tc>
      </w:tr>
      <w:tr>
        <w:trPr>
          <w:trHeight w:val="440" w:hRule="atLeast"/>
        </w:trPr>
        <w:tc>
          <w:tcPr>
            <w:tcW w:w="317" w:type="dxa"/>
            <w:vMerge w:val="restart"/>
            <w:tcBorders>
              <w:top w:val="nil"/>
              <w:left w:val="nil"/>
              <w:bottom w:val="nil"/>
            </w:tcBorders>
            <w:shd w:val="clear" w:color="auto" w:fill="D3E5C3"/>
          </w:tcPr>
          <w:p>
            <w:pPr>
              <w:pStyle w:val="TableParagraph"/>
              <w:ind w:left="0"/>
              <w:rPr>
                <w:rFonts w:ascii="Times New Roman"/>
                <w:sz w:val="24"/>
              </w:rPr>
            </w:pPr>
          </w:p>
        </w:tc>
        <w:tc>
          <w:tcPr>
            <w:tcW w:w="2660" w:type="dxa"/>
            <w:shd w:val="clear" w:color="auto" w:fill="FFFFFF"/>
          </w:tcPr>
          <w:p>
            <w:pPr>
              <w:pStyle w:val="TableParagraph"/>
              <w:spacing w:before="123"/>
              <w:ind w:left="74"/>
              <w:rPr>
                <w:sz w:val="20"/>
              </w:rPr>
            </w:pPr>
            <w:r>
              <w:rPr>
                <w:w w:val="125"/>
                <w:sz w:val="20"/>
              </w:rPr>
              <w:t>Subject and aim(s)</w:t>
            </w:r>
          </w:p>
        </w:tc>
        <w:tc>
          <w:tcPr>
            <w:tcW w:w="6463" w:type="dxa"/>
            <w:tcBorders>
              <w:right w:val="nil"/>
            </w:tcBorders>
            <w:shd w:val="clear" w:color="auto" w:fill="FFFFFF"/>
          </w:tcPr>
          <w:p>
            <w:pPr>
              <w:pStyle w:val="TableParagraph"/>
              <w:spacing w:before="123"/>
              <w:ind w:left="74"/>
              <w:rPr>
                <w:sz w:val="20"/>
              </w:rPr>
            </w:pPr>
            <w:r>
              <w:rPr>
                <w:spacing w:val="-7"/>
                <w:w w:val="120"/>
                <w:sz w:val="20"/>
              </w:rPr>
              <w:t>To </w:t>
            </w:r>
            <w:r>
              <w:rPr>
                <w:w w:val="120"/>
                <w:sz w:val="20"/>
              </w:rPr>
              <w:t>notify General Assembly of the audited accounts for </w:t>
            </w:r>
            <w:r>
              <w:rPr>
                <w:spacing w:val="-7"/>
                <w:w w:val="120"/>
                <w:sz w:val="20"/>
              </w:rPr>
              <w:t>2013.</w:t>
            </w:r>
          </w:p>
        </w:tc>
      </w:tr>
      <w:tr>
        <w:trPr>
          <w:trHeight w:val="1160" w:hRule="atLeast"/>
        </w:trPr>
        <w:tc>
          <w:tcPr>
            <w:tcW w:w="317" w:type="dxa"/>
            <w:vMerge/>
            <w:tcBorders>
              <w:top w:val="nil"/>
              <w:left w:val="nil"/>
              <w:bottom w:val="nil"/>
            </w:tcBorders>
            <w:shd w:val="clear" w:color="auto" w:fill="D3E5C3"/>
          </w:tcPr>
          <w:p>
            <w:pPr>
              <w:rPr>
                <w:sz w:val="2"/>
                <w:szCs w:val="2"/>
              </w:rPr>
            </w:pPr>
          </w:p>
        </w:tc>
        <w:tc>
          <w:tcPr>
            <w:tcW w:w="2660" w:type="dxa"/>
            <w:shd w:val="clear" w:color="auto" w:fill="FFFFFF"/>
          </w:tcPr>
          <w:p>
            <w:pPr>
              <w:pStyle w:val="TableParagraph"/>
              <w:spacing w:before="111"/>
              <w:ind w:left="74"/>
              <w:rPr>
                <w:rFonts w:ascii="Stone Sans II ITC Std Bk"/>
                <w:b/>
                <w:sz w:val="20"/>
              </w:rPr>
            </w:pPr>
            <w:r>
              <w:rPr>
                <w:rFonts w:ascii="Stone Sans II ITC Std Bk"/>
                <w:b/>
                <w:w w:val="110"/>
                <w:sz w:val="20"/>
              </w:rPr>
              <w:t>Main points</w:t>
            </w:r>
          </w:p>
        </w:tc>
        <w:tc>
          <w:tcPr>
            <w:tcW w:w="6463" w:type="dxa"/>
            <w:tcBorders>
              <w:right w:val="nil"/>
            </w:tcBorders>
            <w:shd w:val="clear" w:color="auto" w:fill="FFFFFF"/>
          </w:tcPr>
          <w:p>
            <w:pPr>
              <w:pStyle w:val="TableParagraph"/>
              <w:spacing w:line="235" w:lineRule="auto" w:before="127"/>
              <w:ind w:left="74" w:right="314"/>
              <w:rPr>
                <w:sz w:val="20"/>
              </w:rPr>
            </w:pPr>
            <w:r>
              <w:rPr>
                <w:w w:val="120"/>
                <w:sz w:val="20"/>
              </w:rPr>
              <w:t>The accounts for the United Reformed Church’s central activities are legally in the name of the URC Trust. Copies of the audited accounts for 2013 will be placed on the website and made available at Assembly.</w:t>
            </w:r>
          </w:p>
        </w:tc>
      </w:tr>
      <w:tr>
        <w:trPr>
          <w:trHeight w:val="680" w:hRule="atLeast"/>
        </w:trPr>
        <w:tc>
          <w:tcPr>
            <w:tcW w:w="317" w:type="dxa"/>
            <w:vMerge/>
            <w:tcBorders>
              <w:top w:val="nil"/>
              <w:left w:val="nil"/>
              <w:bottom w:val="nil"/>
            </w:tcBorders>
            <w:shd w:val="clear" w:color="auto" w:fill="D3E5C3"/>
          </w:tcPr>
          <w:p>
            <w:pPr>
              <w:rPr>
                <w:sz w:val="2"/>
                <w:szCs w:val="2"/>
              </w:rPr>
            </w:pPr>
          </w:p>
        </w:tc>
        <w:tc>
          <w:tcPr>
            <w:tcW w:w="2660" w:type="dxa"/>
            <w:shd w:val="clear" w:color="auto" w:fill="FFFFFF"/>
          </w:tcPr>
          <w:p>
            <w:pPr>
              <w:pStyle w:val="TableParagraph"/>
              <w:spacing w:line="213" w:lineRule="auto" w:before="133"/>
              <w:ind w:left="74" w:right="707"/>
              <w:rPr>
                <w:rFonts w:ascii="Stone Sans II ITC Std Bk"/>
                <w:b/>
                <w:sz w:val="20"/>
              </w:rPr>
            </w:pPr>
            <w:r>
              <w:rPr>
                <w:rFonts w:ascii="Stone Sans II ITC Std Bk"/>
                <w:b/>
                <w:w w:val="110"/>
                <w:sz w:val="20"/>
              </w:rPr>
              <w:t>Previous relevant documents</w:t>
            </w:r>
          </w:p>
        </w:tc>
        <w:tc>
          <w:tcPr>
            <w:tcW w:w="6463" w:type="dxa"/>
            <w:tcBorders>
              <w:right w:val="nil"/>
            </w:tcBorders>
            <w:shd w:val="clear" w:color="auto" w:fill="FFFFFF"/>
          </w:tcPr>
          <w:p>
            <w:pPr>
              <w:pStyle w:val="TableParagraph"/>
              <w:spacing w:before="123"/>
              <w:ind w:left="74"/>
              <w:rPr>
                <w:sz w:val="20"/>
              </w:rPr>
            </w:pPr>
            <w:r>
              <w:rPr>
                <w:w w:val="120"/>
                <w:sz w:val="20"/>
              </w:rPr>
              <w:t>Accounts for 2012 are available on the website.</w:t>
            </w:r>
          </w:p>
        </w:tc>
      </w:tr>
      <w:tr>
        <w:trPr>
          <w:trHeight w:val="680" w:hRule="atLeast"/>
        </w:trPr>
        <w:tc>
          <w:tcPr>
            <w:tcW w:w="317" w:type="dxa"/>
            <w:vMerge/>
            <w:tcBorders>
              <w:top w:val="nil"/>
              <w:left w:val="nil"/>
              <w:bottom w:val="nil"/>
            </w:tcBorders>
            <w:shd w:val="clear" w:color="auto" w:fill="D3E5C3"/>
          </w:tcPr>
          <w:p>
            <w:pPr>
              <w:rPr>
                <w:sz w:val="2"/>
                <w:szCs w:val="2"/>
              </w:rPr>
            </w:pPr>
          </w:p>
        </w:tc>
        <w:tc>
          <w:tcPr>
            <w:tcW w:w="2660" w:type="dxa"/>
            <w:shd w:val="clear" w:color="auto" w:fill="FFFFFF"/>
          </w:tcPr>
          <w:p>
            <w:pPr>
              <w:pStyle w:val="TableParagraph"/>
              <w:spacing w:line="213" w:lineRule="auto" w:before="133"/>
              <w:ind w:left="74" w:right="110"/>
              <w:rPr>
                <w:rFonts w:ascii="Stone Sans II ITC Std Bk"/>
                <w:b/>
                <w:sz w:val="20"/>
              </w:rPr>
            </w:pPr>
            <w:r>
              <w:rPr>
                <w:rFonts w:ascii="Stone Sans II ITC Std Bk"/>
                <w:b/>
                <w:w w:val="110"/>
                <w:sz w:val="20"/>
              </w:rPr>
              <w:t>Consultation has taken place with...</w:t>
            </w:r>
          </w:p>
        </w:tc>
        <w:tc>
          <w:tcPr>
            <w:tcW w:w="6463" w:type="dxa"/>
            <w:tcBorders>
              <w:right w:val="nil"/>
            </w:tcBorders>
            <w:shd w:val="clear" w:color="auto" w:fill="FFFFFF"/>
          </w:tcPr>
          <w:p>
            <w:pPr>
              <w:pStyle w:val="TableParagraph"/>
              <w:spacing w:before="123"/>
              <w:ind w:left="74"/>
              <w:rPr>
                <w:sz w:val="20"/>
              </w:rPr>
            </w:pPr>
            <w:r>
              <w:rPr>
                <w:w w:val="120"/>
                <w:sz w:val="20"/>
              </w:rPr>
              <w:t>Not applicable.</w:t>
            </w:r>
          </w:p>
        </w:tc>
      </w:tr>
      <w:tr>
        <w:trPr>
          <w:trHeight w:val="720" w:hRule="atLeast"/>
        </w:trPr>
        <w:tc>
          <w:tcPr>
            <w:tcW w:w="9440" w:type="dxa"/>
            <w:gridSpan w:val="3"/>
            <w:tcBorders>
              <w:top w:val="nil"/>
              <w:left w:val="nil"/>
              <w:bottom w:val="nil"/>
              <w:right w:val="nil"/>
            </w:tcBorders>
            <w:shd w:val="clear" w:color="auto" w:fill="D3E5C3"/>
          </w:tcPr>
          <w:p>
            <w:pPr>
              <w:pStyle w:val="TableParagraph"/>
              <w:spacing w:before="4"/>
              <w:ind w:left="0"/>
              <w:rPr>
                <w:sz w:val="35"/>
              </w:rPr>
            </w:pPr>
          </w:p>
          <w:p>
            <w:pPr>
              <w:pStyle w:val="TableParagraph"/>
              <w:ind w:left="311"/>
              <w:rPr>
                <w:sz w:val="20"/>
              </w:rPr>
            </w:pPr>
            <w:r>
              <w:rPr>
                <w:w w:val="120"/>
                <w:sz w:val="20"/>
              </w:rPr>
              <w:t>Summary of Impact</w:t>
            </w:r>
          </w:p>
        </w:tc>
      </w:tr>
      <w:tr>
        <w:trPr>
          <w:trHeight w:val="680" w:hRule="atLeast"/>
        </w:trPr>
        <w:tc>
          <w:tcPr>
            <w:tcW w:w="317" w:type="dxa"/>
            <w:vMerge w:val="restart"/>
            <w:tcBorders>
              <w:top w:val="nil"/>
              <w:left w:val="nil"/>
              <w:bottom w:val="nil"/>
            </w:tcBorders>
            <w:shd w:val="clear" w:color="auto" w:fill="D3E5C3"/>
          </w:tcPr>
          <w:p>
            <w:pPr>
              <w:pStyle w:val="TableParagraph"/>
              <w:ind w:left="0"/>
              <w:rPr>
                <w:rFonts w:ascii="Times New Roman"/>
                <w:sz w:val="24"/>
              </w:rPr>
            </w:pPr>
          </w:p>
        </w:tc>
        <w:tc>
          <w:tcPr>
            <w:tcW w:w="2660" w:type="dxa"/>
            <w:shd w:val="clear" w:color="auto" w:fill="FFFFFF"/>
          </w:tcPr>
          <w:p>
            <w:pPr>
              <w:pStyle w:val="TableParagraph"/>
              <w:spacing w:before="111"/>
              <w:ind w:left="74"/>
              <w:rPr>
                <w:rFonts w:ascii="Stone Sans II ITC Std Bk"/>
                <w:b/>
                <w:sz w:val="20"/>
              </w:rPr>
            </w:pPr>
            <w:r>
              <w:rPr>
                <w:rFonts w:ascii="Stone Sans II ITC Std Bk"/>
                <w:b/>
                <w:w w:val="110"/>
                <w:sz w:val="20"/>
              </w:rPr>
              <w:t>Financial</w:t>
            </w:r>
          </w:p>
        </w:tc>
        <w:tc>
          <w:tcPr>
            <w:tcW w:w="6463" w:type="dxa"/>
            <w:tcBorders>
              <w:right w:val="nil"/>
            </w:tcBorders>
            <w:shd w:val="clear" w:color="auto" w:fill="FFFFFF"/>
          </w:tcPr>
          <w:p>
            <w:pPr>
              <w:pStyle w:val="TableParagraph"/>
              <w:spacing w:line="235" w:lineRule="auto" w:before="127"/>
              <w:ind w:left="74" w:right="314"/>
              <w:rPr>
                <w:sz w:val="20"/>
              </w:rPr>
            </w:pPr>
            <w:r>
              <w:rPr>
                <w:w w:val="120"/>
                <w:sz w:val="20"/>
              </w:rPr>
              <w:t>A change of auditors for 2013 has reduced the audit fee for this and related work to c£50,000.</w:t>
            </w:r>
          </w:p>
        </w:tc>
      </w:tr>
      <w:tr>
        <w:trPr>
          <w:trHeight w:val="680" w:hRule="atLeast"/>
        </w:trPr>
        <w:tc>
          <w:tcPr>
            <w:tcW w:w="317" w:type="dxa"/>
            <w:vMerge/>
            <w:tcBorders>
              <w:top w:val="nil"/>
              <w:left w:val="nil"/>
              <w:bottom w:val="nil"/>
            </w:tcBorders>
            <w:shd w:val="clear" w:color="auto" w:fill="D3E5C3"/>
          </w:tcPr>
          <w:p>
            <w:pPr>
              <w:rPr>
                <w:sz w:val="2"/>
                <w:szCs w:val="2"/>
              </w:rPr>
            </w:pPr>
          </w:p>
        </w:tc>
        <w:tc>
          <w:tcPr>
            <w:tcW w:w="2660" w:type="dxa"/>
            <w:shd w:val="clear" w:color="auto" w:fill="FFFFFF"/>
          </w:tcPr>
          <w:p>
            <w:pPr>
              <w:pStyle w:val="TableParagraph"/>
              <w:spacing w:line="255" w:lineRule="exact" w:before="111"/>
              <w:ind w:left="74"/>
              <w:rPr>
                <w:rFonts w:ascii="Stone Sans II ITC Std Bk"/>
                <w:b/>
                <w:sz w:val="20"/>
              </w:rPr>
            </w:pPr>
            <w:r>
              <w:rPr>
                <w:rFonts w:ascii="Stone Sans II ITC Std Bk"/>
                <w:b/>
                <w:w w:val="110"/>
                <w:sz w:val="20"/>
              </w:rPr>
              <w:t>External</w:t>
            </w:r>
          </w:p>
          <w:p>
            <w:pPr>
              <w:pStyle w:val="TableParagraph"/>
              <w:spacing w:line="255" w:lineRule="exact"/>
              <w:ind w:left="74"/>
              <w:rPr>
                <w:rFonts w:ascii="Stone Sans II ITC Std Bk"/>
                <w:b/>
                <w:sz w:val="20"/>
              </w:rPr>
            </w:pPr>
            <w:r>
              <w:rPr>
                <w:rFonts w:ascii="Stone Sans II ITC Std Bk"/>
                <w:b/>
                <w:w w:val="110"/>
                <w:sz w:val="20"/>
              </w:rPr>
              <w:t>(e.g. ecumenical)</w:t>
            </w:r>
          </w:p>
        </w:tc>
        <w:tc>
          <w:tcPr>
            <w:tcW w:w="6463" w:type="dxa"/>
            <w:tcBorders>
              <w:right w:val="nil"/>
            </w:tcBorders>
            <w:shd w:val="clear" w:color="auto" w:fill="FFFFFF"/>
          </w:tcPr>
          <w:p>
            <w:pPr>
              <w:pStyle w:val="TableParagraph"/>
              <w:spacing w:line="235" w:lineRule="auto" w:before="127"/>
              <w:ind w:left="74" w:right="314"/>
              <w:rPr>
                <w:sz w:val="20"/>
              </w:rPr>
            </w:pPr>
            <w:r>
              <w:rPr>
                <w:w w:val="120"/>
                <w:sz w:val="20"/>
              </w:rPr>
              <w:t>The report provides a publicly-available summary of the Church’s activities.</w:t>
            </w:r>
          </w:p>
        </w:tc>
      </w:tr>
      <w:tr>
        <w:trPr>
          <w:trHeight w:val="4974" w:hRule="atLeast"/>
        </w:trPr>
        <w:tc>
          <w:tcPr>
            <w:tcW w:w="9440" w:type="dxa"/>
            <w:gridSpan w:val="3"/>
            <w:tcBorders>
              <w:top w:val="nil"/>
              <w:left w:val="nil"/>
              <w:bottom w:val="nil"/>
              <w:right w:val="nil"/>
            </w:tcBorders>
            <w:shd w:val="clear" w:color="auto" w:fill="D3E5C3"/>
          </w:tcPr>
          <w:p>
            <w:pPr>
              <w:pStyle w:val="TableParagraph"/>
              <w:ind w:left="0"/>
              <w:rPr>
                <w:sz w:val="30"/>
              </w:rPr>
            </w:pPr>
          </w:p>
          <w:p>
            <w:pPr>
              <w:pStyle w:val="TableParagraph"/>
              <w:ind w:left="0"/>
              <w:rPr>
                <w:sz w:val="30"/>
              </w:rPr>
            </w:pPr>
          </w:p>
          <w:p>
            <w:pPr>
              <w:pStyle w:val="TableParagraph"/>
              <w:ind w:left="0"/>
              <w:rPr>
                <w:sz w:val="30"/>
              </w:rPr>
            </w:pPr>
          </w:p>
          <w:p>
            <w:pPr>
              <w:pStyle w:val="TableParagraph"/>
              <w:ind w:left="0"/>
              <w:rPr>
                <w:sz w:val="30"/>
              </w:rPr>
            </w:pPr>
          </w:p>
          <w:p>
            <w:pPr>
              <w:pStyle w:val="TableParagraph"/>
              <w:ind w:left="0"/>
              <w:rPr>
                <w:sz w:val="30"/>
              </w:rPr>
            </w:pPr>
          </w:p>
          <w:p>
            <w:pPr>
              <w:pStyle w:val="TableParagraph"/>
              <w:ind w:left="0"/>
              <w:rPr>
                <w:sz w:val="30"/>
              </w:rPr>
            </w:pPr>
          </w:p>
          <w:p>
            <w:pPr>
              <w:pStyle w:val="TableParagraph"/>
              <w:ind w:left="0"/>
              <w:rPr>
                <w:sz w:val="30"/>
              </w:rPr>
            </w:pPr>
          </w:p>
          <w:p>
            <w:pPr>
              <w:pStyle w:val="TableParagraph"/>
              <w:ind w:left="0"/>
              <w:rPr>
                <w:sz w:val="30"/>
              </w:rPr>
            </w:pPr>
          </w:p>
          <w:p>
            <w:pPr>
              <w:pStyle w:val="TableParagraph"/>
              <w:ind w:left="0"/>
              <w:rPr>
                <w:sz w:val="30"/>
              </w:rPr>
            </w:pPr>
          </w:p>
          <w:p>
            <w:pPr>
              <w:pStyle w:val="TableParagraph"/>
              <w:ind w:left="0"/>
              <w:rPr>
                <w:sz w:val="30"/>
              </w:rPr>
            </w:pPr>
          </w:p>
          <w:p>
            <w:pPr>
              <w:pStyle w:val="TableParagraph"/>
              <w:spacing w:before="5"/>
              <w:ind w:left="0"/>
              <w:rPr>
                <w:sz w:val="36"/>
              </w:rPr>
            </w:pPr>
          </w:p>
          <w:p>
            <w:pPr>
              <w:pStyle w:val="TableParagraph"/>
              <w:ind w:left="311"/>
              <w:rPr>
                <w:sz w:val="23"/>
              </w:rPr>
            </w:pPr>
            <w:r>
              <w:rPr>
                <w:rFonts w:ascii="Stone Sans II ITC Std X Bd" w:hAnsi="Stone Sans II ITC Std X Bd"/>
                <w:b/>
                <w:w w:val="110"/>
                <w:sz w:val="24"/>
              </w:rPr>
              <w:t>128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c>
      </w:tr>
    </w:tbl>
    <w:p>
      <w:pPr>
        <w:rPr>
          <w:sz w:val="2"/>
          <w:szCs w:val="2"/>
        </w:rPr>
      </w:pPr>
      <w:r>
        <w:rPr/>
        <w:pict>
          <v:rect style="position:absolute;margin-left:594.374023pt;margin-top:.000015pt;width:.901pt;height:841.89pt;mso-position-horizontal-relative:page;mso-position-vertical-relative:page;z-index:251999232" filled="true" fillcolor="#d3e5c3" stroked="false">
            <v:fill type="solid"/>
            <w10:wrap type="none"/>
          </v:rect>
        </w:pict>
      </w:r>
      <w:r>
        <w:rPr/>
        <w:drawing>
          <wp:anchor distT="0" distB="0" distL="0" distR="0" allowOverlap="1" layoutInCell="1" locked="0" behindDoc="0" simplePos="0" relativeHeight="252000256">
            <wp:simplePos x="0" y="0"/>
            <wp:positionH relativeFrom="page">
              <wp:posOffset>0</wp:posOffset>
            </wp:positionH>
            <wp:positionV relativeFrom="page">
              <wp:posOffset>0</wp:posOffset>
            </wp:positionV>
            <wp:extent cx="594067" cy="10692003"/>
            <wp:effectExtent l="0" t="0" r="0" b="0"/>
            <wp:wrapNone/>
            <wp:docPr id="237" name="image28.png"/>
            <wp:cNvGraphicFramePr>
              <a:graphicFrameLocks noChangeAspect="1"/>
            </wp:cNvGraphicFramePr>
            <a:graphic>
              <a:graphicData uri="http://schemas.openxmlformats.org/drawingml/2006/picture">
                <pic:pic>
                  <pic:nvPicPr>
                    <pic:cNvPr id="238" name="image28.png"/>
                    <pic:cNvPicPr/>
                  </pic:nvPicPr>
                  <pic:blipFill>
                    <a:blip r:embed="rId198"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395.7pt;mso-position-horizontal-relative:page;mso-position-vertical-relative:page;z-index:252001280" type="#_x0000_t202" filled="false" stroked="false">
            <v:textbox inset="0,0,0,0" style="layout-flow:vertical">
              <w:txbxContent>
                <w:p>
                  <w:pPr>
                    <w:spacing w:before="27"/>
                    <w:ind w:left="20" w:right="0" w:firstLine="0"/>
                    <w:jc w:val="left"/>
                    <w:rPr>
                      <w:sz w:val="39"/>
                    </w:rPr>
                  </w:pPr>
                  <w:r>
                    <w:rPr>
                      <w:color w:val="FFFFFF"/>
                      <w:w w:val="120"/>
                      <w:sz w:val="39"/>
                    </w:rPr>
                    <w:t>Trustees’ report and accounts for 2013</w:t>
                  </w:r>
                </w:p>
              </w:txbxContent>
            </v:textbox>
            <w10:wrap type="none"/>
          </v:shape>
        </w:pict>
      </w:r>
    </w:p>
    <w:p>
      <w:pPr>
        <w:spacing w:after="0"/>
        <w:rPr>
          <w:sz w:val="2"/>
          <w:szCs w:val="2"/>
        </w:rPr>
        <w:sectPr>
          <w:headerReference w:type="even" r:id="rId300"/>
          <w:footerReference w:type="even" r:id="rId301"/>
          <w:pgSz w:w="11910" w:h="16840"/>
          <w:pgMar w:header="0" w:footer="0" w:top="0" w:bottom="0" w:left="0" w:right="0"/>
        </w:sectPr>
      </w:pPr>
    </w:p>
    <w:p>
      <w:pPr>
        <w:pStyle w:val="BodyText"/>
      </w:pPr>
      <w:r>
        <w:rPr/>
        <w:pict>
          <v:rect style="position:absolute;margin-left:0pt;margin-top:.000015pt;width:549.207pt;height:841.89pt;mso-position-horizontal-relative:page;mso-position-vertical-relative:page;z-index:-267274240" filled="true" fillcolor="#d3e5c3" stroked="false">
            <v:fill type="solid"/>
            <w10:wrap type="none"/>
          </v:rect>
        </w:pict>
      </w:r>
      <w:r>
        <w:rPr/>
        <w:drawing>
          <wp:anchor distT="0" distB="0" distL="0" distR="0" allowOverlap="1" layoutInCell="1" locked="0" behindDoc="0" simplePos="0" relativeHeight="252003328">
            <wp:simplePos x="0" y="0"/>
            <wp:positionH relativeFrom="page">
              <wp:posOffset>6974928</wp:posOffset>
            </wp:positionH>
            <wp:positionV relativeFrom="page">
              <wp:posOffset>0</wp:posOffset>
            </wp:positionV>
            <wp:extent cx="585063" cy="10692003"/>
            <wp:effectExtent l="0" t="0" r="0" b="0"/>
            <wp:wrapNone/>
            <wp:docPr id="239" name="image25.png"/>
            <wp:cNvGraphicFramePr>
              <a:graphicFrameLocks noChangeAspect="1"/>
            </wp:cNvGraphicFramePr>
            <a:graphic>
              <a:graphicData uri="http://schemas.openxmlformats.org/drawingml/2006/picture">
                <pic:pic>
                  <pic:nvPicPr>
                    <pic:cNvPr id="240" name="image25.png"/>
                    <pic:cNvPicPr/>
                  </pic:nvPicPr>
                  <pic:blipFill>
                    <a:blip r:embed="rId192"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5"/>
        <w:rPr>
          <w:sz w:val="28"/>
        </w:rPr>
      </w:pPr>
    </w:p>
    <w:p>
      <w:pPr>
        <w:pStyle w:val="Heading2"/>
        <w:spacing w:line="213" w:lineRule="auto"/>
        <w:ind w:left="1785" w:right="1352"/>
        <w:rPr>
          <w:b/>
        </w:rPr>
      </w:pPr>
      <w:r>
        <w:rPr/>
        <w:pict>
          <v:shape style="position:absolute;margin-left:554.141174pt;margin-top:-5.989334pt;width:25.9pt;height:328.55pt;mso-position-horizontal-relative:page;mso-position-vertical-relative:paragraph;z-index:252004352" type="#_x0000_t202" filled="false" stroked="false">
            <v:textbox inset="0,0,0,0" style="layout-flow:vertical">
              <w:txbxContent>
                <w:p>
                  <w:pPr>
                    <w:spacing w:before="27"/>
                    <w:ind w:left="20" w:right="0" w:firstLine="0"/>
                    <w:jc w:val="left"/>
                    <w:rPr>
                      <w:sz w:val="39"/>
                    </w:rPr>
                  </w:pPr>
                  <w:r>
                    <w:rPr>
                      <w:color w:val="FFFFFF"/>
                      <w:spacing w:val="9"/>
                      <w:w w:val="120"/>
                      <w:sz w:val="39"/>
                    </w:rPr>
                    <w:t>Nomination </w:t>
                  </w:r>
                  <w:r>
                    <w:rPr>
                      <w:color w:val="FFFFFF"/>
                      <w:spacing w:val="5"/>
                      <w:w w:val="120"/>
                      <w:sz w:val="39"/>
                    </w:rPr>
                    <w:t>of </w:t>
                  </w:r>
                  <w:r>
                    <w:rPr>
                      <w:color w:val="FFFFFF"/>
                      <w:spacing w:val="9"/>
                      <w:w w:val="120"/>
                      <w:sz w:val="39"/>
                    </w:rPr>
                    <w:t>general</w:t>
                  </w:r>
                  <w:r>
                    <w:rPr>
                      <w:color w:val="FFFFFF"/>
                      <w:spacing w:val="92"/>
                      <w:w w:val="120"/>
                      <w:sz w:val="39"/>
                    </w:rPr>
                    <w:t> </w:t>
                  </w:r>
                  <w:r>
                    <w:rPr>
                      <w:color w:val="FFFFFF"/>
                      <w:spacing w:val="11"/>
                      <w:w w:val="120"/>
                      <w:sz w:val="39"/>
                    </w:rPr>
                    <w:t>secretary</w:t>
                  </w:r>
                </w:p>
              </w:txbxContent>
            </v:textbox>
            <w10:wrap type="none"/>
          </v:shape>
        </w:pict>
      </w:r>
      <w:bookmarkStart w:name="_bookmark21" w:id="25"/>
      <w:bookmarkEnd w:id="25"/>
      <w:r>
        <w:rPr>
          <w:b w:val="0"/>
        </w:rPr>
      </w:r>
      <w:r>
        <w:rPr>
          <w:b/>
          <w:color w:val="41A62B"/>
          <w:w w:val="110"/>
        </w:rPr>
        <w:t>General secretary nominating group</w:t>
      </w:r>
    </w:p>
    <w:p>
      <w:pPr>
        <w:spacing w:line="617" w:lineRule="exact" w:before="0"/>
        <w:ind w:left="1785" w:right="0" w:firstLine="0"/>
        <w:jc w:val="left"/>
        <w:rPr>
          <w:rFonts w:ascii="Stone Sans II ITC Std X Bd"/>
          <w:b/>
          <w:sz w:val="50"/>
        </w:rPr>
      </w:pPr>
      <w:r>
        <w:rPr>
          <w:rFonts w:ascii="Stone Sans II ITC Std X Bd"/>
          <w:b/>
          <w:w w:val="110"/>
          <w:sz w:val="50"/>
        </w:rPr>
        <w:t>Nomination of general secretary</w:t>
      </w:r>
    </w:p>
    <w:p>
      <w:pPr>
        <w:pStyle w:val="BodyText"/>
        <w:spacing w:before="361" w:after="27"/>
        <w:ind w:left="1785"/>
      </w:pPr>
      <w:r>
        <w:rPr>
          <w:w w:val="120"/>
        </w:rPr>
        <w:t>Basic Information</w:t>
      </w:r>
    </w:p>
    <w:tbl>
      <w:tblPr>
        <w:tblW w:w="0" w:type="auto"/>
        <w:jc w:val="left"/>
        <w:tblInd w:w="17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33"/>
      </w:tblGrid>
      <w:tr>
        <w:trPr>
          <w:trHeight w:val="680" w:hRule="atLeast"/>
        </w:trPr>
        <w:tc>
          <w:tcPr>
            <w:tcW w:w="2660" w:type="dxa"/>
            <w:shd w:val="clear" w:color="auto" w:fill="FFFFFF"/>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533" w:type="dxa"/>
            <w:tcBorders>
              <w:right w:val="nil"/>
            </w:tcBorders>
            <w:shd w:val="clear" w:color="auto" w:fill="FFFFFF"/>
          </w:tcPr>
          <w:p>
            <w:pPr>
              <w:pStyle w:val="TableParagraph"/>
              <w:spacing w:line="235" w:lineRule="auto" w:before="145"/>
              <w:ind w:right="2301"/>
              <w:rPr>
                <w:sz w:val="20"/>
              </w:rPr>
            </w:pPr>
            <w:r>
              <w:rPr>
                <w:w w:val="120"/>
                <w:sz w:val="20"/>
              </w:rPr>
              <w:t>John Ellis, Moderator of General Assembly </w:t>
            </w:r>
            <w:hyperlink r:id="rId302">
              <w:r>
                <w:rPr>
                  <w:w w:val="120"/>
                  <w:sz w:val="20"/>
                </w:rPr>
                <w:t>john.ellis@urc.org.uk</w:t>
              </w:r>
            </w:hyperlink>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Action required</w:t>
            </w:r>
          </w:p>
        </w:tc>
        <w:tc>
          <w:tcPr>
            <w:tcW w:w="6533" w:type="dxa"/>
            <w:tcBorders>
              <w:right w:val="nil"/>
            </w:tcBorders>
            <w:shd w:val="clear" w:color="auto" w:fill="FFFFFF"/>
          </w:tcPr>
          <w:p>
            <w:pPr>
              <w:pStyle w:val="TableParagraph"/>
              <w:spacing w:before="141"/>
              <w:rPr>
                <w:sz w:val="20"/>
              </w:rPr>
            </w:pPr>
            <w:r>
              <w:rPr>
                <w:w w:val="120"/>
                <w:sz w:val="20"/>
              </w:rPr>
              <w:t>Decision.</w:t>
            </w:r>
          </w:p>
        </w:tc>
      </w:tr>
      <w:tr>
        <w:trPr>
          <w:trHeight w:val="116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Draft resolution(s)</w:t>
            </w:r>
          </w:p>
        </w:tc>
        <w:tc>
          <w:tcPr>
            <w:tcW w:w="6533" w:type="dxa"/>
            <w:tcBorders>
              <w:right w:val="nil"/>
            </w:tcBorders>
            <w:shd w:val="clear" w:color="auto" w:fill="FFFFFF"/>
          </w:tcPr>
          <w:p>
            <w:pPr>
              <w:pStyle w:val="TableParagraph"/>
              <w:spacing w:line="213" w:lineRule="auto" w:before="151"/>
              <w:ind w:right="585"/>
              <w:rPr>
                <w:rFonts w:ascii="Stone Sans II ITC Std Bk"/>
                <w:b/>
                <w:sz w:val="20"/>
              </w:rPr>
            </w:pPr>
            <w:r>
              <w:rPr>
                <w:rFonts w:ascii="Stone Sans II ITC Std Bk"/>
                <w:b/>
                <w:w w:val="110"/>
                <w:sz w:val="20"/>
              </w:rPr>
              <w:t>General Assembly appoints the Revd John Proctor to serve as general secretary from 6th July 2014 until 30th June 2021.</w:t>
            </w:r>
          </w:p>
        </w:tc>
      </w:tr>
    </w:tbl>
    <w:p>
      <w:pPr>
        <w:pStyle w:val="BodyText"/>
        <w:rPr>
          <w:sz w:val="24"/>
        </w:rPr>
      </w:pPr>
    </w:p>
    <w:p>
      <w:pPr>
        <w:pStyle w:val="BodyText"/>
        <w:spacing w:before="156" w:after="27"/>
        <w:ind w:left="1785"/>
      </w:pPr>
      <w:r>
        <w:rPr>
          <w:w w:val="120"/>
        </w:rPr>
        <w:t>Summary of Content</w:t>
      </w:r>
    </w:p>
    <w:tbl>
      <w:tblPr>
        <w:tblW w:w="0" w:type="auto"/>
        <w:jc w:val="left"/>
        <w:tblInd w:w="17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33"/>
      </w:tblGrid>
      <w:tr>
        <w:trPr>
          <w:trHeight w:val="440" w:hRule="atLeast"/>
        </w:trPr>
        <w:tc>
          <w:tcPr>
            <w:tcW w:w="2660" w:type="dxa"/>
            <w:shd w:val="clear" w:color="auto" w:fill="FFFFFF"/>
          </w:tcPr>
          <w:p>
            <w:pPr>
              <w:pStyle w:val="TableParagraph"/>
              <w:spacing w:before="141"/>
              <w:rPr>
                <w:sz w:val="20"/>
              </w:rPr>
            </w:pPr>
            <w:r>
              <w:rPr>
                <w:w w:val="125"/>
                <w:sz w:val="20"/>
              </w:rPr>
              <w:t>Subject and aim(s)</w:t>
            </w:r>
          </w:p>
        </w:tc>
        <w:tc>
          <w:tcPr>
            <w:tcW w:w="6533" w:type="dxa"/>
            <w:tcBorders>
              <w:right w:val="nil"/>
            </w:tcBorders>
            <w:shd w:val="clear" w:color="auto" w:fill="FFFFFF"/>
          </w:tcPr>
          <w:p>
            <w:pPr>
              <w:pStyle w:val="TableParagraph"/>
              <w:spacing w:before="141"/>
              <w:rPr>
                <w:sz w:val="20"/>
              </w:rPr>
            </w:pPr>
            <w:r>
              <w:rPr>
                <w:w w:val="120"/>
                <w:sz w:val="20"/>
              </w:rPr>
              <w:t>To appoint a new general secretary</w:t>
            </w:r>
          </w:p>
        </w:tc>
      </w:tr>
      <w:tr>
        <w:trPr>
          <w:trHeight w:val="40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Main points</w:t>
            </w:r>
          </w:p>
        </w:tc>
        <w:tc>
          <w:tcPr>
            <w:tcW w:w="6533" w:type="dxa"/>
            <w:tcBorders>
              <w:right w:val="nil"/>
            </w:tcBorders>
            <w:shd w:val="clear" w:color="auto" w:fill="FFFFFF"/>
          </w:tcPr>
          <w:p>
            <w:pPr>
              <w:pStyle w:val="TableParagraph"/>
              <w:numPr>
                <w:ilvl w:val="0"/>
                <w:numId w:val="75"/>
              </w:numPr>
              <w:tabs>
                <w:tab w:pos="439" w:val="left" w:leader="none"/>
                <w:tab w:pos="440" w:val="left" w:leader="none"/>
              </w:tabs>
              <w:spacing w:line="235" w:lineRule="auto" w:before="145" w:after="0"/>
              <w:ind w:left="440" w:right="393" w:hanging="360"/>
              <w:jc w:val="left"/>
              <w:rPr>
                <w:sz w:val="20"/>
              </w:rPr>
            </w:pPr>
            <w:r>
              <w:rPr>
                <w:w w:val="120"/>
                <w:sz w:val="20"/>
              </w:rPr>
              <w:t>A general secretary review group of </w:t>
            </w:r>
            <w:r>
              <w:rPr>
                <w:spacing w:val="-9"/>
                <w:w w:val="120"/>
                <w:sz w:val="20"/>
              </w:rPr>
              <w:t>12 </w:t>
            </w:r>
            <w:r>
              <w:rPr>
                <w:w w:val="120"/>
                <w:sz w:val="20"/>
              </w:rPr>
              <w:t>was set up in </w:t>
            </w:r>
            <w:r>
              <w:rPr>
                <w:spacing w:val="-8"/>
                <w:w w:val="120"/>
                <w:sz w:val="20"/>
              </w:rPr>
              <w:t>2013 </w:t>
            </w:r>
            <w:r>
              <w:rPr>
                <w:w w:val="120"/>
                <w:sz w:val="20"/>
              </w:rPr>
              <w:t>in accordance with the </w:t>
            </w:r>
            <w:r>
              <w:rPr>
                <w:spacing w:val="-3"/>
                <w:w w:val="120"/>
                <w:sz w:val="20"/>
              </w:rPr>
              <w:t>URC’s</w:t>
            </w:r>
            <w:r>
              <w:rPr>
                <w:spacing w:val="15"/>
                <w:w w:val="120"/>
                <w:sz w:val="20"/>
              </w:rPr>
              <w:t> </w:t>
            </w:r>
            <w:r>
              <w:rPr>
                <w:w w:val="120"/>
                <w:sz w:val="20"/>
              </w:rPr>
              <w:t>procedures.</w:t>
            </w:r>
          </w:p>
          <w:p>
            <w:pPr>
              <w:pStyle w:val="TableParagraph"/>
              <w:numPr>
                <w:ilvl w:val="0"/>
                <w:numId w:val="75"/>
              </w:numPr>
              <w:tabs>
                <w:tab w:pos="439" w:val="left" w:leader="none"/>
                <w:tab w:pos="440" w:val="left" w:leader="none"/>
              </w:tabs>
              <w:spacing w:line="235" w:lineRule="auto" w:before="1" w:after="0"/>
              <w:ind w:left="440" w:right="545" w:hanging="360"/>
              <w:jc w:val="left"/>
              <w:rPr>
                <w:sz w:val="20"/>
              </w:rPr>
            </w:pPr>
            <w:r>
              <w:rPr>
                <w:w w:val="120"/>
                <w:sz w:val="20"/>
              </w:rPr>
              <w:t>The group saw its task as shaping a discernment process and enfolded all its work in worship and</w:t>
            </w:r>
            <w:r>
              <w:rPr>
                <w:spacing w:val="21"/>
                <w:w w:val="120"/>
                <w:sz w:val="20"/>
              </w:rPr>
              <w:t> </w:t>
            </w:r>
            <w:r>
              <w:rPr>
                <w:w w:val="120"/>
                <w:sz w:val="20"/>
              </w:rPr>
              <w:t>prayer.</w:t>
            </w:r>
          </w:p>
          <w:p>
            <w:pPr>
              <w:pStyle w:val="TableParagraph"/>
              <w:numPr>
                <w:ilvl w:val="0"/>
                <w:numId w:val="75"/>
              </w:numPr>
              <w:tabs>
                <w:tab w:pos="439" w:val="left" w:leader="none"/>
                <w:tab w:pos="440" w:val="left" w:leader="none"/>
              </w:tabs>
              <w:spacing w:line="235" w:lineRule="auto" w:before="2" w:after="0"/>
              <w:ind w:left="440" w:right="236" w:hanging="360"/>
              <w:jc w:val="left"/>
              <w:rPr>
                <w:sz w:val="20"/>
              </w:rPr>
            </w:pPr>
            <w:r>
              <w:rPr>
                <w:w w:val="120"/>
                <w:sz w:val="20"/>
              </w:rPr>
              <w:t>The group used the revised job description for a general secretary prepared by the human resources advisory group (HRAG) and accepted by Mission</w:t>
            </w:r>
            <w:r>
              <w:rPr>
                <w:spacing w:val="21"/>
                <w:w w:val="120"/>
                <w:sz w:val="20"/>
              </w:rPr>
              <w:t> </w:t>
            </w:r>
            <w:r>
              <w:rPr>
                <w:w w:val="120"/>
                <w:sz w:val="20"/>
              </w:rPr>
              <w:t>Council.</w:t>
            </w:r>
          </w:p>
          <w:p>
            <w:pPr>
              <w:pStyle w:val="TableParagraph"/>
              <w:numPr>
                <w:ilvl w:val="0"/>
                <w:numId w:val="75"/>
              </w:numPr>
              <w:tabs>
                <w:tab w:pos="439" w:val="left" w:leader="none"/>
                <w:tab w:pos="440" w:val="left" w:leader="none"/>
              </w:tabs>
              <w:spacing w:line="235" w:lineRule="auto" w:before="2" w:after="0"/>
              <w:ind w:left="440" w:right="580" w:hanging="360"/>
              <w:jc w:val="left"/>
              <w:rPr>
                <w:sz w:val="20"/>
              </w:rPr>
            </w:pPr>
            <w:r>
              <w:rPr>
                <w:w w:val="120"/>
                <w:sz w:val="20"/>
              </w:rPr>
              <w:t>The group, after consulting widely including with the present general secretary, decided not to recommend a re-appointment.</w:t>
            </w:r>
          </w:p>
          <w:p>
            <w:pPr>
              <w:pStyle w:val="TableParagraph"/>
              <w:numPr>
                <w:ilvl w:val="0"/>
                <w:numId w:val="75"/>
              </w:numPr>
              <w:tabs>
                <w:tab w:pos="439" w:val="left" w:leader="none"/>
                <w:tab w:pos="440" w:val="left" w:leader="none"/>
              </w:tabs>
              <w:spacing w:line="235" w:lineRule="auto" w:before="2" w:after="0"/>
              <w:ind w:left="440" w:right="420" w:hanging="360"/>
              <w:jc w:val="left"/>
              <w:rPr>
                <w:sz w:val="20"/>
              </w:rPr>
            </w:pPr>
            <w:r>
              <w:rPr>
                <w:w w:val="120"/>
                <w:sz w:val="20"/>
              </w:rPr>
              <w:t>The group invited nominations and self-nominations for a new general secretary and received</w:t>
            </w:r>
            <w:r>
              <w:rPr>
                <w:spacing w:val="15"/>
                <w:w w:val="120"/>
                <w:sz w:val="20"/>
              </w:rPr>
              <w:t> </w:t>
            </w:r>
            <w:r>
              <w:rPr>
                <w:spacing w:val="-5"/>
                <w:w w:val="120"/>
                <w:sz w:val="20"/>
              </w:rPr>
              <w:t>18.</w:t>
            </w:r>
          </w:p>
          <w:p>
            <w:pPr>
              <w:pStyle w:val="TableParagraph"/>
              <w:numPr>
                <w:ilvl w:val="0"/>
                <w:numId w:val="75"/>
              </w:numPr>
              <w:tabs>
                <w:tab w:pos="496" w:val="left" w:leader="none"/>
                <w:tab w:pos="497" w:val="left" w:leader="none"/>
              </w:tabs>
              <w:spacing w:line="235" w:lineRule="auto" w:before="2" w:after="0"/>
              <w:ind w:left="440" w:right="473" w:hanging="360"/>
              <w:jc w:val="left"/>
              <w:rPr>
                <w:sz w:val="20"/>
              </w:rPr>
            </w:pPr>
            <w:r>
              <w:rPr/>
              <w:tab/>
            </w:r>
            <w:r>
              <w:rPr>
                <w:w w:val="120"/>
                <w:sz w:val="20"/>
              </w:rPr>
              <w:t>A short list of four from amongst those who were willing to be considered were met by the</w:t>
            </w:r>
            <w:r>
              <w:rPr>
                <w:spacing w:val="22"/>
                <w:w w:val="120"/>
                <w:sz w:val="20"/>
              </w:rPr>
              <w:t> </w:t>
            </w:r>
            <w:r>
              <w:rPr>
                <w:w w:val="120"/>
                <w:sz w:val="20"/>
              </w:rPr>
              <w:t>group.</w:t>
            </w:r>
          </w:p>
          <w:p>
            <w:pPr>
              <w:pStyle w:val="TableParagraph"/>
              <w:numPr>
                <w:ilvl w:val="0"/>
                <w:numId w:val="75"/>
              </w:numPr>
              <w:tabs>
                <w:tab w:pos="439" w:val="left" w:leader="none"/>
                <w:tab w:pos="440" w:val="left" w:leader="none"/>
              </w:tabs>
              <w:spacing w:line="235" w:lineRule="auto" w:before="1" w:after="0"/>
              <w:ind w:left="440" w:right="745" w:hanging="360"/>
              <w:jc w:val="left"/>
              <w:rPr>
                <w:sz w:val="20"/>
              </w:rPr>
            </w:pPr>
            <w:r>
              <w:rPr>
                <w:w w:val="120"/>
                <w:sz w:val="20"/>
              </w:rPr>
              <w:t>The </w:t>
            </w:r>
            <w:r>
              <w:rPr>
                <w:spacing w:val="-3"/>
                <w:w w:val="120"/>
                <w:sz w:val="20"/>
              </w:rPr>
              <w:t>group’s </w:t>
            </w:r>
            <w:r>
              <w:rPr>
                <w:w w:val="120"/>
                <w:sz w:val="20"/>
              </w:rPr>
              <w:t>unanimous recommendation was that the Revd John Proctor should be nominated to</w:t>
            </w:r>
            <w:r>
              <w:rPr>
                <w:spacing w:val="18"/>
                <w:w w:val="120"/>
                <w:sz w:val="20"/>
              </w:rPr>
              <w:t> </w:t>
            </w:r>
            <w:r>
              <w:rPr>
                <w:w w:val="120"/>
                <w:sz w:val="20"/>
              </w:rPr>
              <w:t>Assembly.</w:t>
            </w:r>
          </w:p>
        </w:tc>
      </w:tr>
      <w:tr>
        <w:trPr>
          <w:trHeight w:val="680" w:hRule="atLeast"/>
        </w:trPr>
        <w:tc>
          <w:tcPr>
            <w:tcW w:w="2660" w:type="dxa"/>
            <w:shd w:val="clear" w:color="auto" w:fill="FFFFFF"/>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533" w:type="dxa"/>
            <w:tcBorders>
              <w:right w:val="nil"/>
            </w:tcBorders>
            <w:shd w:val="clear" w:color="auto" w:fill="FFFFFF"/>
          </w:tcPr>
          <w:p>
            <w:pPr>
              <w:pStyle w:val="TableParagraph"/>
              <w:spacing w:before="141"/>
              <w:rPr>
                <w:sz w:val="20"/>
              </w:rPr>
            </w:pPr>
            <w:r>
              <w:rPr>
                <w:w w:val="120"/>
                <w:sz w:val="20"/>
              </w:rPr>
              <w:t>None</w:t>
            </w:r>
          </w:p>
        </w:tc>
      </w:tr>
      <w:tr>
        <w:trPr>
          <w:trHeight w:val="920" w:hRule="atLeast"/>
        </w:trPr>
        <w:tc>
          <w:tcPr>
            <w:tcW w:w="2660" w:type="dxa"/>
            <w:shd w:val="clear" w:color="auto" w:fill="FFFFFF"/>
          </w:tcPr>
          <w:p>
            <w:pPr>
              <w:pStyle w:val="TableParagraph"/>
              <w:spacing w:line="213" w:lineRule="auto" w:before="151"/>
              <w:ind w:right="104"/>
              <w:rPr>
                <w:rFonts w:ascii="Stone Sans II ITC Std Bk"/>
                <w:b/>
                <w:sz w:val="20"/>
              </w:rPr>
            </w:pPr>
            <w:r>
              <w:rPr>
                <w:rFonts w:ascii="Stone Sans II ITC Std Bk"/>
                <w:b/>
                <w:w w:val="110"/>
                <w:sz w:val="20"/>
              </w:rPr>
              <w:t>Consultation has taken place with...</w:t>
            </w:r>
          </w:p>
        </w:tc>
        <w:tc>
          <w:tcPr>
            <w:tcW w:w="6533" w:type="dxa"/>
            <w:tcBorders>
              <w:right w:val="nil"/>
            </w:tcBorders>
            <w:shd w:val="clear" w:color="auto" w:fill="FFFFFF"/>
          </w:tcPr>
          <w:p>
            <w:pPr>
              <w:pStyle w:val="TableParagraph"/>
              <w:spacing w:line="235" w:lineRule="auto" w:before="145"/>
              <w:ind w:right="18"/>
              <w:rPr>
                <w:sz w:val="20"/>
              </w:rPr>
            </w:pPr>
            <w:r>
              <w:rPr>
                <w:w w:val="120"/>
                <w:sz w:val="20"/>
              </w:rPr>
              <w:t>The general secretary; HRAG; a structured sample of people within and beyond the URC who have contact with the work of the general secretary.</w:t>
            </w:r>
          </w:p>
        </w:tc>
      </w:tr>
    </w:tbl>
    <w:p>
      <w:pPr>
        <w:pStyle w:val="BodyText"/>
        <w:rPr>
          <w:sz w:val="24"/>
        </w:rPr>
      </w:pPr>
    </w:p>
    <w:p>
      <w:pPr>
        <w:pStyle w:val="BodyText"/>
        <w:spacing w:before="156" w:after="27"/>
        <w:ind w:left="1785"/>
      </w:pPr>
      <w:r>
        <w:rPr>
          <w:w w:val="120"/>
        </w:rPr>
        <w:t>Summary of Impact</w:t>
      </w:r>
    </w:p>
    <w:tbl>
      <w:tblPr>
        <w:tblW w:w="0" w:type="auto"/>
        <w:jc w:val="left"/>
        <w:tblInd w:w="17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33"/>
      </w:tblGrid>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533" w:type="dxa"/>
            <w:tcBorders>
              <w:right w:val="nil"/>
            </w:tcBorders>
            <w:shd w:val="clear" w:color="auto" w:fill="FFFFFF"/>
          </w:tcPr>
          <w:p>
            <w:pPr>
              <w:pStyle w:val="TableParagraph"/>
              <w:spacing w:before="141"/>
              <w:rPr>
                <w:sz w:val="20"/>
              </w:rPr>
            </w:pPr>
            <w:r>
              <w:rPr>
                <w:w w:val="120"/>
                <w:sz w:val="20"/>
              </w:rPr>
              <w:t>N/A</w:t>
            </w:r>
          </w:p>
        </w:tc>
      </w:tr>
      <w:tr>
        <w:trPr>
          <w:trHeight w:val="68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533" w:type="dxa"/>
            <w:tcBorders>
              <w:right w:val="nil"/>
            </w:tcBorders>
            <w:shd w:val="clear" w:color="auto" w:fill="FFFFFF"/>
          </w:tcPr>
          <w:p>
            <w:pPr>
              <w:pStyle w:val="TableParagraph"/>
              <w:spacing w:before="141"/>
              <w:rPr>
                <w:sz w:val="20"/>
              </w:rPr>
            </w:pPr>
            <w:r>
              <w:rPr>
                <w:w w:val="120"/>
                <w:sz w:val="20"/>
              </w:rPr>
              <w:t>N/A</w:t>
            </w:r>
          </w:p>
        </w:tc>
      </w:tr>
    </w:tbl>
    <w:p>
      <w:pPr>
        <w:pStyle w:val="BodyText"/>
        <w:rPr>
          <w:sz w:val="24"/>
        </w:rPr>
      </w:pPr>
    </w:p>
    <w:p>
      <w:pPr>
        <w:pStyle w:val="BodyText"/>
        <w:rPr>
          <w:sz w:val="24"/>
        </w:rPr>
      </w:pPr>
    </w:p>
    <w:p>
      <w:pPr>
        <w:pStyle w:val="BodyText"/>
        <w:rPr>
          <w:sz w:val="24"/>
        </w:rPr>
      </w:pPr>
    </w:p>
    <w:p>
      <w:pPr>
        <w:pStyle w:val="BodyText"/>
        <w:spacing w:before="11"/>
        <w:rPr>
          <w:sz w:val="29"/>
        </w:rPr>
      </w:pPr>
    </w:p>
    <w:p>
      <w:pPr>
        <w:pStyle w:val="Heading8"/>
        <w:spacing w:before="0"/>
        <w:ind w:left="4350"/>
        <w:rPr>
          <w:rFonts w:ascii="Stone Sans II ITC Std X Bd" w:hAnsi="Stone Sans II ITC Std X Bd"/>
          <w:b/>
          <w:sz w:val="24"/>
        </w:rPr>
      </w:pP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2014 </w:t>
      </w:r>
      <w:r>
        <w:rPr>
          <w:rFonts w:ascii="Symbol" w:hAnsi="Symbol"/>
          <w:color w:val="7EAABF"/>
          <w:w w:val="110"/>
        </w:rPr>
        <w:t></w:t>
      </w:r>
      <w:r>
        <w:rPr>
          <w:rFonts w:ascii="Times New Roman" w:hAnsi="Times New Roman"/>
          <w:color w:val="7EAABF"/>
          <w:w w:val="110"/>
        </w:rPr>
        <w:t> </w:t>
      </w:r>
      <w:r>
        <w:rPr>
          <w:rFonts w:ascii="Stone Sans II ITC Std X Bd" w:hAnsi="Stone Sans II ITC Std X Bd"/>
          <w:b/>
          <w:w w:val="110"/>
          <w:sz w:val="24"/>
        </w:rPr>
        <w:t>129</w:t>
      </w:r>
    </w:p>
    <w:p>
      <w:pPr>
        <w:spacing w:after="0"/>
        <w:rPr>
          <w:rFonts w:ascii="Stone Sans II ITC Std X Bd" w:hAnsi="Stone Sans II ITC Std X Bd"/>
          <w:sz w:val="24"/>
        </w:rPr>
        <w:sectPr>
          <w:headerReference w:type="default" r:id="rId303"/>
          <w:footerReference w:type="default" r:id="rId304"/>
          <w:pgSz w:w="11910" w:h="16840"/>
          <w:pgMar w:header="0" w:footer="0" w:top="0" w:bottom="0" w:left="0" w:right="0"/>
        </w:sectPr>
      </w:pPr>
    </w:p>
    <w:tbl>
      <w:tblPr>
        <w:tblW w:w="0" w:type="auto"/>
        <w:jc w:val="left"/>
        <w:tblInd w:w="9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7"/>
        <w:gridCol w:w="2660"/>
        <w:gridCol w:w="6463"/>
      </w:tblGrid>
      <w:tr>
        <w:trPr>
          <w:trHeight w:val="3702" w:hRule="atLeast"/>
        </w:trPr>
        <w:tc>
          <w:tcPr>
            <w:tcW w:w="9440" w:type="dxa"/>
            <w:gridSpan w:val="3"/>
            <w:tcBorders>
              <w:top w:val="nil"/>
              <w:left w:val="nil"/>
              <w:bottom w:val="nil"/>
              <w:right w:val="nil"/>
            </w:tcBorders>
            <w:shd w:val="clear" w:color="auto" w:fill="D3E5C3"/>
          </w:tcPr>
          <w:p>
            <w:pPr>
              <w:pStyle w:val="TableParagraph"/>
              <w:ind w:left="0"/>
              <w:rPr>
                <w:rFonts w:ascii="Stone Sans II ITC Std X Bd"/>
                <w:b/>
                <w:sz w:val="87"/>
              </w:rPr>
            </w:pPr>
          </w:p>
          <w:p>
            <w:pPr>
              <w:pStyle w:val="TableParagraph"/>
              <w:spacing w:line="638" w:lineRule="exact"/>
              <w:ind w:left="311"/>
              <w:rPr>
                <w:rFonts w:ascii="Stone Sans II ITC Std X Bd"/>
                <w:b/>
                <w:sz w:val="50"/>
              </w:rPr>
            </w:pPr>
            <w:bookmarkStart w:name="_bookmark22" w:id="26"/>
            <w:bookmarkEnd w:id="26"/>
            <w:r>
              <w:rPr/>
            </w:r>
            <w:r>
              <w:rPr>
                <w:rFonts w:ascii="Stone Sans II ITC Std X Bd"/>
                <w:b/>
                <w:color w:val="41A62B"/>
                <w:w w:val="110"/>
                <w:sz w:val="50"/>
              </w:rPr>
              <w:t>Ministries committee:</w:t>
            </w:r>
          </w:p>
          <w:p>
            <w:pPr>
              <w:pStyle w:val="TableParagraph"/>
              <w:spacing w:line="213" w:lineRule="auto" w:before="18"/>
              <w:ind w:left="311"/>
              <w:rPr>
                <w:rFonts w:ascii="Stone Sans II ITC Std X Bd" w:hAnsi="Stone Sans II ITC Std X Bd"/>
                <w:b/>
                <w:sz w:val="50"/>
              </w:rPr>
            </w:pPr>
            <w:r>
              <w:rPr>
                <w:rFonts w:ascii="Stone Sans II ITC Std X Bd" w:hAnsi="Stone Sans II ITC Std X Bd"/>
                <w:b/>
                <w:w w:val="110"/>
                <w:sz w:val="50"/>
              </w:rPr>
              <w:t>Report </w:t>
            </w:r>
            <w:r>
              <w:rPr>
                <w:rFonts w:ascii="Stone Sans II ITC Std X Bd" w:hAnsi="Stone Sans II ITC Std X Bd"/>
                <w:b/>
                <w:spacing w:val="-7"/>
                <w:w w:val="110"/>
                <w:sz w:val="50"/>
              </w:rPr>
              <w:t>to </w:t>
            </w:r>
            <w:r>
              <w:rPr>
                <w:rFonts w:ascii="Stone Sans II ITC Std X Bd" w:hAnsi="Stone Sans II ITC Std X Bd"/>
                <w:b/>
                <w:spacing w:val="-4"/>
                <w:w w:val="110"/>
                <w:sz w:val="50"/>
              </w:rPr>
              <w:t>General </w:t>
            </w:r>
            <w:r>
              <w:rPr>
                <w:rFonts w:ascii="Stone Sans II ITC Std X Bd" w:hAnsi="Stone Sans II ITC Std X Bd"/>
                <w:b/>
                <w:spacing w:val="-3"/>
                <w:w w:val="110"/>
                <w:sz w:val="50"/>
              </w:rPr>
              <w:t>Assembly </w:t>
            </w:r>
            <w:r>
              <w:rPr>
                <w:rFonts w:ascii="Stone Sans II ITC Std X Bd" w:hAnsi="Stone Sans II ITC Std X Bd"/>
                <w:b/>
                <w:w w:val="110"/>
                <w:sz w:val="50"/>
              </w:rPr>
              <w:t>– part</w:t>
            </w:r>
            <w:r>
              <w:rPr>
                <w:rFonts w:ascii="Stone Sans II ITC Std X Bd" w:hAnsi="Stone Sans II ITC Std X Bd"/>
                <w:b/>
                <w:spacing w:val="2"/>
                <w:w w:val="110"/>
                <w:sz w:val="50"/>
              </w:rPr>
              <w:t> </w:t>
            </w:r>
            <w:r>
              <w:rPr>
                <w:rFonts w:ascii="Stone Sans II ITC Std X Bd" w:hAnsi="Stone Sans II ITC Std X Bd"/>
                <w:b/>
                <w:w w:val="110"/>
                <w:sz w:val="50"/>
              </w:rPr>
              <w:t>2</w:t>
            </w:r>
          </w:p>
          <w:p>
            <w:pPr>
              <w:pStyle w:val="TableParagraph"/>
              <w:spacing w:before="378"/>
              <w:ind w:left="311"/>
              <w:rPr>
                <w:sz w:val="20"/>
              </w:rPr>
            </w:pPr>
            <w:r>
              <w:rPr>
                <w:w w:val="120"/>
                <w:sz w:val="20"/>
              </w:rPr>
              <w:t>Basic</w:t>
            </w:r>
            <w:r>
              <w:rPr>
                <w:spacing w:val="-17"/>
                <w:w w:val="120"/>
                <w:sz w:val="20"/>
              </w:rPr>
              <w:t> </w:t>
            </w:r>
            <w:r>
              <w:rPr>
                <w:w w:val="120"/>
                <w:sz w:val="20"/>
              </w:rPr>
              <w:t>Information</w:t>
            </w:r>
          </w:p>
        </w:tc>
      </w:tr>
      <w:tr>
        <w:trPr>
          <w:trHeight w:val="680" w:hRule="atLeast"/>
        </w:trPr>
        <w:tc>
          <w:tcPr>
            <w:tcW w:w="317" w:type="dxa"/>
            <w:vMerge w:val="restart"/>
            <w:tcBorders>
              <w:top w:val="nil"/>
              <w:left w:val="nil"/>
              <w:bottom w:val="nil"/>
            </w:tcBorders>
            <w:shd w:val="clear" w:color="auto" w:fill="D3E5C3"/>
          </w:tcPr>
          <w:p>
            <w:pPr>
              <w:pStyle w:val="TableParagraph"/>
              <w:ind w:left="0"/>
              <w:rPr>
                <w:rFonts w:ascii="Times New Roman"/>
                <w:sz w:val="24"/>
              </w:rPr>
            </w:pPr>
          </w:p>
        </w:tc>
        <w:tc>
          <w:tcPr>
            <w:tcW w:w="2660" w:type="dxa"/>
            <w:shd w:val="clear" w:color="auto" w:fill="FFFFFF"/>
          </w:tcPr>
          <w:p>
            <w:pPr>
              <w:pStyle w:val="TableParagraph"/>
              <w:spacing w:line="213" w:lineRule="auto" w:before="133"/>
              <w:ind w:left="74" w:right="601"/>
              <w:rPr>
                <w:rFonts w:ascii="Stone Sans II ITC Std Bk"/>
                <w:b/>
                <w:sz w:val="20"/>
              </w:rPr>
            </w:pPr>
            <w:r>
              <w:rPr>
                <w:rFonts w:ascii="Stone Sans II ITC Std Bk"/>
                <w:b/>
                <w:w w:val="110"/>
                <w:sz w:val="20"/>
              </w:rPr>
              <w:t>Contact name and email address</w:t>
            </w:r>
          </w:p>
        </w:tc>
        <w:tc>
          <w:tcPr>
            <w:tcW w:w="6463" w:type="dxa"/>
            <w:tcBorders>
              <w:right w:val="nil"/>
            </w:tcBorders>
            <w:shd w:val="clear" w:color="auto" w:fill="FFFFFF"/>
          </w:tcPr>
          <w:p>
            <w:pPr>
              <w:pStyle w:val="TableParagraph"/>
              <w:spacing w:line="235" w:lineRule="auto" w:before="127"/>
              <w:ind w:left="74" w:right="4161"/>
              <w:rPr>
                <w:sz w:val="20"/>
              </w:rPr>
            </w:pPr>
            <w:r>
              <w:rPr>
                <w:w w:val="120"/>
                <w:sz w:val="20"/>
              </w:rPr>
              <w:t>Craig Bowman </w:t>
            </w:r>
            <w:hyperlink r:id="rId307">
              <w:r>
                <w:rPr>
                  <w:w w:val="115"/>
                  <w:sz w:val="20"/>
                </w:rPr>
                <w:t>ministries@urc.org.uk</w:t>
              </w:r>
            </w:hyperlink>
          </w:p>
        </w:tc>
      </w:tr>
      <w:tr>
        <w:trPr>
          <w:trHeight w:val="440" w:hRule="atLeast"/>
        </w:trPr>
        <w:tc>
          <w:tcPr>
            <w:tcW w:w="317" w:type="dxa"/>
            <w:vMerge/>
            <w:tcBorders>
              <w:top w:val="nil"/>
              <w:left w:val="nil"/>
              <w:bottom w:val="nil"/>
            </w:tcBorders>
            <w:shd w:val="clear" w:color="auto" w:fill="D3E5C3"/>
          </w:tcPr>
          <w:p>
            <w:pPr>
              <w:rPr>
                <w:sz w:val="2"/>
                <w:szCs w:val="2"/>
              </w:rPr>
            </w:pPr>
          </w:p>
        </w:tc>
        <w:tc>
          <w:tcPr>
            <w:tcW w:w="2660" w:type="dxa"/>
            <w:shd w:val="clear" w:color="auto" w:fill="FFFFFF"/>
          </w:tcPr>
          <w:p>
            <w:pPr>
              <w:pStyle w:val="TableParagraph"/>
              <w:spacing w:before="111"/>
              <w:ind w:left="74"/>
              <w:rPr>
                <w:rFonts w:ascii="Stone Sans II ITC Std Bk"/>
                <w:b/>
                <w:sz w:val="20"/>
              </w:rPr>
            </w:pPr>
            <w:r>
              <w:rPr>
                <w:rFonts w:ascii="Stone Sans II ITC Std Bk"/>
                <w:b/>
                <w:w w:val="110"/>
                <w:sz w:val="20"/>
              </w:rPr>
              <w:t>Action required</w:t>
            </w:r>
          </w:p>
        </w:tc>
        <w:tc>
          <w:tcPr>
            <w:tcW w:w="6463" w:type="dxa"/>
            <w:tcBorders>
              <w:right w:val="nil"/>
            </w:tcBorders>
            <w:shd w:val="clear" w:color="auto" w:fill="FFFFFF"/>
          </w:tcPr>
          <w:p>
            <w:pPr>
              <w:pStyle w:val="TableParagraph"/>
              <w:spacing w:before="123"/>
              <w:ind w:left="74"/>
              <w:rPr>
                <w:sz w:val="20"/>
              </w:rPr>
            </w:pPr>
            <w:r>
              <w:rPr>
                <w:w w:val="120"/>
                <w:sz w:val="20"/>
              </w:rPr>
              <w:t>none</w:t>
            </w:r>
          </w:p>
        </w:tc>
      </w:tr>
      <w:tr>
        <w:trPr>
          <w:trHeight w:val="680" w:hRule="atLeast"/>
        </w:trPr>
        <w:tc>
          <w:tcPr>
            <w:tcW w:w="317" w:type="dxa"/>
            <w:vMerge/>
            <w:tcBorders>
              <w:top w:val="nil"/>
              <w:left w:val="nil"/>
              <w:bottom w:val="nil"/>
            </w:tcBorders>
            <w:shd w:val="clear" w:color="auto" w:fill="D3E5C3"/>
          </w:tcPr>
          <w:p>
            <w:pPr>
              <w:rPr>
                <w:sz w:val="2"/>
                <w:szCs w:val="2"/>
              </w:rPr>
            </w:pPr>
          </w:p>
        </w:tc>
        <w:tc>
          <w:tcPr>
            <w:tcW w:w="2660" w:type="dxa"/>
            <w:shd w:val="clear" w:color="auto" w:fill="FFFFFF"/>
          </w:tcPr>
          <w:p>
            <w:pPr>
              <w:pStyle w:val="TableParagraph"/>
              <w:spacing w:before="111"/>
              <w:ind w:left="74"/>
              <w:rPr>
                <w:rFonts w:ascii="Stone Sans II ITC Std Bk"/>
                <w:b/>
                <w:sz w:val="20"/>
              </w:rPr>
            </w:pPr>
            <w:r>
              <w:rPr>
                <w:rFonts w:ascii="Stone Sans II ITC Std Bk"/>
                <w:b/>
                <w:w w:val="110"/>
                <w:sz w:val="20"/>
              </w:rPr>
              <w:t>Draft resolution(s)</w:t>
            </w:r>
          </w:p>
        </w:tc>
        <w:tc>
          <w:tcPr>
            <w:tcW w:w="6463" w:type="dxa"/>
            <w:tcBorders>
              <w:right w:val="nil"/>
            </w:tcBorders>
            <w:shd w:val="clear" w:color="auto" w:fill="FFFFFF"/>
          </w:tcPr>
          <w:p>
            <w:pPr>
              <w:pStyle w:val="TableParagraph"/>
              <w:spacing w:before="111"/>
              <w:ind w:left="74"/>
              <w:rPr>
                <w:rFonts w:ascii="Stone Sans II ITC Std Bk"/>
                <w:b/>
                <w:sz w:val="20"/>
              </w:rPr>
            </w:pPr>
            <w:r>
              <w:rPr>
                <w:rFonts w:ascii="Stone Sans II ITC Std Bk"/>
                <w:b/>
                <w:w w:val="110"/>
                <w:sz w:val="20"/>
              </w:rPr>
              <w:t>none</w:t>
            </w:r>
          </w:p>
        </w:tc>
      </w:tr>
      <w:tr>
        <w:trPr>
          <w:trHeight w:val="720" w:hRule="atLeast"/>
        </w:trPr>
        <w:tc>
          <w:tcPr>
            <w:tcW w:w="9440" w:type="dxa"/>
            <w:gridSpan w:val="3"/>
            <w:tcBorders>
              <w:top w:val="nil"/>
              <w:left w:val="nil"/>
              <w:bottom w:val="nil"/>
              <w:right w:val="nil"/>
            </w:tcBorders>
            <w:shd w:val="clear" w:color="auto" w:fill="D3E5C3"/>
          </w:tcPr>
          <w:p>
            <w:pPr>
              <w:pStyle w:val="TableParagraph"/>
              <w:spacing w:before="12"/>
              <w:ind w:left="0"/>
              <w:rPr>
                <w:rFonts w:ascii="Stone Sans II ITC Std X Bd"/>
                <w:b/>
                <w:sz w:val="31"/>
              </w:rPr>
            </w:pPr>
          </w:p>
          <w:p>
            <w:pPr>
              <w:pStyle w:val="TableParagraph"/>
              <w:ind w:left="311"/>
              <w:rPr>
                <w:sz w:val="20"/>
              </w:rPr>
            </w:pPr>
            <w:r>
              <w:rPr>
                <w:w w:val="120"/>
                <w:sz w:val="20"/>
              </w:rPr>
              <w:t>Summary of Content</w:t>
            </w:r>
          </w:p>
        </w:tc>
      </w:tr>
      <w:tr>
        <w:trPr>
          <w:trHeight w:val="440" w:hRule="atLeast"/>
        </w:trPr>
        <w:tc>
          <w:tcPr>
            <w:tcW w:w="317" w:type="dxa"/>
            <w:vMerge w:val="restart"/>
            <w:tcBorders>
              <w:top w:val="nil"/>
              <w:left w:val="nil"/>
              <w:bottom w:val="nil"/>
            </w:tcBorders>
            <w:shd w:val="clear" w:color="auto" w:fill="D3E5C3"/>
          </w:tcPr>
          <w:p>
            <w:pPr>
              <w:pStyle w:val="TableParagraph"/>
              <w:ind w:left="0"/>
              <w:rPr>
                <w:rFonts w:ascii="Times New Roman"/>
                <w:sz w:val="24"/>
              </w:rPr>
            </w:pPr>
          </w:p>
        </w:tc>
        <w:tc>
          <w:tcPr>
            <w:tcW w:w="2660" w:type="dxa"/>
            <w:shd w:val="clear" w:color="auto" w:fill="FFFFFF"/>
          </w:tcPr>
          <w:p>
            <w:pPr>
              <w:pStyle w:val="TableParagraph"/>
              <w:spacing w:before="111"/>
              <w:ind w:left="74"/>
              <w:rPr>
                <w:rFonts w:ascii="Stone Sans II ITC Std Bk"/>
                <w:b/>
                <w:sz w:val="20"/>
              </w:rPr>
            </w:pPr>
            <w:r>
              <w:rPr>
                <w:rFonts w:ascii="Stone Sans II ITC Std Bk"/>
                <w:b/>
                <w:w w:val="110"/>
                <w:sz w:val="20"/>
              </w:rPr>
              <w:t>Subject and aim(s)</w:t>
            </w:r>
          </w:p>
        </w:tc>
        <w:tc>
          <w:tcPr>
            <w:tcW w:w="6463" w:type="dxa"/>
            <w:tcBorders>
              <w:right w:val="nil"/>
            </w:tcBorders>
            <w:shd w:val="clear" w:color="auto" w:fill="FFFFFF"/>
          </w:tcPr>
          <w:p>
            <w:pPr>
              <w:pStyle w:val="TableParagraph"/>
              <w:spacing w:before="123"/>
              <w:ind w:left="74"/>
              <w:rPr>
                <w:sz w:val="20"/>
              </w:rPr>
            </w:pPr>
            <w:r>
              <w:rPr>
                <w:w w:val="120"/>
                <w:sz w:val="20"/>
              </w:rPr>
              <w:t>A summary of work currently on the committee’s agenda</w:t>
            </w:r>
          </w:p>
        </w:tc>
      </w:tr>
      <w:tr>
        <w:trPr>
          <w:trHeight w:val="1160" w:hRule="atLeast"/>
        </w:trPr>
        <w:tc>
          <w:tcPr>
            <w:tcW w:w="317" w:type="dxa"/>
            <w:vMerge/>
            <w:tcBorders>
              <w:top w:val="nil"/>
              <w:left w:val="nil"/>
              <w:bottom w:val="nil"/>
            </w:tcBorders>
            <w:shd w:val="clear" w:color="auto" w:fill="D3E5C3"/>
          </w:tcPr>
          <w:p>
            <w:pPr>
              <w:rPr>
                <w:sz w:val="2"/>
                <w:szCs w:val="2"/>
              </w:rPr>
            </w:pPr>
          </w:p>
        </w:tc>
        <w:tc>
          <w:tcPr>
            <w:tcW w:w="2660" w:type="dxa"/>
            <w:shd w:val="clear" w:color="auto" w:fill="FFFFFF"/>
          </w:tcPr>
          <w:p>
            <w:pPr>
              <w:pStyle w:val="TableParagraph"/>
              <w:spacing w:before="111"/>
              <w:ind w:left="74"/>
              <w:rPr>
                <w:rFonts w:ascii="Stone Sans II ITC Std Bk"/>
                <w:b/>
                <w:sz w:val="20"/>
              </w:rPr>
            </w:pPr>
            <w:r>
              <w:rPr>
                <w:rFonts w:ascii="Stone Sans II ITC Std Bk"/>
                <w:b/>
                <w:w w:val="110"/>
                <w:sz w:val="20"/>
              </w:rPr>
              <w:t>Main points</w:t>
            </w:r>
          </w:p>
        </w:tc>
        <w:tc>
          <w:tcPr>
            <w:tcW w:w="6463" w:type="dxa"/>
            <w:tcBorders>
              <w:right w:val="nil"/>
            </w:tcBorders>
            <w:shd w:val="clear" w:color="auto" w:fill="FFFFFF"/>
          </w:tcPr>
          <w:p>
            <w:pPr>
              <w:pStyle w:val="TableParagraph"/>
              <w:spacing w:line="235" w:lineRule="auto" w:before="127"/>
              <w:ind w:left="74" w:right="314"/>
              <w:rPr>
                <w:sz w:val="20"/>
              </w:rPr>
            </w:pPr>
            <w:r>
              <w:rPr>
                <w:w w:val="120"/>
                <w:sz w:val="20"/>
              </w:rPr>
              <w:t>Elders are vital in providing spiritual leadership. Anecdotal evidence highlights pressures on ministry today; there is a need to quantify this for the support of ministers and the health of the Church.</w:t>
            </w:r>
          </w:p>
        </w:tc>
      </w:tr>
      <w:tr>
        <w:trPr>
          <w:trHeight w:val="1160" w:hRule="atLeast"/>
        </w:trPr>
        <w:tc>
          <w:tcPr>
            <w:tcW w:w="317" w:type="dxa"/>
            <w:vMerge/>
            <w:tcBorders>
              <w:top w:val="nil"/>
              <w:left w:val="nil"/>
              <w:bottom w:val="nil"/>
            </w:tcBorders>
            <w:shd w:val="clear" w:color="auto" w:fill="D3E5C3"/>
          </w:tcPr>
          <w:p>
            <w:pPr>
              <w:rPr>
                <w:sz w:val="2"/>
                <w:szCs w:val="2"/>
              </w:rPr>
            </w:pPr>
          </w:p>
        </w:tc>
        <w:tc>
          <w:tcPr>
            <w:tcW w:w="2660" w:type="dxa"/>
            <w:shd w:val="clear" w:color="auto" w:fill="FFFFFF"/>
          </w:tcPr>
          <w:p>
            <w:pPr>
              <w:pStyle w:val="TableParagraph"/>
              <w:spacing w:line="213" w:lineRule="auto" w:before="133"/>
              <w:ind w:left="74" w:right="707"/>
              <w:rPr>
                <w:rFonts w:ascii="Stone Sans II ITC Std Bk"/>
                <w:b/>
                <w:sz w:val="20"/>
              </w:rPr>
            </w:pPr>
            <w:r>
              <w:rPr>
                <w:rFonts w:ascii="Stone Sans II ITC Std Bk"/>
                <w:b/>
                <w:w w:val="110"/>
                <w:sz w:val="20"/>
              </w:rPr>
              <w:t>Previous relevant documents</w:t>
            </w:r>
          </w:p>
        </w:tc>
        <w:tc>
          <w:tcPr>
            <w:tcW w:w="6463" w:type="dxa"/>
            <w:tcBorders>
              <w:right w:val="nil"/>
            </w:tcBorders>
            <w:shd w:val="clear" w:color="auto" w:fill="FFFFFF"/>
          </w:tcPr>
          <w:p>
            <w:pPr>
              <w:pStyle w:val="TableParagraph"/>
              <w:spacing w:line="235" w:lineRule="auto" w:before="127"/>
              <w:ind w:left="74"/>
              <w:rPr>
                <w:sz w:val="20"/>
              </w:rPr>
            </w:pPr>
            <w:r>
              <w:rPr>
                <w:w w:val="120"/>
                <w:sz w:val="20"/>
              </w:rPr>
              <w:t>Resolution 35 from General Assembly 2012 on ordained local ministry.</w:t>
            </w:r>
          </w:p>
          <w:p>
            <w:pPr>
              <w:pStyle w:val="TableParagraph"/>
              <w:spacing w:line="235" w:lineRule="auto" w:before="1"/>
              <w:ind w:left="74" w:right="314"/>
              <w:rPr>
                <w:sz w:val="20"/>
              </w:rPr>
            </w:pPr>
            <w:r>
              <w:rPr>
                <w:w w:val="120"/>
                <w:sz w:val="20"/>
              </w:rPr>
              <w:t>Local mission and ministry review programme agreed by Mission Council in December 2008.</w:t>
            </w:r>
          </w:p>
        </w:tc>
      </w:tr>
      <w:tr>
        <w:trPr>
          <w:trHeight w:val="680" w:hRule="atLeast"/>
        </w:trPr>
        <w:tc>
          <w:tcPr>
            <w:tcW w:w="317" w:type="dxa"/>
            <w:vMerge/>
            <w:tcBorders>
              <w:top w:val="nil"/>
              <w:left w:val="nil"/>
              <w:bottom w:val="nil"/>
            </w:tcBorders>
            <w:shd w:val="clear" w:color="auto" w:fill="D3E5C3"/>
          </w:tcPr>
          <w:p>
            <w:pPr>
              <w:rPr>
                <w:sz w:val="2"/>
                <w:szCs w:val="2"/>
              </w:rPr>
            </w:pPr>
          </w:p>
        </w:tc>
        <w:tc>
          <w:tcPr>
            <w:tcW w:w="2660" w:type="dxa"/>
            <w:shd w:val="clear" w:color="auto" w:fill="FFFFFF"/>
          </w:tcPr>
          <w:p>
            <w:pPr>
              <w:pStyle w:val="TableParagraph"/>
              <w:spacing w:line="213" w:lineRule="auto" w:before="133"/>
              <w:ind w:left="74" w:right="110"/>
              <w:rPr>
                <w:rFonts w:ascii="Stone Sans II ITC Std Bk"/>
                <w:b/>
                <w:sz w:val="20"/>
              </w:rPr>
            </w:pPr>
            <w:r>
              <w:rPr>
                <w:rFonts w:ascii="Stone Sans II ITC Std Bk"/>
                <w:b/>
                <w:w w:val="110"/>
                <w:sz w:val="20"/>
              </w:rPr>
              <w:t>Consultation has taken place with...</w:t>
            </w:r>
          </w:p>
        </w:tc>
        <w:tc>
          <w:tcPr>
            <w:tcW w:w="6463" w:type="dxa"/>
            <w:tcBorders>
              <w:right w:val="nil"/>
            </w:tcBorders>
            <w:shd w:val="clear" w:color="auto" w:fill="FFFFFF"/>
          </w:tcPr>
          <w:p>
            <w:pPr>
              <w:pStyle w:val="TableParagraph"/>
              <w:spacing w:before="123"/>
              <w:ind w:left="74"/>
              <w:rPr>
                <w:sz w:val="20"/>
              </w:rPr>
            </w:pPr>
            <w:r>
              <w:rPr>
                <w:w w:val="120"/>
                <w:sz w:val="20"/>
              </w:rPr>
              <w:t>The faith and order and education and learning committees</w:t>
            </w:r>
          </w:p>
        </w:tc>
      </w:tr>
      <w:tr>
        <w:trPr>
          <w:trHeight w:val="720" w:hRule="atLeast"/>
        </w:trPr>
        <w:tc>
          <w:tcPr>
            <w:tcW w:w="9440" w:type="dxa"/>
            <w:gridSpan w:val="3"/>
            <w:tcBorders>
              <w:top w:val="nil"/>
              <w:left w:val="nil"/>
              <w:bottom w:val="nil"/>
              <w:right w:val="nil"/>
            </w:tcBorders>
            <w:shd w:val="clear" w:color="auto" w:fill="D3E5C3"/>
          </w:tcPr>
          <w:p>
            <w:pPr>
              <w:pStyle w:val="TableParagraph"/>
              <w:spacing w:before="12"/>
              <w:ind w:left="0"/>
              <w:rPr>
                <w:rFonts w:ascii="Stone Sans II ITC Std X Bd"/>
                <w:b/>
                <w:sz w:val="31"/>
              </w:rPr>
            </w:pPr>
          </w:p>
          <w:p>
            <w:pPr>
              <w:pStyle w:val="TableParagraph"/>
              <w:ind w:left="311"/>
              <w:rPr>
                <w:sz w:val="20"/>
              </w:rPr>
            </w:pPr>
            <w:r>
              <w:rPr>
                <w:w w:val="120"/>
                <w:sz w:val="20"/>
              </w:rPr>
              <w:t>Summary of Impact</w:t>
            </w:r>
          </w:p>
        </w:tc>
      </w:tr>
      <w:tr>
        <w:trPr>
          <w:trHeight w:val="440" w:hRule="atLeast"/>
        </w:trPr>
        <w:tc>
          <w:tcPr>
            <w:tcW w:w="317" w:type="dxa"/>
            <w:vMerge w:val="restart"/>
            <w:tcBorders>
              <w:top w:val="nil"/>
              <w:left w:val="nil"/>
              <w:bottom w:val="nil"/>
            </w:tcBorders>
            <w:shd w:val="clear" w:color="auto" w:fill="D3E5C3"/>
          </w:tcPr>
          <w:p>
            <w:pPr>
              <w:pStyle w:val="TableParagraph"/>
              <w:ind w:left="0"/>
              <w:rPr>
                <w:rFonts w:ascii="Times New Roman"/>
                <w:sz w:val="24"/>
              </w:rPr>
            </w:pPr>
          </w:p>
        </w:tc>
        <w:tc>
          <w:tcPr>
            <w:tcW w:w="2660" w:type="dxa"/>
            <w:shd w:val="clear" w:color="auto" w:fill="FFFFFF"/>
          </w:tcPr>
          <w:p>
            <w:pPr>
              <w:pStyle w:val="TableParagraph"/>
              <w:spacing w:before="111"/>
              <w:ind w:left="74"/>
              <w:rPr>
                <w:rFonts w:ascii="Stone Sans II ITC Std Bk"/>
                <w:b/>
                <w:sz w:val="20"/>
              </w:rPr>
            </w:pPr>
            <w:r>
              <w:rPr>
                <w:rFonts w:ascii="Stone Sans II ITC Std Bk"/>
                <w:b/>
                <w:w w:val="110"/>
                <w:sz w:val="20"/>
              </w:rPr>
              <w:t>Financial</w:t>
            </w:r>
          </w:p>
        </w:tc>
        <w:tc>
          <w:tcPr>
            <w:tcW w:w="6463" w:type="dxa"/>
            <w:tcBorders>
              <w:right w:val="nil"/>
            </w:tcBorders>
            <w:shd w:val="clear" w:color="auto" w:fill="FFFFFF"/>
          </w:tcPr>
          <w:p>
            <w:pPr>
              <w:pStyle w:val="TableParagraph"/>
              <w:spacing w:before="123"/>
              <w:ind w:left="74"/>
              <w:rPr>
                <w:sz w:val="20"/>
              </w:rPr>
            </w:pPr>
            <w:r>
              <w:rPr>
                <w:w w:val="120"/>
                <w:sz w:val="20"/>
              </w:rPr>
              <w:t>none</w:t>
            </w:r>
          </w:p>
        </w:tc>
      </w:tr>
      <w:tr>
        <w:trPr>
          <w:trHeight w:val="1160" w:hRule="atLeast"/>
        </w:trPr>
        <w:tc>
          <w:tcPr>
            <w:tcW w:w="317" w:type="dxa"/>
            <w:vMerge/>
            <w:tcBorders>
              <w:top w:val="nil"/>
              <w:left w:val="nil"/>
              <w:bottom w:val="nil"/>
            </w:tcBorders>
            <w:shd w:val="clear" w:color="auto" w:fill="D3E5C3"/>
          </w:tcPr>
          <w:p>
            <w:pPr>
              <w:rPr>
                <w:sz w:val="2"/>
                <w:szCs w:val="2"/>
              </w:rPr>
            </w:pPr>
          </w:p>
        </w:tc>
        <w:tc>
          <w:tcPr>
            <w:tcW w:w="2660" w:type="dxa"/>
            <w:shd w:val="clear" w:color="auto" w:fill="FFFFFF"/>
          </w:tcPr>
          <w:p>
            <w:pPr>
              <w:pStyle w:val="TableParagraph"/>
              <w:spacing w:line="255" w:lineRule="exact" w:before="111"/>
              <w:ind w:left="74"/>
              <w:rPr>
                <w:rFonts w:ascii="Stone Sans II ITC Std Bk"/>
                <w:b/>
                <w:sz w:val="20"/>
              </w:rPr>
            </w:pPr>
            <w:r>
              <w:rPr>
                <w:rFonts w:ascii="Stone Sans II ITC Std Bk"/>
                <w:b/>
                <w:w w:val="110"/>
                <w:sz w:val="20"/>
              </w:rPr>
              <w:t>External</w:t>
            </w:r>
          </w:p>
          <w:p>
            <w:pPr>
              <w:pStyle w:val="TableParagraph"/>
              <w:spacing w:line="255" w:lineRule="exact"/>
              <w:ind w:left="74"/>
              <w:rPr>
                <w:rFonts w:ascii="Stone Sans II ITC Std Bk"/>
                <w:b/>
                <w:sz w:val="20"/>
              </w:rPr>
            </w:pPr>
            <w:r>
              <w:rPr>
                <w:rFonts w:ascii="Stone Sans II ITC Std Bk"/>
                <w:b/>
                <w:w w:val="110"/>
                <w:sz w:val="20"/>
              </w:rPr>
              <w:t>(e.g. ecumenical)</w:t>
            </w:r>
          </w:p>
        </w:tc>
        <w:tc>
          <w:tcPr>
            <w:tcW w:w="6463" w:type="dxa"/>
            <w:tcBorders>
              <w:right w:val="nil"/>
            </w:tcBorders>
            <w:shd w:val="clear" w:color="auto" w:fill="FFFFFF"/>
          </w:tcPr>
          <w:p>
            <w:pPr>
              <w:pStyle w:val="TableParagraph"/>
              <w:spacing w:line="235" w:lineRule="auto" w:before="127"/>
              <w:ind w:left="74" w:right="351"/>
              <w:rPr>
                <w:sz w:val="20"/>
              </w:rPr>
            </w:pPr>
            <w:r>
              <w:rPr>
                <w:w w:val="120"/>
                <w:sz w:val="20"/>
              </w:rPr>
              <w:t>Recognition of the importance of eldership in our tradition will impinge on local ecumenical partnerships. There is continuing exploration with partner churches regarding the interchange and mutual recognition of ministers.</w:t>
            </w:r>
          </w:p>
        </w:tc>
      </w:tr>
      <w:tr>
        <w:trPr>
          <w:trHeight w:val="4734" w:hRule="atLeast"/>
        </w:trPr>
        <w:tc>
          <w:tcPr>
            <w:tcW w:w="9440" w:type="dxa"/>
            <w:gridSpan w:val="3"/>
            <w:tcBorders>
              <w:top w:val="nil"/>
              <w:left w:val="nil"/>
              <w:bottom w:val="nil"/>
              <w:right w:val="nil"/>
            </w:tcBorders>
            <w:shd w:val="clear" w:color="auto" w:fill="D3E5C3"/>
          </w:tcPr>
          <w:p>
            <w:pPr>
              <w:pStyle w:val="TableParagraph"/>
              <w:ind w:left="0"/>
              <w:rPr>
                <w:rFonts w:ascii="Stone Sans II ITC Std X Bd"/>
                <w:b/>
                <w:sz w:val="30"/>
              </w:rPr>
            </w:pPr>
          </w:p>
          <w:p>
            <w:pPr>
              <w:pStyle w:val="TableParagraph"/>
              <w:ind w:left="0"/>
              <w:rPr>
                <w:rFonts w:ascii="Stone Sans II ITC Std X Bd"/>
                <w:b/>
                <w:sz w:val="30"/>
              </w:rPr>
            </w:pPr>
          </w:p>
          <w:p>
            <w:pPr>
              <w:pStyle w:val="TableParagraph"/>
              <w:ind w:left="0"/>
              <w:rPr>
                <w:rFonts w:ascii="Stone Sans II ITC Std X Bd"/>
                <w:b/>
                <w:sz w:val="30"/>
              </w:rPr>
            </w:pPr>
          </w:p>
          <w:p>
            <w:pPr>
              <w:pStyle w:val="TableParagraph"/>
              <w:ind w:left="0"/>
              <w:rPr>
                <w:rFonts w:ascii="Stone Sans II ITC Std X Bd"/>
                <w:b/>
                <w:sz w:val="30"/>
              </w:rPr>
            </w:pPr>
          </w:p>
          <w:p>
            <w:pPr>
              <w:pStyle w:val="TableParagraph"/>
              <w:ind w:left="0"/>
              <w:rPr>
                <w:rFonts w:ascii="Stone Sans II ITC Std X Bd"/>
                <w:b/>
                <w:sz w:val="30"/>
              </w:rPr>
            </w:pPr>
          </w:p>
          <w:p>
            <w:pPr>
              <w:pStyle w:val="TableParagraph"/>
              <w:ind w:left="0"/>
              <w:rPr>
                <w:rFonts w:ascii="Stone Sans II ITC Std X Bd"/>
                <w:b/>
                <w:sz w:val="30"/>
              </w:rPr>
            </w:pPr>
          </w:p>
          <w:p>
            <w:pPr>
              <w:pStyle w:val="TableParagraph"/>
              <w:ind w:left="0"/>
              <w:rPr>
                <w:rFonts w:ascii="Stone Sans II ITC Std X Bd"/>
                <w:b/>
                <w:sz w:val="30"/>
              </w:rPr>
            </w:pPr>
          </w:p>
          <w:p>
            <w:pPr>
              <w:pStyle w:val="TableParagraph"/>
              <w:ind w:left="0"/>
              <w:rPr>
                <w:rFonts w:ascii="Stone Sans II ITC Std X Bd"/>
                <w:b/>
                <w:sz w:val="30"/>
              </w:rPr>
            </w:pPr>
          </w:p>
          <w:p>
            <w:pPr>
              <w:pStyle w:val="TableParagraph"/>
              <w:ind w:left="0"/>
              <w:rPr>
                <w:rFonts w:ascii="Stone Sans II ITC Std X Bd"/>
                <w:b/>
                <w:sz w:val="30"/>
              </w:rPr>
            </w:pPr>
          </w:p>
          <w:p>
            <w:pPr>
              <w:pStyle w:val="TableParagraph"/>
              <w:spacing w:before="216"/>
              <w:ind w:left="311"/>
              <w:rPr>
                <w:sz w:val="23"/>
              </w:rPr>
            </w:pPr>
            <w:r>
              <w:rPr>
                <w:rFonts w:ascii="Stone Sans II ITC Std X Bd" w:hAnsi="Stone Sans II ITC Std X Bd"/>
                <w:b/>
                <w:w w:val="110"/>
                <w:sz w:val="24"/>
              </w:rPr>
              <w:t>130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c>
      </w:tr>
    </w:tbl>
    <w:p>
      <w:pPr>
        <w:rPr>
          <w:sz w:val="2"/>
          <w:szCs w:val="2"/>
        </w:rPr>
      </w:pPr>
      <w:r>
        <w:rPr/>
        <w:pict>
          <v:rect style="position:absolute;margin-left:594.374023pt;margin-top:.000015pt;width:.901pt;height:841.89pt;mso-position-horizontal-relative:page;mso-position-vertical-relative:page;z-index:252005376" filled="true" fillcolor="#d3e5c3" stroked="false">
            <v:fill type="solid"/>
            <w10:wrap type="none"/>
          </v:rect>
        </w:pict>
      </w:r>
      <w:r>
        <w:rPr/>
        <w:drawing>
          <wp:anchor distT="0" distB="0" distL="0" distR="0" allowOverlap="1" layoutInCell="1" locked="0" behindDoc="0" simplePos="0" relativeHeight="252006400">
            <wp:simplePos x="0" y="0"/>
            <wp:positionH relativeFrom="page">
              <wp:posOffset>0</wp:posOffset>
            </wp:positionH>
            <wp:positionV relativeFrom="page">
              <wp:posOffset>0</wp:posOffset>
            </wp:positionV>
            <wp:extent cx="594067" cy="10692003"/>
            <wp:effectExtent l="0" t="0" r="0" b="0"/>
            <wp:wrapNone/>
            <wp:docPr id="241" name="image28.png"/>
            <wp:cNvGraphicFramePr>
              <a:graphicFrameLocks noChangeAspect="1"/>
            </wp:cNvGraphicFramePr>
            <a:graphic>
              <a:graphicData uri="http://schemas.openxmlformats.org/drawingml/2006/picture">
                <pic:pic>
                  <pic:nvPicPr>
                    <pic:cNvPr id="242" name="image28.png"/>
                    <pic:cNvPicPr/>
                  </pic:nvPicPr>
                  <pic:blipFill>
                    <a:blip r:embed="rId198"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100pt;mso-position-horizontal-relative:page;mso-position-vertical-relative:page;z-index:252007424" type="#_x0000_t202" filled="false" stroked="false">
            <v:textbox inset="0,0,0,0" style="layout-flow:vertical">
              <w:txbxContent>
                <w:p>
                  <w:pPr>
                    <w:spacing w:before="27"/>
                    <w:ind w:left="20" w:right="0" w:firstLine="0"/>
                    <w:jc w:val="left"/>
                    <w:rPr>
                      <w:sz w:val="39"/>
                    </w:rPr>
                  </w:pPr>
                  <w:r>
                    <w:rPr>
                      <w:color w:val="FFFFFF"/>
                      <w:w w:val="115"/>
                      <w:sz w:val="39"/>
                    </w:rPr>
                    <w:t>Ministries</w:t>
                  </w:r>
                </w:p>
              </w:txbxContent>
            </v:textbox>
            <w10:wrap type="none"/>
          </v:shape>
        </w:pict>
      </w:r>
    </w:p>
    <w:p>
      <w:pPr>
        <w:spacing w:after="0"/>
        <w:rPr>
          <w:sz w:val="2"/>
          <w:szCs w:val="2"/>
        </w:rPr>
        <w:sectPr>
          <w:headerReference w:type="even" r:id="rId305"/>
          <w:footerReference w:type="even" r:id="rId306"/>
          <w:pgSz w:w="11910" w:h="16840"/>
          <w:pgMar w:header="0" w:footer="0" w:top="0" w:bottom="0" w:left="0" w:right="0"/>
        </w:sectPr>
      </w:pPr>
    </w:p>
    <w:p>
      <w:pPr>
        <w:pStyle w:val="BodyText"/>
        <w:rPr>
          <w:rFonts w:ascii="Stone Sans II ITC Std X Bd"/>
          <w:b/>
        </w:rPr>
      </w:pPr>
    </w:p>
    <w:p>
      <w:pPr>
        <w:pStyle w:val="BodyText"/>
        <w:spacing w:before="7"/>
        <w:rPr>
          <w:rFonts w:ascii="Stone Sans II ITC Std X Bd"/>
          <w:b/>
          <w:sz w:val="17"/>
        </w:rPr>
      </w:pPr>
    </w:p>
    <w:p>
      <w:pPr>
        <w:spacing w:after="0"/>
        <w:rPr>
          <w:rFonts w:ascii="Stone Sans II ITC Std X Bd"/>
          <w:sz w:val="17"/>
        </w:rPr>
        <w:sectPr>
          <w:headerReference w:type="default" r:id="rId308"/>
          <w:footerReference w:type="default" r:id="rId309"/>
          <w:pgSz w:w="11910" w:h="16840"/>
          <w:pgMar w:header="0" w:footer="647" w:top="0" w:bottom="840" w:left="0" w:right="0"/>
          <w:pgNumType w:start="131"/>
        </w:sectPr>
      </w:pPr>
    </w:p>
    <w:p>
      <w:pPr>
        <w:pStyle w:val="BodyText"/>
        <w:spacing w:before="7"/>
        <w:rPr>
          <w:rFonts w:ascii="Stone Sans II ITC Std X Bd"/>
          <w:b/>
          <w:sz w:val="49"/>
        </w:rPr>
      </w:pPr>
    </w:p>
    <w:p>
      <w:pPr>
        <w:spacing w:before="0"/>
        <w:ind w:left="1814" w:right="0" w:firstLine="0"/>
        <w:jc w:val="left"/>
        <w:rPr>
          <w:rFonts w:ascii="Stone Sans II ITC Std X Bd"/>
          <w:b/>
          <w:sz w:val="50"/>
        </w:rPr>
      </w:pPr>
      <w:r>
        <w:rPr>
          <w:rFonts w:ascii="Stone Sans II ITC Std X Bd"/>
          <w:b/>
          <w:spacing w:val="-4"/>
          <w:w w:val="110"/>
          <w:sz w:val="50"/>
        </w:rPr>
        <w:t>Ministries</w:t>
      </w:r>
      <w:r>
        <w:rPr>
          <w:rFonts w:ascii="Stone Sans II ITC Std X Bd"/>
          <w:b/>
          <w:spacing w:val="103"/>
          <w:w w:val="110"/>
          <w:sz w:val="50"/>
        </w:rPr>
        <w:t> </w:t>
      </w:r>
      <w:r>
        <w:rPr>
          <w:rFonts w:ascii="Stone Sans II ITC Std X Bd"/>
          <w:b/>
          <w:spacing w:val="-7"/>
          <w:w w:val="110"/>
          <w:sz w:val="50"/>
        </w:rPr>
        <w:t>committee</w:t>
      </w:r>
    </w:p>
    <w:p>
      <w:pPr>
        <w:spacing w:before="107"/>
        <w:ind w:left="1744" w:right="0" w:firstLine="0"/>
        <w:jc w:val="left"/>
        <w:rPr>
          <w:sz w:val="26"/>
        </w:rPr>
      </w:pPr>
      <w:r>
        <w:rPr/>
        <w:br w:type="column"/>
      </w:r>
      <w:r>
        <w:rPr>
          <w:color w:val="7EAABF"/>
          <w:w w:val="110"/>
          <w:sz w:val="26"/>
        </w:rPr>
        <w:t>Ministries</w:t>
      </w:r>
    </w:p>
    <w:p>
      <w:pPr>
        <w:spacing w:after="0"/>
        <w:jc w:val="left"/>
        <w:rPr>
          <w:sz w:val="26"/>
        </w:rPr>
        <w:sectPr>
          <w:type w:val="continuous"/>
          <w:pgSz w:w="11910" w:h="16840"/>
          <w:pgMar w:top="680" w:bottom="280" w:left="0" w:right="0"/>
          <w:cols w:num="2" w:equalWidth="0">
            <w:col w:w="7697" w:space="40"/>
            <w:col w:w="4173"/>
          </w:cols>
        </w:sectPr>
      </w:pPr>
    </w:p>
    <w:p>
      <w:pPr>
        <w:pStyle w:val="BodyText"/>
        <w:spacing w:before="3"/>
      </w:pPr>
      <w:r>
        <w:rPr/>
        <w:drawing>
          <wp:anchor distT="0" distB="0" distL="0" distR="0" allowOverlap="1" layoutInCell="1" locked="0" behindDoc="0" simplePos="0" relativeHeight="252008448">
            <wp:simplePos x="0" y="0"/>
            <wp:positionH relativeFrom="page">
              <wp:posOffset>6974928</wp:posOffset>
            </wp:positionH>
            <wp:positionV relativeFrom="page">
              <wp:posOffset>0</wp:posOffset>
            </wp:positionV>
            <wp:extent cx="585063" cy="10692003"/>
            <wp:effectExtent l="0" t="0" r="0" b="0"/>
            <wp:wrapNone/>
            <wp:docPr id="243" name="image25.png"/>
            <wp:cNvGraphicFramePr>
              <a:graphicFrameLocks noChangeAspect="1"/>
            </wp:cNvGraphicFramePr>
            <a:graphic>
              <a:graphicData uri="http://schemas.openxmlformats.org/drawingml/2006/picture">
                <pic:pic>
                  <pic:nvPicPr>
                    <pic:cNvPr id="244" name="image25.png"/>
                    <pic:cNvPicPr/>
                  </pic:nvPicPr>
                  <pic:blipFill>
                    <a:blip r:embed="rId192" cstate="print"/>
                    <a:stretch>
                      <a:fillRect/>
                    </a:stretch>
                  </pic:blipFill>
                  <pic:spPr>
                    <a:xfrm>
                      <a:off x="0" y="0"/>
                      <a:ext cx="585063" cy="10692003"/>
                    </a:xfrm>
                    <a:prstGeom prst="rect">
                      <a:avLst/>
                    </a:prstGeom>
                  </pic:spPr>
                </pic:pic>
              </a:graphicData>
            </a:graphic>
          </wp:anchor>
        </w:drawing>
      </w:r>
    </w:p>
    <w:p>
      <w:pPr>
        <w:pStyle w:val="ListParagraph"/>
        <w:numPr>
          <w:ilvl w:val="0"/>
          <w:numId w:val="76"/>
        </w:numPr>
        <w:tabs>
          <w:tab w:pos="2494" w:val="left" w:leader="none"/>
          <w:tab w:pos="2495" w:val="left" w:leader="none"/>
        </w:tabs>
        <w:spacing w:line="240" w:lineRule="auto" w:before="90" w:after="0"/>
        <w:ind w:left="2494" w:right="0" w:hanging="681"/>
        <w:jc w:val="left"/>
        <w:rPr>
          <w:rFonts w:ascii="Stone Sans II ITC Std Bk"/>
          <w:b/>
          <w:sz w:val="29"/>
        </w:rPr>
      </w:pPr>
      <w:r>
        <w:rPr/>
        <w:pict>
          <v:shape style="position:absolute;margin-left:554.141174pt;margin-top:-57.005585pt;width:25.9pt;height:100pt;mso-position-horizontal-relative:page;mso-position-vertical-relative:paragraph;z-index:252009472" type="#_x0000_t202" filled="false" stroked="false">
            <v:textbox inset="0,0,0,0" style="layout-flow:vertical">
              <w:txbxContent>
                <w:p>
                  <w:pPr>
                    <w:spacing w:before="27"/>
                    <w:ind w:left="20" w:right="0" w:firstLine="0"/>
                    <w:jc w:val="left"/>
                    <w:rPr>
                      <w:sz w:val="39"/>
                    </w:rPr>
                  </w:pPr>
                  <w:r>
                    <w:rPr>
                      <w:color w:val="FFFFFF"/>
                      <w:w w:val="115"/>
                      <w:sz w:val="39"/>
                    </w:rPr>
                    <w:t>Ministries</w:t>
                  </w:r>
                </w:p>
              </w:txbxContent>
            </v:textbox>
            <w10:wrap type="none"/>
          </v:shape>
        </w:pict>
      </w:r>
      <w:r>
        <w:rPr>
          <w:rFonts w:ascii="Stone Sans II ITC Std Bk"/>
          <w:b/>
          <w:spacing w:val="4"/>
          <w:w w:val="110"/>
          <w:sz w:val="29"/>
        </w:rPr>
        <w:t>The </w:t>
      </w:r>
      <w:r>
        <w:rPr>
          <w:rFonts w:ascii="Stone Sans II ITC Std Bk"/>
          <w:b/>
          <w:spacing w:val="3"/>
          <w:w w:val="110"/>
          <w:sz w:val="29"/>
        </w:rPr>
        <w:t>road</w:t>
      </w:r>
      <w:r>
        <w:rPr>
          <w:rFonts w:ascii="Stone Sans II ITC Std Bk"/>
          <w:b/>
          <w:spacing w:val="20"/>
          <w:w w:val="110"/>
          <w:sz w:val="29"/>
        </w:rPr>
        <w:t> </w:t>
      </w:r>
      <w:r>
        <w:rPr>
          <w:rFonts w:ascii="Stone Sans II ITC Std Bk"/>
          <w:b/>
          <w:spacing w:val="3"/>
          <w:w w:val="110"/>
          <w:sz w:val="29"/>
        </w:rPr>
        <w:t>ahead</w:t>
      </w:r>
    </w:p>
    <w:p>
      <w:pPr>
        <w:pStyle w:val="BodyText"/>
        <w:spacing w:line="235" w:lineRule="auto" w:before="69"/>
        <w:ind w:left="1814" w:right="1055"/>
      </w:pPr>
      <w:r>
        <w:rPr>
          <w:w w:val="120"/>
        </w:rPr>
        <w:t>The goal of the committee and its sub-committees is to continue to find ways of recognising, encouraging, and developing the gifts of the whole people of God to bring about growth</w:t>
      </w:r>
    </w:p>
    <w:p>
      <w:pPr>
        <w:pStyle w:val="BodyText"/>
        <w:spacing w:line="242" w:lineRule="exact"/>
        <w:ind w:left="1814"/>
      </w:pPr>
      <w:r>
        <w:rPr>
          <w:w w:val="120"/>
        </w:rPr>
        <w:t>in the life of the Church and for the sake of God’s mission in the world around.</w:t>
      </w:r>
    </w:p>
    <w:p>
      <w:pPr>
        <w:pStyle w:val="ListParagraph"/>
        <w:numPr>
          <w:ilvl w:val="0"/>
          <w:numId w:val="76"/>
        </w:numPr>
        <w:tabs>
          <w:tab w:pos="2494" w:val="left" w:leader="none"/>
          <w:tab w:pos="2495" w:val="left" w:leader="none"/>
        </w:tabs>
        <w:spacing w:line="240" w:lineRule="auto" w:before="212" w:after="0"/>
        <w:ind w:left="2494" w:right="0" w:hanging="681"/>
        <w:jc w:val="left"/>
        <w:rPr>
          <w:rFonts w:ascii="Stone Sans II ITC Std Bk"/>
          <w:b/>
          <w:sz w:val="29"/>
        </w:rPr>
      </w:pPr>
      <w:r>
        <w:rPr>
          <w:rFonts w:ascii="Stone Sans II ITC Std Bk"/>
          <w:b/>
          <w:spacing w:val="4"/>
          <w:w w:val="110"/>
          <w:sz w:val="29"/>
        </w:rPr>
        <w:t>Elders </w:t>
      </w:r>
      <w:r>
        <w:rPr>
          <w:rFonts w:ascii="Stone Sans II ITC Std Bk"/>
          <w:b/>
          <w:spacing w:val="2"/>
          <w:w w:val="110"/>
          <w:sz w:val="29"/>
        </w:rPr>
        <w:t>on the</w:t>
      </w:r>
      <w:r>
        <w:rPr>
          <w:rFonts w:ascii="Stone Sans II ITC Std Bk"/>
          <w:b/>
          <w:spacing w:val="31"/>
          <w:w w:val="110"/>
          <w:sz w:val="29"/>
        </w:rPr>
        <w:t> </w:t>
      </w:r>
      <w:r>
        <w:rPr>
          <w:rFonts w:ascii="Stone Sans II ITC Std Bk"/>
          <w:b/>
          <w:w w:val="110"/>
          <w:sz w:val="29"/>
        </w:rPr>
        <w:t>way</w:t>
      </w:r>
    </w:p>
    <w:p>
      <w:pPr>
        <w:pStyle w:val="ListParagraph"/>
        <w:numPr>
          <w:ilvl w:val="1"/>
          <w:numId w:val="76"/>
        </w:numPr>
        <w:tabs>
          <w:tab w:pos="2494" w:val="left" w:leader="none"/>
          <w:tab w:pos="2495" w:val="left" w:leader="none"/>
        </w:tabs>
        <w:spacing w:line="235" w:lineRule="auto" w:before="69" w:after="0"/>
        <w:ind w:left="1814" w:right="1376" w:firstLine="0"/>
        <w:jc w:val="left"/>
        <w:rPr>
          <w:sz w:val="20"/>
        </w:rPr>
      </w:pPr>
      <w:r>
        <w:rPr>
          <w:w w:val="120"/>
          <w:sz w:val="20"/>
        </w:rPr>
        <w:t>We see the resourcing of the eldership of all local churches as a key </w:t>
      </w:r>
      <w:r>
        <w:rPr>
          <w:spacing w:val="2"/>
          <w:w w:val="120"/>
          <w:sz w:val="20"/>
        </w:rPr>
        <w:t>part </w:t>
      </w:r>
      <w:r>
        <w:rPr>
          <w:w w:val="120"/>
          <w:sz w:val="20"/>
        </w:rPr>
        <w:t>of this,  as steps are taken to support teams of people in spiritual leadership. In times or in places without a minister, the team of elders will work together to continue to encourage the local church to grow and thrive. When there is a minister in pastoral charge, the</w:t>
      </w:r>
      <w:r>
        <w:rPr>
          <w:spacing w:val="28"/>
          <w:w w:val="120"/>
          <w:sz w:val="20"/>
        </w:rPr>
        <w:t> </w:t>
      </w:r>
      <w:r>
        <w:rPr>
          <w:w w:val="120"/>
          <w:sz w:val="20"/>
        </w:rPr>
        <w:t>team</w:t>
      </w:r>
    </w:p>
    <w:p>
      <w:pPr>
        <w:pStyle w:val="BodyText"/>
        <w:spacing w:line="235" w:lineRule="auto" w:before="3"/>
        <w:ind w:left="1814" w:right="1244"/>
      </w:pPr>
      <w:r>
        <w:rPr>
          <w:w w:val="120"/>
        </w:rPr>
        <w:t>of elders will include the gifts of the minister. We are happy to learn that churches and ministers together are growing more used to using the minister’s role description to flesh out something of how this working together happens. The hope is that a minister’s role description will be created when a minister arrives in a pastorate and then reviewed when the pastorate evaluates its purpose as part of local mission and ministry review.</w:t>
      </w:r>
    </w:p>
    <w:p>
      <w:pPr>
        <w:pStyle w:val="BodyText"/>
        <w:spacing w:before="12"/>
        <w:rPr>
          <w:sz w:val="19"/>
        </w:rPr>
      </w:pPr>
    </w:p>
    <w:p>
      <w:pPr>
        <w:pStyle w:val="ListParagraph"/>
        <w:numPr>
          <w:ilvl w:val="1"/>
          <w:numId w:val="76"/>
        </w:numPr>
        <w:tabs>
          <w:tab w:pos="2494" w:val="left" w:leader="none"/>
          <w:tab w:pos="2495" w:val="left" w:leader="none"/>
        </w:tabs>
        <w:spacing w:line="235" w:lineRule="auto" w:before="0" w:after="0"/>
        <w:ind w:left="1814" w:right="1374" w:firstLine="0"/>
        <w:jc w:val="left"/>
        <w:rPr>
          <w:sz w:val="20"/>
        </w:rPr>
      </w:pPr>
      <w:r>
        <w:rPr>
          <w:w w:val="120"/>
          <w:sz w:val="20"/>
        </w:rPr>
        <w:t>We will also be taking </w:t>
      </w:r>
      <w:r>
        <w:rPr>
          <w:spacing w:val="2"/>
          <w:w w:val="120"/>
          <w:sz w:val="20"/>
        </w:rPr>
        <w:t>part </w:t>
      </w:r>
      <w:r>
        <w:rPr>
          <w:w w:val="120"/>
          <w:sz w:val="20"/>
        </w:rPr>
        <w:t>in the ongoing discussion in the United Reformed Church regarding the need to provide appropriate people to preside at the sacraments for all local churches. This may be through some form of recognition of a presiding elder in the church, or perhaps recognition of some other form of ordained local</w:t>
      </w:r>
      <w:r>
        <w:rPr>
          <w:spacing w:val="45"/>
          <w:w w:val="120"/>
          <w:sz w:val="20"/>
        </w:rPr>
        <w:t> </w:t>
      </w:r>
      <w:r>
        <w:rPr>
          <w:w w:val="120"/>
          <w:sz w:val="20"/>
        </w:rPr>
        <w:t>ministry.</w:t>
      </w:r>
    </w:p>
    <w:p>
      <w:pPr>
        <w:pStyle w:val="Heading4"/>
        <w:numPr>
          <w:ilvl w:val="0"/>
          <w:numId w:val="76"/>
        </w:numPr>
        <w:tabs>
          <w:tab w:pos="2494" w:val="left" w:leader="none"/>
          <w:tab w:pos="2495" w:val="left" w:leader="none"/>
        </w:tabs>
        <w:spacing w:line="240" w:lineRule="auto" w:before="215" w:after="0"/>
        <w:ind w:left="2494" w:right="0" w:hanging="681"/>
        <w:jc w:val="left"/>
      </w:pPr>
      <w:r>
        <w:rPr>
          <w:spacing w:val="2"/>
          <w:w w:val="110"/>
        </w:rPr>
        <w:t>Walking with </w:t>
      </w:r>
      <w:r>
        <w:rPr>
          <w:spacing w:val="3"/>
          <w:w w:val="110"/>
        </w:rPr>
        <w:t>ministers </w:t>
      </w:r>
      <w:r>
        <w:rPr>
          <w:spacing w:val="2"/>
          <w:w w:val="110"/>
        </w:rPr>
        <w:t>on the</w:t>
      </w:r>
      <w:r>
        <w:rPr>
          <w:spacing w:val="56"/>
          <w:w w:val="110"/>
        </w:rPr>
        <w:t> </w:t>
      </w:r>
      <w:r>
        <w:rPr>
          <w:spacing w:val="3"/>
          <w:w w:val="110"/>
        </w:rPr>
        <w:t>journey</w:t>
      </w:r>
    </w:p>
    <w:p>
      <w:pPr>
        <w:pStyle w:val="ListParagraph"/>
        <w:numPr>
          <w:ilvl w:val="1"/>
          <w:numId w:val="76"/>
        </w:numPr>
        <w:tabs>
          <w:tab w:pos="2494" w:val="left" w:leader="none"/>
          <w:tab w:pos="2495" w:val="left" w:leader="none"/>
        </w:tabs>
        <w:spacing w:line="235" w:lineRule="auto" w:before="69" w:after="0"/>
        <w:ind w:left="1814" w:right="1617" w:firstLine="0"/>
        <w:jc w:val="left"/>
        <w:rPr>
          <w:sz w:val="20"/>
        </w:rPr>
      </w:pPr>
      <w:r>
        <w:rPr>
          <w:w w:val="120"/>
          <w:sz w:val="20"/>
        </w:rPr>
        <w:t>Ministers of Word and sacraments and church related community workers continue to be a highly valued resource within the life of the United Reformed Church and the committee continues to work in several areas concerning the relationship of ministers to the</w:t>
      </w:r>
      <w:r>
        <w:rPr>
          <w:spacing w:val="5"/>
          <w:w w:val="120"/>
          <w:sz w:val="20"/>
        </w:rPr>
        <w:t> </w:t>
      </w:r>
      <w:r>
        <w:rPr>
          <w:w w:val="120"/>
          <w:sz w:val="20"/>
        </w:rPr>
        <w:t>denomination.</w:t>
      </w:r>
    </w:p>
    <w:p>
      <w:pPr>
        <w:pStyle w:val="BodyText"/>
        <w:spacing w:before="11"/>
        <w:rPr>
          <w:sz w:val="19"/>
        </w:rPr>
      </w:pPr>
    </w:p>
    <w:p>
      <w:pPr>
        <w:pStyle w:val="ListParagraph"/>
        <w:numPr>
          <w:ilvl w:val="2"/>
          <w:numId w:val="76"/>
        </w:numPr>
        <w:tabs>
          <w:tab w:pos="2494" w:val="left" w:leader="none"/>
          <w:tab w:pos="2495" w:val="left" w:leader="none"/>
        </w:tabs>
        <w:spacing w:line="235" w:lineRule="auto" w:before="0" w:after="0"/>
        <w:ind w:left="1814" w:right="1399" w:firstLine="0"/>
        <w:jc w:val="left"/>
        <w:rPr>
          <w:sz w:val="20"/>
        </w:rPr>
      </w:pPr>
      <w:r>
        <w:rPr>
          <w:w w:val="120"/>
          <w:sz w:val="20"/>
        </w:rPr>
        <w:t>An online tool is currently being developed to help in the assessment of   pressures bearing down on all ministers, in order to help individuals to develop  strategies to aid their resilience and also to help synods know what training and support they need to</w:t>
      </w:r>
      <w:r>
        <w:rPr>
          <w:spacing w:val="6"/>
          <w:w w:val="120"/>
          <w:sz w:val="20"/>
        </w:rPr>
        <w:t> </w:t>
      </w:r>
      <w:r>
        <w:rPr>
          <w:w w:val="120"/>
          <w:sz w:val="20"/>
        </w:rPr>
        <w:t>provide.</w:t>
      </w:r>
    </w:p>
    <w:p>
      <w:pPr>
        <w:pStyle w:val="BodyText"/>
        <w:spacing w:before="11"/>
        <w:rPr>
          <w:sz w:val="19"/>
        </w:rPr>
      </w:pPr>
    </w:p>
    <w:p>
      <w:pPr>
        <w:pStyle w:val="ListParagraph"/>
        <w:numPr>
          <w:ilvl w:val="2"/>
          <w:numId w:val="76"/>
        </w:numPr>
        <w:tabs>
          <w:tab w:pos="2494" w:val="left" w:leader="none"/>
          <w:tab w:pos="2495" w:val="left" w:leader="none"/>
        </w:tabs>
        <w:spacing w:line="235" w:lineRule="auto" w:before="0" w:after="0"/>
        <w:ind w:left="1814" w:right="1246" w:firstLine="0"/>
        <w:jc w:val="left"/>
        <w:rPr>
          <w:sz w:val="20"/>
        </w:rPr>
      </w:pPr>
      <w:r>
        <w:rPr>
          <w:w w:val="120"/>
          <w:sz w:val="20"/>
        </w:rPr>
        <w:t>The secretary for ministries remains the key point of contact with the government department for work and pensions as case law continues to unfold regarding the position of ministers in stipendiary service as office-holders rather than as employees. The position of the United Reformed Church remains that the church is committed to treating its ministers at least as well as they would be treated if they were</w:t>
      </w:r>
      <w:r>
        <w:rPr>
          <w:spacing w:val="7"/>
          <w:w w:val="120"/>
          <w:sz w:val="20"/>
        </w:rPr>
        <w:t> </w:t>
      </w:r>
      <w:r>
        <w:rPr>
          <w:w w:val="120"/>
          <w:sz w:val="20"/>
        </w:rPr>
        <w:t>employees.</w:t>
      </w:r>
    </w:p>
    <w:p>
      <w:pPr>
        <w:pStyle w:val="BodyText"/>
        <w:spacing w:before="12"/>
        <w:rPr>
          <w:sz w:val="19"/>
        </w:rPr>
      </w:pPr>
    </w:p>
    <w:p>
      <w:pPr>
        <w:pStyle w:val="ListParagraph"/>
        <w:numPr>
          <w:ilvl w:val="2"/>
          <w:numId w:val="76"/>
        </w:numPr>
        <w:tabs>
          <w:tab w:pos="2494" w:val="left" w:leader="none"/>
          <w:tab w:pos="2495" w:val="left" w:leader="none"/>
        </w:tabs>
        <w:spacing w:line="235" w:lineRule="auto" w:before="0" w:after="0"/>
        <w:ind w:left="1814" w:right="1436" w:firstLine="0"/>
        <w:jc w:val="left"/>
        <w:rPr>
          <w:sz w:val="20"/>
        </w:rPr>
      </w:pPr>
      <w:r>
        <w:rPr>
          <w:w w:val="120"/>
          <w:sz w:val="20"/>
        </w:rPr>
        <w:t>The numbers of stipendiary ministers and the scoping targets for each synod will continue to be managed by the ministries office. The need for flexibility in addressing this challenge has grown with changes in the pension and retirement age, leading to more varied retirement ages among working</w:t>
      </w:r>
      <w:r>
        <w:rPr>
          <w:spacing w:val="15"/>
          <w:w w:val="120"/>
          <w:sz w:val="20"/>
        </w:rPr>
        <w:t> </w:t>
      </w:r>
      <w:r>
        <w:rPr>
          <w:w w:val="120"/>
          <w:sz w:val="20"/>
        </w:rPr>
        <w:t>ministers.</w:t>
      </w:r>
    </w:p>
    <w:p>
      <w:pPr>
        <w:pStyle w:val="Heading4"/>
        <w:numPr>
          <w:ilvl w:val="0"/>
          <w:numId w:val="76"/>
        </w:numPr>
        <w:tabs>
          <w:tab w:pos="2494" w:val="left" w:leader="none"/>
          <w:tab w:pos="2495" w:val="left" w:leader="none"/>
        </w:tabs>
        <w:spacing w:line="240" w:lineRule="auto" w:before="215" w:after="0"/>
        <w:ind w:left="2494" w:right="0" w:hanging="681"/>
        <w:jc w:val="left"/>
      </w:pPr>
      <w:r>
        <w:rPr>
          <w:w w:val="110"/>
        </w:rPr>
        <w:t>Travelling</w:t>
      </w:r>
      <w:r>
        <w:rPr>
          <w:spacing w:val="12"/>
          <w:w w:val="110"/>
        </w:rPr>
        <w:t> </w:t>
      </w:r>
      <w:r>
        <w:rPr>
          <w:spacing w:val="3"/>
          <w:w w:val="110"/>
        </w:rPr>
        <w:t>companions</w:t>
      </w:r>
    </w:p>
    <w:p>
      <w:pPr>
        <w:pStyle w:val="BodyText"/>
        <w:spacing w:line="235" w:lineRule="auto" w:before="69"/>
        <w:ind w:left="1814" w:right="1701"/>
      </w:pPr>
      <w:r>
        <w:rPr>
          <w:w w:val="120"/>
        </w:rPr>
        <w:t>We have welcomed the able contributions of Gethin Rhys in his role as convener-   </w:t>
      </w:r>
      <w:r>
        <w:rPr>
          <w:spacing w:val="3"/>
          <w:w w:val="120"/>
        </w:rPr>
        <w:t>elect </w:t>
      </w:r>
      <w:r>
        <w:rPr>
          <w:w w:val="120"/>
        </w:rPr>
        <w:t>and </w:t>
      </w:r>
      <w:r>
        <w:rPr>
          <w:spacing w:val="2"/>
          <w:w w:val="120"/>
        </w:rPr>
        <w:t>look </w:t>
      </w:r>
      <w:r>
        <w:rPr>
          <w:spacing w:val="3"/>
          <w:w w:val="120"/>
        </w:rPr>
        <w:t>forward </w:t>
      </w:r>
      <w:r>
        <w:rPr>
          <w:w w:val="120"/>
        </w:rPr>
        <w:t>to his </w:t>
      </w:r>
      <w:r>
        <w:rPr>
          <w:spacing w:val="2"/>
          <w:w w:val="120"/>
        </w:rPr>
        <w:t>leadership </w:t>
      </w:r>
      <w:r>
        <w:rPr>
          <w:w w:val="120"/>
        </w:rPr>
        <w:t>in the </w:t>
      </w:r>
      <w:r>
        <w:rPr>
          <w:spacing w:val="3"/>
          <w:w w:val="120"/>
        </w:rPr>
        <w:t>next </w:t>
      </w:r>
      <w:r>
        <w:rPr>
          <w:spacing w:val="2"/>
          <w:w w:val="120"/>
        </w:rPr>
        <w:t>period </w:t>
      </w:r>
      <w:r>
        <w:rPr>
          <w:w w:val="120"/>
        </w:rPr>
        <w:t>of </w:t>
      </w:r>
      <w:r>
        <w:rPr>
          <w:spacing w:val="2"/>
          <w:w w:val="120"/>
        </w:rPr>
        <w:t>work. </w:t>
      </w:r>
      <w:r>
        <w:rPr>
          <w:w w:val="120"/>
        </w:rPr>
        <w:t>Welcoming new companions </w:t>
      </w:r>
      <w:r>
        <w:rPr>
          <w:spacing w:val="2"/>
          <w:w w:val="120"/>
        </w:rPr>
        <w:t>often </w:t>
      </w:r>
      <w:r>
        <w:rPr>
          <w:w w:val="120"/>
        </w:rPr>
        <w:t>means that we say goodbye to those who have </w:t>
      </w:r>
      <w:r>
        <w:rPr>
          <w:spacing w:val="2"/>
          <w:w w:val="120"/>
        </w:rPr>
        <w:t>journeyed </w:t>
      </w:r>
      <w:r>
        <w:rPr>
          <w:w w:val="120"/>
        </w:rPr>
        <w:t>with us. We are </w:t>
      </w:r>
      <w:r>
        <w:rPr>
          <w:spacing w:val="2"/>
          <w:w w:val="120"/>
        </w:rPr>
        <w:t>sad </w:t>
      </w:r>
      <w:r>
        <w:rPr>
          <w:w w:val="120"/>
        </w:rPr>
        <w:t>that the Revd Ruth Whitehead finishes her time as convener this summer but are </w:t>
      </w:r>
      <w:r>
        <w:rPr>
          <w:spacing w:val="3"/>
          <w:w w:val="120"/>
        </w:rPr>
        <w:t>very </w:t>
      </w:r>
      <w:r>
        <w:rPr>
          <w:spacing w:val="2"/>
          <w:w w:val="120"/>
        </w:rPr>
        <w:t>grateful </w:t>
      </w:r>
      <w:r>
        <w:rPr>
          <w:w w:val="120"/>
        </w:rPr>
        <w:t>for her contribution to the committee and to the Church over </w:t>
      </w:r>
      <w:r>
        <w:rPr>
          <w:spacing w:val="2"/>
          <w:w w:val="120"/>
        </w:rPr>
        <w:t>these past </w:t>
      </w:r>
      <w:r>
        <w:rPr>
          <w:w w:val="120"/>
        </w:rPr>
        <w:t>few years and wish her </w:t>
      </w:r>
      <w:r>
        <w:rPr>
          <w:spacing w:val="3"/>
          <w:w w:val="120"/>
        </w:rPr>
        <w:t>every </w:t>
      </w:r>
      <w:r>
        <w:rPr>
          <w:w w:val="120"/>
        </w:rPr>
        <w:t>blessing as she continues to </w:t>
      </w:r>
      <w:r>
        <w:rPr>
          <w:spacing w:val="2"/>
          <w:w w:val="120"/>
        </w:rPr>
        <w:t>settle </w:t>
      </w:r>
      <w:r>
        <w:rPr>
          <w:w w:val="120"/>
        </w:rPr>
        <w:t>into her role as </w:t>
      </w:r>
      <w:r>
        <w:rPr>
          <w:spacing w:val="2"/>
          <w:w w:val="120"/>
        </w:rPr>
        <w:t>moderator </w:t>
      </w:r>
      <w:r>
        <w:rPr>
          <w:w w:val="120"/>
        </w:rPr>
        <w:t>of the </w:t>
      </w:r>
      <w:r>
        <w:rPr>
          <w:spacing w:val="2"/>
          <w:w w:val="120"/>
        </w:rPr>
        <w:t>South </w:t>
      </w:r>
      <w:r>
        <w:rPr>
          <w:w w:val="120"/>
        </w:rPr>
        <w:t>Western</w:t>
      </w:r>
      <w:r>
        <w:rPr>
          <w:spacing w:val="39"/>
          <w:w w:val="120"/>
        </w:rPr>
        <w:t> </w:t>
      </w:r>
      <w:r>
        <w:rPr>
          <w:w w:val="120"/>
        </w:rPr>
        <w:t>Synod.</w:t>
      </w:r>
    </w:p>
    <w:p>
      <w:pPr>
        <w:spacing w:after="0" w:line="235" w:lineRule="auto"/>
        <w:sectPr>
          <w:type w:val="continuous"/>
          <w:pgSz w:w="11910" w:h="16840"/>
          <w:pgMar w:top="680" w:bottom="280" w:left="0" w:right="0"/>
        </w:sectPr>
      </w:pPr>
    </w:p>
    <w:p>
      <w:pPr>
        <w:pStyle w:val="BodyText"/>
      </w:pPr>
      <w:r>
        <w:rPr/>
        <w:pict>
          <v:rect style="position:absolute;margin-left:594.374023pt;margin-top:.000015pt;width:.901pt;height:841.89pt;mso-position-horizontal-relative:page;mso-position-vertical-relative:page;z-index:252010496" filled="true" fillcolor="#d3e5c3" stroked="false">
            <v:fill type="solid"/>
            <w10:wrap type="none"/>
          </v:rect>
        </w:pict>
      </w:r>
      <w:r>
        <w:rPr/>
        <w:pict>
          <v:group style="position:absolute;margin-left:0pt;margin-top:.000015pt;width:518.75pt;height:841.9pt;mso-position-horizontal-relative:page;mso-position-vertical-relative:page;z-index:-267265024" coordorigin="0,0" coordsize="10375,16838">
            <v:rect style="position:absolute;left:935;top:0;width:9440;height:16838" filled="true" fillcolor="#d3e5c3" stroked="false">
              <v:fill type="solid"/>
            </v:rect>
            <v:shape style="position:absolute;left:0;top:0;width:936;height:16838" type="#_x0000_t75" stroked="false">
              <v:imagedata r:id="rId198" o:title=""/>
            </v:shape>
            <w10:wrap type="none"/>
          </v:group>
        </w:pict>
      </w:r>
    </w:p>
    <w:p>
      <w:pPr>
        <w:pStyle w:val="BodyText"/>
      </w:pPr>
    </w:p>
    <w:p>
      <w:pPr>
        <w:pStyle w:val="BodyText"/>
      </w:pPr>
    </w:p>
    <w:p>
      <w:pPr>
        <w:pStyle w:val="BodyText"/>
        <w:spacing w:before="5"/>
        <w:rPr>
          <w:sz w:val="28"/>
        </w:rPr>
      </w:pPr>
    </w:p>
    <w:p>
      <w:pPr>
        <w:pStyle w:val="Heading2"/>
        <w:spacing w:line="638" w:lineRule="exact" w:before="97"/>
        <w:rPr>
          <w:b/>
        </w:rPr>
      </w:pPr>
      <w:r>
        <w:rPr/>
        <w:pict>
          <v:shape style="position:absolute;margin-left:20.519100pt;margin-top:-5.998084pt;width:25.9pt;height:78.850pt;mso-position-horizontal-relative:page;mso-position-vertical-relative:paragraph;z-index:252015616" type="#_x0000_t202" filled="false" stroked="false">
            <v:textbox inset="0,0,0,0" style="layout-flow:vertical">
              <w:txbxContent>
                <w:p>
                  <w:pPr>
                    <w:spacing w:before="27"/>
                    <w:ind w:left="20" w:right="0" w:firstLine="0"/>
                    <w:jc w:val="left"/>
                    <w:rPr>
                      <w:sz w:val="39"/>
                    </w:rPr>
                  </w:pPr>
                  <w:r>
                    <w:rPr>
                      <w:color w:val="FFFFFF"/>
                      <w:w w:val="115"/>
                      <w:sz w:val="39"/>
                    </w:rPr>
                    <w:t>Mission</w:t>
                  </w:r>
                </w:p>
              </w:txbxContent>
            </v:textbox>
            <w10:wrap type="none"/>
          </v:shape>
        </w:pict>
      </w:r>
      <w:bookmarkStart w:name="_bookmark23" w:id="27"/>
      <w:bookmarkEnd w:id="27"/>
      <w:r>
        <w:rPr>
          <w:b w:val="0"/>
        </w:rPr>
      </w:r>
      <w:r>
        <w:rPr>
          <w:b/>
          <w:color w:val="41A62B"/>
          <w:w w:val="110"/>
        </w:rPr>
        <w:t>Mission committee:</w:t>
      </w:r>
    </w:p>
    <w:p>
      <w:pPr>
        <w:spacing w:line="213" w:lineRule="auto" w:before="18"/>
        <w:ind w:left="1247" w:right="2004" w:firstLine="0"/>
        <w:jc w:val="left"/>
        <w:rPr>
          <w:rFonts w:ascii="Stone Sans II ITC Std X Bd" w:hAnsi="Stone Sans II ITC Std X Bd"/>
          <w:b/>
          <w:sz w:val="50"/>
        </w:rPr>
      </w:pPr>
      <w:r>
        <w:rPr>
          <w:rFonts w:ascii="Stone Sans II ITC Std X Bd" w:hAnsi="Stone Sans II ITC Std X Bd"/>
          <w:b/>
          <w:w w:val="110"/>
          <w:sz w:val="50"/>
        </w:rPr>
        <w:t>Report </w:t>
      </w:r>
      <w:r>
        <w:rPr>
          <w:rFonts w:ascii="Stone Sans II ITC Std X Bd" w:hAnsi="Stone Sans II ITC Std X Bd"/>
          <w:b/>
          <w:spacing w:val="-7"/>
          <w:w w:val="110"/>
          <w:sz w:val="50"/>
        </w:rPr>
        <w:t>to </w:t>
      </w:r>
      <w:r>
        <w:rPr>
          <w:rFonts w:ascii="Stone Sans II ITC Std X Bd" w:hAnsi="Stone Sans II ITC Std X Bd"/>
          <w:b/>
          <w:spacing w:val="-4"/>
          <w:w w:val="110"/>
          <w:sz w:val="50"/>
        </w:rPr>
        <w:t>General </w:t>
      </w:r>
      <w:r>
        <w:rPr>
          <w:rFonts w:ascii="Stone Sans II ITC Std X Bd" w:hAnsi="Stone Sans II ITC Std X Bd"/>
          <w:b/>
          <w:spacing w:val="-3"/>
          <w:w w:val="110"/>
          <w:sz w:val="50"/>
        </w:rPr>
        <w:t>Assembly </w:t>
      </w:r>
      <w:r>
        <w:rPr>
          <w:rFonts w:ascii="Stone Sans II ITC Std X Bd" w:hAnsi="Stone Sans II ITC Std X Bd"/>
          <w:b/>
          <w:w w:val="110"/>
          <w:sz w:val="50"/>
        </w:rPr>
        <w:t>– part</w:t>
      </w:r>
      <w:r>
        <w:rPr>
          <w:rFonts w:ascii="Stone Sans II ITC Std X Bd" w:hAnsi="Stone Sans II ITC Std X Bd"/>
          <w:b/>
          <w:spacing w:val="2"/>
          <w:w w:val="110"/>
          <w:sz w:val="50"/>
        </w:rPr>
        <w:t> </w:t>
      </w:r>
      <w:r>
        <w:rPr>
          <w:rFonts w:ascii="Stone Sans II ITC Std X Bd" w:hAnsi="Stone Sans II ITC Std X Bd"/>
          <w:b/>
          <w:w w:val="110"/>
          <w:sz w:val="50"/>
        </w:rPr>
        <w:t>2</w:t>
      </w:r>
    </w:p>
    <w:p>
      <w:pPr>
        <w:pStyle w:val="BodyText"/>
        <w:spacing w:before="378" w:after="27"/>
        <w:ind w:left="1247"/>
      </w:pPr>
      <w:r>
        <w:rPr/>
        <w:pict>
          <v:shape style="position:absolute;margin-left:62.612003pt;margin-top:32.671371pt;width:462.1pt;height:115.55pt;mso-position-horizontal-relative:page;mso-position-vertical-relative:paragraph;z-index:-267264000" coordorigin="1252,653" coordsize="9242,2311" path="m10494,653l3912,653,1252,653,1252,2964,3912,2964,10494,2964,10494,653e" filled="true" fillcolor="#ffffff" stroked="false">
            <v:path arrowok="t"/>
            <v:fill type="solid"/>
            <w10:wrap type="none"/>
          </v:shape>
        </w:pict>
      </w:r>
      <w:r>
        <w:rPr>
          <w:w w:val="120"/>
        </w:rPr>
        <w:t>Basic</w:t>
      </w:r>
      <w:r>
        <w:rPr>
          <w:spacing w:val="-17"/>
          <w:w w:val="120"/>
        </w:rPr>
        <w:t> </w:t>
      </w:r>
      <w:r>
        <w:rPr>
          <w:w w:val="120"/>
        </w:rPr>
        <w:t>Information</w:t>
      </w:r>
    </w:p>
    <w:tbl>
      <w:tblPr>
        <w:tblW w:w="0" w:type="auto"/>
        <w:jc w:val="left"/>
        <w:tblInd w:w="1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pPr>
              <w:pStyle w:val="TableParagraph"/>
              <w:spacing w:line="235" w:lineRule="auto" w:before="145"/>
              <w:ind w:right="2341"/>
              <w:rPr>
                <w:sz w:val="20"/>
              </w:rPr>
            </w:pPr>
            <w:r>
              <w:rPr>
                <w:w w:val="120"/>
                <w:sz w:val="20"/>
              </w:rPr>
              <w:t>Francis Brienen </w:t>
            </w:r>
            <w:hyperlink r:id="rId312">
              <w:r>
                <w:rPr>
                  <w:w w:val="120"/>
                  <w:sz w:val="20"/>
                </w:rPr>
                <w:t>francis.brienen@urc.org.uk</w:t>
              </w:r>
            </w:hyperlink>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Action required</w:t>
            </w:r>
          </w:p>
        </w:tc>
        <w:tc>
          <w:tcPr>
            <w:tcW w:w="6582" w:type="dxa"/>
            <w:shd w:val="clear" w:color="auto" w:fill="FFFFFF"/>
          </w:tcPr>
          <w:p>
            <w:pPr>
              <w:pStyle w:val="TableParagraph"/>
              <w:spacing w:before="141"/>
              <w:rPr>
                <w:sz w:val="20"/>
              </w:rPr>
            </w:pPr>
            <w:r>
              <w:rPr>
                <w:w w:val="120"/>
                <w:sz w:val="20"/>
              </w:rPr>
              <w:t>Discussion and decision</w:t>
            </w:r>
          </w:p>
        </w:tc>
      </w:tr>
      <w:tr>
        <w:trPr>
          <w:trHeight w:val="116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Draft resolution(s)</w:t>
            </w:r>
          </w:p>
        </w:tc>
        <w:tc>
          <w:tcPr>
            <w:tcW w:w="6582" w:type="dxa"/>
            <w:shd w:val="clear" w:color="auto" w:fill="FFFFFF"/>
          </w:tcPr>
          <w:p>
            <w:pPr>
              <w:pStyle w:val="TableParagraph"/>
              <w:spacing w:line="213" w:lineRule="auto" w:before="151"/>
              <w:ind w:right="223"/>
              <w:rPr>
                <w:rFonts w:ascii="Stone Sans II ITC Std Bk"/>
                <w:b/>
                <w:sz w:val="20"/>
              </w:rPr>
            </w:pPr>
            <w:r>
              <w:rPr>
                <w:rFonts w:ascii="Stone Sans II ITC Std Bk"/>
                <w:b/>
                <w:w w:val="110"/>
                <w:sz w:val="20"/>
              </w:rPr>
              <w:t>General Assembly welcomes the resource pack on foodbanks produced by the joint public issues team and commends it for study and use by all churches.</w:t>
            </w:r>
          </w:p>
        </w:tc>
      </w:tr>
    </w:tbl>
    <w:p>
      <w:pPr>
        <w:pStyle w:val="BodyText"/>
        <w:rPr>
          <w:sz w:val="24"/>
        </w:rPr>
      </w:pPr>
    </w:p>
    <w:p>
      <w:pPr>
        <w:pStyle w:val="BodyText"/>
        <w:spacing w:before="156" w:after="27"/>
        <w:ind w:left="1247"/>
      </w:pPr>
      <w:r>
        <w:rPr/>
        <w:pict>
          <v:shape style="position:absolute;margin-left:62.612003pt;margin-top:21.571665pt;width:462.1pt;height:294.05pt;mso-position-horizontal-relative:page;mso-position-vertical-relative:paragraph;z-index:-267262976" coordorigin="1252,431" coordsize="9242,5881" path="m10494,431l3912,431,1252,431,1252,6312,3912,6312,10494,6312,10494,431e" filled="true" fillcolor="#ffffff" stroked="false">
            <v:path arrowok="t"/>
            <v:fill type="solid"/>
            <w10:wrap type="none"/>
          </v:shape>
        </w:pict>
      </w:r>
      <w:r>
        <w:rPr>
          <w:w w:val="120"/>
        </w:rPr>
        <w:t>Summary of Content</w:t>
      </w:r>
    </w:p>
    <w:tbl>
      <w:tblPr>
        <w:tblW w:w="0" w:type="auto"/>
        <w:jc w:val="left"/>
        <w:tblInd w:w="1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92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Subject and aim(s)</w:t>
            </w:r>
          </w:p>
        </w:tc>
        <w:tc>
          <w:tcPr>
            <w:tcW w:w="6582" w:type="dxa"/>
            <w:shd w:val="clear" w:color="auto" w:fill="FFFFFF"/>
          </w:tcPr>
          <w:p>
            <w:pPr>
              <w:pStyle w:val="TableParagraph"/>
              <w:spacing w:line="235" w:lineRule="auto" w:before="145"/>
              <w:ind w:right="538"/>
              <w:rPr>
                <w:sz w:val="20"/>
              </w:rPr>
            </w:pPr>
            <w:r>
              <w:rPr>
                <w:w w:val="120"/>
                <w:sz w:val="20"/>
              </w:rPr>
              <w:t>Assembly is requested to consider the report and the resolution, and to discuss the way forward on particular areas of work.</w:t>
            </w:r>
          </w:p>
        </w:tc>
      </w:tr>
      <w:tr>
        <w:trPr>
          <w:trHeight w:val="332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Main points</w:t>
            </w:r>
          </w:p>
        </w:tc>
        <w:tc>
          <w:tcPr>
            <w:tcW w:w="6582" w:type="dxa"/>
            <w:shd w:val="clear" w:color="auto" w:fill="FFFFFF"/>
          </w:tcPr>
          <w:p>
            <w:pPr>
              <w:pStyle w:val="TableParagraph"/>
              <w:spacing w:line="235" w:lineRule="auto" w:before="145"/>
              <w:ind w:right="223"/>
              <w:rPr>
                <w:sz w:val="20"/>
              </w:rPr>
            </w:pPr>
            <w:r>
              <w:rPr>
                <w:w w:val="120"/>
                <w:sz w:val="20"/>
              </w:rPr>
              <w:t>The report provides information on future mission committee work within the </w:t>
            </w:r>
            <w:r>
              <w:rPr>
                <w:i/>
                <w:w w:val="120"/>
                <w:sz w:val="20"/>
              </w:rPr>
              <w:t>vision2020 </w:t>
            </w:r>
            <w:r>
              <w:rPr>
                <w:w w:val="120"/>
                <w:sz w:val="20"/>
              </w:rPr>
              <w:t>framework. This includes work on:</w:t>
            </w:r>
          </w:p>
          <w:p>
            <w:pPr>
              <w:pStyle w:val="TableParagraph"/>
              <w:numPr>
                <w:ilvl w:val="0"/>
                <w:numId w:val="77"/>
              </w:numPr>
              <w:tabs>
                <w:tab w:pos="760" w:val="left" w:leader="none"/>
                <w:tab w:pos="761" w:val="left" w:leader="none"/>
              </w:tabs>
              <w:spacing w:line="240" w:lineRule="exact" w:before="0" w:after="0"/>
              <w:ind w:left="760" w:right="0" w:hanging="681"/>
              <w:jc w:val="left"/>
              <w:rPr>
                <w:sz w:val="20"/>
              </w:rPr>
            </w:pPr>
            <w:r>
              <w:rPr>
                <w:w w:val="120"/>
                <w:sz w:val="20"/>
              </w:rPr>
              <w:t>A discipleship</w:t>
            </w:r>
            <w:r>
              <w:rPr>
                <w:spacing w:val="4"/>
                <w:w w:val="120"/>
                <w:sz w:val="20"/>
              </w:rPr>
              <w:t> </w:t>
            </w:r>
            <w:r>
              <w:rPr>
                <w:w w:val="120"/>
                <w:sz w:val="20"/>
              </w:rPr>
              <w:t>proposal.</w:t>
            </w:r>
          </w:p>
          <w:p>
            <w:pPr>
              <w:pStyle w:val="TableParagraph"/>
              <w:numPr>
                <w:ilvl w:val="0"/>
                <w:numId w:val="77"/>
              </w:numPr>
              <w:tabs>
                <w:tab w:pos="760" w:val="left" w:leader="none"/>
                <w:tab w:pos="761" w:val="left" w:leader="none"/>
              </w:tabs>
              <w:spacing w:line="240" w:lineRule="exact" w:before="0" w:after="0"/>
              <w:ind w:left="760" w:right="0" w:hanging="681"/>
              <w:jc w:val="left"/>
              <w:rPr>
                <w:sz w:val="20"/>
              </w:rPr>
            </w:pPr>
            <w:r>
              <w:rPr>
                <w:w w:val="120"/>
                <w:sz w:val="20"/>
              </w:rPr>
              <w:t>The commemoration of the First World</w:t>
            </w:r>
            <w:r>
              <w:rPr>
                <w:spacing w:val="7"/>
                <w:w w:val="120"/>
                <w:sz w:val="20"/>
              </w:rPr>
              <w:t> </w:t>
            </w:r>
            <w:r>
              <w:rPr>
                <w:spacing w:val="-4"/>
                <w:w w:val="120"/>
                <w:sz w:val="20"/>
              </w:rPr>
              <w:t>War.</w:t>
            </w:r>
          </w:p>
          <w:p>
            <w:pPr>
              <w:pStyle w:val="TableParagraph"/>
              <w:numPr>
                <w:ilvl w:val="0"/>
                <w:numId w:val="77"/>
              </w:numPr>
              <w:tabs>
                <w:tab w:pos="760" w:val="left" w:leader="none"/>
                <w:tab w:pos="761" w:val="left" w:leader="none"/>
              </w:tabs>
              <w:spacing w:line="240" w:lineRule="exact" w:before="0" w:after="0"/>
              <w:ind w:left="760" w:right="0" w:hanging="681"/>
              <w:jc w:val="left"/>
              <w:rPr>
                <w:sz w:val="20"/>
              </w:rPr>
            </w:pPr>
            <w:r>
              <w:rPr>
                <w:w w:val="120"/>
                <w:sz w:val="20"/>
              </w:rPr>
              <w:t>Reimagining local ecumenical</w:t>
            </w:r>
            <w:r>
              <w:rPr>
                <w:spacing w:val="11"/>
                <w:w w:val="120"/>
                <w:sz w:val="20"/>
              </w:rPr>
              <w:t> </w:t>
            </w:r>
            <w:r>
              <w:rPr>
                <w:w w:val="120"/>
                <w:sz w:val="20"/>
              </w:rPr>
              <w:t>partnerships.</w:t>
            </w:r>
          </w:p>
          <w:p>
            <w:pPr>
              <w:pStyle w:val="TableParagraph"/>
              <w:numPr>
                <w:ilvl w:val="0"/>
                <w:numId w:val="77"/>
              </w:numPr>
              <w:tabs>
                <w:tab w:pos="760" w:val="left" w:leader="none"/>
                <w:tab w:pos="761" w:val="left" w:leader="none"/>
              </w:tabs>
              <w:spacing w:line="240" w:lineRule="exact" w:before="0" w:after="0"/>
              <w:ind w:left="760" w:right="0" w:hanging="681"/>
              <w:jc w:val="left"/>
              <w:rPr>
                <w:sz w:val="20"/>
              </w:rPr>
            </w:pPr>
            <w:r>
              <w:rPr>
                <w:w w:val="120"/>
                <w:sz w:val="20"/>
              </w:rPr>
              <w:t>A major rural mission</w:t>
            </w:r>
            <w:r>
              <w:rPr>
                <w:spacing w:val="5"/>
                <w:w w:val="120"/>
                <w:sz w:val="20"/>
              </w:rPr>
              <w:t> </w:t>
            </w:r>
            <w:r>
              <w:rPr>
                <w:w w:val="120"/>
                <w:sz w:val="20"/>
              </w:rPr>
              <w:t>conference.</w:t>
            </w:r>
          </w:p>
          <w:p>
            <w:pPr>
              <w:pStyle w:val="TableParagraph"/>
              <w:numPr>
                <w:ilvl w:val="0"/>
                <w:numId w:val="77"/>
              </w:numPr>
              <w:tabs>
                <w:tab w:pos="760" w:val="left" w:leader="none"/>
                <w:tab w:pos="761" w:val="left" w:leader="none"/>
              </w:tabs>
              <w:spacing w:line="235" w:lineRule="auto" w:before="2" w:after="0"/>
              <w:ind w:left="761" w:right="1044" w:hanging="682"/>
              <w:jc w:val="left"/>
              <w:rPr>
                <w:sz w:val="20"/>
              </w:rPr>
            </w:pPr>
            <w:r>
              <w:rPr>
                <w:w w:val="120"/>
                <w:sz w:val="20"/>
              </w:rPr>
              <w:t>A new direction in racial justice and intercultural ministry.</w:t>
            </w:r>
          </w:p>
          <w:p>
            <w:pPr>
              <w:pStyle w:val="TableParagraph"/>
              <w:numPr>
                <w:ilvl w:val="0"/>
                <w:numId w:val="77"/>
              </w:numPr>
              <w:tabs>
                <w:tab w:pos="760" w:val="left" w:leader="none"/>
                <w:tab w:pos="761" w:val="left" w:leader="none"/>
              </w:tabs>
              <w:spacing w:line="240" w:lineRule="exact" w:before="0" w:after="0"/>
              <w:ind w:left="760" w:right="0" w:hanging="681"/>
              <w:jc w:val="left"/>
              <w:rPr>
                <w:sz w:val="20"/>
              </w:rPr>
            </w:pPr>
            <w:r>
              <w:rPr>
                <w:w w:val="120"/>
                <w:sz w:val="20"/>
              </w:rPr>
              <w:t>The development of</w:t>
            </w:r>
            <w:r>
              <w:rPr>
                <w:spacing w:val="7"/>
                <w:w w:val="120"/>
                <w:sz w:val="20"/>
              </w:rPr>
              <w:t> </w:t>
            </w:r>
            <w:r>
              <w:rPr>
                <w:spacing w:val="-4"/>
                <w:w w:val="120"/>
                <w:sz w:val="20"/>
              </w:rPr>
              <w:t>CreateTalk.</w:t>
            </w:r>
          </w:p>
          <w:p>
            <w:pPr>
              <w:pStyle w:val="TableParagraph"/>
              <w:numPr>
                <w:ilvl w:val="0"/>
                <w:numId w:val="77"/>
              </w:numPr>
              <w:tabs>
                <w:tab w:pos="760" w:val="left" w:leader="none"/>
                <w:tab w:pos="761" w:val="left" w:leader="none"/>
              </w:tabs>
              <w:spacing w:line="240" w:lineRule="exact" w:before="0" w:after="0"/>
              <w:ind w:left="760" w:right="0" w:hanging="681"/>
              <w:jc w:val="left"/>
              <w:rPr>
                <w:sz w:val="20"/>
              </w:rPr>
            </w:pPr>
            <w:r>
              <w:rPr>
                <w:w w:val="125"/>
                <w:sz w:val="20"/>
              </w:rPr>
              <w:t>Supporting church</w:t>
            </w:r>
            <w:r>
              <w:rPr>
                <w:spacing w:val="-1"/>
                <w:w w:val="125"/>
                <w:sz w:val="20"/>
              </w:rPr>
              <w:t> </w:t>
            </w:r>
            <w:r>
              <w:rPr>
                <w:w w:val="125"/>
                <w:sz w:val="20"/>
              </w:rPr>
              <w:t>growth.</w:t>
            </w:r>
          </w:p>
          <w:p>
            <w:pPr>
              <w:pStyle w:val="TableParagraph"/>
              <w:numPr>
                <w:ilvl w:val="0"/>
                <w:numId w:val="77"/>
              </w:numPr>
              <w:tabs>
                <w:tab w:pos="760" w:val="left" w:leader="none"/>
                <w:tab w:pos="761" w:val="left" w:leader="none"/>
              </w:tabs>
              <w:spacing w:line="240" w:lineRule="exact" w:before="0" w:after="0"/>
              <w:ind w:left="760" w:right="0" w:hanging="681"/>
              <w:jc w:val="left"/>
              <w:rPr>
                <w:sz w:val="20"/>
              </w:rPr>
            </w:pPr>
            <w:r>
              <w:rPr>
                <w:w w:val="120"/>
                <w:sz w:val="20"/>
              </w:rPr>
              <w:t>A new focus region for Commitment for</w:t>
            </w:r>
            <w:r>
              <w:rPr>
                <w:spacing w:val="16"/>
                <w:w w:val="120"/>
                <w:sz w:val="20"/>
              </w:rPr>
              <w:t> </w:t>
            </w:r>
            <w:r>
              <w:rPr>
                <w:w w:val="120"/>
                <w:sz w:val="20"/>
              </w:rPr>
              <w:t>Life.</w:t>
            </w:r>
          </w:p>
          <w:p>
            <w:pPr>
              <w:pStyle w:val="TableParagraph"/>
              <w:numPr>
                <w:ilvl w:val="0"/>
                <w:numId w:val="77"/>
              </w:numPr>
              <w:tabs>
                <w:tab w:pos="760" w:val="left" w:leader="none"/>
                <w:tab w:pos="761" w:val="left" w:leader="none"/>
              </w:tabs>
              <w:spacing w:line="240" w:lineRule="exact" w:before="0" w:after="0"/>
              <w:ind w:left="760" w:right="0" w:hanging="681"/>
              <w:jc w:val="left"/>
              <w:rPr>
                <w:sz w:val="20"/>
              </w:rPr>
            </w:pPr>
            <w:r>
              <w:rPr>
                <w:w w:val="120"/>
                <w:sz w:val="20"/>
              </w:rPr>
              <w:t>Churches’ involvement with</w:t>
            </w:r>
            <w:r>
              <w:rPr>
                <w:spacing w:val="9"/>
                <w:w w:val="120"/>
                <w:sz w:val="20"/>
              </w:rPr>
              <w:t> </w:t>
            </w:r>
            <w:r>
              <w:rPr>
                <w:w w:val="120"/>
                <w:sz w:val="20"/>
              </w:rPr>
              <w:t>foodbanks.</w:t>
            </w:r>
          </w:p>
          <w:p>
            <w:pPr>
              <w:pStyle w:val="TableParagraph"/>
              <w:numPr>
                <w:ilvl w:val="0"/>
                <w:numId w:val="77"/>
              </w:numPr>
              <w:tabs>
                <w:tab w:pos="760" w:val="left" w:leader="none"/>
                <w:tab w:pos="761" w:val="left" w:leader="none"/>
              </w:tabs>
              <w:spacing w:line="242" w:lineRule="exact" w:before="0" w:after="0"/>
              <w:ind w:left="760" w:right="0" w:hanging="681"/>
              <w:jc w:val="left"/>
              <w:rPr>
                <w:sz w:val="20"/>
              </w:rPr>
            </w:pPr>
            <w:r>
              <w:rPr>
                <w:w w:val="120"/>
                <w:sz w:val="20"/>
              </w:rPr>
              <w:t>Revising the </w:t>
            </w:r>
            <w:r>
              <w:rPr>
                <w:spacing w:val="-3"/>
                <w:w w:val="120"/>
                <w:sz w:val="20"/>
              </w:rPr>
              <w:t>Church’s </w:t>
            </w:r>
            <w:r>
              <w:rPr>
                <w:w w:val="120"/>
                <w:sz w:val="20"/>
              </w:rPr>
              <w:t>environmental</w:t>
            </w:r>
            <w:r>
              <w:rPr>
                <w:spacing w:val="18"/>
                <w:w w:val="120"/>
                <w:sz w:val="20"/>
              </w:rPr>
              <w:t> </w:t>
            </w:r>
            <w:r>
              <w:rPr>
                <w:w w:val="120"/>
                <w:sz w:val="20"/>
              </w:rPr>
              <w:t>policy.</w:t>
            </w:r>
          </w:p>
        </w:tc>
      </w:tr>
      <w:tr>
        <w:trPr>
          <w:trHeight w:val="680" w:hRule="atLeast"/>
        </w:trPr>
        <w:tc>
          <w:tcPr>
            <w:tcW w:w="2660" w:type="dxa"/>
            <w:shd w:val="clear" w:color="auto" w:fill="FFFFFF"/>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582" w:type="dxa"/>
            <w:shd w:val="clear" w:color="auto" w:fill="FFFFFF"/>
          </w:tcPr>
          <w:p>
            <w:pPr>
              <w:pStyle w:val="TableParagraph"/>
              <w:spacing w:before="141"/>
              <w:rPr>
                <w:sz w:val="20"/>
              </w:rPr>
            </w:pPr>
            <w:r>
              <w:rPr>
                <w:w w:val="120"/>
                <w:sz w:val="20"/>
              </w:rPr>
              <w:t>Mission Committee report to General Assembly part 1.</w:t>
            </w:r>
          </w:p>
        </w:tc>
      </w:tr>
      <w:tr>
        <w:trPr>
          <w:trHeight w:val="920" w:hRule="atLeast"/>
        </w:trPr>
        <w:tc>
          <w:tcPr>
            <w:tcW w:w="2660" w:type="dxa"/>
            <w:shd w:val="clear" w:color="auto" w:fill="FFFFFF"/>
          </w:tcPr>
          <w:p>
            <w:pPr>
              <w:pStyle w:val="TableParagraph"/>
              <w:spacing w:line="213" w:lineRule="auto" w:before="151"/>
              <w:ind w:right="104"/>
              <w:rPr>
                <w:rFonts w:ascii="Stone Sans II ITC Std Bk"/>
                <w:b/>
                <w:sz w:val="20"/>
              </w:rPr>
            </w:pPr>
            <w:r>
              <w:rPr>
                <w:rFonts w:ascii="Stone Sans II ITC Std Bk"/>
                <w:b/>
                <w:w w:val="110"/>
                <w:sz w:val="20"/>
              </w:rPr>
              <w:t>Consultation has taken place with...</w:t>
            </w:r>
          </w:p>
        </w:tc>
        <w:tc>
          <w:tcPr>
            <w:tcW w:w="6582" w:type="dxa"/>
            <w:shd w:val="clear" w:color="auto" w:fill="FFFFFF"/>
          </w:tcPr>
          <w:p>
            <w:pPr>
              <w:pStyle w:val="TableParagraph"/>
              <w:spacing w:line="235" w:lineRule="auto" w:before="145"/>
              <w:ind w:right="538"/>
              <w:rPr>
                <w:sz w:val="20"/>
              </w:rPr>
            </w:pPr>
            <w:r>
              <w:rPr>
                <w:w w:val="120"/>
                <w:sz w:val="20"/>
              </w:rPr>
              <w:t>Other Church House staff and a variety of groups/networks, within and beyond the United Reformed Church, with whom the mission team members collaborate.</w:t>
            </w:r>
          </w:p>
        </w:tc>
      </w:tr>
    </w:tbl>
    <w:p>
      <w:pPr>
        <w:pStyle w:val="BodyText"/>
        <w:rPr>
          <w:sz w:val="24"/>
        </w:rPr>
      </w:pPr>
    </w:p>
    <w:p>
      <w:pPr>
        <w:pStyle w:val="BodyText"/>
        <w:spacing w:before="156" w:after="27"/>
        <w:ind w:left="1247"/>
      </w:pPr>
      <w:r>
        <w:rPr/>
        <w:pict>
          <v:shape style="position:absolute;margin-left:62.612003pt;margin-top:21.571276pt;width:462.1pt;height:93.05pt;mso-position-horizontal-relative:page;mso-position-vertical-relative:paragraph;z-index:-267261952" coordorigin="1252,431" coordsize="9242,1861" path="m10494,431l3912,431,1252,431,1252,882,1252,2292,3912,2292,10494,2292,10494,882,10494,431e" filled="true" fillcolor="#ffffff" stroked="false">
            <v:path arrowok="t"/>
            <v:fill type="solid"/>
            <w10:wrap type="none"/>
          </v:shape>
        </w:pict>
      </w:r>
      <w:r>
        <w:rPr>
          <w:w w:val="120"/>
        </w:rPr>
        <w:t>Summary of Impact</w:t>
      </w:r>
    </w:p>
    <w:tbl>
      <w:tblPr>
        <w:tblW w:w="0" w:type="auto"/>
        <w:jc w:val="left"/>
        <w:tblInd w:w="1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582" w:type="dxa"/>
            <w:shd w:val="clear" w:color="auto" w:fill="FFFFFF"/>
          </w:tcPr>
          <w:p>
            <w:pPr>
              <w:pStyle w:val="TableParagraph"/>
              <w:spacing w:before="141"/>
              <w:rPr>
                <w:sz w:val="20"/>
              </w:rPr>
            </w:pPr>
            <w:r>
              <w:rPr>
                <w:w w:val="125"/>
                <w:sz w:val="20"/>
              </w:rPr>
              <w:t>Covered by mission committee budget 2014.</w:t>
            </w:r>
          </w:p>
        </w:tc>
      </w:tr>
      <w:tr>
        <w:trPr>
          <w:trHeight w:val="140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582" w:type="dxa"/>
            <w:shd w:val="clear" w:color="auto" w:fill="FFFFFF"/>
          </w:tcPr>
          <w:p>
            <w:pPr>
              <w:pStyle w:val="TableParagraph"/>
              <w:spacing w:line="235" w:lineRule="auto" w:before="145"/>
              <w:ind w:right="223"/>
              <w:rPr>
                <w:sz w:val="20"/>
              </w:rPr>
            </w:pPr>
            <w:r>
              <w:rPr>
                <w:w w:val="120"/>
                <w:sz w:val="20"/>
              </w:rPr>
              <w:t>Much of this work will create opportunities for ecumenical working and for strengthening relationships. Work on</w:t>
            </w:r>
          </w:p>
          <w:p>
            <w:pPr>
              <w:pStyle w:val="TableParagraph"/>
              <w:spacing w:line="235" w:lineRule="auto" w:before="1"/>
              <w:ind w:right="820"/>
              <w:rPr>
                <w:sz w:val="20"/>
              </w:rPr>
            </w:pPr>
            <w:r>
              <w:rPr>
                <w:w w:val="120"/>
                <w:sz w:val="20"/>
              </w:rPr>
              <w:t>the First World War, reimagining LEPs and Israel-Palestine in particular will require regular consultation and communication with external partners.</w:t>
            </w:r>
          </w:p>
        </w:tc>
      </w:tr>
    </w:tbl>
    <w:p>
      <w:pPr>
        <w:pStyle w:val="BodyText"/>
        <w:rPr>
          <w:sz w:val="24"/>
        </w:rPr>
      </w:pPr>
    </w:p>
    <w:p>
      <w:pPr>
        <w:pStyle w:val="BodyText"/>
        <w:rPr>
          <w:sz w:val="24"/>
        </w:rPr>
      </w:pPr>
    </w:p>
    <w:p>
      <w:pPr>
        <w:pStyle w:val="Heading8"/>
        <w:spacing w:before="178"/>
        <w:ind w:left="1247"/>
      </w:pPr>
      <w:r>
        <w:rPr>
          <w:rFonts w:ascii="Stone Sans II ITC Std X Bd" w:hAnsi="Stone Sans II ITC Std X Bd"/>
          <w:b/>
          <w:w w:val="110"/>
          <w:sz w:val="24"/>
        </w:rPr>
        <w:t>132 </w:t>
      </w:r>
      <w:r>
        <w:rPr>
          <w:rFonts w:ascii="Symbol" w:hAnsi="Symbol"/>
          <w:color w:val="7EAABF"/>
          <w:w w:val="110"/>
        </w:rPr>
        <w:t></w:t>
      </w:r>
      <w:r>
        <w:rPr>
          <w:rFonts w:ascii="Times New Roman" w:hAnsi="Times New Roman"/>
          <w:color w:val="7EAABF"/>
          <w:w w:val="110"/>
        </w:rPr>
        <w:t> </w:t>
      </w: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2014</w:t>
      </w:r>
    </w:p>
    <w:p>
      <w:pPr>
        <w:spacing w:after="0"/>
        <w:sectPr>
          <w:headerReference w:type="even" r:id="rId310"/>
          <w:footerReference w:type="even" r:id="rId311"/>
          <w:pgSz w:w="11910" w:h="16840"/>
          <w:pgMar w:header="0" w:footer="0" w:top="0" w:bottom="0" w:left="0" w:right="0"/>
        </w:sectPr>
      </w:pPr>
    </w:p>
    <w:p>
      <w:pPr>
        <w:pStyle w:val="BodyText"/>
      </w:pPr>
    </w:p>
    <w:p>
      <w:pPr>
        <w:pStyle w:val="BodyText"/>
        <w:spacing w:before="7"/>
        <w:rPr>
          <w:sz w:val="21"/>
        </w:rPr>
      </w:pPr>
    </w:p>
    <w:p>
      <w:pPr>
        <w:spacing w:after="0"/>
        <w:rPr>
          <w:sz w:val="21"/>
        </w:rPr>
        <w:sectPr>
          <w:headerReference w:type="default" r:id="rId313"/>
          <w:footerReference w:type="default" r:id="rId314"/>
          <w:footerReference w:type="even" r:id="rId315"/>
          <w:pgSz w:w="11910" w:h="16840"/>
          <w:pgMar w:header="0" w:footer="647" w:top="0" w:bottom="840" w:left="0" w:right="0"/>
          <w:pgNumType w:start="133"/>
        </w:sectPr>
      </w:pPr>
    </w:p>
    <w:p>
      <w:pPr>
        <w:pStyle w:val="BodyText"/>
        <w:spacing w:before="10"/>
        <w:rPr>
          <w:sz w:val="54"/>
        </w:rPr>
      </w:pPr>
    </w:p>
    <w:p>
      <w:pPr>
        <w:spacing w:before="0"/>
        <w:ind w:left="1984" w:right="0" w:firstLine="0"/>
        <w:jc w:val="left"/>
        <w:rPr>
          <w:rFonts w:ascii="Stone Sans II ITC Std X Bd"/>
          <w:b/>
          <w:sz w:val="50"/>
        </w:rPr>
      </w:pPr>
      <w:r>
        <w:rPr>
          <w:rFonts w:ascii="Stone Sans II ITC Std X Bd"/>
          <w:b/>
          <w:spacing w:val="-4"/>
          <w:w w:val="110"/>
          <w:sz w:val="50"/>
        </w:rPr>
        <w:t>Mission</w:t>
      </w:r>
      <w:r>
        <w:rPr>
          <w:rFonts w:ascii="Stone Sans II ITC Std X Bd"/>
          <w:b/>
          <w:spacing w:val="78"/>
          <w:w w:val="110"/>
          <w:sz w:val="50"/>
        </w:rPr>
        <w:t> </w:t>
      </w:r>
      <w:r>
        <w:rPr>
          <w:rFonts w:ascii="Stone Sans II ITC Std X Bd"/>
          <w:b/>
          <w:spacing w:val="-5"/>
          <w:w w:val="110"/>
          <w:sz w:val="50"/>
        </w:rPr>
        <w:t>committee</w:t>
      </w:r>
    </w:p>
    <w:p>
      <w:pPr>
        <w:spacing w:before="106"/>
        <w:ind w:left="1984" w:right="0" w:firstLine="0"/>
        <w:jc w:val="left"/>
        <w:rPr>
          <w:sz w:val="26"/>
        </w:rPr>
      </w:pPr>
      <w:r>
        <w:rPr/>
        <w:br w:type="column"/>
      </w:r>
      <w:r>
        <w:rPr>
          <w:color w:val="7EAABF"/>
          <w:w w:val="115"/>
          <w:sz w:val="26"/>
        </w:rPr>
        <w:t>Mission</w:t>
      </w:r>
    </w:p>
    <w:p>
      <w:pPr>
        <w:spacing w:after="0"/>
        <w:jc w:val="left"/>
        <w:rPr>
          <w:sz w:val="26"/>
        </w:rPr>
        <w:sectPr>
          <w:type w:val="continuous"/>
          <w:pgSz w:w="11910" w:h="16840"/>
          <w:pgMar w:top="680" w:bottom="280" w:left="0" w:right="0"/>
          <w:cols w:num="2" w:equalWidth="0">
            <w:col w:w="7260" w:space="485"/>
            <w:col w:w="4165"/>
          </w:cols>
        </w:sectPr>
      </w:pPr>
    </w:p>
    <w:p>
      <w:pPr>
        <w:pStyle w:val="BodyText"/>
        <w:spacing w:before="3"/>
      </w:pPr>
      <w:r>
        <w:rPr/>
        <w:drawing>
          <wp:anchor distT="0" distB="0" distL="0" distR="0" allowOverlap="1" layoutInCell="1" locked="0" behindDoc="0" simplePos="0" relativeHeight="252016640">
            <wp:simplePos x="0" y="0"/>
            <wp:positionH relativeFrom="page">
              <wp:posOffset>6974928</wp:posOffset>
            </wp:positionH>
            <wp:positionV relativeFrom="page">
              <wp:posOffset>0</wp:posOffset>
            </wp:positionV>
            <wp:extent cx="585063" cy="10692003"/>
            <wp:effectExtent l="0" t="0" r="0" b="0"/>
            <wp:wrapNone/>
            <wp:docPr id="245" name="image25.png"/>
            <wp:cNvGraphicFramePr>
              <a:graphicFrameLocks noChangeAspect="1"/>
            </wp:cNvGraphicFramePr>
            <a:graphic>
              <a:graphicData uri="http://schemas.openxmlformats.org/drawingml/2006/picture">
                <pic:pic>
                  <pic:nvPicPr>
                    <pic:cNvPr id="246" name="image25.png"/>
                    <pic:cNvPicPr/>
                  </pic:nvPicPr>
                  <pic:blipFill>
                    <a:blip r:embed="rId192" cstate="print"/>
                    <a:stretch>
                      <a:fillRect/>
                    </a:stretch>
                  </pic:blipFill>
                  <pic:spPr>
                    <a:xfrm>
                      <a:off x="0" y="0"/>
                      <a:ext cx="585063" cy="10692003"/>
                    </a:xfrm>
                    <a:prstGeom prst="rect">
                      <a:avLst/>
                    </a:prstGeom>
                  </pic:spPr>
                </pic:pic>
              </a:graphicData>
            </a:graphic>
          </wp:anchor>
        </w:drawing>
      </w:r>
    </w:p>
    <w:p>
      <w:pPr>
        <w:pStyle w:val="ListParagraph"/>
        <w:numPr>
          <w:ilvl w:val="0"/>
          <w:numId w:val="78"/>
        </w:numPr>
        <w:tabs>
          <w:tab w:pos="2664" w:val="left" w:leader="none"/>
          <w:tab w:pos="2665" w:val="left" w:leader="none"/>
        </w:tabs>
        <w:spacing w:line="240" w:lineRule="auto" w:before="90" w:after="0"/>
        <w:ind w:left="2664" w:right="0" w:hanging="681"/>
        <w:jc w:val="left"/>
        <w:rPr>
          <w:rFonts w:ascii="Stone Sans II ITC Std Bk"/>
          <w:b/>
          <w:sz w:val="29"/>
        </w:rPr>
      </w:pPr>
      <w:r>
        <w:rPr/>
        <w:pict>
          <v:shape style="position:absolute;margin-left:554.141174pt;margin-top:-57.005585pt;width:25.9pt;height:78.850pt;mso-position-horizontal-relative:page;mso-position-vertical-relative:paragraph;z-index:252017664" type="#_x0000_t202" filled="false" stroked="false">
            <v:textbox inset="0,0,0,0" style="layout-flow:vertical">
              <w:txbxContent>
                <w:p>
                  <w:pPr>
                    <w:spacing w:before="27"/>
                    <w:ind w:left="20" w:right="0" w:firstLine="0"/>
                    <w:jc w:val="left"/>
                    <w:rPr>
                      <w:sz w:val="39"/>
                    </w:rPr>
                  </w:pPr>
                  <w:r>
                    <w:rPr>
                      <w:color w:val="FFFFFF"/>
                      <w:w w:val="115"/>
                      <w:sz w:val="39"/>
                    </w:rPr>
                    <w:t>Mission</w:t>
                  </w:r>
                </w:p>
              </w:txbxContent>
            </v:textbox>
            <w10:wrap type="none"/>
          </v:shape>
        </w:pict>
      </w:r>
      <w:r>
        <w:rPr>
          <w:rFonts w:ascii="Stone Sans II ITC Std Bk"/>
          <w:b/>
          <w:spacing w:val="4"/>
          <w:w w:val="110"/>
          <w:sz w:val="29"/>
        </w:rPr>
        <w:t>Introduction</w:t>
      </w:r>
    </w:p>
    <w:p>
      <w:pPr>
        <w:pStyle w:val="ListParagraph"/>
        <w:numPr>
          <w:ilvl w:val="1"/>
          <w:numId w:val="78"/>
        </w:numPr>
        <w:tabs>
          <w:tab w:pos="2664" w:val="left" w:leader="none"/>
          <w:tab w:pos="2665" w:val="left" w:leader="none"/>
        </w:tabs>
        <w:spacing w:line="235" w:lineRule="auto" w:before="69" w:after="0"/>
        <w:ind w:left="1984" w:right="1245" w:firstLine="0"/>
        <w:jc w:val="left"/>
        <w:rPr>
          <w:sz w:val="20"/>
        </w:rPr>
      </w:pPr>
      <w:r>
        <w:rPr>
          <w:w w:val="120"/>
          <w:sz w:val="20"/>
        </w:rPr>
        <w:t>It has been four years since the General Assembly adopted the </w:t>
      </w:r>
      <w:r>
        <w:rPr>
          <w:i/>
          <w:w w:val="120"/>
          <w:sz w:val="20"/>
        </w:rPr>
        <w:t>vision2020 </w:t>
      </w:r>
      <w:r>
        <w:rPr>
          <w:w w:val="120"/>
          <w:sz w:val="20"/>
        </w:rPr>
        <w:t>framework</w:t>
      </w:r>
      <w:r>
        <w:rPr>
          <w:spacing w:val="-8"/>
          <w:w w:val="120"/>
          <w:sz w:val="20"/>
        </w:rPr>
        <w:t> </w:t>
      </w:r>
      <w:r>
        <w:rPr>
          <w:w w:val="120"/>
          <w:sz w:val="20"/>
        </w:rPr>
        <w:t>for</w:t>
      </w:r>
      <w:r>
        <w:rPr>
          <w:spacing w:val="-7"/>
          <w:w w:val="120"/>
          <w:sz w:val="20"/>
        </w:rPr>
        <w:t> </w:t>
      </w:r>
      <w:r>
        <w:rPr>
          <w:w w:val="120"/>
          <w:sz w:val="20"/>
        </w:rPr>
        <w:t>mission.</w:t>
      </w:r>
      <w:r>
        <w:rPr>
          <w:spacing w:val="-7"/>
          <w:w w:val="120"/>
          <w:sz w:val="20"/>
        </w:rPr>
        <w:t> </w:t>
      </w:r>
      <w:r>
        <w:rPr>
          <w:w w:val="120"/>
          <w:sz w:val="20"/>
        </w:rPr>
        <w:t>We</w:t>
      </w:r>
      <w:r>
        <w:rPr>
          <w:spacing w:val="-7"/>
          <w:w w:val="120"/>
          <w:sz w:val="20"/>
        </w:rPr>
        <w:t> </w:t>
      </w:r>
      <w:r>
        <w:rPr>
          <w:w w:val="120"/>
          <w:sz w:val="20"/>
        </w:rPr>
        <w:t>have</w:t>
      </w:r>
      <w:r>
        <w:rPr>
          <w:spacing w:val="-7"/>
          <w:w w:val="120"/>
          <w:sz w:val="20"/>
        </w:rPr>
        <w:t> </w:t>
      </w:r>
      <w:r>
        <w:rPr>
          <w:w w:val="120"/>
          <w:sz w:val="20"/>
        </w:rPr>
        <w:t>seen</w:t>
      </w:r>
      <w:r>
        <w:rPr>
          <w:spacing w:val="-7"/>
          <w:w w:val="120"/>
          <w:sz w:val="20"/>
        </w:rPr>
        <w:t> </w:t>
      </w:r>
      <w:r>
        <w:rPr>
          <w:i/>
          <w:w w:val="120"/>
          <w:sz w:val="20"/>
        </w:rPr>
        <w:t>vision2020</w:t>
      </w:r>
      <w:r>
        <w:rPr>
          <w:i/>
          <w:spacing w:val="-7"/>
          <w:w w:val="120"/>
          <w:sz w:val="20"/>
        </w:rPr>
        <w:t> </w:t>
      </w:r>
      <w:r>
        <w:rPr>
          <w:w w:val="120"/>
          <w:sz w:val="20"/>
        </w:rPr>
        <w:t>statements</w:t>
      </w:r>
      <w:r>
        <w:rPr>
          <w:spacing w:val="-7"/>
          <w:w w:val="120"/>
          <w:sz w:val="20"/>
        </w:rPr>
        <w:t> </w:t>
      </w:r>
      <w:r>
        <w:rPr>
          <w:w w:val="120"/>
          <w:sz w:val="20"/>
        </w:rPr>
        <w:t>working</w:t>
      </w:r>
      <w:r>
        <w:rPr>
          <w:spacing w:val="-7"/>
          <w:w w:val="120"/>
          <w:sz w:val="20"/>
        </w:rPr>
        <w:t> </w:t>
      </w:r>
      <w:r>
        <w:rPr>
          <w:w w:val="120"/>
          <w:sz w:val="20"/>
        </w:rPr>
        <w:t>as</w:t>
      </w:r>
      <w:r>
        <w:rPr>
          <w:spacing w:val="-7"/>
          <w:w w:val="120"/>
          <w:sz w:val="20"/>
        </w:rPr>
        <w:t> </w:t>
      </w:r>
      <w:r>
        <w:rPr>
          <w:w w:val="120"/>
          <w:sz w:val="20"/>
        </w:rPr>
        <w:t>a</w:t>
      </w:r>
      <w:r>
        <w:rPr>
          <w:spacing w:val="-7"/>
          <w:w w:val="120"/>
          <w:sz w:val="20"/>
        </w:rPr>
        <w:t> </w:t>
      </w:r>
      <w:r>
        <w:rPr>
          <w:w w:val="120"/>
          <w:sz w:val="20"/>
        </w:rPr>
        <w:t>tool</w:t>
      </w:r>
      <w:r>
        <w:rPr>
          <w:spacing w:val="-7"/>
          <w:w w:val="120"/>
          <w:sz w:val="20"/>
        </w:rPr>
        <w:t> </w:t>
      </w:r>
      <w:r>
        <w:rPr>
          <w:w w:val="120"/>
          <w:sz w:val="20"/>
        </w:rPr>
        <w:t>employed by churches, synods, committees and Assembly to broaden and enrich our engagement in mission and the forward planning in the Church. The </w:t>
      </w:r>
      <w:r>
        <w:rPr>
          <w:spacing w:val="-6"/>
          <w:w w:val="120"/>
          <w:sz w:val="20"/>
        </w:rPr>
        <w:t>10 </w:t>
      </w:r>
      <w:r>
        <w:rPr>
          <w:w w:val="120"/>
          <w:sz w:val="20"/>
        </w:rPr>
        <w:t>statements and their outward-looking</w:t>
      </w:r>
      <w:r>
        <w:rPr>
          <w:spacing w:val="8"/>
          <w:w w:val="120"/>
          <w:sz w:val="20"/>
        </w:rPr>
        <w:t> </w:t>
      </w:r>
      <w:r>
        <w:rPr>
          <w:w w:val="120"/>
          <w:sz w:val="20"/>
        </w:rPr>
        <w:t>focus</w:t>
      </w:r>
      <w:r>
        <w:rPr>
          <w:spacing w:val="8"/>
          <w:w w:val="120"/>
          <w:sz w:val="20"/>
        </w:rPr>
        <w:t> </w:t>
      </w:r>
      <w:r>
        <w:rPr>
          <w:w w:val="120"/>
          <w:sz w:val="20"/>
        </w:rPr>
        <w:t>have</w:t>
      </w:r>
      <w:r>
        <w:rPr>
          <w:spacing w:val="8"/>
          <w:w w:val="120"/>
          <w:sz w:val="20"/>
        </w:rPr>
        <w:t> </w:t>
      </w:r>
      <w:r>
        <w:rPr>
          <w:w w:val="120"/>
          <w:sz w:val="20"/>
        </w:rPr>
        <w:t>encouraged</w:t>
      </w:r>
      <w:r>
        <w:rPr>
          <w:spacing w:val="8"/>
          <w:w w:val="120"/>
          <w:sz w:val="20"/>
        </w:rPr>
        <w:t> </w:t>
      </w:r>
      <w:r>
        <w:rPr>
          <w:w w:val="120"/>
          <w:sz w:val="20"/>
        </w:rPr>
        <w:t>and</w:t>
      </w:r>
      <w:r>
        <w:rPr>
          <w:spacing w:val="8"/>
          <w:w w:val="120"/>
          <w:sz w:val="20"/>
        </w:rPr>
        <w:t> </w:t>
      </w:r>
      <w:r>
        <w:rPr>
          <w:w w:val="120"/>
          <w:sz w:val="20"/>
        </w:rPr>
        <w:t>enabled</w:t>
      </w:r>
      <w:r>
        <w:rPr>
          <w:spacing w:val="9"/>
          <w:w w:val="120"/>
          <w:sz w:val="20"/>
        </w:rPr>
        <w:t> </w:t>
      </w:r>
      <w:r>
        <w:rPr>
          <w:w w:val="120"/>
          <w:sz w:val="20"/>
        </w:rPr>
        <w:t>the</w:t>
      </w:r>
      <w:r>
        <w:rPr>
          <w:spacing w:val="8"/>
          <w:w w:val="120"/>
          <w:sz w:val="20"/>
        </w:rPr>
        <w:t> </w:t>
      </w:r>
      <w:r>
        <w:rPr>
          <w:w w:val="120"/>
          <w:sz w:val="20"/>
        </w:rPr>
        <w:t>United</w:t>
      </w:r>
      <w:r>
        <w:rPr>
          <w:spacing w:val="8"/>
          <w:w w:val="120"/>
          <w:sz w:val="20"/>
        </w:rPr>
        <w:t> </w:t>
      </w:r>
      <w:r>
        <w:rPr>
          <w:w w:val="120"/>
          <w:sz w:val="20"/>
        </w:rPr>
        <w:t>Reformed</w:t>
      </w:r>
      <w:r>
        <w:rPr>
          <w:spacing w:val="8"/>
          <w:w w:val="120"/>
          <w:sz w:val="20"/>
        </w:rPr>
        <w:t> </w:t>
      </w:r>
      <w:r>
        <w:rPr>
          <w:w w:val="120"/>
          <w:sz w:val="20"/>
        </w:rPr>
        <w:t>Church,</w:t>
      </w:r>
    </w:p>
    <w:p>
      <w:pPr>
        <w:pStyle w:val="BodyText"/>
        <w:spacing w:line="235" w:lineRule="auto" w:before="4"/>
        <w:ind w:left="1984" w:right="1701"/>
      </w:pPr>
      <w:r>
        <w:rPr>
          <w:w w:val="120"/>
        </w:rPr>
        <w:t>at all levels, to keep growth and a rich and varied engagement with the world at the top of the agenda.</w:t>
      </w:r>
    </w:p>
    <w:p>
      <w:pPr>
        <w:pStyle w:val="BodyText"/>
        <w:spacing w:before="9"/>
        <w:rPr>
          <w:sz w:val="19"/>
        </w:rPr>
      </w:pPr>
    </w:p>
    <w:p>
      <w:pPr>
        <w:pStyle w:val="ListParagraph"/>
        <w:numPr>
          <w:ilvl w:val="1"/>
          <w:numId w:val="78"/>
        </w:numPr>
        <w:tabs>
          <w:tab w:pos="2664" w:val="left" w:leader="none"/>
          <w:tab w:pos="2665" w:val="left" w:leader="none"/>
        </w:tabs>
        <w:spacing w:line="235" w:lineRule="auto" w:before="0" w:after="0"/>
        <w:ind w:left="1984" w:right="1699" w:firstLine="0"/>
        <w:jc w:val="left"/>
        <w:rPr>
          <w:sz w:val="20"/>
        </w:rPr>
      </w:pPr>
      <w:r>
        <w:rPr>
          <w:w w:val="120"/>
          <w:sz w:val="20"/>
        </w:rPr>
        <w:t>The Mission Committee has been delighted to see the </w:t>
      </w:r>
      <w:r>
        <w:rPr>
          <w:i/>
          <w:w w:val="120"/>
          <w:sz w:val="20"/>
        </w:rPr>
        <w:t>vision2020 </w:t>
      </w:r>
      <w:r>
        <w:rPr>
          <w:w w:val="120"/>
          <w:sz w:val="20"/>
        </w:rPr>
        <w:t>framework being used creatively across the Church and continues to monitor and support its development. Gathering and sharing the stories of mission has been encouraging. Our challenge now is to enable churches, synods and Assembly programmes and committees to think about making ‘mission pledges’ that will firm up our vision of a growing and engaged Church that looks and plans forward as a regular and committed</w:t>
      </w:r>
      <w:r>
        <w:rPr>
          <w:spacing w:val="2"/>
          <w:w w:val="120"/>
          <w:sz w:val="20"/>
        </w:rPr>
        <w:t> </w:t>
      </w:r>
      <w:r>
        <w:rPr>
          <w:w w:val="120"/>
          <w:sz w:val="20"/>
        </w:rPr>
        <w:t>practice.</w:t>
      </w:r>
    </w:p>
    <w:p>
      <w:pPr>
        <w:pStyle w:val="BodyText"/>
        <w:spacing w:before="1"/>
      </w:pPr>
    </w:p>
    <w:p>
      <w:pPr>
        <w:pStyle w:val="ListParagraph"/>
        <w:numPr>
          <w:ilvl w:val="1"/>
          <w:numId w:val="78"/>
        </w:numPr>
        <w:tabs>
          <w:tab w:pos="2664" w:val="left" w:leader="none"/>
          <w:tab w:pos="2665" w:val="left" w:leader="none"/>
        </w:tabs>
        <w:spacing w:line="235" w:lineRule="auto" w:before="0" w:after="0"/>
        <w:ind w:left="1984" w:right="2028" w:firstLine="0"/>
        <w:jc w:val="left"/>
        <w:rPr>
          <w:sz w:val="20"/>
        </w:rPr>
      </w:pPr>
      <w:r>
        <w:rPr>
          <w:w w:val="120"/>
          <w:sz w:val="20"/>
        </w:rPr>
        <w:t>Our </w:t>
      </w:r>
      <w:r>
        <w:rPr>
          <w:spacing w:val="2"/>
          <w:w w:val="120"/>
          <w:sz w:val="20"/>
        </w:rPr>
        <w:t>report </w:t>
      </w:r>
      <w:r>
        <w:rPr>
          <w:w w:val="120"/>
          <w:sz w:val="20"/>
        </w:rPr>
        <w:t>is structured to reflect some of the ways in which the mission department is engaging with a diverse agenda for mission, within the </w:t>
      </w:r>
      <w:r>
        <w:rPr>
          <w:i/>
          <w:w w:val="120"/>
          <w:sz w:val="20"/>
        </w:rPr>
        <w:t>vision2020 </w:t>
      </w:r>
      <w:r>
        <w:rPr>
          <w:w w:val="120"/>
          <w:sz w:val="20"/>
        </w:rPr>
        <w:t>framework, across the United Reformed</w:t>
      </w:r>
      <w:r>
        <w:rPr>
          <w:spacing w:val="10"/>
          <w:w w:val="120"/>
          <w:sz w:val="20"/>
        </w:rPr>
        <w:t> </w:t>
      </w:r>
      <w:r>
        <w:rPr>
          <w:w w:val="120"/>
          <w:sz w:val="20"/>
        </w:rPr>
        <w:t>Church.</w:t>
      </w:r>
    </w:p>
    <w:p>
      <w:pPr>
        <w:pStyle w:val="ListParagraph"/>
        <w:numPr>
          <w:ilvl w:val="0"/>
          <w:numId w:val="78"/>
        </w:numPr>
        <w:tabs>
          <w:tab w:pos="2664" w:val="left" w:leader="none"/>
          <w:tab w:pos="2665" w:val="left" w:leader="none"/>
        </w:tabs>
        <w:spacing w:line="240" w:lineRule="auto" w:before="215" w:after="0"/>
        <w:ind w:left="2664" w:right="0" w:hanging="681"/>
        <w:jc w:val="left"/>
        <w:rPr>
          <w:rFonts w:ascii="Stone Sans II ITC Std Bk"/>
          <w:b/>
          <w:sz w:val="29"/>
        </w:rPr>
      </w:pPr>
      <w:r>
        <w:rPr>
          <w:rFonts w:ascii="Stone Sans II ITC Std Bk"/>
          <w:b/>
          <w:spacing w:val="4"/>
          <w:w w:val="110"/>
          <w:sz w:val="29"/>
        </w:rPr>
        <w:t>Spirituality </w:t>
      </w:r>
      <w:r>
        <w:rPr>
          <w:rFonts w:ascii="Stone Sans II ITC Std Bk"/>
          <w:b/>
          <w:spacing w:val="3"/>
          <w:w w:val="110"/>
          <w:sz w:val="29"/>
        </w:rPr>
        <w:t>and</w:t>
      </w:r>
      <w:r>
        <w:rPr>
          <w:rFonts w:ascii="Stone Sans II ITC Std Bk"/>
          <w:b/>
          <w:spacing w:val="21"/>
          <w:w w:val="110"/>
          <w:sz w:val="29"/>
        </w:rPr>
        <w:t> </w:t>
      </w:r>
      <w:r>
        <w:rPr>
          <w:rFonts w:ascii="Stone Sans II ITC Std Bk"/>
          <w:b/>
          <w:spacing w:val="2"/>
          <w:w w:val="110"/>
          <w:sz w:val="29"/>
        </w:rPr>
        <w:t>prayer</w:t>
      </w:r>
    </w:p>
    <w:p>
      <w:pPr>
        <w:pStyle w:val="BodyText"/>
        <w:spacing w:line="235" w:lineRule="auto" w:before="69"/>
        <w:ind w:left="1984" w:right="1907"/>
      </w:pPr>
      <w:r>
        <w:rPr>
          <w:w w:val="120"/>
        </w:rPr>
        <w:t>Prayer is the heartbeat of mission and an emphasis on prayer and spirituality runs through all the work of the mission committee. Spirituality and prayer will be key </w:t>
      </w:r>
      <w:r>
        <w:rPr>
          <w:spacing w:val="2"/>
          <w:w w:val="120"/>
        </w:rPr>
        <w:t>parts </w:t>
      </w:r>
      <w:r>
        <w:rPr>
          <w:w w:val="120"/>
        </w:rPr>
        <w:t>of a new mission support programme application to the Council for World Mission, which the committee will bring to Mission Council later this </w:t>
      </w:r>
      <w:r>
        <w:rPr>
          <w:spacing w:val="-4"/>
          <w:w w:val="120"/>
        </w:rPr>
        <w:t>year. </w:t>
      </w:r>
      <w:r>
        <w:rPr>
          <w:w w:val="120"/>
        </w:rPr>
        <w:t>Work on the proposal started in </w:t>
      </w:r>
      <w:r>
        <w:rPr>
          <w:spacing w:val="-7"/>
          <w:w w:val="120"/>
        </w:rPr>
        <w:t>2012 </w:t>
      </w:r>
      <w:r>
        <w:rPr>
          <w:w w:val="120"/>
        </w:rPr>
        <w:t>with an initial focus on evangelism, but,</w:t>
      </w:r>
      <w:r>
        <w:rPr>
          <w:spacing w:val="5"/>
          <w:w w:val="120"/>
        </w:rPr>
        <w:t> </w:t>
      </w:r>
      <w:r>
        <w:rPr>
          <w:w w:val="120"/>
        </w:rPr>
        <w:t>following</w:t>
      </w:r>
    </w:p>
    <w:p>
      <w:pPr>
        <w:pStyle w:val="BodyText"/>
        <w:spacing w:line="235" w:lineRule="auto" w:before="4"/>
        <w:ind w:left="1984" w:right="1352"/>
      </w:pPr>
      <w:r>
        <w:rPr>
          <w:w w:val="120"/>
        </w:rPr>
        <w:t>extensive conversations across the Church, a more urgent need to develop discipleship was identified. How we address this will be the subject of a meeting in the</w:t>
      </w:r>
      <w:r>
        <w:rPr>
          <w:spacing w:val="51"/>
          <w:w w:val="120"/>
        </w:rPr>
        <w:t> </w:t>
      </w:r>
      <w:r>
        <w:rPr>
          <w:w w:val="120"/>
        </w:rPr>
        <w:t>summer</w:t>
      </w:r>
    </w:p>
    <w:p>
      <w:pPr>
        <w:pStyle w:val="BodyText"/>
        <w:spacing w:line="235" w:lineRule="auto" w:before="1"/>
        <w:ind w:left="1984" w:right="2004"/>
      </w:pPr>
      <w:r>
        <w:rPr>
          <w:w w:val="120"/>
        </w:rPr>
        <w:t>of a group of people representing the wide diversity of the Church. In prayer and conversation, the group will seek to discern God’s leading as to the way forward.</w:t>
      </w:r>
    </w:p>
    <w:p>
      <w:pPr>
        <w:pStyle w:val="Heading4"/>
        <w:numPr>
          <w:ilvl w:val="0"/>
          <w:numId w:val="78"/>
        </w:numPr>
        <w:tabs>
          <w:tab w:pos="2664" w:val="left" w:leader="none"/>
          <w:tab w:pos="2665" w:val="left" w:leader="none"/>
        </w:tabs>
        <w:spacing w:line="240" w:lineRule="auto" w:before="214" w:after="0"/>
        <w:ind w:left="2664" w:right="0" w:hanging="681"/>
        <w:jc w:val="left"/>
      </w:pPr>
      <w:r>
        <w:rPr>
          <w:spacing w:val="4"/>
          <w:w w:val="110"/>
        </w:rPr>
        <w:t>Identity</w:t>
      </w:r>
    </w:p>
    <w:p>
      <w:pPr>
        <w:pStyle w:val="ListParagraph"/>
        <w:numPr>
          <w:ilvl w:val="1"/>
          <w:numId w:val="78"/>
        </w:numPr>
        <w:tabs>
          <w:tab w:pos="2664" w:val="left" w:leader="none"/>
          <w:tab w:pos="2665" w:val="left" w:leader="none"/>
        </w:tabs>
        <w:spacing w:line="235" w:lineRule="auto" w:before="69" w:after="0"/>
        <w:ind w:left="1984" w:right="1323" w:firstLine="0"/>
        <w:jc w:val="left"/>
        <w:rPr>
          <w:sz w:val="20"/>
        </w:rPr>
      </w:pPr>
      <w:r>
        <w:rPr>
          <w:w w:val="120"/>
          <w:sz w:val="20"/>
        </w:rPr>
        <w:t>During the next four to five years, the United Kingdom will mark the anniversary of the First World War and the United Reformed Church will share in this period of remembrance. Local churches, synods and the United Reformed Church at Assembly level will participate in a number of events to honour the fallen. The Church will also encourage reflection upon the wider issues of </w:t>
      </w:r>
      <w:r>
        <w:rPr>
          <w:spacing w:val="-4"/>
          <w:w w:val="120"/>
          <w:sz w:val="20"/>
        </w:rPr>
        <w:t>war, </w:t>
      </w:r>
      <w:r>
        <w:rPr>
          <w:w w:val="120"/>
          <w:sz w:val="20"/>
        </w:rPr>
        <w:t>peace, nationhood and sacrifice,  and the relevance of the Great War to contemporary debates about conflict resolution and</w:t>
      </w:r>
      <w:r>
        <w:rPr>
          <w:spacing w:val="6"/>
          <w:w w:val="120"/>
          <w:sz w:val="20"/>
        </w:rPr>
        <w:t> </w:t>
      </w:r>
      <w:r>
        <w:rPr>
          <w:w w:val="120"/>
          <w:sz w:val="20"/>
        </w:rPr>
        <w:t>peacemaking.</w:t>
      </w:r>
      <w:r>
        <w:rPr>
          <w:spacing w:val="6"/>
          <w:w w:val="120"/>
          <w:sz w:val="20"/>
        </w:rPr>
        <w:t> </w:t>
      </w:r>
      <w:r>
        <w:rPr>
          <w:w w:val="120"/>
          <w:sz w:val="20"/>
        </w:rPr>
        <w:t>In</w:t>
      </w:r>
      <w:r>
        <w:rPr>
          <w:spacing w:val="6"/>
          <w:w w:val="120"/>
          <w:sz w:val="20"/>
        </w:rPr>
        <w:t> </w:t>
      </w:r>
      <w:r>
        <w:rPr>
          <w:w w:val="120"/>
          <w:sz w:val="20"/>
        </w:rPr>
        <w:t>so</w:t>
      </w:r>
      <w:r>
        <w:rPr>
          <w:spacing w:val="6"/>
          <w:w w:val="120"/>
          <w:sz w:val="20"/>
        </w:rPr>
        <w:t> </w:t>
      </w:r>
      <w:r>
        <w:rPr>
          <w:w w:val="120"/>
          <w:sz w:val="20"/>
        </w:rPr>
        <w:t>doing,</w:t>
      </w:r>
      <w:r>
        <w:rPr>
          <w:spacing w:val="6"/>
          <w:w w:val="120"/>
          <w:sz w:val="20"/>
        </w:rPr>
        <w:t> </w:t>
      </w:r>
      <w:r>
        <w:rPr>
          <w:w w:val="120"/>
          <w:sz w:val="20"/>
        </w:rPr>
        <w:t>it</w:t>
      </w:r>
      <w:r>
        <w:rPr>
          <w:spacing w:val="6"/>
          <w:w w:val="120"/>
          <w:sz w:val="20"/>
        </w:rPr>
        <w:t> </w:t>
      </w:r>
      <w:r>
        <w:rPr>
          <w:w w:val="120"/>
          <w:sz w:val="20"/>
        </w:rPr>
        <w:t>will</w:t>
      </w:r>
      <w:r>
        <w:rPr>
          <w:spacing w:val="6"/>
          <w:w w:val="120"/>
          <w:sz w:val="20"/>
        </w:rPr>
        <w:t> </w:t>
      </w:r>
      <w:r>
        <w:rPr>
          <w:w w:val="120"/>
          <w:sz w:val="20"/>
        </w:rPr>
        <w:t>seek</w:t>
      </w:r>
      <w:r>
        <w:rPr>
          <w:spacing w:val="6"/>
          <w:w w:val="120"/>
          <w:sz w:val="20"/>
        </w:rPr>
        <w:t> </w:t>
      </w:r>
      <w:r>
        <w:rPr>
          <w:w w:val="120"/>
          <w:sz w:val="20"/>
        </w:rPr>
        <w:t>to</w:t>
      </w:r>
      <w:r>
        <w:rPr>
          <w:spacing w:val="6"/>
          <w:w w:val="120"/>
          <w:sz w:val="20"/>
        </w:rPr>
        <w:t> </w:t>
      </w:r>
      <w:r>
        <w:rPr>
          <w:w w:val="120"/>
          <w:sz w:val="20"/>
        </w:rPr>
        <w:t>identify</w:t>
      </w:r>
      <w:r>
        <w:rPr>
          <w:spacing w:val="6"/>
          <w:w w:val="120"/>
          <w:sz w:val="20"/>
        </w:rPr>
        <w:t> </w:t>
      </w:r>
      <w:r>
        <w:rPr>
          <w:w w:val="120"/>
          <w:sz w:val="20"/>
        </w:rPr>
        <w:t>the</w:t>
      </w:r>
      <w:r>
        <w:rPr>
          <w:spacing w:val="6"/>
          <w:w w:val="120"/>
          <w:sz w:val="20"/>
        </w:rPr>
        <w:t> </w:t>
      </w:r>
      <w:r>
        <w:rPr>
          <w:w w:val="120"/>
          <w:sz w:val="20"/>
        </w:rPr>
        <w:t>distinctive</w:t>
      </w:r>
      <w:r>
        <w:rPr>
          <w:spacing w:val="6"/>
          <w:w w:val="120"/>
          <w:sz w:val="20"/>
        </w:rPr>
        <w:t> </w:t>
      </w:r>
      <w:r>
        <w:rPr>
          <w:w w:val="120"/>
          <w:sz w:val="20"/>
        </w:rPr>
        <w:t>contribution</w:t>
      </w:r>
      <w:r>
        <w:rPr>
          <w:spacing w:val="6"/>
          <w:w w:val="120"/>
          <w:sz w:val="20"/>
        </w:rPr>
        <w:t> </w:t>
      </w:r>
      <w:r>
        <w:rPr>
          <w:w w:val="120"/>
          <w:sz w:val="20"/>
        </w:rPr>
        <w:t>it</w:t>
      </w:r>
    </w:p>
    <w:p>
      <w:pPr>
        <w:pStyle w:val="BodyText"/>
        <w:spacing w:line="235" w:lineRule="auto" w:before="5"/>
        <w:ind w:left="1984" w:right="1352"/>
      </w:pPr>
      <w:r>
        <w:rPr>
          <w:w w:val="120"/>
        </w:rPr>
        <w:t>can make to public thinking as a Church conscious of its identity as a nonconformist or ‘dissenting’ communion.</w:t>
      </w:r>
    </w:p>
    <w:p>
      <w:pPr>
        <w:pStyle w:val="BodyText"/>
        <w:spacing w:before="9"/>
        <w:rPr>
          <w:sz w:val="19"/>
        </w:rPr>
      </w:pPr>
    </w:p>
    <w:p>
      <w:pPr>
        <w:pStyle w:val="ListParagraph"/>
        <w:numPr>
          <w:ilvl w:val="1"/>
          <w:numId w:val="78"/>
        </w:numPr>
        <w:tabs>
          <w:tab w:pos="2664" w:val="left" w:leader="none"/>
          <w:tab w:pos="2665" w:val="left" w:leader="none"/>
        </w:tabs>
        <w:spacing w:line="235" w:lineRule="auto" w:before="1" w:after="0"/>
        <w:ind w:left="1984" w:right="1283" w:firstLine="0"/>
        <w:jc w:val="left"/>
        <w:rPr>
          <w:sz w:val="20"/>
        </w:rPr>
      </w:pPr>
      <w:r>
        <w:rPr>
          <w:spacing w:val="-7"/>
          <w:w w:val="120"/>
          <w:sz w:val="20"/>
        </w:rPr>
        <w:t>To </w:t>
      </w:r>
      <w:r>
        <w:rPr>
          <w:w w:val="120"/>
          <w:sz w:val="20"/>
        </w:rPr>
        <w:t>plan and oversee a strategy for its engagement in the anniversary, the Church has convened a small task group, located within the mission committee. This group   will: Monitor developments in the media, parliament, the Churches and elsewhere; undertake theological reflection and historical study; collect relevant stories from around the world, particularly those of people drafted in from the colonies and of women; circulate material </w:t>
      </w:r>
      <w:r>
        <w:rPr>
          <w:spacing w:val="-3"/>
          <w:w w:val="120"/>
          <w:sz w:val="20"/>
        </w:rPr>
        <w:t>to, </w:t>
      </w:r>
      <w:r>
        <w:rPr>
          <w:w w:val="120"/>
          <w:sz w:val="20"/>
        </w:rPr>
        <w:t>and gather material from, synods; help to resource and  </w:t>
      </w:r>
      <w:r>
        <w:rPr>
          <w:spacing w:val="-6"/>
          <w:w w:val="120"/>
          <w:sz w:val="20"/>
        </w:rPr>
        <w:t>(as </w:t>
      </w:r>
      <w:r>
        <w:rPr>
          <w:w w:val="120"/>
          <w:sz w:val="20"/>
        </w:rPr>
        <w:t>invited) advise local churches; and brief and prepare materials for the Assembly moderators</w:t>
      </w:r>
      <w:r>
        <w:rPr>
          <w:spacing w:val="9"/>
          <w:w w:val="120"/>
          <w:sz w:val="20"/>
        </w:rPr>
        <w:t> </w:t>
      </w:r>
      <w:r>
        <w:rPr>
          <w:w w:val="120"/>
          <w:sz w:val="20"/>
        </w:rPr>
        <w:t>and</w:t>
      </w:r>
      <w:r>
        <w:rPr>
          <w:spacing w:val="10"/>
          <w:w w:val="120"/>
          <w:sz w:val="20"/>
        </w:rPr>
        <w:t> </w:t>
      </w:r>
      <w:r>
        <w:rPr>
          <w:w w:val="120"/>
          <w:sz w:val="20"/>
        </w:rPr>
        <w:t>other</w:t>
      </w:r>
      <w:r>
        <w:rPr>
          <w:spacing w:val="10"/>
          <w:w w:val="120"/>
          <w:sz w:val="20"/>
        </w:rPr>
        <w:t> </w:t>
      </w:r>
      <w:r>
        <w:rPr>
          <w:w w:val="120"/>
          <w:sz w:val="20"/>
        </w:rPr>
        <w:t>public</w:t>
      </w:r>
      <w:r>
        <w:rPr>
          <w:spacing w:val="10"/>
          <w:w w:val="120"/>
          <w:sz w:val="20"/>
        </w:rPr>
        <w:t> </w:t>
      </w:r>
      <w:r>
        <w:rPr>
          <w:w w:val="120"/>
          <w:sz w:val="20"/>
        </w:rPr>
        <w:t>spokespeople</w:t>
      </w:r>
      <w:r>
        <w:rPr>
          <w:spacing w:val="10"/>
          <w:w w:val="120"/>
          <w:sz w:val="20"/>
        </w:rPr>
        <w:t> </w:t>
      </w:r>
      <w:r>
        <w:rPr>
          <w:w w:val="120"/>
          <w:sz w:val="20"/>
        </w:rPr>
        <w:t>for</w:t>
      </w:r>
      <w:r>
        <w:rPr>
          <w:spacing w:val="10"/>
          <w:w w:val="120"/>
          <w:sz w:val="20"/>
        </w:rPr>
        <w:t> </w:t>
      </w:r>
      <w:r>
        <w:rPr>
          <w:w w:val="120"/>
          <w:sz w:val="20"/>
        </w:rPr>
        <w:t>the</w:t>
      </w:r>
      <w:r>
        <w:rPr>
          <w:spacing w:val="10"/>
          <w:w w:val="120"/>
          <w:sz w:val="20"/>
        </w:rPr>
        <w:t> </w:t>
      </w:r>
      <w:r>
        <w:rPr>
          <w:w w:val="120"/>
          <w:sz w:val="20"/>
        </w:rPr>
        <w:t>Church.</w:t>
      </w:r>
      <w:r>
        <w:rPr>
          <w:spacing w:val="10"/>
          <w:w w:val="120"/>
          <w:sz w:val="20"/>
        </w:rPr>
        <w:t> </w:t>
      </w:r>
      <w:r>
        <w:rPr>
          <w:w w:val="120"/>
          <w:sz w:val="20"/>
        </w:rPr>
        <w:t>The</w:t>
      </w:r>
      <w:r>
        <w:rPr>
          <w:spacing w:val="10"/>
          <w:w w:val="120"/>
          <w:sz w:val="20"/>
        </w:rPr>
        <w:t> </w:t>
      </w:r>
      <w:r>
        <w:rPr>
          <w:w w:val="120"/>
          <w:sz w:val="20"/>
        </w:rPr>
        <w:t>group</w:t>
      </w:r>
      <w:r>
        <w:rPr>
          <w:spacing w:val="10"/>
          <w:w w:val="120"/>
          <w:sz w:val="20"/>
        </w:rPr>
        <w:t> </w:t>
      </w:r>
      <w:r>
        <w:rPr>
          <w:w w:val="120"/>
          <w:sz w:val="20"/>
        </w:rPr>
        <w:t>will</w:t>
      </w:r>
      <w:r>
        <w:rPr>
          <w:spacing w:val="10"/>
          <w:w w:val="120"/>
          <w:sz w:val="20"/>
        </w:rPr>
        <w:t> </w:t>
      </w:r>
      <w:r>
        <w:rPr>
          <w:w w:val="120"/>
          <w:sz w:val="20"/>
        </w:rPr>
        <w:t>consult</w:t>
      </w:r>
      <w:r>
        <w:rPr>
          <w:spacing w:val="10"/>
          <w:w w:val="120"/>
          <w:sz w:val="20"/>
        </w:rPr>
        <w:t> </w:t>
      </w:r>
      <w:r>
        <w:rPr>
          <w:w w:val="120"/>
          <w:sz w:val="20"/>
        </w:rPr>
        <w:t>with</w:t>
      </w:r>
    </w:p>
    <w:p>
      <w:pPr>
        <w:pStyle w:val="BodyText"/>
        <w:spacing w:line="235" w:lineRule="auto" w:before="6"/>
        <w:ind w:left="1984" w:right="1301"/>
      </w:pPr>
      <w:r>
        <w:rPr>
          <w:w w:val="120"/>
        </w:rPr>
        <w:t>local churches to obtain a sense of the Church’s mood and what members might expect their leaders to say on their behalf.</w:t>
      </w:r>
    </w:p>
    <w:p>
      <w:pPr>
        <w:spacing w:after="0" w:line="235" w:lineRule="auto"/>
        <w:sectPr>
          <w:type w:val="continuous"/>
          <w:pgSz w:w="11910" w:h="16840"/>
          <w:pgMar w:top="680" w:bottom="280" w:left="0" w:right="0"/>
        </w:sectPr>
      </w:pPr>
    </w:p>
    <w:p>
      <w:pPr>
        <w:pStyle w:val="BodyText"/>
      </w:pPr>
      <w:r>
        <w:rPr/>
        <w:drawing>
          <wp:anchor distT="0" distB="0" distL="0" distR="0" allowOverlap="1" layoutInCell="1" locked="0" behindDoc="0" simplePos="0" relativeHeight="252018688">
            <wp:simplePos x="0" y="0"/>
            <wp:positionH relativeFrom="page">
              <wp:posOffset>0</wp:posOffset>
            </wp:positionH>
            <wp:positionV relativeFrom="page">
              <wp:posOffset>0</wp:posOffset>
            </wp:positionV>
            <wp:extent cx="594067" cy="10692003"/>
            <wp:effectExtent l="0" t="0" r="0" b="0"/>
            <wp:wrapNone/>
            <wp:docPr id="247" name="image28.png"/>
            <wp:cNvGraphicFramePr>
              <a:graphicFrameLocks noChangeAspect="1"/>
            </wp:cNvGraphicFramePr>
            <a:graphic>
              <a:graphicData uri="http://schemas.openxmlformats.org/drawingml/2006/picture">
                <pic:pic>
                  <pic:nvPicPr>
                    <pic:cNvPr id="248" name="image28.png"/>
                    <pic:cNvPicPr/>
                  </pic:nvPicPr>
                  <pic:blipFill>
                    <a:blip r:embed="rId198"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shape style="position:absolute;margin-left:20.519100pt;margin-top:22.593945pt;width:25.9pt;height:78.850pt;mso-position-horizontal-relative:page;mso-position-vertical-relative:paragraph;z-index:252019712" type="#_x0000_t202" filled="false" stroked="false">
            <v:textbox inset="0,0,0,0" style="layout-flow:vertical">
              <w:txbxContent>
                <w:p>
                  <w:pPr>
                    <w:spacing w:before="27"/>
                    <w:ind w:left="20" w:right="0" w:firstLine="0"/>
                    <w:jc w:val="left"/>
                    <w:rPr>
                      <w:sz w:val="39"/>
                    </w:rPr>
                  </w:pPr>
                  <w:r>
                    <w:rPr>
                      <w:color w:val="FFFFFF"/>
                      <w:w w:val="115"/>
                      <w:sz w:val="39"/>
                    </w:rPr>
                    <w:t>Mission</w:t>
                  </w:r>
                </w:p>
              </w:txbxContent>
            </v:textbox>
            <w10:wrap type="none"/>
          </v:shape>
        </w:pict>
      </w:r>
      <w:r>
        <w:rPr>
          <w:color w:val="7EAABF"/>
          <w:w w:val="115"/>
        </w:rPr>
        <w:t>Mission</w:t>
      </w:r>
    </w:p>
    <w:p>
      <w:pPr>
        <w:pStyle w:val="ListParagraph"/>
        <w:numPr>
          <w:ilvl w:val="0"/>
          <w:numId w:val="78"/>
        </w:numPr>
        <w:tabs>
          <w:tab w:pos="1927" w:val="left" w:leader="none"/>
          <w:tab w:pos="1928" w:val="left" w:leader="none"/>
        </w:tabs>
        <w:spacing w:line="240" w:lineRule="auto" w:before="215" w:after="0"/>
        <w:ind w:left="1927" w:right="0" w:hanging="681"/>
        <w:jc w:val="left"/>
        <w:rPr>
          <w:rFonts w:ascii="Stone Sans II ITC Std Bk"/>
          <w:b/>
          <w:sz w:val="29"/>
        </w:rPr>
      </w:pPr>
      <w:r>
        <w:rPr>
          <w:rFonts w:ascii="Stone Sans II ITC Std Bk"/>
          <w:b/>
          <w:spacing w:val="3"/>
          <w:w w:val="110"/>
          <w:sz w:val="29"/>
        </w:rPr>
        <w:t>Ecumenical</w:t>
      </w:r>
      <w:r>
        <w:rPr>
          <w:rFonts w:ascii="Stone Sans II ITC Std Bk"/>
          <w:b/>
          <w:spacing w:val="12"/>
          <w:w w:val="110"/>
          <w:sz w:val="29"/>
        </w:rPr>
        <w:t> </w:t>
      </w:r>
      <w:r>
        <w:rPr>
          <w:rFonts w:ascii="Stone Sans II ITC Std Bk"/>
          <w:b/>
          <w:spacing w:val="4"/>
          <w:w w:val="110"/>
          <w:sz w:val="29"/>
        </w:rPr>
        <w:t>partnerships</w:t>
      </w:r>
    </w:p>
    <w:p>
      <w:pPr>
        <w:pStyle w:val="ListParagraph"/>
        <w:numPr>
          <w:ilvl w:val="1"/>
          <w:numId w:val="78"/>
        </w:numPr>
        <w:tabs>
          <w:tab w:pos="1927" w:val="left" w:leader="none"/>
          <w:tab w:pos="1928" w:val="left" w:leader="none"/>
        </w:tabs>
        <w:spacing w:line="235" w:lineRule="auto" w:before="69" w:after="0"/>
        <w:ind w:left="1247" w:right="2179" w:firstLine="0"/>
        <w:jc w:val="left"/>
        <w:rPr>
          <w:sz w:val="20"/>
        </w:rPr>
      </w:pPr>
      <w:r>
        <w:rPr>
          <w:spacing w:val="2"/>
          <w:w w:val="120"/>
          <w:sz w:val="20"/>
        </w:rPr>
        <w:t>There </w:t>
      </w:r>
      <w:r>
        <w:rPr>
          <w:w w:val="120"/>
          <w:sz w:val="20"/>
        </w:rPr>
        <w:t>is much refocusing </w:t>
      </w:r>
      <w:r>
        <w:rPr>
          <w:spacing w:val="2"/>
          <w:w w:val="120"/>
          <w:sz w:val="20"/>
        </w:rPr>
        <w:t>happening </w:t>
      </w:r>
      <w:r>
        <w:rPr>
          <w:w w:val="120"/>
          <w:sz w:val="20"/>
        </w:rPr>
        <w:t>within the ecumenical scene. Significant for us will be the work to </w:t>
      </w:r>
      <w:r>
        <w:rPr>
          <w:spacing w:val="2"/>
          <w:w w:val="120"/>
          <w:sz w:val="20"/>
        </w:rPr>
        <w:t>re-imagine local </w:t>
      </w:r>
      <w:r>
        <w:rPr>
          <w:w w:val="120"/>
          <w:sz w:val="20"/>
        </w:rPr>
        <w:t>ecumenical </w:t>
      </w:r>
      <w:r>
        <w:rPr>
          <w:spacing w:val="2"/>
          <w:w w:val="120"/>
          <w:sz w:val="20"/>
        </w:rPr>
        <w:t>partnerships </w:t>
      </w:r>
      <w:r>
        <w:rPr>
          <w:spacing w:val="-3"/>
          <w:w w:val="120"/>
          <w:sz w:val="20"/>
        </w:rPr>
        <w:t>(LEPs), </w:t>
      </w:r>
      <w:r>
        <w:rPr>
          <w:w w:val="120"/>
          <w:sz w:val="20"/>
        </w:rPr>
        <w:t>especially  in England, as well as </w:t>
      </w:r>
      <w:r>
        <w:rPr>
          <w:spacing w:val="2"/>
          <w:w w:val="120"/>
          <w:sz w:val="20"/>
        </w:rPr>
        <w:t>cooperation </w:t>
      </w:r>
      <w:r>
        <w:rPr>
          <w:w w:val="120"/>
          <w:sz w:val="20"/>
        </w:rPr>
        <w:t>within Churches Together groups. </w:t>
      </w:r>
      <w:r>
        <w:rPr>
          <w:spacing w:val="4"/>
          <w:w w:val="120"/>
          <w:sz w:val="20"/>
        </w:rPr>
        <w:t>As </w:t>
      </w:r>
      <w:r>
        <w:rPr>
          <w:w w:val="120"/>
          <w:sz w:val="20"/>
        </w:rPr>
        <w:t>the focus tightens ecumenically, new initiatives develop and older, less successful patterns are set aside, so it is </w:t>
      </w:r>
      <w:r>
        <w:rPr>
          <w:spacing w:val="3"/>
          <w:w w:val="120"/>
          <w:sz w:val="20"/>
        </w:rPr>
        <w:t>important </w:t>
      </w:r>
      <w:r>
        <w:rPr>
          <w:w w:val="120"/>
          <w:sz w:val="20"/>
        </w:rPr>
        <w:t>for us, within the context of the </w:t>
      </w:r>
      <w:r>
        <w:rPr>
          <w:i/>
          <w:w w:val="120"/>
          <w:sz w:val="20"/>
        </w:rPr>
        <w:t>vision2020 </w:t>
      </w:r>
      <w:r>
        <w:rPr>
          <w:spacing w:val="2"/>
          <w:w w:val="120"/>
          <w:sz w:val="20"/>
        </w:rPr>
        <w:t>framework,</w:t>
      </w:r>
      <w:r>
        <w:rPr>
          <w:spacing w:val="50"/>
          <w:w w:val="120"/>
          <w:sz w:val="20"/>
        </w:rPr>
        <w:t> </w:t>
      </w:r>
      <w:r>
        <w:rPr>
          <w:w w:val="120"/>
          <w:sz w:val="20"/>
        </w:rPr>
        <w:t>to</w:t>
      </w:r>
    </w:p>
    <w:p>
      <w:pPr>
        <w:pStyle w:val="BodyText"/>
        <w:spacing w:line="235" w:lineRule="auto" w:before="4"/>
        <w:ind w:left="1247" w:right="2004"/>
      </w:pPr>
      <w:r>
        <w:rPr>
          <w:w w:val="120"/>
        </w:rPr>
        <w:t>develop resources that enable the United Reformed Church contribution to be clarified and enhanced.</w:t>
      </w:r>
    </w:p>
    <w:p>
      <w:pPr>
        <w:pStyle w:val="BodyText"/>
        <w:spacing w:before="9"/>
        <w:rPr>
          <w:sz w:val="19"/>
        </w:rPr>
      </w:pPr>
    </w:p>
    <w:p>
      <w:pPr>
        <w:pStyle w:val="ListParagraph"/>
        <w:numPr>
          <w:ilvl w:val="1"/>
          <w:numId w:val="78"/>
        </w:numPr>
        <w:tabs>
          <w:tab w:pos="1927" w:val="left" w:leader="none"/>
          <w:tab w:pos="1928" w:val="left" w:leader="none"/>
        </w:tabs>
        <w:spacing w:line="235" w:lineRule="auto" w:before="1" w:after="0"/>
        <w:ind w:left="1247" w:right="1871" w:firstLine="0"/>
        <w:jc w:val="left"/>
        <w:rPr>
          <w:sz w:val="20"/>
        </w:rPr>
      </w:pPr>
      <w:r>
        <w:rPr>
          <w:w w:val="120"/>
          <w:sz w:val="20"/>
        </w:rPr>
        <w:t>We are well placed to develop </w:t>
      </w:r>
      <w:r>
        <w:rPr>
          <w:spacing w:val="-3"/>
          <w:w w:val="120"/>
          <w:sz w:val="20"/>
        </w:rPr>
        <w:t>new, </w:t>
      </w:r>
      <w:r>
        <w:rPr>
          <w:w w:val="120"/>
          <w:sz w:val="20"/>
        </w:rPr>
        <w:t>imaginative ways of doing things given the greater flexibility that we have in contrast to some of our partners. We are becoming more involved in Fresh Expressions. We have distinctive characteristics that we count as strengths, such as conciliarity and the role of elders, and we need to develop these. This will require the development of resources and good communications with local churches and appropriate synod resource people. Much of this focus also applies when thinking about how to encourage engagement in interfaith relations and</w:t>
      </w:r>
      <w:r>
        <w:rPr>
          <w:spacing w:val="25"/>
          <w:w w:val="120"/>
          <w:sz w:val="20"/>
        </w:rPr>
        <w:t> </w:t>
      </w:r>
      <w:r>
        <w:rPr>
          <w:w w:val="120"/>
          <w:sz w:val="20"/>
        </w:rPr>
        <w:t>initiatives.</w:t>
      </w:r>
    </w:p>
    <w:p>
      <w:pPr>
        <w:pStyle w:val="BodyText"/>
        <w:spacing w:before="9"/>
        <w:rPr>
          <w:sz w:val="17"/>
        </w:rPr>
      </w:pPr>
    </w:p>
    <w:p>
      <w:pPr>
        <w:pStyle w:val="Heading4"/>
        <w:numPr>
          <w:ilvl w:val="0"/>
          <w:numId w:val="78"/>
        </w:numPr>
        <w:tabs>
          <w:tab w:pos="1927" w:val="left" w:leader="none"/>
          <w:tab w:pos="1928" w:val="left" w:leader="none"/>
        </w:tabs>
        <w:spacing w:line="240" w:lineRule="auto" w:before="1" w:after="0"/>
        <w:ind w:left="1927" w:right="0" w:hanging="681"/>
        <w:jc w:val="left"/>
      </w:pPr>
      <w:r>
        <w:rPr>
          <w:spacing w:val="3"/>
          <w:w w:val="110"/>
        </w:rPr>
        <w:t>Community</w:t>
      </w:r>
      <w:r>
        <w:rPr>
          <w:spacing w:val="36"/>
          <w:w w:val="110"/>
        </w:rPr>
        <w:t> </w:t>
      </w:r>
      <w:r>
        <w:rPr>
          <w:spacing w:val="4"/>
          <w:w w:val="110"/>
        </w:rPr>
        <w:t>partnerships</w:t>
      </w:r>
    </w:p>
    <w:p>
      <w:pPr>
        <w:pStyle w:val="BodyText"/>
        <w:spacing w:line="235" w:lineRule="auto" w:before="69"/>
        <w:ind w:left="1247" w:right="1961"/>
      </w:pPr>
      <w:r>
        <w:rPr>
          <w:w w:val="120"/>
        </w:rPr>
        <w:t>The work of rural mission continues through the excellent services of the Arthur Rank Centre. Rural communities need vibrant churches more than ever; isolation, hidden poverty, poor transport, lack of jobs and opportunities for young people and lack of affordable housing are all challenging issues for rural people. However, rural mission is  at a tipping point. In order to be vibrant in a multi-church situation, there is an urgent need to move away from traditional approaches to leadership and to equip all members of congregations for mission and ministry. Around the country there are examples of collaborative ministry where lay leaders have been released and equipped, enabling the local</w:t>
      </w:r>
      <w:r>
        <w:rPr>
          <w:spacing w:val="7"/>
          <w:w w:val="120"/>
        </w:rPr>
        <w:t> </w:t>
      </w:r>
      <w:r>
        <w:rPr>
          <w:w w:val="120"/>
        </w:rPr>
        <w:t>church</w:t>
      </w:r>
      <w:r>
        <w:rPr>
          <w:spacing w:val="7"/>
          <w:w w:val="120"/>
        </w:rPr>
        <w:t> </w:t>
      </w:r>
      <w:r>
        <w:rPr>
          <w:w w:val="120"/>
        </w:rPr>
        <w:t>to</w:t>
      </w:r>
      <w:r>
        <w:rPr>
          <w:spacing w:val="8"/>
          <w:w w:val="120"/>
        </w:rPr>
        <w:t> </w:t>
      </w:r>
      <w:r>
        <w:rPr>
          <w:w w:val="120"/>
        </w:rPr>
        <w:t>engage</w:t>
      </w:r>
      <w:r>
        <w:rPr>
          <w:spacing w:val="7"/>
          <w:w w:val="120"/>
        </w:rPr>
        <w:t> </w:t>
      </w:r>
      <w:r>
        <w:rPr>
          <w:w w:val="120"/>
        </w:rPr>
        <w:t>with</w:t>
      </w:r>
      <w:r>
        <w:rPr>
          <w:spacing w:val="8"/>
          <w:w w:val="120"/>
        </w:rPr>
        <w:t> </w:t>
      </w:r>
      <w:r>
        <w:rPr>
          <w:w w:val="120"/>
        </w:rPr>
        <w:t>its</w:t>
      </w:r>
      <w:r>
        <w:rPr>
          <w:spacing w:val="7"/>
          <w:w w:val="120"/>
        </w:rPr>
        <w:t> </w:t>
      </w:r>
      <w:r>
        <w:rPr>
          <w:w w:val="120"/>
        </w:rPr>
        <w:t>community</w:t>
      </w:r>
      <w:r>
        <w:rPr>
          <w:spacing w:val="8"/>
          <w:w w:val="120"/>
        </w:rPr>
        <w:t> </w:t>
      </w:r>
      <w:r>
        <w:rPr>
          <w:w w:val="120"/>
        </w:rPr>
        <w:t>with</w:t>
      </w:r>
      <w:r>
        <w:rPr>
          <w:spacing w:val="7"/>
          <w:w w:val="120"/>
        </w:rPr>
        <w:t> </w:t>
      </w:r>
      <w:r>
        <w:rPr>
          <w:w w:val="120"/>
        </w:rPr>
        <w:t>purpose</w:t>
      </w:r>
      <w:r>
        <w:rPr>
          <w:spacing w:val="7"/>
          <w:w w:val="120"/>
        </w:rPr>
        <w:t> </w:t>
      </w:r>
      <w:r>
        <w:rPr>
          <w:w w:val="120"/>
        </w:rPr>
        <w:t>and</w:t>
      </w:r>
      <w:r>
        <w:rPr>
          <w:spacing w:val="8"/>
          <w:w w:val="120"/>
        </w:rPr>
        <w:t> </w:t>
      </w:r>
      <w:r>
        <w:rPr>
          <w:w w:val="120"/>
        </w:rPr>
        <w:t>creativity.</w:t>
      </w:r>
      <w:r>
        <w:rPr>
          <w:spacing w:val="7"/>
          <w:w w:val="120"/>
        </w:rPr>
        <w:t> </w:t>
      </w:r>
      <w:r>
        <w:rPr>
          <w:w w:val="120"/>
        </w:rPr>
        <w:t>The</w:t>
      </w:r>
      <w:r>
        <w:rPr>
          <w:spacing w:val="8"/>
          <w:w w:val="120"/>
        </w:rPr>
        <w:t> </w:t>
      </w:r>
      <w:r>
        <w:rPr>
          <w:w w:val="120"/>
        </w:rPr>
        <w:t>Arthur</w:t>
      </w:r>
      <w:r>
        <w:rPr>
          <w:spacing w:val="7"/>
          <w:w w:val="120"/>
        </w:rPr>
        <w:t> </w:t>
      </w:r>
      <w:r>
        <w:rPr>
          <w:w w:val="120"/>
        </w:rPr>
        <w:t>Rank</w:t>
      </w:r>
    </w:p>
    <w:p>
      <w:pPr>
        <w:pStyle w:val="BodyText"/>
        <w:spacing w:line="235" w:lineRule="auto" w:before="6"/>
        <w:ind w:left="1247" w:right="1845"/>
      </w:pPr>
      <w:r>
        <w:rPr>
          <w:w w:val="120"/>
        </w:rPr>
        <w:t>Centre and the national rural officer have been instrumental in this work. Plans are now in progress for an ecumenical conference which will bring together organisations involved   in supporting rural mission and ministry across the UK in order to encourage, inspire and equip rural lay leaders and clergy and to explore the way forward. This conference, called Germinate, will be held in Coventry on </w:t>
      </w:r>
      <w:r>
        <w:rPr>
          <w:spacing w:val="-12"/>
          <w:w w:val="120"/>
        </w:rPr>
        <w:t>11 </w:t>
      </w:r>
      <w:r>
        <w:rPr>
          <w:w w:val="120"/>
        </w:rPr>
        <w:t>October </w:t>
      </w:r>
      <w:r>
        <w:rPr>
          <w:spacing w:val="-7"/>
          <w:w w:val="120"/>
        </w:rPr>
        <w:t>2014  </w:t>
      </w:r>
      <w:r>
        <w:rPr>
          <w:w w:val="120"/>
        </w:rPr>
        <w:t>and a desired outcome will be  the formation of small groups which will meet every six months as learning communities to reflect on progress, refine the vision and plan next steps. Following the</w:t>
      </w:r>
      <w:r>
        <w:rPr>
          <w:spacing w:val="4"/>
          <w:w w:val="120"/>
        </w:rPr>
        <w:t> </w:t>
      </w:r>
      <w:r>
        <w:rPr>
          <w:w w:val="120"/>
        </w:rPr>
        <w:t>resignation</w:t>
      </w:r>
    </w:p>
    <w:p>
      <w:pPr>
        <w:pStyle w:val="BodyText"/>
        <w:spacing w:line="235" w:lineRule="auto" w:before="5"/>
        <w:ind w:left="1247" w:right="2004"/>
      </w:pPr>
      <w:r>
        <w:rPr>
          <w:w w:val="120"/>
        </w:rPr>
        <w:t>of the Revd Graham Jones, a new national rural officer is currently being recruited. It is envisaged that he or she will play a key role in the conference and its follow up.</w:t>
      </w:r>
    </w:p>
    <w:p>
      <w:pPr>
        <w:pStyle w:val="Heading4"/>
        <w:numPr>
          <w:ilvl w:val="0"/>
          <w:numId w:val="78"/>
        </w:numPr>
        <w:tabs>
          <w:tab w:pos="1927" w:val="left" w:leader="none"/>
          <w:tab w:pos="1928" w:val="left" w:leader="none"/>
        </w:tabs>
        <w:spacing w:line="240" w:lineRule="auto" w:before="214" w:after="0"/>
        <w:ind w:left="1927" w:right="0" w:hanging="681"/>
        <w:jc w:val="left"/>
      </w:pPr>
      <w:r>
        <w:rPr>
          <w:spacing w:val="4"/>
          <w:w w:val="110"/>
        </w:rPr>
        <w:t>Hospitality </w:t>
      </w:r>
      <w:r>
        <w:rPr>
          <w:spacing w:val="3"/>
          <w:w w:val="110"/>
        </w:rPr>
        <w:t>and</w:t>
      </w:r>
      <w:r>
        <w:rPr>
          <w:spacing w:val="21"/>
          <w:w w:val="110"/>
        </w:rPr>
        <w:t> </w:t>
      </w:r>
      <w:r>
        <w:rPr>
          <w:spacing w:val="3"/>
          <w:w w:val="110"/>
        </w:rPr>
        <w:t>diversity</w:t>
      </w:r>
    </w:p>
    <w:p>
      <w:pPr>
        <w:pStyle w:val="ListParagraph"/>
        <w:numPr>
          <w:ilvl w:val="1"/>
          <w:numId w:val="78"/>
        </w:numPr>
        <w:tabs>
          <w:tab w:pos="1927" w:val="left" w:leader="none"/>
          <w:tab w:pos="1928" w:val="left" w:leader="none"/>
        </w:tabs>
        <w:spacing w:line="235" w:lineRule="auto" w:before="69" w:after="0"/>
        <w:ind w:left="1247" w:right="1842" w:firstLine="0"/>
        <w:jc w:val="left"/>
        <w:rPr>
          <w:sz w:val="20"/>
        </w:rPr>
      </w:pPr>
      <w:r>
        <w:rPr>
          <w:w w:val="120"/>
          <w:sz w:val="20"/>
        </w:rPr>
        <w:t>General Assembly </w:t>
      </w:r>
      <w:r>
        <w:rPr>
          <w:spacing w:val="-7"/>
          <w:w w:val="120"/>
          <w:sz w:val="20"/>
        </w:rPr>
        <w:t>2012 </w:t>
      </w:r>
      <w:r>
        <w:rPr>
          <w:w w:val="120"/>
          <w:sz w:val="20"/>
        </w:rPr>
        <w:t>deferred the </w:t>
      </w:r>
      <w:r>
        <w:rPr>
          <w:i/>
          <w:w w:val="120"/>
          <w:sz w:val="20"/>
        </w:rPr>
        <w:t>multicultural church, intercultural habit </w:t>
      </w:r>
      <w:r>
        <w:rPr>
          <w:w w:val="120"/>
          <w:sz w:val="20"/>
        </w:rPr>
        <w:t>paper for discussion and action by Mission Council. This was received and adopted at the October</w:t>
      </w:r>
      <w:r>
        <w:rPr>
          <w:spacing w:val="-12"/>
          <w:w w:val="120"/>
          <w:sz w:val="20"/>
        </w:rPr>
        <w:t> </w:t>
      </w:r>
      <w:r>
        <w:rPr>
          <w:spacing w:val="-7"/>
          <w:w w:val="120"/>
          <w:sz w:val="20"/>
        </w:rPr>
        <w:t>2012</w:t>
      </w:r>
      <w:r>
        <w:rPr>
          <w:spacing w:val="-12"/>
          <w:w w:val="120"/>
          <w:sz w:val="20"/>
        </w:rPr>
        <w:t> </w:t>
      </w:r>
      <w:r>
        <w:rPr>
          <w:w w:val="120"/>
          <w:sz w:val="20"/>
        </w:rPr>
        <w:t>Mission</w:t>
      </w:r>
      <w:r>
        <w:rPr>
          <w:spacing w:val="-12"/>
          <w:w w:val="120"/>
          <w:sz w:val="20"/>
        </w:rPr>
        <w:t> </w:t>
      </w:r>
      <w:r>
        <w:rPr>
          <w:w w:val="120"/>
          <w:sz w:val="20"/>
        </w:rPr>
        <w:t>Council.</w:t>
      </w:r>
      <w:r>
        <w:rPr>
          <w:spacing w:val="-12"/>
          <w:w w:val="120"/>
          <w:sz w:val="20"/>
        </w:rPr>
        <w:t> </w:t>
      </w:r>
      <w:r>
        <w:rPr>
          <w:w w:val="120"/>
          <w:sz w:val="20"/>
        </w:rPr>
        <w:t>The</w:t>
      </w:r>
      <w:r>
        <w:rPr>
          <w:spacing w:val="-11"/>
          <w:w w:val="120"/>
          <w:sz w:val="20"/>
        </w:rPr>
        <w:t> </w:t>
      </w:r>
      <w:r>
        <w:rPr>
          <w:w w:val="120"/>
          <w:sz w:val="20"/>
        </w:rPr>
        <w:t>new</w:t>
      </w:r>
      <w:r>
        <w:rPr>
          <w:spacing w:val="-12"/>
          <w:w w:val="120"/>
          <w:sz w:val="20"/>
        </w:rPr>
        <w:t> </w:t>
      </w:r>
      <w:r>
        <w:rPr>
          <w:w w:val="120"/>
          <w:sz w:val="20"/>
        </w:rPr>
        <w:t>focus</w:t>
      </w:r>
      <w:r>
        <w:rPr>
          <w:spacing w:val="-14"/>
          <w:w w:val="120"/>
          <w:sz w:val="20"/>
        </w:rPr>
        <w:t> </w:t>
      </w:r>
      <w:r>
        <w:rPr>
          <w:i/>
          <w:w w:val="120"/>
          <w:sz w:val="20"/>
        </w:rPr>
        <w:t>multicultural</w:t>
      </w:r>
      <w:r>
        <w:rPr>
          <w:i/>
          <w:spacing w:val="-14"/>
          <w:w w:val="120"/>
          <w:sz w:val="20"/>
        </w:rPr>
        <w:t> </w:t>
      </w:r>
      <w:r>
        <w:rPr>
          <w:i/>
          <w:w w:val="120"/>
          <w:sz w:val="20"/>
        </w:rPr>
        <w:t>church,</w:t>
      </w:r>
      <w:r>
        <w:rPr>
          <w:i/>
          <w:spacing w:val="-14"/>
          <w:w w:val="120"/>
          <w:sz w:val="20"/>
        </w:rPr>
        <w:t> </w:t>
      </w:r>
      <w:r>
        <w:rPr>
          <w:i/>
          <w:w w:val="120"/>
          <w:sz w:val="20"/>
        </w:rPr>
        <w:t>intercultural</w:t>
      </w:r>
      <w:r>
        <w:rPr>
          <w:i/>
          <w:spacing w:val="-14"/>
          <w:w w:val="120"/>
          <w:sz w:val="20"/>
        </w:rPr>
        <w:t> </w:t>
      </w:r>
      <w:r>
        <w:rPr>
          <w:i/>
          <w:w w:val="120"/>
          <w:sz w:val="20"/>
        </w:rPr>
        <w:t>habit</w:t>
      </w:r>
      <w:r>
        <w:rPr>
          <w:i/>
          <w:spacing w:val="-12"/>
          <w:w w:val="120"/>
          <w:sz w:val="20"/>
        </w:rPr>
        <w:t> </w:t>
      </w:r>
      <w:r>
        <w:rPr>
          <w:w w:val="120"/>
          <w:sz w:val="20"/>
        </w:rPr>
        <w:t>which encourages a broader conversation on inclusion, diversity and hospitality, has been well received by the very active racial justice and intercultural ministry (RJiM) network and a wider cross-section of the United Reformed</w:t>
      </w:r>
      <w:r>
        <w:rPr>
          <w:spacing w:val="13"/>
          <w:w w:val="120"/>
          <w:sz w:val="20"/>
        </w:rPr>
        <w:t> </w:t>
      </w:r>
      <w:r>
        <w:rPr>
          <w:w w:val="120"/>
          <w:sz w:val="20"/>
        </w:rPr>
        <w:t>Church.</w:t>
      </w:r>
    </w:p>
    <w:p>
      <w:pPr>
        <w:pStyle w:val="BodyText"/>
      </w:pPr>
    </w:p>
    <w:p>
      <w:pPr>
        <w:pStyle w:val="ListParagraph"/>
        <w:numPr>
          <w:ilvl w:val="1"/>
          <w:numId w:val="78"/>
        </w:numPr>
        <w:tabs>
          <w:tab w:pos="1927" w:val="left" w:leader="none"/>
          <w:tab w:pos="1928" w:val="left" w:leader="none"/>
        </w:tabs>
        <w:spacing w:line="235" w:lineRule="auto" w:before="1" w:after="0"/>
        <w:ind w:left="1247" w:right="1969" w:firstLine="0"/>
        <w:jc w:val="left"/>
        <w:rPr>
          <w:sz w:val="20"/>
        </w:rPr>
      </w:pPr>
      <w:r>
        <w:rPr>
          <w:w w:val="120"/>
          <w:sz w:val="20"/>
        </w:rPr>
        <w:t>Among the new areas of work underlining the strategic and necessary shift in the work of racial justice and intercultural ministry</w:t>
      </w:r>
      <w:r>
        <w:rPr>
          <w:spacing w:val="10"/>
          <w:w w:val="120"/>
          <w:sz w:val="20"/>
        </w:rPr>
        <w:t> </w:t>
      </w:r>
      <w:r>
        <w:rPr>
          <w:w w:val="120"/>
          <w:sz w:val="20"/>
        </w:rPr>
        <w:t>are:</w:t>
      </w:r>
    </w:p>
    <w:p>
      <w:pPr>
        <w:pStyle w:val="BodyText"/>
        <w:spacing w:before="9"/>
        <w:rPr>
          <w:sz w:val="19"/>
        </w:rPr>
      </w:pPr>
    </w:p>
    <w:p>
      <w:pPr>
        <w:pStyle w:val="ListParagraph"/>
        <w:numPr>
          <w:ilvl w:val="2"/>
          <w:numId w:val="78"/>
        </w:numPr>
        <w:tabs>
          <w:tab w:pos="1928" w:val="left" w:leader="none"/>
        </w:tabs>
        <w:spacing w:line="235" w:lineRule="auto" w:before="0" w:after="0"/>
        <w:ind w:left="1247" w:right="1844" w:firstLine="0"/>
        <w:jc w:val="left"/>
        <w:rPr>
          <w:sz w:val="20"/>
        </w:rPr>
      </w:pPr>
      <w:r>
        <w:rPr>
          <w:w w:val="120"/>
          <w:sz w:val="20"/>
        </w:rPr>
        <w:t>Strategic work to enable, develop and nurture the contributions of black and minority ethnic ministers in the United Reformed Church. One example is the intentional and specific attention currently given to the growing number of Korean ministers and communities living in the UK and the implications for mission and ministry. Work has started on developing a memorandum of understanding that  would  identify  best practice related to partnership in mission and ministry in the </w:t>
      </w:r>
      <w:r>
        <w:rPr>
          <w:spacing w:val="2"/>
          <w:w w:val="120"/>
          <w:sz w:val="20"/>
        </w:rPr>
        <w:t>UK, </w:t>
      </w:r>
      <w:r>
        <w:rPr>
          <w:w w:val="120"/>
          <w:sz w:val="20"/>
        </w:rPr>
        <w:t>including accountability and the sharing of resources. This initiative will include input from synod moderators, Korean partner churches, Korean ministers on the United Reformed Church roll of ministers or associated with the United Reformed Church, and the staff secretaries</w:t>
      </w:r>
      <w:r>
        <w:rPr>
          <w:spacing w:val="-12"/>
          <w:w w:val="120"/>
          <w:sz w:val="20"/>
        </w:rPr>
        <w:t> </w:t>
      </w:r>
      <w:r>
        <w:rPr>
          <w:w w:val="120"/>
          <w:sz w:val="20"/>
        </w:rPr>
        <w:t>for</w:t>
      </w:r>
    </w:p>
    <w:p>
      <w:pPr>
        <w:spacing w:after="0" w:line="235" w:lineRule="auto"/>
        <w:jc w:val="left"/>
        <w:rPr>
          <w:sz w:val="20"/>
        </w:rPr>
        <w:sectPr>
          <w:headerReference w:type="even" r:id="rId316"/>
          <w:pgSz w:w="11910" w:h="16840"/>
          <w:pgMar w:header="0" w:footer="647" w:top="0" w:bottom="840" w:left="0" w:right="0"/>
        </w:sectPr>
      </w:pPr>
    </w:p>
    <w:p>
      <w:pPr>
        <w:pStyle w:val="BodyText"/>
      </w:pPr>
      <w:r>
        <w:rPr/>
        <w:drawing>
          <wp:anchor distT="0" distB="0" distL="0" distR="0" allowOverlap="1" layoutInCell="1" locked="0" behindDoc="0" simplePos="0" relativeHeight="252020736">
            <wp:simplePos x="0" y="0"/>
            <wp:positionH relativeFrom="page">
              <wp:posOffset>6974928</wp:posOffset>
            </wp:positionH>
            <wp:positionV relativeFrom="page">
              <wp:posOffset>0</wp:posOffset>
            </wp:positionV>
            <wp:extent cx="585063" cy="10692003"/>
            <wp:effectExtent l="0" t="0" r="0" b="0"/>
            <wp:wrapNone/>
            <wp:docPr id="249" name="image25.png"/>
            <wp:cNvGraphicFramePr>
              <a:graphicFrameLocks noChangeAspect="1"/>
            </wp:cNvGraphicFramePr>
            <a:graphic>
              <a:graphicData uri="http://schemas.openxmlformats.org/drawingml/2006/picture">
                <pic:pic>
                  <pic:nvPicPr>
                    <pic:cNvPr id="250" name="image25.png"/>
                    <pic:cNvPicPr/>
                  </pic:nvPicPr>
                  <pic:blipFill>
                    <a:blip r:embed="rId192"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pStyle w:val="Heading5"/>
        <w:ind w:left="0" w:right="1245"/>
        <w:jc w:val="right"/>
      </w:pPr>
      <w:r>
        <w:rPr/>
        <w:pict>
          <v:shape style="position:absolute;margin-left:554.141174pt;margin-top:22.593945pt;width:25.9pt;height:78.850pt;mso-position-horizontal-relative:page;mso-position-vertical-relative:paragraph;z-index:252021760" type="#_x0000_t202" filled="false" stroked="false">
            <v:textbox inset="0,0,0,0" style="layout-flow:vertical">
              <w:txbxContent>
                <w:p>
                  <w:pPr>
                    <w:spacing w:before="27"/>
                    <w:ind w:left="20" w:right="0" w:firstLine="0"/>
                    <w:jc w:val="left"/>
                    <w:rPr>
                      <w:sz w:val="39"/>
                    </w:rPr>
                  </w:pPr>
                  <w:r>
                    <w:rPr>
                      <w:color w:val="FFFFFF"/>
                      <w:w w:val="115"/>
                      <w:sz w:val="39"/>
                    </w:rPr>
                    <w:t>Mission</w:t>
                  </w:r>
                </w:p>
              </w:txbxContent>
            </v:textbox>
            <w10:wrap type="none"/>
          </v:shape>
        </w:pict>
      </w:r>
      <w:r>
        <w:rPr>
          <w:color w:val="7EAABF"/>
          <w:w w:val="110"/>
        </w:rPr>
        <w:t>Mission</w:t>
      </w:r>
    </w:p>
    <w:p>
      <w:pPr>
        <w:pStyle w:val="BodyText"/>
        <w:spacing w:line="235" w:lineRule="auto" w:before="222"/>
        <w:ind w:left="1984" w:right="1352"/>
      </w:pPr>
      <w:r>
        <w:rPr>
          <w:w w:val="120"/>
        </w:rPr>
        <w:t>mission, intercultural ministry, ecumenical relations, world church relations, ministries and education and learning. A large gathering of Korean ministers and lay leaders is planned for 2014.</w:t>
      </w:r>
    </w:p>
    <w:p>
      <w:pPr>
        <w:pStyle w:val="BodyText"/>
        <w:spacing w:before="10"/>
        <w:rPr>
          <w:sz w:val="19"/>
        </w:rPr>
      </w:pPr>
    </w:p>
    <w:p>
      <w:pPr>
        <w:pStyle w:val="ListParagraph"/>
        <w:numPr>
          <w:ilvl w:val="2"/>
          <w:numId w:val="78"/>
        </w:numPr>
        <w:tabs>
          <w:tab w:pos="2665" w:val="left" w:leader="none"/>
        </w:tabs>
        <w:spacing w:line="235" w:lineRule="auto" w:before="0" w:after="0"/>
        <w:ind w:left="1984" w:right="1481" w:firstLine="0"/>
        <w:jc w:val="left"/>
        <w:rPr>
          <w:sz w:val="20"/>
        </w:rPr>
      </w:pPr>
      <w:r>
        <w:rPr>
          <w:w w:val="120"/>
          <w:sz w:val="20"/>
        </w:rPr>
        <w:t>Collaborative work with the urban URC network, the equalities committee and education and learning to develop a series of new resources to enable and deliver   the </w:t>
      </w:r>
      <w:r>
        <w:rPr>
          <w:i/>
          <w:w w:val="120"/>
          <w:sz w:val="20"/>
        </w:rPr>
        <w:t>multicultural church, intercultural habit </w:t>
      </w:r>
      <w:r>
        <w:rPr>
          <w:w w:val="120"/>
          <w:sz w:val="20"/>
        </w:rPr>
        <w:t>shift in local congregations. The resources will</w:t>
      </w:r>
      <w:r>
        <w:rPr>
          <w:spacing w:val="5"/>
          <w:w w:val="120"/>
          <w:sz w:val="20"/>
        </w:rPr>
        <w:t> </w:t>
      </w:r>
      <w:r>
        <w:rPr>
          <w:w w:val="120"/>
          <w:sz w:val="20"/>
        </w:rPr>
        <w:t>be</w:t>
      </w:r>
      <w:r>
        <w:rPr>
          <w:spacing w:val="6"/>
          <w:w w:val="120"/>
          <w:sz w:val="20"/>
        </w:rPr>
        <w:t> </w:t>
      </w:r>
      <w:r>
        <w:rPr>
          <w:w w:val="120"/>
          <w:sz w:val="20"/>
        </w:rPr>
        <w:t>made</w:t>
      </w:r>
      <w:r>
        <w:rPr>
          <w:spacing w:val="5"/>
          <w:w w:val="120"/>
          <w:sz w:val="20"/>
        </w:rPr>
        <w:t> </w:t>
      </w:r>
      <w:r>
        <w:rPr>
          <w:w w:val="120"/>
          <w:sz w:val="20"/>
        </w:rPr>
        <w:t>available</w:t>
      </w:r>
      <w:r>
        <w:rPr>
          <w:spacing w:val="6"/>
          <w:w w:val="120"/>
          <w:sz w:val="20"/>
        </w:rPr>
        <w:t> </w:t>
      </w:r>
      <w:r>
        <w:rPr>
          <w:w w:val="120"/>
          <w:sz w:val="20"/>
        </w:rPr>
        <w:t>online</w:t>
      </w:r>
      <w:r>
        <w:rPr>
          <w:spacing w:val="5"/>
          <w:w w:val="120"/>
          <w:sz w:val="20"/>
        </w:rPr>
        <w:t> </w:t>
      </w:r>
      <w:r>
        <w:rPr>
          <w:w w:val="120"/>
          <w:sz w:val="20"/>
        </w:rPr>
        <w:t>and</w:t>
      </w:r>
      <w:r>
        <w:rPr>
          <w:spacing w:val="6"/>
          <w:w w:val="120"/>
          <w:sz w:val="20"/>
        </w:rPr>
        <w:t> </w:t>
      </w:r>
      <w:r>
        <w:rPr>
          <w:w w:val="120"/>
          <w:sz w:val="20"/>
        </w:rPr>
        <w:t>as</w:t>
      </w:r>
      <w:r>
        <w:rPr>
          <w:spacing w:val="5"/>
          <w:w w:val="120"/>
          <w:sz w:val="20"/>
        </w:rPr>
        <w:t> </w:t>
      </w:r>
      <w:r>
        <w:rPr>
          <w:w w:val="120"/>
          <w:sz w:val="20"/>
        </w:rPr>
        <w:t>hard</w:t>
      </w:r>
      <w:r>
        <w:rPr>
          <w:spacing w:val="6"/>
          <w:w w:val="120"/>
          <w:sz w:val="20"/>
        </w:rPr>
        <w:t> </w:t>
      </w:r>
      <w:r>
        <w:rPr>
          <w:w w:val="120"/>
          <w:sz w:val="20"/>
        </w:rPr>
        <w:t>copies</w:t>
      </w:r>
      <w:r>
        <w:rPr>
          <w:spacing w:val="5"/>
          <w:w w:val="120"/>
          <w:sz w:val="20"/>
        </w:rPr>
        <w:t> </w:t>
      </w:r>
      <w:r>
        <w:rPr>
          <w:spacing w:val="-3"/>
          <w:w w:val="120"/>
          <w:sz w:val="20"/>
        </w:rPr>
        <w:t>(upon</w:t>
      </w:r>
      <w:r>
        <w:rPr>
          <w:spacing w:val="6"/>
          <w:w w:val="120"/>
          <w:sz w:val="20"/>
        </w:rPr>
        <w:t> </w:t>
      </w:r>
      <w:r>
        <w:rPr>
          <w:w w:val="120"/>
          <w:sz w:val="20"/>
        </w:rPr>
        <w:t>order).</w:t>
      </w:r>
      <w:r>
        <w:rPr>
          <w:spacing w:val="5"/>
          <w:w w:val="120"/>
          <w:sz w:val="20"/>
        </w:rPr>
        <w:t> </w:t>
      </w:r>
      <w:r>
        <w:rPr>
          <w:w w:val="120"/>
          <w:sz w:val="20"/>
        </w:rPr>
        <w:t>The</w:t>
      </w:r>
      <w:r>
        <w:rPr>
          <w:spacing w:val="6"/>
          <w:w w:val="120"/>
          <w:sz w:val="20"/>
        </w:rPr>
        <w:t> </w:t>
      </w:r>
      <w:r>
        <w:rPr>
          <w:w w:val="120"/>
          <w:sz w:val="20"/>
        </w:rPr>
        <w:t>racial</w:t>
      </w:r>
      <w:r>
        <w:rPr>
          <w:spacing w:val="6"/>
          <w:w w:val="120"/>
          <w:sz w:val="20"/>
        </w:rPr>
        <w:t> </w:t>
      </w:r>
      <w:r>
        <w:rPr>
          <w:w w:val="120"/>
          <w:sz w:val="20"/>
        </w:rPr>
        <w:t>justice</w:t>
      </w:r>
      <w:r>
        <w:rPr>
          <w:spacing w:val="5"/>
          <w:w w:val="120"/>
          <w:sz w:val="20"/>
        </w:rPr>
        <w:t> </w:t>
      </w:r>
      <w:r>
        <w:rPr>
          <w:w w:val="120"/>
          <w:sz w:val="20"/>
        </w:rPr>
        <w:t>and</w:t>
      </w:r>
    </w:p>
    <w:p>
      <w:pPr>
        <w:pStyle w:val="BodyText"/>
        <w:spacing w:line="235" w:lineRule="auto" w:before="3"/>
        <w:ind w:left="1984" w:right="1301"/>
      </w:pPr>
      <w:r>
        <w:rPr>
          <w:w w:val="120"/>
        </w:rPr>
        <w:t>intercultural ministry office invites suggestions from synods/churches on resources they would value.</w:t>
      </w:r>
    </w:p>
    <w:p>
      <w:pPr>
        <w:pStyle w:val="BodyText"/>
        <w:spacing w:before="9"/>
        <w:rPr>
          <w:sz w:val="19"/>
        </w:rPr>
      </w:pPr>
    </w:p>
    <w:p>
      <w:pPr>
        <w:pStyle w:val="ListParagraph"/>
        <w:numPr>
          <w:ilvl w:val="2"/>
          <w:numId w:val="78"/>
        </w:numPr>
        <w:tabs>
          <w:tab w:pos="2665" w:val="left" w:leader="none"/>
        </w:tabs>
        <w:spacing w:line="235" w:lineRule="auto" w:before="0" w:after="0"/>
        <w:ind w:left="1984" w:right="1312" w:firstLine="0"/>
        <w:jc w:val="left"/>
        <w:rPr>
          <w:sz w:val="20"/>
        </w:rPr>
      </w:pPr>
      <w:r>
        <w:rPr>
          <w:w w:val="120"/>
          <w:sz w:val="20"/>
        </w:rPr>
        <w:t>A significant feature of church life in the UK for at least the last 30 years has been the number of places where one church shares its premises with another worshipping congregation. With new migrant communities this pattern is growing exponentially.  The relationship will </w:t>
      </w:r>
      <w:r>
        <w:rPr>
          <w:spacing w:val="2"/>
          <w:w w:val="120"/>
          <w:sz w:val="20"/>
        </w:rPr>
        <w:t>vary </w:t>
      </w:r>
      <w:r>
        <w:rPr>
          <w:w w:val="120"/>
          <w:sz w:val="20"/>
        </w:rPr>
        <w:t>from an intentional and growing partnership to one of simply renting space. However, recent research by racial justice and intercultural</w:t>
      </w:r>
      <w:r>
        <w:rPr>
          <w:spacing w:val="11"/>
          <w:w w:val="120"/>
          <w:sz w:val="20"/>
        </w:rPr>
        <w:t> </w:t>
      </w:r>
      <w:r>
        <w:rPr>
          <w:w w:val="120"/>
          <w:sz w:val="20"/>
        </w:rPr>
        <w:t>ministry</w:t>
      </w:r>
    </w:p>
    <w:p>
      <w:pPr>
        <w:pStyle w:val="BodyText"/>
        <w:spacing w:line="235" w:lineRule="auto" w:before="4"/>
        <w:ind w:left="1984" w:right="1521"/>
      </w:pPr>
      <w:r>
        <w:rPr>
          <w:w w:val="120"/>
        </w:rPr>
        <w:t>and the urban URC network reveals that, in spite of the challenges related to shared worship spaces, there are potentially exciting opportunities for partnership in mission and ministry. To this end, racial justice and intercultural ministry and the urban URC network are creating a handbook to help local congregations to develop this ministry. As part of this process we will be piloting a ‘better hosting’ conversation gathering (May 2014) with the aim of having a larger gathering in May 2015.</w:t>
      </w:r>
    </w:p>
    <w:p>
      <w:pPr>
        <w:pStyle w:val="BodyText"/>
        <w:spacing w:before="9"/>
        <w:rPr>
          <w:sz w:val="17"/>
        </w:rPr>
      </w:pPr>
    </w:p>
    <w:p>
      <w:pPr>
        <w:pStyle w:val="Heading4"/>
        <w:numPr>
          <w:ilvl w:val="0"/>
          <w:numId w:val="78"/>
        </w:numPr>
        <w:tabs>
          <w:tab w:pos="2664" w:val="left" w:leader="none"/>
          <w:tab w:pos="2665" w:val="left" w:leader="none"/>
        </w:tabs>
        <w:spacing w:line="240" w:lineRule="auto" w:before="0" w:after="0"/>
        <w:ind w:left="2664" w:right="0" w:hanging="681"/>
        <w:jc w:val="left"/>
      </w:pPr>
      <w:r>
        <w:rPr>
          <w:spacing w:val="3"/>
          <w:w w:val="110"/>
        </w:rPr>
        <w:t>Evangelism</w:t>
      </w:r>
    </w:p>
    <w:p>
      <w:pPr>
        <w:pStyle w:val="ListParagraph"/>
        <w:numPr>
          <w:ilvl w:val="1"/>
          <w:numId w:val="78"/>
        </w:numPr>
        <w:tabs>
          <w:tab w:pos="2664" w:val="left" w:leader="none"/>
          <w:tab w:pos="2665" w:val="left" w:leader="none"/>
        </w:tabs>
        <w:spacing w:line="235" w:lineRule="auto" w:before="69" w:after="0"/>
        <w:ind w:left="1984" w:right="1357" w:firstLine="0"/>
        <w:jc w:val="left"/>
        <w:rPr>
          <w:sz w:val="20"/>
        </w:rPr>
      </w:pPr>
      <w:r>
        <w:rPr>
          <w:w w:val="120"/>
          <w:sz w:val="20"/>
        </w:rPr>
        <w:t>The mission committee and the Revd Dr Michael Jagessar in his role as the moderator of General Assembly have sponsored ArtTalk, a process to link churches and communities through </w:t>
      </w:r>
      <w:r>
        <w:rPr>
          <w:spacing w:val="2"/>
          <w:w w:val="120"/>
          <w:sz w:val="20"/>
        </w:rPr>
        <w:t>art. </w:t>
      </w:r>
      <w:r>
        <w:rPr>
          <w:w w:val="120"/>
          <w:sz w:val="20"/>
        </w:rPr>
        <w:t>The feedback has been so inspiring that mission committee  is extending this work to </w:t>
      </w:r>
      <w:r>
        <w:rPr>
          <w:spacing w:val="-4"/>
          <w:w w:val="120"/>
          <w:sz w:val="20"/>
        </w:rPr>
        <w:t>CreateTalk, </w:t>
      </w:r>
      <w:r>
        <w:rPr>
          <w:w w:val="120"/>
          <w:sz w:val="20"/>
        </w:rPr>
        <w:t>linking churches and communities through all the creative</w:t>
      </w:r>
      <w:r>
        <w:rPr>
          <w:spacing w:val="1"/>
          <w:w w:val="120"/>
          <w:sz w:val="20"/>
        </w:rPr>
        <w:t> </w:t>
      </w:r>
      <w:r>
        <w:rPr>
          <w:spacing w:val="3"/>
          <w:w w:val="120"/>
          <w:sz w:val="20"/>
        </w:rPr>
        <w:t>arts.</w:t>
      </w:r>
    </w:p>
    <w:p>
      <w:pPr>
        <w:pStyle w:val="BodyText"/>
      </w:pPr>
    </w:p>
    <w:p>
      <w:pPr>
        <w:pStyle w:val="ListParagraph"/>
        <w:numPr>
          <w:ilvl w:val="1"/>
          <w:numId w:val="78"/>
        </w:numPr>
        <w:tabs>
          <w:tab w:pos="2664" w:val="left" w:leader="none"/>
          <w:tab w:pos="2665" w:val="left" w:leader="none"/>
        </w:tabs>
        <w:spacing w:line="235" w:lineRule="auto" w:before="0" w:after="0"/>
        <w:ind w:left="1984" w:right="1306" w:firstLine="0"/>
        <w:jc w:val="left"/>
        <w:rPr>
          <w:sz w:val="20"/>
        </w:rPr>
      </w:pPr>
      <w:r>
        <w:rPr>
          <w:w w:val="120"/>
          <w:sz w:val="20"/>
        </w:rPr>
        <w:t>CreateTalk will </w:t>
      </w:r>
      <w:r>
        <w:rPr>
          <w:spacing w:val="2"/>
          <w:w w:val="120"/>
          <w:sz w:val="20"/>
        </w:rPr>
        <w:t>see </w:t>
      </w:r>
      <w:r>
        <w:rPr>
          <w:w w:val="120"/>
          <w:sz w:val="20"/>
        </w:rPr>
        <w:t>a </w:t>
      </w:r>
      <w:r>
        <w:rPr>
          <w:spacing w:val="3"/>
          <w:w w:val="120"/>
          <w:sz w:val="20"/>
        </w:rPr>
        <w:t>range </w:t>
      </w:r>
      <w:r>
        <w:rPr>
          <w:w w:val="120"/>
          <w:sz w:val="20"/>
        </w:rPr>
        <w:t>of </w:t>
      </w:r>
      <w:r>
        <w:rPr>
          <w:spacing w:val="2"/>
          <w:w w:val="120"/>
          <w:sz w:val="20"/>
        </w:rPr>
        <w:t>people throughout </w:t>
      </w:r>
      <w:r>
        <w:rPr>
          <w:w w:val="120"/>
          <w:sz w:val="20"/>
        </w:rPr>
        <w:t>the United </w:t>
      </w:r>
      <w:r>
        <w:rPr>
          <w:spacing w:val="2"/>
          <w:w w:val="120"/>
          <w:sz w:val="20"/>
        </w:rPr>
        <w:t>Reformed </w:t>
      </w:r>
      <w:r>
        <w:rPr>
          <w:w w:val="120"/>
          <w:sz w:val="20"/>
        </w:rPr>
        <w:t>Church, already</w:t>
      </w:r>
      <w:r>
        <w:rPr>
          <w:spacing w:val="17"/>
          <w:w w:val="120"/>
          <w:sz w:val="20"/>
        </w:rPr>
        <w:t> </w:t>
      </w:r>
      <w:r>
        <w:rPr>
          <w:w w:val="120"/>
          <w:sz w:val="20"/>
        </w:rPr>
        <w:t>involved</w:t>
      </w:r>
      <w:r>
        <w:rPr>
          <w:spacing w:val="18"/>
          <w:w w:val="120"/>
          <w:sz w:val="20"/>
        </w:rPr>
        <w:t> </w:t>
      </w:r>
      <w:r>
        <w:rPr>
          <w:w w:val="120"/>
          <w:sz w:val="20"/>
        </w:rPr>
        <w:t>in</w:t>
      </w:r>
      <w:r>
        <w:rPr>
          <w:spacing w:val="17"/>
          <w:w w:val="120"/>
          <w:sz w:val="20"/>
        </w:rPr>
        <w:t> </w:t>
      </w:r>
      <w:r>
        <w:rPr>
          <w:w w:val="120"/>
          <w:sz w:val="20"/>
        </w:rPr>
        <w:t>innovative</w:t>
      </w:r>
      <w:r>
        <w:rPr>
          <w:spacing w:val="18"/>
          <w:w w:val="120"/>
          <w:sz w:val="20"/>
        </w:rPr>
        <w:t> </w:t>
      </w:r>
      <w:r>
        <w:rPr>
          <w:spacing w:val="2"/>
          <w:w w:val="120"/>
          <w:sz w:val="20"/>
        </w:rPr>
        <w:t>work,</w:t>
      </w:r>
      <w:r>
        <w:rPr>
          <w:spacing w:val="17"/>
          <w:w w:val="120"/>
          <w:sz w:val="20"/>
        </w:rPr>
        <w:t> </w:t>
      </w:r>
      <w:r>
        <w:rPr>
          <w:w w:val="120"/>
          <w:sz w:val="20"/>
        </w:rPr>
        <w:t>mentoring</w:t>
      </w:r>
      <w:r>
        <w:rPr>
          <w:spacing w:val="18"/>
          <w:w w:val="120"/>
          <w:sz w:val="20"/>
        </w:rPr>
        <w:t> </w:t>
      </w:r>
      <w:r>
        <w:rPr>
          <w:spacing w:val="2"/>
          <w:w w:val="120"/>
          <w:sz w:val="20"/>
        </w:rPr>
        <w:t>local</w:t>
      </w:r>
      <w:r>
        <w:rPr>
          <w:spacing w:val="17"/>
          <w:w w:val="120"/>
          <w:sz w:val="20"/>
        </w:rPr>
        <w:t> </w:t>
      </w:r>
      <w:r>
        <w:rPr>
          <w:w w:val="120"/>
          <w:sz w:val="20"/>
        </w:rPr>
        <w:t>congregations</w:t>
      </w:r>
      <w:r>
        <w:rPr>
          <w:spacing w:val="18"/>
          <w:w w:val="120"/>
          <w:sz w:val="20"/>
        </w:rPr>
        <w:t> </w:t>
      </w:r>
      <w:r>
        <w:rPr>
          <w:w w:val="120"/>
          <w:sz w:val="20"/>
        </w:rPr>
        <w:t>to</w:t>
      </w:r>
      <w:r>
        <w:rPr>
          <w:spacing w:val="17"/>
          <w:w w:val="120"/>
          <w:sz w:val="20"/>
        </w:rPr>
        <w:t> </w:t>
      </w:r>
      <w:r>
        <w:rPr>
          <w:w w:val="120"/>
          <w:sz w:val="20"/>
        </w:rPr>
        <w:t>do</w:t>
      </w:r>
      <w:r>
        <w:rPr>
          <w:spacing w:val="18"/>
          <w:w w:val="120"/>
          <w:sz w:val="20"/>
        </w:rPr>
        <w:t> </w:t>
      </w:r>
      <w:r>
        <w:rPr>
          <w:w w:val="120"/>
          <w:sz w:val="20"/>
        </w:rPr>
        <w:t>the</w:t>
      </w:r>
      <w:r>
        <w:rPr>
          <w:spacing w:val="18"/>
          <w:w w:val="120"/>
          <w:sz w:val="20"/>
        </w:rPr>
        <w:t> </w:t>
      </w:r>
      <w:r>
        <w:rPr>
          <w:w w:val="120"/>
          <w:sz w:val="20"/>
        </w:rPr>
        <w:t>kind</w:t>
      </w:r>
    </w:p>
    <w:p>
      <w:pPr>
        <w:pStyle w:val="BodyText"/>
        <w:spacing w:line="235" w:lineRule="auto" w:before="1"/>
        <w:ind w:left="1984" w:right="1748"/>
      </w:pPr>
      <w:r>
        <w:rPr>
          <w:w w:val="120"/>
        </w:rPr>
        <w:t>of </w:t>
      </w:r>
      <w:r>
        <w:rPr>
          <w:spacing w:val="3"/>
          <w:w w:val="120"/>
        </w:rPr>
        <w:t>projects </w:t>
      </w:r>
      <w:r>
        <w:rPr>
          <w:w w:val="120"/>
        </w:rPr>
        <w:t>which have already </w:t>
      </w:r>
      <w:r>
        <w:rPr>
          <w:spacing w:val="2"/>
          <w:w w:val="120"/>
        </w:rPr>
        <w:t>been </w:t>
      </w:r>
      <w:r>
        <w:rPr>
          <w:w w:val="120"/>
        </w:rPr>
        <w:t>successful. </w:t>
      </w:r>
      <w:r>
        <w:rPr>
          <w:spacing w:val="2"/>
          <w:w w:val="120"/>
        </w:rPr>
        <w:t>One project </w:t>
      </w:r>
      <w:r>
        <w:rPr>
          <w:w w:val="120"/>
        </w:rPr>
        <w:t>team said: “ArtTalk     is </w:t>
      </w:r>
      <w:r>
        <w:rPr>
          <w:spacing w:val="2"/>
          <w:w w:val="120"/>
        </w:rPr>
        <w:t>about </w:t>
      </w:r>
      <w:r>
        <w:rPr>
          <w:w w:val="120"/>
        </w:rPr>
        <w:t>inclusion. It </w:t>
      </w:r>
      <w:r>
        <w:rPr>
          <w:spacing w:val="2"/>
          <w:w w:val="120"/>
        </w:rPr>
        <w:t>enables </w:t>
      </w:r>
      <w:r>
        <w:rPr>
          <w:w w:val="120"/>
        </w:rPr>
        <w:t>the church to welcome and work with </w:t>
      </w:r>
      <w:r>
        <w:rPr>
          <w:spacing w:val="2"/>
          <w:w w:val="120"/>
        </w:rPr>
        <w:t>people </w:t>
      </w:r>
      <w:r>
        <w:rPr>
          <w:w w:val="120"/>
        </w:rPr>
        <w:t>of all </w:t>
      </w:r>
      <w:r>
        <w:rPr>
          <w:spacing w:val="2"/>
          <w:w w:val="120"/>
        </w:rPr>
        <w:t>ages </w:t>
      </w:r>
      <w:r>
        <w:rPr>
          <w:w w:val="120"/>
        </w:rPr>
        <w:t>and abilities. It allows for </w:t>
      </w:r>
      <w:r>
        <w:rPr>
          <w:spacing w:val="2"/>
          <w:w w:val="120"/>
        </w:rPr>
        <w:t>multi-faith </w:t>
      </w:r>
      <w:r>
        <w:rPr>
          <w:w w:val="120"/>
        </w:rPr>
        <w:t>discussion and ecumenical </w:t>
      </w:r>
      <w:r>
        <w:rPr>
          <w:spacing w:val="2"/>
          <w:w w:val="120"/>
        </w:rPr>
        <w:t>sharing. The </w:t>
      </w:r>
      <w:r>
        <w:rPr>
          <w:spacing w:val="3"/>
          <w:w w:val="120"/>
        </w:rPr>
        <w:t>biggest</w:t>
      </w:r>
      <w:r>
        <w:rPr>
          <w:spacing w:val="15"/>
          <w:w w:val="120"/>
        </w:rPr>
        <w:t> </w:t>
      </w:r>
      <w:r>
        <w:rPr>
          <w:w w:val="120"/>
        </w:rPr>
        <w:t>reason</w:t>
      </w:r>
      <w:r>
        <w:rPr>
          <w:spacing w:val="15"/>
          <w:w w:val="120"/>
        </w:rPr>
        <w:t> </w:t>
      </w:r>
      <w:r>
        <w:rPr>
          <w:w w:val="120"/>
        </w:rPr>
        <w:t>why</w:t>
      </w:r>
      <w:r>
        <w:rPr>
          <w:spacing w:val="15"/>
          <w:w w:val="120"/>
        </w:rPr>
        <w:t> </w:t>
      </w:r>
      <w:r>
        <w:rPr>
          <w:w w:val="120"/>
        </w:rPr>
        <w:t>a</w:t>
      </w:r>
      <w:r>
        <w:rPr>
          <w:spacing w:val="15"/>
          <w:w w:val="120"/>
        </w:rPr>
        <w:t> </w:t>
      </w:r>
      <w:r>
        <w:rPr>
          <w:w w:val="120"/>
        </w:rPr>
        <w:t>church</w:t>
      </w:r>
      <w:r>
        <w:rPr>
          <w:spacing w:val="14"/>
          <w:w w:val="120"/>
        </w:rPr>
        <w:t> </w:t>
      </w:r>
      <w:r>
        <w:rPr>
          <w:w w:val="120"/>
        </w:rPr>
        <w:t>or</w:t>
      </w:r>
      <w:r>
        <w:rPr>
          <w:spacing w:val="15"/>
          <w:w w:val="120"/>
        </w:rPr>
        <w:t> </w:t>
      </w:r>
      <w:r>
        <w:rPr>
          <w:w w:val="120"/>
        </w:rPr>
        <w:t>group</w:t>
      </w:r>
      <w:r>
        <w:rPr>
          <w:spacing w:val="15"/>
          <w:w w:val="120"/>
        </w:rPr>
        <w:t> </w:t>
      </w:r>
      <w:r>
        <w:rPr>
          <w:w w:val="120"/>
        </w:rPr>
        <w:t>should</w:t>
      </w:r>
      <w:r>
        <w:rPr>
          <w:spacing w:val="15"/>
          <w:w w:val="120"/>
        </w:rPr>
        <w:t> </w:t>
      </w:r>
      <w:r>
        <w:rPr>
          <w:spacing w:val="2"/>
          <w:w w:val="120"/>
        </w:rPr>
        <w:t>run</w:t>
      </w:r>
      <w:r>
        <w:rPr>
          <w:spacing w:val="15"/>
          <w:w w:val="120"/>
        </w:rPr>
        <w:t> </w:t>
      </w:r>
      <w:r>
        <w:rPr>
          <w:w w:val="120"/>
        </w:rPr>
        <w:t>an</w:t>
      </w:r>
      <w:r>
        <w:rPr>
          <w:spacing w:val="15"/>
          <w:w w:val="120"/>
        </w:rPr>
        <w:t> </w:t>
      </w:r>
      <w:r>
        <w:rPr>
          <w:w w:val="120"/>
        </w:rPr>
        <w:t>ArtTalk</w:t>
      </w:r>
      <w:r>
        <w:rPr>
          <w:spacing w:val="15"/>
          <w:w w:val="120"/>
        </w:rPr>
        <w:t> </w:t>
      </w:r>
      <w:r>
        <w:rPr>
          <w:spacing w:val="2"/>
          <w:w w:val="120"/>
        </w:rPr>
        <w:t>project</w:t>
      </w:r>
      <w:r>
        <w:rPr>
          <w:spacing w:val="15"/>
          <w:w w:val="120"/>
        </w:rPr>
        <w:t> </w:t>
      </w:r>
      <w:r>
        <w:rPr>
          <w:w w:val="120"/>
        </w:rPr>
        <w:t>is</w:t>
      </w:r>
      <w:r>
        <w:rPr>
          <w:spacing w:val="15"/>
          <w:w w:val="120"/>
        </w:rPr>
        <w:t> </w:t>
      </w:r>
      <w:r>
        <w:rPr>
          <w:w w:val="120"/>
        </w:rPr>
        <w:t>because</w:t>
      </w:r>
      <w:r>
        <w:rPr>
          <w:spacing w:val="15"/>
          <w:w w:val="120"/>
        </w:rPr>
        <w:t> </w:t>
      </w:r>
      <w:r>
        <w:rPr>
          <w:w w:val="120"/>
        </w:rPr>
        <w:t>it</w:t>
      </w:r>
    </w:p>
    <w:p>
      <w:pPr>
        <w:pStyle w:val="BodyText"/>
        <w:spacing w:line="235" w:lineRule="auto" w:before="3"/>
        <w:ind w:left="1984" w:right="1352"/>
      </w:pPr>
      <w:r>
        <w:rPr>
          <w:spacing w:val="2"/>
          <w:w w:val="120"/>
        </w:rPr>
        <w:t>enables </w:t>
      </w:r>
      <w:r>
        <w:rPr>
          <w:w w:val="120"/>
        </w:rPr>
        <w:t>them to share God’s love and work for </w:t>
      </w:r>
      <w:r>
        <w:rPr>
          <w:spacing w:val="2"/>
          <w:w w:val="120"/>
        </w:rPr>
        <w:t>Christ </w:t>
      </w:r>
      <w:r>
        <w:rPr>
          <w:w w:val="120"/>
        </w:rPr>
        <w:t>in the community” </w:t>
      </w:r>
      <w:r>
        <w:rPr>
          <w:spacing w:val="2"/>
          <w:w w:val="120"/>
        </w:rPr>
        <w:t>(Moldgreen </w:t>
      </w:r>
      <w:r>
        <w:rPr>
          <w:w w:val="120"/>
        </w:rPr>
        <w:t>United </w:t>
      </w:r>
      <w:r>
        <w:rPr>
          <w:spacing w:val="2"/>
          <w:w w:val="120"/>
        </w:rPr>
        <w:t>Reformed </w:t>
      </w:r>
      <w:r>
        <w:rPr>
          <w:w w:val="120"/>
        </w:rPr>
        <w:t>Church). In Cullompton, ArtTalk worked with the </w:t>
      </w:r>
      <w:r>
        <w:rPr>
          <w:spacing w:val="2"/>
          <w:w w:val="120"/>
        </w:rPr>
        <w:t>South </w:t>
      </w:r>
      <w:r>
        <w:rPr>
          <w:w w:val="120"/>
        </w:rPr>
        <w:t>Western Synod’s emerging church </w:t>
      </w:r>
      <w:r>
        <w:rPr>
          <w:spacing w:val="2"/>
          <w:w w:val="120"/>
        </w:rPr>
        <w:t>pioneer </w:t>
      </w:r>
      <w:r>
        <w:rPr>
          <w:w w:val="120"/>
        </w:rPr>
        <w:t>minister and a </w:t>
      </w:r>
      <w:r>
        <w:rPr>
          <w:spacing w:val="2"/>
          <w:w w:val="120"/>
        </w:rPr>
        <w:t>network </w:t>
      </w:r>
      <w:r>
        <w:rPr>
          <w:w w:val="120"/>
        </w:rPr>
        <w:t>of volunteers called </w:t>
      </w:r>
      <w:r>
        <w:rPr>
          <w:spacing w:val="2"/>
          <w:w w:val="120"/>
        </w:rPr>
        <w:t>Hug </w:t>
      </w:r>
      <w:r>
        <w:rPr>
          <w:w w:val="120"/>
        </w:rPr>
        <w:t>Cullompton to create a community </w:t>
      </w:r>
      <w:r>
        <w:rPr>
          <w:spacing w:val="3"/>
          <w:w w:val="120"/>
        </w:rPr>
        <w:t>gallery </w:t>
      </w:r>
      <w:r>
        <w:rPr>
          <w:w w:val="120"/>
        </w:rPr>
        <w:t>in an </w:t>
      </w:r>
      <w:r>
        <w:rPr>
          <w:spacing w:val="2"/>
          <w:w w:val="120"/>
        </w:rPr>
        <w:t>empty </w:t>
      </w:r>
      <w:r>
        <w:rPr>
          <w:w w:val="120"/>
        </w:rPr>
        <w:t>shop. </w:t>
      </w:r>
      <w:r>
        <w:rPr>
          <w:spacing w:val="2"/>
          <w:w w:val="120"/>
        </w:rPr>
        <w:t>The exhibition gathered </w:t>
      </w:r>
      <w:r>
        <w:rPr>
          <w:spacing w:val="4"/>
          <w:w w:val="120"/>
        </w:rPr>
        <w:t>artists </w:t>
      </w:r>
      <w:r>
        <w:rPr>
          <w:w w:val="120"/>
        </w:rPr>
        <w:t>and </w:t>
      </w:r>
      <w:r>
        <w:rPr>
          <w:spacing w:val="3"/>
          <w:w w:val="120"/>
        </w:rPr>
        <w:t>craftspeople </w:t>
      </w:r>
      <w:r>
        <w:rPr>
          <w:spacing w:val="2"/>
          <w:w w:val="120"/>
        </w:rPr>
        <w:t>from </w:t>
      </w:r>
      <w:r>
        <w:rPr>
          <w:w w:val="120"/>
        </w:rPr>
        <w:t>the town and over 1,000 visitors came over the </w:t>
      </w:r>
      <w:r>
        <w:rPr>
          <w:spacing w:val="2"/>
          <w:w w:val="120"/>
        </w:rPr>
        <w:t>two weeks. The </w:t>
      </w:r>
      <w:r>
        <w:rPr>
          <w:w w:val="120"/>
        </w:rPr>
        <w:t>owner of the building is now </w:t>
      </w:r>
      <w:r>
        <w:rPr>
          <w:spacing w:val="2"/>
          <w:w w:val="120"/>
        </w:rPr>
        <w:t>exploring </w:t>
      </w:r>
      <w:r>
        <w:rPr>
          <w:w w:val="120"/>
        </w:rPr>
        <w:t>ways of  making  it  a  </w:t>
      </w:r>
      <w:r>
        <w:rPr>
          <w:spacing w:val="2"/>
          <w:w w:val="120"/>
        </w:rPr>
        <w:t>permanent </w:t>
      </w:r>
      <w:r>
        <w:rPr>
          <w:spacing w:val="5"/>
          <w:w w:val="120"/>
        </w:rPr>
        <w:t>Arts </w:t>
      </w:r>
      <w:r>
        <w:rPr>
          <w:w w:val="120"/>
        </w:rPr>
        <w:t>Hub and </w:t>
      </w:r>
      <w:r>
        <w:rPr>
          <w:spacing w:val="2"/>
          <w:w w:val="120"/>
        </w:rPr>
        <w:t>crafters’ cooperative </w:t>
      </w:r>
      <w:r>
        <w:rPr>
          <w:w w:val="120"/>
        </w:rPr>
        <w:t>on the high </w:t>
      </w:r>
      <w:r>
        <w:rPr>
          <w:spacing w:val="2"/>
          <w:w w:val="120"/>
        </w:rPr>
        <w:t>street </w:t>
      </w:r>
      <w:r>
        <w:rPr>
          <w:w w:val="120"/>
        </w:rPr>
        <w:t>and </w:t>
      </w:r>
      <w:r>
        <w:rPr>
          <w:spacing w:val="2"/>
          <w:w w:val="120"/>
        </w:rPr>
        <w:t>from </w:t>
      </w:r>
      <w:r>
        <w:rPr>
          <w:w w:val="120"/>
        </w:rPr>
        <w:t>the </w:t>
      </w:r>
      <w:r>
        <w:rPr>
          <w:spacing w:val="2"/>
          <w:w w:val="120"/>
        </w:rPr>
        <w:t>experience </w:t>
      </w:r>
      <w:r>
        <w:rPr>
          <w:w w:val="120"/>
        </w:rPr>
        <w:t>a new group of </w:t>
      </w:r>
      <w:r>
        <w:rPr>
          <w:spacing w:val="2"/>
          <w:w w:val="120"/>
        </w:rPr>
        <w:t>people exploring Christian faith </w:t>
      </w:r>
      <w:r>
        <w:rPr>
          <w:w w:val="120"/>
        </w:rPr>
        <w:t>and </w:t>
      </w:r>
      <w:r>
        <w:rPr>
          <w:spacing w:val="2"/>
          <w:w w:val="120"/>
        </w:rPr>
        <w:t>sharing Holy </w:t>
      </w:r>
      <w:r>
        <w:rPr>
          <w:w w:val="120"/>
        </w:rPr>
        <w:t>Communion has </w:t>
      </w:r>
      <w:r>
        <w:rPr>
          <w:spacing w:val="3"/>
          <w:w w:val="120"/>
        </w:rPr>
        <w:t>started </w:t>
      </w:r>
      <w:r>
        <w:rPr>
          <w:w w:val="120"/>
        </w:rPr>
        <w:t>to meet monthly. CreateTalk will build on this inspiration, giving </w:t>
      </w:r>
      <w:r>
        <w:rPr>
          <w:spacing w:val="3"/>
          <w:w w:val="120"/>
        </w:rPr>
        <w:t>practical support </w:t>
      </w:r>
      <w:r>
        <w:rPr>
          <w:w w:val="120"/>
        </w:rPr>
        <w:t>and tools to help </w:t>
      </w:r>
      <w:r>
        <w:rPr>
          <w:spacing w:val="2"/>
          <w:w w:val="120"/>
        </w:rPr>
        <w:t>local </w:t>
      </w:r>
      <w:r>
        <w:rPr>
          <w:w w:val="120"/>
        </w:rPr>
        <w:t>congregations </w:t>
      </w:r>
      <w:r>
        <w:rPr>
          <w:spacing w:val="2"/>
          <w:w w:val="120"/>
        </w:rPr>
        <w:t>engage </w:t>
      </w:r>
      <w:r>
        <w:rPr>
          <w:w w:val="120"/>
        </w:rPr>
        <w:t>with</w:t>
      </w:r>
      <w:r>
        <w:rPr>
          <w:spacing w:val="5"/>
          <w:w w:val="120"/>
        </w:rPr>
        <w:t> </w:t>
      </w:r>
      <w:r>
        <w:rPr>
          <w:w w:val="120"/>
        </w:rPr>
        <w:t>communities.</w:t>
      </w:r>
    </w:p>
    <w:p>
      <w:pPr>
        <w:pStyle w:val="BodyText"/>
        <w:rPr>
          <w:sz w:val="18"/>
        </w:rPr>
      </w:pPr>
    </w:p>
    <w:p>
      <w:pPr>
        <w:pStyle w:val="Heading4"/>
        <w:numPr>
          <w:ilvl w:val="0"/>
          <w:numId w:val="78"/>
        </w:numPr>
        <w:tabs>
          <w:tab w:pos="2664" w:val="left" w:leader="none"/>
          <w:tab w:pos="2665" w:val="left" w:leader="none"/>
        </w:tabs>
        <w:spacing w:line="240" w:lineRule="auto" w:before="0" w:after="0"/>
        <w:ind w:left="2664" w:right="0" w:hanging="681"/>
        <w:jc w:val="left"/>
      </w:pPr>
      <w:r>
        <w:rPr>
          <w:spacing w:val="3"/>
          <w:w w:val="110"/>
        </w:rPr>
        <w:t>Church</w:t>
      </w:r>
      <w:r>
        <w:rPr>
          <w:spacing w:val="12"/>
          <w:w w:val="110"/>
        </w:rPr>
        <w:t> </w:t>
      </w:r>
      <w:r>
        <w:rPr>
          <w:spacing w:val="4"/>
          <w:w w:val="110"/>
        </w:rPr>
        <w:t>growth</w:t>
      </w:r>
    </w:p>
    <w:p>
      <w:pPr>
        <w:pStyle w:val="BodyText"/>
        <w:spacing w:line="235" w:lineRule="auto" w:before="69"/>
        <w:ind w:left="1984" w:right="1289"/>
      </w:pPr>
      <w:r>
        <w:rPr>
          <w:w w:val="120"/>
        </w:rPr>
        <w:t>Following the </w:t>
      </w:r>
      <w:r>
        <w:rPr>
          <w:i/>
          <w:spacing w:val="-4"/>
          <w:w w:val="120"/>
        </w:rPr>
        <w:t>vision2020 </w:t>
      </w:r>
      <w:r>
        <w:rPr>
          <w:spacing w:val="-3"/>
          <w:w w:val="120"/>
        </w:rPr>
        <w:t>conference </w:t>
      </w:r>
      <w:r>
        <w:rPr>
          <w:w w:val="120"/>
        </w:rPr>
        <w:t>on </w:t>
      </w:r>
      <w:r>
        <w:rPr>
          <w:spacing w:val="-3"/>
          <w:w w:val="120"/>
        </w:rPr>
        <w:t>church </w:t>
      </w:r>
      <w:r>
        <w:rPr>
          <w:w w:val="120"/>
        </w:rPr>
        <w:t>growth, several synods </w:t>
      </w:r>
      <w:r>
        <w:rPr>
          <w:spacing w:val="-3"/>
          <w:w w:val="120"/>
        </w:rPr>
        <w:t>have </w:t>
      </w:r>
      <w:r>
        <w:rPr>
          <w:w w:val="120"/>
        </w:rPr>
        <w:t>made </w:t>
      </w:r>
      <w:r>
        <w:rPr>
          <w:spacing w:val="-3"/>
          <w:w w:val="120"/>
        </w:rPr>
        <w:t>church </w:t>
      </w:r>
      <w:r>
        <w:rPr>
          <w:w w:val="120"/>
        </w:rPr>
        <w:t>growth a </w:t>
      </w:r>
      <w:r>
        <w:rPr>
          <w:spacing w:val="-3"/>
          <w:w w:val="120"/>
        </w:rPr>
        <w:t>key focus </w:t>
      </w:r>
      <w:r>
        <w:rPr>
          <w:w w:val="120"/>
        </w:rPr>
        <w:t>in their work. The </w:t>
      </w:r>
      <w:r>
        <w:rPr>
          <w:spacing w:val="-3"/>
          <w:w w:val="120"/>
        </w:rPr>
        <w:t>mission committee </w:t>
      </w:r>
      <w:r>
        <w:rPr>
          <w:w w:val="120"/>
        </w:rPr>
        <w:t>will seek </w:t>
      </w:r>
      <w:r>
        <w:rPr>
          <w:spacing w:val="-3"/>
          <w:w w:val="120"/>
        </w:rPr>
        <w:t>to </w:t>
      </w:r>
      <w:r>
        <w:rPr>
          <w:w w:val="120"/>
        </w:rPr>
        <w:t>support </w:t>
      </w:r>
      <w:r>
        <w:rPr>
          <w:spacing w:val="-3"/>
          <w:w w:val="120"/>
        </w:rPr>
        <w:t>this </w:t>
      </w:r>
      <w:r>
        <w:rPr>
          <w:w w:val="120"/>
        </w:rPr>
        <w:t>work wherever </w:t>
      </w:r>
      <w:r>
        <w:rPr>
          <w:spacing w:val="-3"/>
          <w:w w:val="120"/>
        </w:rPr>
        <w:t>possible: </w:t>
      </w:r>
      <w:r>
        <w:rPr>
          <w:w w:val="120"/>
        </w:rPr>
        <w:t>By offering a practical workshop on </w:t>
      </w:r>
      <w:r>
        <w:rPr>
          <w:spacing w:val="-3"/>
          <w:w w:val="120"/>
        </w:rPr>
        <w:t>church </w:t>
      </w:r>
      <w:r>
        <w:rPr>
          <w:w w:val="120"/>
        </w:rPr>
        <w:t>growth in cooperation with the Windermere </w:t>
      </w:r>
      <w:r>
        <w:rPr>
          <w:spacing w:val="-3"/>
          <w:w w:val="120"/>
        </w:rPr>
        <w:t>Centre, </w:t>
      </w:r>
      <w:r>
        <w:rPr>
          <w:w w:val="120"/>
        </w:rPr>
        <w:t>through the Growing the chURCh </w:t>
      </w:r>
      <w:r>
        <w:rPr>
          <w:spacing w:val="-3"/>
          <w:w w:val="120"/>
        </w:rPr>
        <w:t>Facebook </w:t>
      </w:r>
      <w:r>
        <w:rPr>
          <w:w w:val="120"/>
        </w:rPr>
        <w:t>page, through the </w:t>
      </w:r>
      <w:r>
        <w:rPr>
          <w:i/>
          <w:spacing w:val="-4"/>
          <w:w w:val="120"/>
        </w:rPr>
        <w:t>vision2020 </w:t>
      </w:r>
      <w:r>
        <w:rPr>
          <w:w w:val="120"/>
        </w:rPr>
        <w:t>grants fund and by supporting and networking the growing number of pioneer </w:t>
      </w:r>
      <w:r>
        <w:rPr>
          <w:spacing w:val="-3"/>
          <w:w w:val="120"/>
        </w:rPr>
        <w:t>ministers. </w:t>
      </w:r>
      <w:r>
        <w:rPr>
          <w:w w:val="120"/>
        </w:rPr>
        <w:t>At the suggestion of the medium term strategy </w:t>
      </w:r>
      <w:r>
        <w:rPr>
          <w:spacing w:val="-3"/>
          <w:w w:val="120"/>
        </w:rPr>
        <w:t>group, </w:t>
      </w:r>
      <w:r>
        <w:rPr>
          <w:w w:val="120"/>
        </w:rPr>
        <w:t>the </w:t>
      </w:r>
      <w:r>
        <w:rPr>
          <w:spacing w:val="-3"/>
          <w:w w:val="120"/>
        </w:rPr>
        <w:t>mission </w:t>
      </w:r>
      <w:r>
        <w:rPr>
          <w:w w:val="120"/>
        </w:rPr>
        <w:t>enablers</w:t>
      </w:r>
      <w:r>
        <w:rPr>
          <w:spacing w:val="-5"/>
          <w:w w:val="120"/>
        </w:rPr>
        <w:t> </w:t>
      </w:r>
      <w:r>
        <w:rPr>
          <w:w w:val="120"/>
        </w:rPr>
        <w:t>network</w:t>
      </w:r>
      <w:r>
        <w:rPr>
          <w:spacing w:val="-4"/>
          <w:w w:val="120"/>
        </w:rPr>
        <w:t> </w:t>
      </w:r>
      <w:r>
        <w:rPr>
          <w:w w:val="120"/>
        </w:rPr>
        <w:t>has</w:t>
      </w:r>
      <w:r>
        <w:rPr>
          <w:spacing w:val="-4"/>
          <w:w w:val="120"/>
        </w:rPr>
        <w:t> </w:t>
      </w:r>
      <w:r>
        <w:rPr>
          <w:spacing w:val="-3"/>
          <w:w w:val="120"/>
        </w:rPr>
        <w:t>initiated</w:t>
      </w:r>
      <w:r>
        <w:rPr>
          <w:spacing w:val="-4"/>
          <w:w w:val="120"/>
        </w:rPr>
        <w:t> </w:t>
      </w:r>
      <w:r>
        <w:rPr>
          <w:w w:val="120"/>
        </w:rPr>
        <w:t>work</w:t>
      </w:r>
      <w:r>
        <w:rPr>
          <w:spacing w:val="-4"/>
          <w:w w:val="120"/>
        </w:rPr>
        <w:t> </w:t>
      </w:r>
      <w:r>
        <w:rPr>
          <w:w w:val="120"/>
        </w:rPr>
        <w:t>on</w:t>
      </w:r>
      <w:r>
        <w:rPr>
          <w:spacing w:val="-4"/>
          <w:w w:val="120"/>
        </w:rPr>
        <w:t> </w:t>
      </w:r>
      <w:r>
        <w:rPr>
          <w:spacing w:val="-3"/>
          <w:w w:val="120"/>
        </w:rPr>
        <w:t>church</w:t>
      </w:r>
      <w:r>
        <w:rPr>
          <w:spacing w:val="-4"/>
          <w:w w:val="120"/>
        </w:rPr>
        <w:t> </w:t>
      </w:r>
      <w:r>
        <w:rPr>
          <w:spacing w:val="-2"/>
          <w:w w:val="120"/>
        </w:rPr>
        <w:t>planting.</w:t>
      </w:r>
      <w:r>
        <w:rPr>
          <w:spacing w:val="-4"/>
          <w:w w:val="120"/>
        </w:rPr>
        <w:t> </w:t>
      </w:r>
      <w:r>
        <w:rPr>
          <w:w w:val="120"/>
        </w:rPr>
        <w:t>This</w:t>
      </w:r>
      <w:r>
        <w:rPr>
          <w:spacing w:val="-4"/>
          <w:w w:val="120"/>
        </w:rPr>
        <w:t> </w:t>
      </w:r>
      <w:r>
        <w:rPr>
          <w:w w:val="120"/>
        </w:rPr>
        <w:t>is</w:t>
      </w:r>
      <w:r>
        <w:rPr>
          <w:spacing w:val="-4"/>
          <w:w w:val="120"/>
        </w:rPr>
        <w:t> </w:t>
      </w:r>
      <w:r>
        <w:rPr>
          <w:w w:val="120"/>
        </w:rPr>
        <w:t>in</w:t>
      </w:r>
      <w:r>
        <w:rPr>
          <w:spacing w:val="-4"/>
          <w:w w:val="120"/>
        </w:rPr>
        <w:t> </w:t>
      </w:r>
      <w:r>
        <w:rPr>
          <w:w w:val="120"/>
        </w:rPr>
        <w:t>its</w:t>
      </w:r>
      <w:r>
        <w:rPr>
          <w:spacing w:val="-4"/>
          <w:w w:val="120"/>
        </w:rPr>
        <w:t> </w:t>
      </w:r>
      <w:r>
        <w:rPr>
          <w:w w:val="120"/>
        </w:rPr>
        <w:t>very</w:t>
      </w:r>
      <w:r>
        <w:rPr>
          <w:spacing w:val="-4"/>
          <w:w w:val="120"/>
        </w:rPr>
        <w:t> </w:t>
      </w:r>
      <w:r>
        <w:rPr>
          <w:w w:val="120"/>
        </w:rPr>
        <w:t>early</w:t>
      </w:r>
      <w:r>
        <w:rPr>
          <w:spacing w:val="-4"/>
          <w:w w:val="120"/>
        </w:rPr>
        <w:t> </w:t>
      </w:r>
      <w:r>
        <w:rPr>
          <w:w w:val="120"/>
        </w:rPr>
        <w:t>stages</w:t>
      </w:r>
      <w:r>
        <w:rPr>
          <w:spacing w:val="-4"/>
          <w:w w:val="120"/>
        </w:rPr>
        <w:t> </w:t>
      </w:r>
      <w:r>
        <w:rPr>
          <w:w w:val="120"/>
        </w:rPr>
        <w:t>and will</w:t>
      </w:r>
      <w:r>
        <w:rPr>
          <w:spacing w:val="-5"/>
          <w:w w:val="120"/>
        </w:rPr>
        <w:t> </w:t>
      </w:r>
      <w:r>
        <w:rPr>
          <w:w w:val="120"/>
        </w:rPr>
        <w:t>need</w:t>
      </w:r>
      <w:r>
        <w:rPr>
          <w:spacing w:val="-4"/>
          <w:w w:val="120"/>
        </w:rPr>
        <w:t> </w:t>
      </w:r>
      <w:r>
        <w:rPr>
          <w:w w:val="120"/>
        </w:rPr>
        <w:t>research</w:t>
      </w:r>
      <w:r>
        <w:rPr>
          <w:spacing w:val="-4"/>
          <w:w w:val="120"/>
        </w:rPr>
        <w:t> </w:t>
      </w:r>
      <w:r>
        <w:rPr>
          <w:w w:val="120"/>
        </w:rPr>
        <w:t>as</w:t>
      </w:r>
      <w:r>
        <w:rPr>
          <w:spacing w:val="-4"/>
          <w:w w:val="120"/>
        </w:rPr>
        <w:t> </w:t>
      </w:r>
      <w:r>
        <w:rPr>
          <w:spacing w:val="-3"/>
          <w:w w:val="120"/>
        </w:rPr>
        <w:t>well</w:t>
      </w:r>
      <w:r>
        <w:rPr>
          <w:spacing w:val="-4"/>
          <w:w w:val="120"/>
        </w:rPr>
        <w:t> </w:t>
      </w:r>
      <w:r>
        <w:rPr>
          <w:w w:val="120"/>
        </w:rPr>
        <w:t>as</w:t>
      </w:r>
      <w:r>
        <w:rPr>
          <w:spacing w:val="-4"/>
          <w:w w:val="120"/>
        </w:rPr>
        <w:t> </w:t>
      </w:r>
      <w:r>
        <w:rPr>
          <w:w w:val="120"/>
        </w:rPr>
        <w:t>broad</w:t>
      </w:r>
      <w:r>
        <w:rPr>
          <w:spacing w:val="-4"/>
          <w:w w:val="120"/>
        </w:rPr>
        <w:t> </w:t>
      </w:r>
      <w:r>
        <w:rPr>
          <w:spacing w:val="-3"/>
          <w:w w:val="120"/>
        </w:rPr>
        <w:t>consultation</w:t>
      </w:r>
      <w:r>
        <w:rPr>
          <w:spacing w:val="-4"/>
          <w:w w:val="120"/>
        </w:rPr>
        <w:t> </w:t>
      </w:r>
      <w:r>
        <w:rPr>
          <w:w w:val="120"/>
        </w:rPr>
        <w:t>with</w:t>
      </w:r>
      <w:r>
        <w:rPr>
          <w:spacing w:val="-4"/>
          <w:w w:val="120"/>
        </w:rPr>
        <w:t> </w:t>
      </w:r>
      <w:r>
        <w:rPr>
          <w:w w:val="120"/>
        </w:rPr>
        <w:t>other</w:t>
      </w:r>
      <w:r>
        <w:rPr>
          <w:spacing w:val="-4"/>
          <w:w w:val="120"/>
        </w:rPr>
        <w:t> </w:t>
      </w:r>
      <w:r>
        <w:rPr>
          <w:spacing w:val="-3"/>
          <w:w w:val="120"/>
        </w:rPr>
        <w:t>committees</w:t>
      </w:r>
      <w:r>
        <w:rPr>
          <w:spacing w:val="-4"/>
          <w:w w:val="120"/>
        </w:rPr>
        <w:t> </w:t>
      </w:r>
      <w:r>
        <w:rPr>
          <w:w w:val="120"/>
        </w:rPr>
        <w:t>and</w:t>
      </w:r>
      <w:r>
        <w:rPr>
          <w:spacing w:val="-4"/>
          <w:w w:val="120"/>
        </w:rPr>
        <w:t> </w:t>
      </w:r>
      <w:r>
        <w:rPr>
          <w:spacing w:val="-3"/>
          <w:w w:val="120"/>
        </w:rPr>
        <w:t>groups</w:t>
      </w:r>
      <w:r>
        <w:rPr>
          <w:spacing w:val="-4"/>
          <w:w w:val="120"/>
        </w:rPr>
        <w:t> </w:t>
      </w:r>
      <w:r>
        <w:rPr>
          <w:spacing w:val="-3"/>
          <w:w w:val="120"/>
        </w:rPr>
        <w:t>across </w:t>
      </w:r>
      <w:r>
        <w:rPr>
          <w:w w:val="120"/>
        </w:rPr>
        <w:t>the </w:t>
      </w:r>
      <w:r>
        <w:rPr>
          <w:spacing w:val="-3"/>
          <w:w w:val="120"/>
        </w:rPr>
        <w:t>Church. </w:t>
      </w:r>
      <w:r>
        <w:rPr>
          <w:w w:val="120"/>
        </w:rPr>
        <w:t>A paper will be brought </w:t>
      </w:r>
      <w:r>
        <w:rPr>
          <w:spacing w:val="-3"/>
          <w:w w:val="120"/>
        </w:rPr>
        <w:t>to mission committee later this year </w:t>
      </w:r>
      <w:r>
        <w:rPr>
          <w:w w:val="120"/>
        </w:rPr>
        <w:t>which will help </w:t>
      </w:r>
      <w:r>
        <w:rPr>
          <w:spacing w:val="-3"/>
          <w:w w:val="120"/>
        </w:rPr>
        <w:t>to develop </w:t>
      </w:r>
      <w:r>
        <w:rPr>
          <w:w w:val="120"/>
        </w:rPr>
        <w:t>the </w:t>
      </w:r>
      <w:r>
        <w:rPr>
          <w:spacing w:val="-3"/>
          <w:w w:val="120"/>
        </w:rPr>
        <w:t>conversation within </w:t>
      </w:r>
      <w:r>
        <w:rPr>
          <w:w w:val="120"/>
        </w:rPr>
        <w:t>the </w:t>
      </w:r>
      <w:r>
        <w:rPr>
          <w:spacing w:val="-3"/>
          <w:w w:val="120"/>
        </w:rPr>
        <w:t>United </w:t>
      </w:r>
      <w:r>
        <w:rPr>
          <w:w w:val="120"/>
        </w:rPr>
        <w:t>Reformed</w:t>
      </w:r>
      <w:r>
        <w:rPr>
          <w:spacing w:val="7"/>
          <w:w w:val="120"/>
        </w:rPr>
        <w:t> </w:t>
      </w:r>
      <w:r>
        <w:rPr>
          <w:spacing w:val="-3"/>
          <w:w w:val="120"/>
        </w:rPr>
        <w:t>Church.</w:t>
      </w:r>
    </w:p>
    <w:p>
      <w:pPr>
        <w:spacing w:after="0" w:line="235" w:lineRule="auto"/>
        <w:sectPr>
          <w:headerReference w:type="default" r:id="rId317"/>
          <w:footerReference w:type="default" r:id="rId318"/>
          <w:footerReference w:type="even" r:id="rId319"/>
          <w:pgSz w:w="11910" w:h="16840"/>
          <w:pgMar w:header="0" w:footer="647" w:top="0" w:bottom="840" w:left="0" w:right="0"/>
          <w:pgNumType w:start="135"/>
        </w:sectPr>
      </w:pPr>
    </w:p>
    <w:p>
      <w:pPr>
        <w:pStyle w:val="BodyText"/>
      </w:pPr>
      <w:r>
        <w:rPr/>
        <w:drawing>
          <wp:anchor distT="0" distB="0" distL="0" distR="0" allowOverlap="1" layoutInCell="1" locked="0" behindDoc="0" simplePos="0" relativeHeight="252022784">
            <wp:simplePos x="0" y="0"/>
            <wp:positionH relativeFrom="page">
              <wp:posOffset>0</wp:posOffset>
            </wp:positionH>
            <wp:positionV relativeFrom="page">
              <wp:posOffset>0</wp:posOffset>
            </wp:positionV>
            <wp:extent cx="594067" cy="10692003"/>
            <wp:effectExtent l="0" t="0" r="0" b="0"/>
            <wp:wrapNone/>
            <wp:docPr id="251" name="image28.png"/>
            <wp:cNvGraphicFramePr>
              <a:graphicFrameLocks noChangeAspect="1"/>
            </wp:cNvGraphicFramePr>
            <a:graphic>
              <a:graphicData uri="http://schemas.openxmlformats.org/drawingml/2006/picture">
                <pic:pic>
                  <pic:nvPicPr>
                    <pic:cNvPr id="252" name="image28.png"/>
                    <pic:cNvPicPr/>
                  </pic:nvPicPr>
                  <pic:blipFill>
                    <a:blip r:embed="rId198"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shape style="position:absolute;margin-left:20.519100pt;margin-top:22.593945pt;width:25.9pt;height:78.850pt;mso-position-horizontal-relative:page;mso-position-vertical-relative:paragraph;z-index:252023808" type="#_x0000_t202" filled="false" stroked="false">
            <v:textbox inset="0,0,0,0" style="layout-flow:vertical">
              <w:txbxContent>
                <w:p>
                  <w:pPr>
                    <w:spacing w:before="27"/>
                    <w:ind w:left="20" w:right="0" w:firstLine="0"/>
                    <w:jc w:val="left"/>
                    <w:rPr>
                      <w:sz w:val="39"/>
                    </w:rPr>
                  </w:pPr>
                  <w:r>
                    <w:rPr>
                      <w:color w:val="FFFFFF"/>
                      <w:w w:val="115"/>
                      <w:sz w:val="39"/>
                    </w:rPr>
                    <w:t>Mission</w:t>
                  </w:r>
                </w:p>
              </w:txbxContent>
            </v:textbox>
            <w10:wrap type="none"/>
          </v:shape>
        </w:pict>
      </w:r>
      <w:r>
        <w:rPr>
          <w:color w:val="7EAABF"/>
          <w:w w:val="115"/>
        </w:rPr>
        <w:t>Mission</w:t>
      </w:r>
    </w:p>
    <w:p>
      <w:pPr>
        <w:pStyle w:val="ListParagraph"/>
        <w:numPr>
          <w:ilvl w:val="0"/>
          <w:numId w:val="78"/>
        </w:numPr>
        <w:tabs>
          <w:tab w:pos="1927" w:val="left" w:leader="none"/>
          <w:tab w:pos="1928" w:val="left" w:leader="none"/>
        </w:tabs>
        <w:spacing w:line="240" w:lineRule="auto" w:before="215" w:after="0"/>
        <w:ind w:left="1927" w:right="0" w:hanging="681"/>
        <w:jc w:val="left"/>
        <w:rPr>
          <w:rFonts w:ascii="Stone Sans II ITC Std Bk"/>
          <w:b/>
          <w:sz w:val="29"/>
        </w:rPr>
      </w:pPr>
      <w:r>
        <w:rPr>
          <w:rFonts w:ascii="Stone Sans II ITC Std Bk"/>
          <w:b/>
          <w:spacing w:val="4"/>
          <w:w w:val="110"/>
          <w:sz w:val="29"/>
        </w:rPr>
        <w:t>Global</w:t>
      </w:r>
      <w:r>
        <w:rPr>
          <w:rFonts w:ascii="Stone Sans II ITC Std Bk"/>
          <w:b/>
          <w:spacing w:val="12"/>
          <w:w w:val="110"/>
          <w:sz w:val="29"/>
        </w:rPr>
        <w:t> </w:t>
      </w:r>
      <w:r>
        <w:rPr>
          <w:rFonts w:ascii="Stone Sans II ITC Std Bk"/>
          <w:b/>
          <w:spacing w:val="4"/>
          <w:w w:val="110"/>
          <w:sz w:val="29"/>
        </w:rPr>
        <w:t>partnerships</w:t>
      </w:r>
    </w:p>
    <w:p>
      <w:pPr>
        <w:pStyle w:val="ListParagraph"/>
        <w:numPr>
          <w:ilvl w:val="1"/>
          <w:numId w:val="78"/>
        </w:numPr>
        <w:tabs>
          <w:tab w:pos="1927" w:val="left" w:leader="none"/>
          <w:tab w:pos="1928" w:val="left" w:leader="none"/>
        </w:tabs>
        <w:spacing w:line="235" w:lineRule="auto" w:before="69" w:after="0"/>
        <w:ind w:left="1247" w:right="2080" w:firstLine="0"/>
        <w:jc w:val="left"/>
        <w:rPr>
          <w:sz w:val="20"/>
        </w:rPr>
      </w:pPr>
      <w:r>
        <w:rPr>
          <w:w w:val="120"/>
          <w:sz w:val="20"/>
        </w:rPr>
        <w:t>The mission team has started work to provide resources for groups visiting   Israel and the occupied Palestinian territory. This will include a theological position paper and material to increase understanding of the issue of occupation as well as practical information. It is also our intention to begin to engage more formally with the indigenous Palestinian churches in Israel and the occupied Palestinian territory. We are working with Churches Together in Britain and Ireland, other denominations and non- governmental organisations to explore how Churches can respond constructively to critical reactions to statements on Israel and the occupied Palestinian</w:t>
      </w:r>
      <w:r>
        <w:rPr>
          <w:spacing w:val="5"/>
          <w:w w:val="120"/>
          <w:sz w:val="20"/>
        </w:rPr>
        <w:t> </w:t>
      </w:r>
      <w:r>
        <w:rPr>
          <w:w w:val="120"/>
          <w:sz w:val="20"/>
        </w:rPr>
        <w:t>territory.</w:t>
      </w:r>
    </w:p>
    <w:p>
      <w:pPr>
        <w:pStyle w:val="BodyText"/>
        <w:spacing w:before="2"/>
      </w:pPr>
    </w:p>
    <w:p>
      <w:pPr>
        <w:pStyle w:val="ListParagraph"/>
        <w:numPr>
          <w:ilvl w:val="1"/>
          <w:numId w:val="78"/>
        </w:numPr>
        <w:tabs>
          <w:tab w:pos="1927" w:val="left" w:leader="none"/>
          <w:tab w:pos="1928" w:val="left" w:leader="none"/>
        </w:tabs>
        <w:spacing w:line="235" w:lineRule="auto" w:before="0" w:after="0"/>
        <w:ind w:left="1247" w:right="2033" w:firstLine="0"/>
        <w:jc w:val="left"/>
        <w:rPr>
          <w:sz w:val="20"/>
        </w:rPr>
      </w:pPr>
      <w:r>
        <w:rPr>
          <w:w w:val="120"/>
          <w:sz w:val="20"/>
        </w:rPr>
        <w:t>In May </w:t>
      </w:r>
      <w:r>
        <w:rPr>
          <w:spacing w:val="-7"/>
          <w:w w:val="120"/>
          <w:sz w:val="20"/>
        </w:rPr>
        <w:t>2014 </w:t>
      </w:r>
      <w:r>
        <w:rPr>
          <w:w w:val="120"/>
          <w:sz w:val="20"/>
        </w:rPr>
        <w:t>there was a church leaders’ trip to El Salvador, organised by Christian Aid, where the participants visited Christian Aid partners. The trip sought to deepen the whole </w:t>
      </w:r>
      <w:r>
        <w:rPr>
          <w:spacing w:val="-3"/>
          <w:w w:val="120"/>
          <w:sz w:val="20"/>
        </w:rPr>
        <w:t>Church’s </w:t>
      </w:r>
      <w:r>
        <w:rPr>
          <w:w w:val="120"/>
          <w:sz w:val="20"/>
        </w:rPr>
        <w:t>relationship with Christian Aid and commend Commitment for Life as a programme of General Assembly. Opportunities for greater understanding of the issues in the region and the production of worship resources for use by Commitment for Life churches will be key outcomes. El Salvador is just one of the four countries in Commitment for </w:t>
      </w:r>
      <w:r>
        <w:rPr>
          <w:spacing w:val="-3"/>
          <w:w w:val="120"/>
          <w:sz w:val="20"/>
        </w:rPr>
        <w:t>Life’s </w:t>
      </w:r>
      <w:r>
        <w:rPr>
          <w:w w:val="120"/>
          <w:sz w:val="20"/>
        </w:rPr>
        <w:t>new region of Central</w:t>
      </w:r>
      <w:r>
        <w:rPr>
          <w:spacing w:val="4"/>
          <w:w w:val="120"/>
          <w:sz w:val="20"/>
        </w:rPr>
        <w:t> </w:t>
      </w:r>
      <w:r>
        <w:rPr>
          <w:w w:val="120"/>
          <w:sz w:val="20"/>
        </w:rPr>
        <w:t>America.</w:t>
      </w:r>
    </w:p>
    <w:p>
      <w:pPr>
        <w:pStyle w:val="BodyText"/>
        <w:spacing w:before="10"/>
        <w:rPr>
          <w:sz w:val="17"/>
        </w:rPr>
      </w:pPr>
    </w:p>
    <w:p>
      <w:pPr>
        <w:pStyle w:val="Heading4"/>
        <w:numPr>
          <w:ilvl w:val="0"/>
          <w:numId w:val="78"/>
        </w:numPr>
        <w:tabs>
          <w:tab w:pos="1928" w:val="left" w:leader="none"/>
        </w:tabs>
        <w:spacing w:line="240" w:lineRule="auto" w:before="0" w:after="0"/>
        <w:ind w:left="1927" w:right="0" w:hanging="681"/>
        <w:jc w:val="left"/>
      </w:pPr>
      <w:r>
        <w:rPr>
          <w:spacing w:val="3"/>
          <w:w w:val="110"/>
        </w:rPr>
        <w:t>Justice and</w:t>
      </w:r>
      <w:r>
        <w:rPr>
          <w:spacing w:val="22"/>
          <w:w w:val="110"/>
        </w:rPr>
        <w:t> </w:t>
      </w:r>
      <w:r>
        <w:rPr>
          <w:spacing w:val="3"/>
          <w:w w:val="110"/>
        </w:rPr>
        <w:t>peace</w:t>
      </w:r>
    </w:p>
    <w:p>
      <w:pPr>
        <w:pStyle w:val="ListParagraph"/>
        <w:numPr>
          <w:ilvl w:val="1"/>
          <w:numId w:val="78"/>
        </w:numPr>
        <w:tabs>
          <w:tab w:pos="1927" w:val="left" w:leader="none"/>
          <w:tab w:pos="1928" w:val="left" w:leader="none"/>
        </w:tabs>
        <w:spacing w:line="235" w:lineRule="auto" w:before="69" w:after="0"/>
        <w:ind w:left="1247" w:right="1986" w:firstLine="0"/>
        <w:jc w:val="left"/>
        <w:rPr>
          <w:sz w:val="20"/>
        </w:rPr>
      </w:pPr>
      <w:r>
        <w:rPr>
          <w:w w:val="120"/>
          <w:sz w:val="20"/>
        </w:rPr>
        <w:t>A major concern of the joint public issues team (JPIT) and the church and society office continues to be the growth in the number of food banks in the UK and in the demand for their services. The extent of church involvement can be seen in the </w:t>
      </w:r>
      <w:r>
        <w:rPr>
          <w:spacing w:val="2"/>
          <w:w w:val="120"/>
          <w:sz w:val="20"/>
        </w:rPr>
        <w:t>fact </w:t>
      </w:r>
      <w:r>
        <w:rPr>
          <w:w w:val="120"/>
          <w:sz w:val="20"/>
        </w:rPr>
        <w:t>that more than </w:t>
      </w:r>
      <w:r>
        <w:rPr>
          <w:spacing w:val="-5"/>
          <w:w w:val="120"/>
          <w:sz w:val="20"/>
        </w:rPr>
        <w:t>160 </w:t>
      </w:r>
      <w:r>
        <w:rPr>
          <w:w w:val="120"/>
          <w:sz w:val="20"/>
        </w:rPr>
        <w:t>churches from our three traditions responded to an invitation to share their experiences with foodbanks with</w:t>
      </w:r>
      <w:r>
        <w:rPr>
          <w:spacing w:val="9"/>
          <w:w w:val="120"/>
          <w:sz w:val="20"/>
        </w:rPr>
        <w:t> </w:t>
      </w:r>
      <w:r>
        <w:rPr>
          <w:spacing w:val="-3"/>
          <w:w w:val="120"/>
          <w:sz w:val="20"/>
        </w:rPr>
        <w:t>JPIT.</w:t>
      </w:r>
    </w:p>
    <w:p>
      <w:pPr>
        <w:pStyle w:val="BodyText"/>
      </w:pPr>
    </w:p>
    <w:p>
      <w:pPr>
        <w:pStyle w:val="ListParagraph"/>
        <w:numPr>
          <w:ilvl w:val="1"/>
          <w:numId w:val="78"/>
        </w:numPr>
        <w:tabs>
          <w:tab w:pos="1927" w:val="left" w:leader="none"/>
          <w:tab w:pos="1928" w:val="left" w:leader="none"/>
        </w:tabs>
        <w:spacing w:line="235" w:lineRule="auto" w:before="0" w:after="0"/>
        <w:ind w:left="1247" w:right="2104" w:firstLine="0"/>
        <w:jc w:val="left"/>
        <w:rPr>
          <w:sz w:val="20"/>
        </w:rPr>
      </w:pPr>
      <w:r>
        <w:rPr>
          <w:w w:val="120"/>
          <w:sz w:val="20"/>
        </w:rPr>
        <w:t>Both JPIT and church and society share the concern of many that, while foodbanks </w:t>
      </w:r>
      <w:r>
        <w:rPr>
          <w:spacing w:val="2"/>
          <w:w w:val="120"/>
          <w:sz w:val="20"/>
        </w:rPr>
        <w:t>perform </w:t>
      </w:r>
      <w:r>
        <w:rPr>
          <w:w w:val="120"/>
          <w:sz w:val="20"/>
        </w:rPr>
        <w:t>an absolutely vital service at this time, they cannot be a permanent solution to the problem of food poverty. Accordingly our voices have been among those calling for an independent enquiry into the factors driving the demand</w:t>
      </w:r>
      <w:r>
        <w:rPr>
          <w:spacing w:val="7"/>
          <w:w w:val="120"/>
          <w:sz w:val="20"/>
        </w:rPr>
        <w:t> </w:t>
      </w:r>
      <w:r>
        <w:rPr>
          <w:w w:val="120"/>
          <w:sz w:val="20"/>
        </w:rPr>
        <w:t>for</w:t>
      </w:r>
    </w:p>
    <w:p>
      <w:pPr>
        <w:pStyle w:val="BodyText"/>
        <w:spacing w:line="235" w:lineRule="auto" w:before="3"/>
        <w:ind w:left="1247" w:right="2004"/>
      </w:pPr>
      <w:r>
        <w:rPr>
          <w:w w:val="120"/>
        </w:rPr>
        <w:t>food banks and for these factors to be suitably addressed. Such an enquiry is now underway. The team has also prepared resources which it offers to churches involved with local foodbanks, these being designed to help them, if they wish, to reflect upon their involvement in foodbank work through Bible study, prayer and discussion; to incorporate that involvement into their worship and liturgical activity; and to raise awareness locally about the work undertaken by foodbanks and the underlying</w:t>
      </w:r>
    </w:p>
    <w:p>
      <w:pPr>
        <w:pStyle w:val="BodyText"/>
        <w:spacing w:line="235" w:lineRule="auto" w:before="4"/>
        <w:ind w:left="1247"/>
      </w:pPr>
      <w:r>
        <w:rPr>
          <w:w w:val="120"/>
        </w:rPr>
        <w:t>issue of food poverty and financial hardship. The JPIT resources may be found here: </w:t>
      </w:r>
      <w:hyperlink r:id="rId321">
        <w:r>
          <w:rPr>
            <w:w w:val="120"/>
          </w:rPr>
          <w:t>www.jointpublicissues.org.uk </w:t>
        </w:r>
      </w:hyperlink>
      <w:r>
        <w:rPr>
          <w:w w:val="120"/>
        </w:rPr>
        <w:t>(see resolution on page 132).</w:t>
      </w:r>
    </w:p>
    <w:p>
      <w:pPr>
        <w:pStyle w:val="Heading4"/>
        <w:numPr>
          <w:ilvl w:val="0"/>
          <w:numId w:val="78"/>
        </w:numPr>
        <w:tabs>
          <w:tab w:pos="1927" w:val="left" w:leader="none"/>
          <w:tab w:pos="1928" w:val="left" w:leader="none"/>
        </w:tabs>
        <w:spacing w:line="240" w:lineRule="auto" w:before="214" w:after="0"/>
        <w:ind w:left="1927" w:right="0" w:hanging="681"/>
        <w:jc w:val="left"/>
      </w:pPr>
      <w:r>
        <w:rPr>
          <w:spacing w:val="4"/>
          <w:w w:val="110"/>
        </w:rPr>
        <w:t>The Integrity </w:t>
      </w:r>
      <w:r>
        <w:rPr>
          <w:w w:val="110"/>
        </w:rPr>
        <w:t>of</w:t>
      </w:r>
      <w:r>
        <w:rPr>
          <w:spacing w:val="29"/>
          <w:w w:val="110"/>
        </w:rPr>
        <w:t> </w:t>
      </w:r>
      <w:r>
        <w:rPr>
          <w:spacing w:val="3"/>
          <w:w w:val="110"/>
        </w:rPr>
        <w:t>Creation</w:t>
      </w:r>
    </w:p>
    <w:p>
      <w:pPr>
        <w:pStyle w:val="BodyText"/>
        <w:spacing w:line="235" w:lineRule="auto" w:before="69"/>
        <w:ind w:left="1247" w:right="2200"/>
      </w:pPr>
      <w:r>
        <w:rPr>
          <w:w w:val="120"/>
        </w:rPr>
        <w:t>It was at General Assembly in </w:t>
      </w:r>
      <w:r>
        <w:rPr>
          <w:spacing w:val="2"/>
          <w:w w:val="120"/>
        </w:rPr>
        <w:t>2004 </w:t>
      </w:r>
      <w:r>
        <w:rPr>
          <w:w w:val="120"/>
        </w:rPr>
        <w:t>that the United Reformed Church adopted its current environmental policy. A resolution passed at Assembly in 2007 recognised   the need for the Church to shrink its carbon footprint, and for a response to climate change to be built into the whole life of the local church, but no significant revision of the 2004 policy has been undertaken since its adoption. Given the increased urgency of the requirement for the Church to shrink its footprint, and the significant advances in our understanding and awareness of environmental issues over the last </w:t>
      </w:r>
      <w:r>
        <w:rPr>
          <w:spacing w:val="-6"/>
          <w:w w:val="120"/>
        </w:rPr>
        <w:t>10 </w:t>
      </w:r>
      <w:r>
        <w:rPr>
          <w:w w:val="120"/>
        </w:rPr>
        <w:t>years, now</w:t>
      </w:r>
      <w:r>
        <w:rPr>
          <w:spacing w:val="6"/>
          <w:w w:val="120"/>
        </w:rPr>
        <w:t> </w:t>
      </w:r>
      <w:r>
        <w:rPr>
          <w:w w:val="120"/>
        </w:rPr>
        <w:t>is</w:t>
      </w:r>
      <w:r>
        <w:rPr>
          <w:spacing w:val="6"/>
          <w:w w:val="120"/>
        </w:rPr>
        <w:t> </w:t>
      </w:r>
      <w:r>
        <w:rPr>
          <w:w w:val="120"/>
        </w:rPr>
        <w:t>a</w:t>
      </w:r>
      <w:r>
        <w:rPr>
          <w:spacing w:val="6"/>
          <w:w w:val="120"/>
        </w:rPr>
        <w:t> </w:t>
      </w:r>
      <w:r>
        <w:rPr>
          <w:w w:val="120"/>
        </w:rPr>
        <w:t>good</w:t>
      </w:r>
      <w:r>
        <w:rPr>
          <w:spacing w:val="6"/>
          <w:w w:val="120"/>
        </w:rPr>
        <w:t> </w:t>
      </w:r>
      <w:r>
        <w:rPr>
          <w:w w:val="120"/>
        </w:rPr>
        <w:t>time</w:t>
      </w:r>
      <w:r>
        <w:rPr>
          <w:spacing w:val="6"/>
          <w:w w:val="120"/>
        </w:rPr>
        <w:t> </w:t>
      </w:r>
      <w:r>
        <w:rPr>
          <w:w w:val="120"/>
        </w:rPr>
        <w:t>to</w:t>
      </w:r>
      <w:r>
        <w:rPr>
          <w:spacing w:val="6"/>
          <w:w w:val="120"/>
        </w:rPr>
        <w:t> </w:t>
      </w:r>
      <w:r>
        <w:rPr>
          <w:w w:val="120"/>
        </w:rPr>
        <w:t>undertake</w:t>
      </w:r>
      <w:r>
        <w:rPr>
          <w:spacing w:val="6"/>
          <w:w w:val="120"/>
        </w:rPr>
        <w:t> </w:t>
      </w:r>
      <w:r>
        <w:rPr>
          <w:w w:val="120"/>
        </w:rPr>
        <w:t>a</w:t>
      </w:r>
      <w:r>
        <w:rPr>
          <w:spacing w:val="6"/>
          <w:w w:val="120"/>
        </w:rPr>
        <w:t> </w:t>
      </w:r>
      <w:r>
        <w:rPr>
          <w:w w:val="120"/>
        </w:rPr>
        <w:t>thorough</w:t>
      </w:r>
      <w:r>
        <w:rPr>
          <w:spacing w:val="6"/>
          <w:w w:val="120"/>
        </w:rPr>
        <w:t> </w:t>
      </w:r>
      <w:r>
        <w:rPr>
          <w:w w:val="120"/>
        </w:rPr>
        <w:t>revision</w:t>
      </w:r>
      <w:r>
        <w:rPr>
          <w:spacing w:val="6"/>
          <w:w w:val="120"/>
        </w:rPr>
        <w:t> </w:t>
      </w:r>
      <w:r>
        <w:rPr>
          <w:w w:val="120"/>
        </w:rPr>
        <w:t>of</w:t>
      </w:r>
      <w:r>
        <w:rPr>
          <w:spacing w:val="6"/>
          <w:w w:val="120"/>
        </w:rPr>
        <w:t> </w:t>
      </w:r>
      <w:r>
        <w:rPr>
          <w:w w:val="120"/>
        </w:rPr>
        <w:t>the</w:t>
      </w:r>
      <w:r>
        <w:rPr>
          <w:spacing w:val="6"/>
          <w:w w:val="120"/>
        </w:rPr>
        <w:t> </w:t>
      </w:r>
      <w:r>
        <w:rPr>
          <w:spacing w:val="-3"/>
          <w:w w:val="120"/>
        </w:rPr>
        <w:t>Church’s</w:t>
      </w:r>
      <w:r>
        <w:rPr>
          <w:spacing w:val="6"/>
          <w:w w:val="120"/>
        </w:rPr>
        <w:t> </w:t>
      </w:r>
      <w:r>
        <w:rPr>
          <w:w w:val="120"/>
        </w:rPr>
        <w:t>environmental</w:t>
      </w:r>
    </w:p>
    <w:p>
      <w:pPr>
        <w:pStyle w:val="BodyText"/>
        <w:spacing w:line="235" w:lineRule="auto" w:before="6"/>
        <w:ind w:left="1247" w:right="2165"/>
        <w:jc w:val="both"/>
      </w:pPr>
      <w:r>
        <w:rPr>
          <w:w w:val="120"/>
        </w:rPr>
        <w:t>policy. This process is well underway, in consultation with a number of individuals and organisations with specialist knowledge and expertise, and it is planned that a revised policy will be brought to Mission Council in November 2014.</w:t>
      </w:r>
    </w:p>
    <w:p>
      <w:pPr>
        <w:spacing w:after="0" w:line="235" w:lineRule="auto"/>
        <w:jc w:val="both"/>
        <w:sectPr>
          <w:headerReference w:type="even" r:id="rId320"/>
          <w:pgSz w:w="11910" w:h="16840"/>
          <w:pgMar w:header="0" w:footer="647" w:top="0" w:bottom="840" w:left="0" w:right="0"/>
        </w:sectPr>
      </w:pPr>
    </w:p>
    <w:p>
      <w:pPr>
        <w:pStyle w:val="BodyText"/>
      </w:pPr>
      <w:r>
        <w:rPr/>
        <w:pict>
          <v:rect style="position:absolute;margin-left:0pt;margin-top:.000015pt;width:549.207pt;height:841.89pt;mso-position-horizontal-relative:page;mso-position-vertical-relative:page;z-index:-267251712" filled="true" fillcolor="#d3e5c3" stroked="false">
            <v:fill type="solid"/>
            <w10:wrap type="none"/>
          </v:rect>
        </w:pict>
      </w:r>
      <w:r>
        <w:rPr/>
        <w:drawing>
          <wp:anchor distT="0" distB="0" distL="0" distR="0" allowOverlap="1" layoutInCell="1" locked="0" behindDoc="0" simplePos="0" relativeHeight="252025856">
            <wp:simplePos x="0" y="0"/>
            <wp:positionH relativeFrom="page">
              <wp:posOffset>6974928</wp:posOffset>
            </wp:positionH>
            <wp:positionV relativeFrom="page">
              <wp:posOffset>0</wp:posOffset>
            </wp:positionV>
            <wp:extent cx="585063" cy="10692003"/>
            <wp:effectExtent l="0" t="0" r="0" b="0"/>
            <wp:wrapNone/>
            <wp:docPr id="253" name="image25.png"/>
            <wp:cNvGraphicFramePr>
              <a:graphicFrameLocks noChangeAspect="1"/>
            </wp:cNvGraphicFramePr>
            <a:graphic>
              <a:graphicData uri="http://schemas.openxmlformats.org/drawingml/2006/picture">
                <pic:pic>
                  <pic:nvPicPr>
                    <pic:cNvPr id="254" name="image25.png"/>
                    <pic:cNvPicPr/>
                  </pic:nvPicPr>
                  <pic:blipFill>
                    <a:blip r:embed="rId192"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5"/>
        <w:rPr>
          <w:sz w:val="28"/>
        </w:rPr>
      </w:pPr>
    </w:p>
    <w:p>
      <w:pPr>
        <w:pStyle w:val="Heading2"/>
        <w:spacing w:before="97"/>
        <w:ind w:left="1984"/>
        <w:rPr>
          <w:b/>
        </w:rPr>
      </w:pPr>
      <w:r>
        <w:rPr/>
        <w:pict>
          <v:shape style="position:absolute;margin-left:554.141174pt;margin-top:-5.998084pt;width:25.9pt;height:131.3pt;mso-position-horizontal-relative:page;mso-position-vertical-relative:paragraph;z-index:252026880" type="#_x0000_t202" filled="false" stroked="false">
            <v:textbox inset="0,0,0,0" style="layout-flow:vertical">
              <w:txbxContent>
                <w:p>
                  <w:pPr>
                    <w:spacing w:before="27"/>
                    <w:ind w:left="20" w:right="0" w:firstLine="0"/>
                    <w:jc w:val="left"/>
                    <w:rPr>
                      <w:sz w:val="39"/>
                    </w:rPr>
                  </w:pPr>
                  <w:r>
                    <w:rPr>
                      <w:color w:val="FFFFFF"/>
                      <w:w w:val="120"/>
                      <w:sz w:val="39"/>
                    </w:rPr>
                    <w:t>Nominations</w:t>
                  </w:r>
                </w:p>
              </w:txbxContent>
            </v:textbox>
            <w10:wrap type="none"/>
          </v:shape>
        </w:pict>
      </w:r>
      <w:bookmarkStart w:name="_bookmark24" w:id="28"/>
      <w:bookmarkEnd w:id="28"/>
      <w:r>
        <w:rPr>
          <w:b w:val="0"/>
        </w:rPr>
      </w:r>
      <w:r>
        <w:rPr>
          <w:b/>
          <w:color w:val="41A62B"/>
          <w:w w:val="110"/>
        </w:rPr>
        <w:t>Nominations committee</w:t>
      </w:r>
    </w:p>
    <w:p>
      <w:pPr>
        <w:pStyle w:val="BodyText"/>
        <w:spacing w:before="362" w:after="26"/>
        <w:ind w:left="1984"/>
      </w:pPr>
      <w:r>
        <w:rPr>
          <w:w w:val="120"/>
        </w:rPr>
        <w:t>Basic Information</w:t>
      </w:r>
    </w:p>
    <w:tbl>
      <w:tblPr>
        <w:tblW w:w="0" w:type="auto"/>
        <w:jc w:val="left"/>
        <w:tblInd w:w="19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335"/>
      </w:tblGrid>
      <w:tr>
        <w:trPr>
          <w:trHeight w:val="680" w:hRule="atLeast"/>
        </w:trPr>
        <w:tc>
          <w:tcPr>
            <w:tcW w:w="2660" w:type="dxa"/>
            <w:shd w:val="clear" w:color="auto" w:fill="FFFFFF"/>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335" w:type="dxa"/>
            <w:tcBorders>
              <w:right w:val="nil"/>
            </w:tcBorders>
            <w:shd w:val="clear" w:color="auto" w:fill="FFFFFF"/>
          </w:tcPr>
          <w:p>
            <w:pPr>
              <w:pStyle w:val="TableParagraph"/>
              <w:spacing w:line="235" w:lineRule="auto" w:before="145"/>
              <w:ind w:right="3058"/>
              <w:rPr>
                <w:sz w:val="20"/>
              </w:rPr>
            </w:pPr>
            <w:r>
              <w:rPr>
                <w:w w:val="120"/>
                <w:sz w:val="20"/>
              </w:rPr>
              <w:t>Carol Rogers </w:t>
            </w:r>
            <w:hyperlink r:id="rId324">
              <w:r>
                <w:rPr>
                  <w:w w:val="120"/>
                  <w:sz w:val="20"/>
                </w:rPr>
                <w:t>carannrog@aol.com</w:t>
              </w:r>
            </w:hyperlink>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Action required</w:t>
            </w:r>
          </w:p>
        </w:tc>
        <w:tc>
          <w:tcPr>
            <w:tcW w:w="6335" w:type="dxa"/>
            <w:tcBorders>
              <w:right w:val="nil"/>
            </w:tcBorders>
            <w:shd w:val="clear" w:color="auto" w:fill="FFFFFF"/>
          </w:tcPr>
          <w:p>
            <w:pPr>
              <w:pStyle w:val="TableParagraph"/>
              <w:spacing w:before="141"/>
              <w:rPr>
                <w:sz w:val="20"/>
              </w:rPr>
            </w:pPr>
            <w:r>
              <w:rPr>
                <w:w w:val="120"/>
                <w:sz w:val="20"/>
              </w:rPr>
              <w:t>Decision</w:t>
            </w:r>
          </w:p>
        </w:tc>
      </w:tr>
      <w:tr>
        <w:trPr>
          <w:trHeight w:val="356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Draft resolution(s)</w:t>
            </w:r>
          </w:p>
        </w:tc>
        <w:tc>
          <w:tcPr>
            <w:tcW w:w="6335" w:type="dxa"/>
            <w:tcBorders>
              <w:right w:val="nil"/>
            </w:tcBorders>
            <w:shd w:val="clear" w:color="auto" w:fill="FFFFFF"/>
          </w:tcPr>
          <w:p>
            <w:pPr>
              <w:pStyle w:val="TableParagraph"/>
              <w:tabs>
                <w:tab w:pos="760" w:val="left" w:leader="none"/>
              </w:tabs>
              <w:spacing w:line="213" w:lineRule="auto" w:before="151"/>
              <w:ind w:right="872"/>
              <w:rPr>
                <w:rFonts w:ascii="Stone Sans II ITC Std Bk"/>
                <w:b/>
                <w:sz w:val="20"/>
              </w:rPr>
            </w:pPr>
            <w:r>
              <w:rPr>
                <w:rFonts w:ascii="Stone Sans II ITC Std Bk"/>
                <w:b/>
                <w:spacing w:val="-7"/>
                <w:w w:val="110"/>
                <w:sz w:val="20"/>
              </w:rPr>
              <w:t>a)</w:t>
              <w:tab/>
            </w:r>
            <w:r>
              <w:rPr>
                <w:rFonts w:ascii="Stone Sans II ITC Std Bk"/>
                <w:b/>
                <w:w w:val="110"/>
                <w:sz w:val="20"/>
              </w:rPr>
              <w:t>General Assembly appoints committees and representatives of the Church as set out on</w:t>
            </w:r>
            <w:r>
              <w:rPr>
                <w:rFonts w:ascii="Stone Sans II ITC Std Bk"/>
                <w:b/>
                <w:spacing w:val="1"/>
                <w:w w:val="110"/>
                <w:sz w:val="20"/>
              </w:rPr>
              <w:t> </w:t>
            </w:r>
            <w:r>
              <w:rPr>
                <w:rFonts w:ascii="Stone Sans II ITC Std Bk"/>
                <w:b/>
                <w:w w:val="110"/>
                <w:sz w:val="20"/>
              </w:rPr>
              <w:t>pages</w:t>
            </w:r>
          </w:p>
          <w:p>
            <w:pPr>
              <w:pStyle w:val="TableParagraph"/>
              <w:spacing w:line="213" w:lineRule="auto"/>
              <w:ind w:right="370"/>
              <w:rPr>
                <w:rFonts w:ascii="Stone Sans II ITC Std Bk"/>
                <w:b/>
                <w:sz w:val="20"/>
              </w:rPr>
            </w:pPr>
            <w:r>
              <w:rPr>
                <w:rFonts w:ascii="Stone Sans II ITC Std Bk"/>
                <w:b/>
                <w:w w:val="110"/>
                <w:sz w:val="20"/>
              </w:rPr>
              <w:t>138-152 of the </w:t>
            </w:r>
            <w:r>
              <w:rPr>
                <w:rFonts w:ascii="Stone Sans II ITC Std Bk"/>
                <w:b/>
                <w:i/>
                <w:w w:val="110"/>
                <w:sz w:val="20"/>
              </w:rPr>
              <w:t>Book of Reports</w:t>
            </w:r>
            <w:r>
              <w:rPr>
                <w:rFonts w:ascii="Stone Sans II ITC Std Bk"/>
                <w:b/>
                <w:w w:val="110"/>
                <w:sz w:val="20"/>
              </w:rPr>
              <w:t>, subject to the additions and corrections contained in the Supplementary Report to Assembly.</w:t>
            </w:r>
          </w:p>
          <w:p>
            <w:pPr>
              <w:pStyle w:val="TableParagraph"/>
              <w:spacing w:before="4"/>
              <w:ind w:left="0"/>
              <w:rPr>
                <w:sz w:val="19"/>
              </w:rPr>
            </w:pPr>
          </w:p>
          <w:p>
            <w:pPr>
              <w:pStyle w:val="TableParagraph"/>
              <w:numPr>
                <w:ilvl w:val="0"/>
                <w:numId w:val="79"/>
              </w:numPr>
              <w:tabs>
                <w:tab w:pos="760" w:val="left" w:leader="none"/>
                <w:tab w:pos="761" w:val="left" w:leader="none"/>
              </w:tabs>
              <w:spacing w:line="213" w:lineRule="auto" w:before="1" w:after="0"/>
              <w:ind w:left="80" w:right="986" w:firstLine="0"/>
              <w:jc w:val="left"/>
              <w:rPr>
                <w:rFonts w:ascii="Stone Sans II ITC Std Bk"/>
                <w:b/>
                <w:sz w:val="20"/>
              </w:rPr>
            </w:pPr>
            <w:r>
              <w:rPr>
                <w:rFonts w:ascii="Stone Sans II ITC Std Bk"/>
                <w:b/>
                <w:w w:val="110"/>
                <w:sz w:val="20"/>
              </w:rPr>
              <w:t>General Assembly re-appoints the Revd Paul Whittle to serve as moderator of the Eastern Synod until </w:t>
            </w:r>
            <w:r>
              <w:rPr>
                <w:rFonts w:ascii="Stone Sans II ITC Std Bk"/>
                <w:b/>
                <w:spacing w:val="-7"/>
                <w:w w:val="110"/>
                <w:sz w:val="20"/>
              </w:rPr>
              <w:t>31 </w:t>
            </w:r>
            <w:r>
              <w:rPr>
                <w:rFonts w:ascii="Stone Sans II ITC Std Bk"/>
                <w:b/>
                <w:w w:val="110"/>
                <w:sz w:val="20"/>
              </w:rPr>
              <w:t>August</w:t>
            </w:r>
            <w:r>
              <w:rPr>
                <w:rFonts w:ascii="Stone Sans II ITC Std Bk"/>
                <w:b/>
                <w:spacing w:val="5"/>
                <w:w w:val="110"/>
                <w:sz w:val="20"/>
              </w:rPr>
              <w:t> </w:t>
            </w:r>
            <w:r>
              <w:rPr>
                <w:rFonts w:ascii="Stone Sans II ITC Std Bk"/>
                <w:b/>
                <w:w w:val="110"/>
                <w:sz w:val="20"/>
              </w:rPr>
              <w:t>2020.</w:t>
            </w:r>
          </w:p>
          <w:p>
            <w:pPr>
              <w:pStyle w:val="TableParagraph"/>
              <w:numPr>
                <w:ilvl w:val="0"/>
                <w:numId w:val="79"/>
              </w:numPr>
              <w:tabs>
                <w:tab w:pos="760" w:val="left" w:leader="none"/>
                <w:tab w:pos="761" w:val="left" w:leader="none"/>
              </w:tabs>
              <w:spacing w:line="255" w:lineRule="exact" w:before="215" w:after="0"/>
              <w:ind w:left="760" w:right="0" w:hanging="681"/>
              <w:jc w:val="left"/>
              <w:rPr>
                <w:rFonts w:ascii="Stone Sans II ITC Std Bk"/>
                <w:b/>
                <w:sz w:val="20"/>
              </w:rPr>
            </w:pPr>
            <w:r>
              <w:rPr>
                <w:rFonts w:ascii="Stone Sans II ITC Std Bk"/>
                <w:b/>
                <w:w w:val="110"/>
                <w:sz w:val="20"/>
              </w:rPr>
              <w:t>General Assembly re-appoints the</w:t>
            </w:r>
            <w:r>
              <w:rPr>
                <w:rFonts w:ascii="Stone Sans II ITC Std Bk"/>
                <w:b/>
                <w:spacing w:val="2"/>
                <w:w w:val="110"/>
                <w:sz w:val="20"/>
              </w:rPr>
              <w:t> </w:t>
            </w:r>
            <w:r>
              <w:rPr>
                <w:rFonts w:ascii="Stone Sans II ITC Std Bk"/>
                <w:b/>
                <w:w w:val="110"/>
                <w:sz w:val="20"/>
              </w:rPr>
              <w:t>Revd</w:t>
            </w:r>
          </w:p>
          <w:p>
            <w:pPr>
              <w:pStyle w:val="TableParagraph"/>
              <w:spacing w:line="213" w:lineRule="auto" w:before="7"/>
              <w:ind w:right="646"/>
              <w:rPr>
                <w:rFonts w:ascii="Stone Sans II ITC Std Bk"/>
                <w:b/>
                <w:sz w:val="20"/>
              </w:rPr>
            </w:pPr>
            <w:r>
              <w:rPr>
                <w:rFonts w:ascii="Stone Sans II ITC Std Bk"/>
                <w:b/>
                <w:w w:val="110"/>
                <w:sz w:val="20"/>
              </w:rPr>
              <w:t>Kevin Watson to serve as moderator of the Yorkshire Synod until 31 May 2020.</w:t>
            </w:r>
          </w:p>
        </w:tc>
      </w:tr>
    </w:tbl>
    <w:p>
      <w:pPr>
        <w:pStyle w:val="BodyText"/>
        <w:rPr>
          <w:sz w:val="24"/>
        </w:rPr>
      </w:pPr>
    </w:p>
    <w:p>
      <w:pPr>
        <w:pStyle w:val="BodyText"/>
        <w:spacing w:before="156" w:after="27"/>
        <w:ind w:left="1984"/>
      </w:pPr>
      <w:r>
        <w:rPr>
          <w:w w:val="120"/>
        </w:rPr>
        <w:t>Summary of Content</w:t>
      </w:r>
    </w:p>
    <w:tbl>
      <w:tblPr>
        <w:tblW w:w="0" w:type="auto"/>
        <w:jc w:val="left"/>
        <w:tblInd w:w="19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335"/>
      </w:tblGrid>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Subject and aim(s)</w:t>
            </w:r>
          </w:p>
        </w:tc>
        <w:tc>
          <w:tcPr>
            <w:tcW w:w="6335" w:type="dxa"/>
            <w:tcBorders>
              <w:right w:val="nil"/>
            </w:tcBorders>
            <w:shd w:val="clear" w:color="auto" w:fill="FFFFFF"/>
          </w:tcPr>
          <w:p>
            <w:pPr>
              <w:pStyle w:val="TableParagraph"/>
              <w:spacing w:before="141"/>
              <w:rPr>
                <w:sz w:val="20"/>
              </w:rPr>
            </w:pPr>
            <w:r>
              <w:rPr>
                <w:w w:val="120"/>
                <w:sz w:val="20"/>
              </w:rPr>
              <w:t>Appointments to committees and posts</w:t>
            </w:r>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Main points</w:t>
            </w:r>
          </w:p>
        </w:tc>
        <w:tc>
          <w:tcPr>
            <w:tcW w:w="6335" w:type="dxa"/>
            <w:tcBorders>
              <w:right w:val="nil"/>
            </w:tcBorders>
            <w:shd w:val="clear" w:color="auto" w:fill="FFFFFF"/>
          </w:tcPr>
          <w:p>
            <w:pPr>
              <w:pStyle w:val="TableParagraph"/>
              <w:spacing w:before="141"/>
              <w:rPr>
                <w:sz w:val="20"/>
              </w:rPr>
            </w:pPr>
            <w:r>
              <w:rPr>
                <w:w w:val="115"/>
                <w:sz w:val="20"/>
              </w:rPr>
              <w:t>n/a</w:t>
            </w:r>
          </w:p>
        </w:tc>
      </w:tr>
      <w:tr>
        <w:trPr>
          <w:trHeight w:val="680" w:hRule="atLeast"/>
        </w:trPr>
        <w:tc>
          <w:tcPr>
            <w:tcW w:w="2660" w:type="dxa"/>
            <w:shd w:val="clear" w:color="auto" w:fill="FFFFFF"/>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335" w:type="dxa"/>
            <w:tcBorders>
              <w:right w:val="nil"/>
            </w:tcBorders>
            <w:shd w:val="clear" w:color="auto" w:fill="FFFFFF"/>
          </w:tcPr>
          <w:p>
            <w:pPr>
              <w:pStyle w:val="TableParagraph"/>
              <w:spacing w:before="141"/>
              <w:rPr>
                <w:sz w:val="20"/>
              </w:rPr>
            </w:pPr>
            <w:r>
              <w:rPr>
                <w:w w:val="115"/>
                <w:sz w:val="20"/>
              </w:rPr>
              <w:t>n/a</w:t>
            </w:r>
          </w:p>
        </w:tc>
      </w:tr>
      <w:tr>
        <w:trPr>
          <w:trHeight w:val="680" w:hRule="atLeast"/>
        </w:trPr>
        <w:tc>
          <w:tcPr>
            <w:tcW w:w="2660" w:type="dxa"/>
            <w:shd w:val="clear" w:color="auto" w:fill="FFFFFF"/>
          </w:tcPr>
          <w:p>
            <w:pPr>
              <w:pStyle w:val="TableParagraph"/>
              <w:spacing w:line="213" w:lineRule="auto" w:before="151"/>
              <w:ind w:right="104"/>
              <w:rPr>
                <w:rFonts w:ascii="Stone Sans II ITC Std Bk"/>
                <w:b/>
                <w:sz w:val="20"/>
              </w:rPr>
            </w:pPr>
            <w:r>
              <w:rPr>
                <w:rFonts w:ascii="Stone Sans II ITC Std Bk"/>
                <w:b/>
                <w:w w:val="110"/>
                <w:sz w:val="20"/>
              </w:rPr>
              <w:t>Consultation has taken place with...</w:t>
            </w:r>
          </w:p>
        </w:tc>
        <w:tc>
          <w:tcPr>
            <w:tcW w:w="6335" w:type="dxa"/>
            <w:tcBorders>
              <w:right w:val="nil"/>
            </w:tcBorders>
            <w:shd w:val="clear" w:color="auto" w:fill="FFFFFF"/>
          </w:tcPr>
          <w:p>
            <w:pPr>
              <w:pStyle w:val="TableParagraph"/>
              <w:spacing w:line="235" w:lineRule="auto" w:before="145"/>
              <w:rPr>
                <w:sz w:val="20"/>
              </w:rPr>
            </w:pPr>
            <w:r>
              <w:rPr>
                <w:w w:val="120"/>
                <w:sz w:val="20"/>
              </w:rPr>
              <w:t>Wide consultation with the synods, local churches, and the committees and groups where appointments are needed</w:t>
            </w:r>
          </w:p>
        </w:tc>
      </w:tr>
    </w:tbl>
    <w:p>
      <w:pPr>
        <w:pStyle w:val="BodyText"/>
        <w:rPr>
          <w:sz w:val="24"/>
        </w:rPr>
      </w:pPr>
    </w:p>
    <w:p>
      <w:pPr>
        <w:pStyle w:val="BodyText"/>
        <w:spacing w:before="156" w:after="27"/>
        <w:ind w:left="1984"/>
      </w:pPr>
      <w:r>
        <w:rPr>
          <w:w w:val="120"/>
        </w:rPr>
        <w:t>Summary of Impact</w:t>
      </w:r>
    </w:p>
    <w:tbl>
      <w:tblPr>
        <w:tblW w:w="0" w:type="auto"/>
        <w:jc w:val="left"/>
        <w:tblInd w:w="19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335"/>
      </w:tblGrid>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335" w:type="dxa"/>
            <w:tcBorders>
              <w:right w:val="nil"/>
            </w:tcBorders>
            <w:shd w:val="clear" w:color="auto" w:fill="FFFFFF"/>
          </w:tcPr>
          <w:p>
            <w:pPr>
              <w:pStyle w:val="TableParagraph"/>
              <w:spacing w:before="141"/>
              <w:rPr>
                <w:sz w:val="20"/>
              </w:rPr>
            </w:pPr>
            <w:r>
              <w:rPr>
                <w:w w:val="120"/>
                <w:sz w:val="20"/>
              </w:rPr>
              <w:t>None</w:t>
            </w:r>
          </w:p>
        </w:tc>
      </w:tr>
      <w:tr>
        <w:trPr>
          <w:trHeight w:val="68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335" w:type="dxa"/>
            <w:tcBorders>
              <w:right w:val="nil"/>
            </w:tcBorders>
            <w:shd w:val="clear" w:color="auto" w:fill="FFFFFF"/>
          </w:tcPr>
          <w:p>
            <w:pPr>
              <w:pStyle w:val="TableParagraph"/>
              <w:spacing w:before="141"/>
              <w:rPr>
                <w:sz w:val="20"/>
              </w:rPr>
            </w:pPr>
            <w:r>
              <w:rPr>
                <w:w w:val="120"/>
                <w:sz w:val="20"/>
              </w:rPr>
              <w:t>None</w:t>
            </w:r>
          </w:p>
        </w:tc>
      </w:tr>
    </w:tbl>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2"/>
        <w:rPr>
          <w:sz w:val="30"/>
        </w:rPr>
      </w:pPr>
    </w:p>
    <w:p>
      <w:pPr>
        <w:pStyle w:val="Heading8"/>
        <w:spacing w:before="0"/>
        <w:ind w:left="4350"/>
        <w:rPr>
          <w:rFonts w:ascii="Stone Sans II ITC Std X Bd" w:hAnsi="Stone Sans II ITC Std X Bd"/>
          <w:b/>
          <w:sz w:val="24"/>
        </w:rPr>
      </w:pP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2014 </w:t>
      </w:r>
      <w:r>
        <w:rPr>
          <w:rFonts w:ascii="Symbol" w:hAnsi="Symbol"/>
          <w:color w:val="7EAABF"/>
          <w:w w:val="110"/>
        </w:rPr>
        <w:t></w:t>
      </w:r>
      <w:r>
        <w:rPr>
          <w:rFonts w:ascii="Times New Roman" w:hAnsi="Times New Roman"/>
          <w:color w:val="7EAABF"/>
          <w:w w:val="110"/>
        </w:rPr>
        <w:t> </w:t>
      </w:r>
      <w:r>
        <w:rPr>
          <w:rFonts w:ascii="Stone Sans II ITC Std X Bd" w:hAnsi="Stone Sans II ITC Std X Bd"/>
          <w:b/>
          <w:w w:val="110"/>
          <w:sz w:val="24"/>
        </w:rPr>
        <w:t>137</w:t>
      </w:r>
    </w:p>
    <w:p>
      <w:pPr>
        <w:spacing w:after="0"/>
        <w:rPr>
          <w:rFonts w:ascii="Stone Sans II ITC Std X Bd" w:hAnsi="Stone Sans II ITC Std X Bd"/>
          <w:sz w:val="24"/>
        </w:rPr>
        <w:sectPr>
          <w:headerReference w:type="default" r:id="rId322"/>
          <w:footerReference w:type="default" r:id="rId323"/>
          <w:pgSz w:w="11910" w:h="16840"/>
          <w:pgMar w:header="0" w:footer="0" w:top="0" w:bottom="0" w:left="0" w:right="0"/>
        </w:sectPr>
      </w:pPr>
    </w:p>
    <w:p>
      <w:pPr>
        <w:pStyle w:val="BodyText"/>
        <w:rPr>
          <w:rFonts w:ascii="Stone Sans II ITC Std X Bd"/>
          <w:b/>
        </w:rPr>
      </w:pPr>
      <w:r>
        <w:rPr/>
        <w:drawing>
          <wp:anchor distT="0" distB="0" distL="0" distR="0" allowOverlap="1" layoutInCell="1" locked="0" behindDoc="0" simplePos="0" relativeHeight="252027904">
            <wp:simplePos x="0" y="0"/>
            <wp:positionH relativeFrom="page">
              <wp:posOffset>0</wp:posOffset>
            </wp:positionH>
            <wp:positionV relativeFrom="page">
              <wp:posOffset>0</wp:posOffset>
            </wp:positionV>
            <wp:extent cx="594067" cy="10692003"/>
            <wp:effectExtent l="0" t="0" r="0" b="0"/>
            <wp:wrapNone/>
            <wp:docPr id="255" name="image28.png"/>
            <wp:cNvGraphicFramePr>
              <a:graphicFrameLocks noChangeAspect="1"/>
            </wp:cNvGraphicFramePr>
            <a:graphic>
              <a:graphicData uri="http://schemas.openxmlformats.org/drawingml/2006/picture">
                <pic:pic>
                  <pic:nvPicPr>
                    <pic:cNvPr id="256" name="image28.png"/>
                    <pic:cNvPicPr/>
                  </pic:nvPicPr>
                  <pic:blipFill>
                    <a:blip r:embed="rId198" cstate="print"/>
                    <a:stretch>
                      <a:fillRect/>
                    </a:stretch>
                  </pic:blipFill>
                  <pic:spPr>
                    <a:xfrm>
                      <a:off x="0" y="0"/>
                      <a:ext cx="594067" cy="10692003"/>
                    </a:xfrm>
                    <a:prstGeom prst="rect">
                      <a:avLst/>
                    </a:prstGeom>
                  </pic:spPr>
                </pic:pic>
              </a:graphicData>
            </a:graphic>
          </wp:anchor>
        </w:drawing>
      </w:r>
    </w:p>
    <w:p>
      <w:pPr>
        <w:pStyle w:val="BodyText"/>
        <w:spacing w:before="7"/>
        <w:rPr>
          <w:rFonts w:ascii="Stone Sans II ITC Std X Bd"/>
          <w:b/>
          <w:sz w:val="17"/>
        </w:rPr>
      </w:pPr>
    </w:p>
    <w:p>
      <w:pPr>
        <w:spacing w:before="107"/>
        <w:ind w:left="1247" w:right="0" w:firstLine="0"/>
        <w:jc w:val="left"/>
        <w:rPr>
          <w:sz w:val="26"/>
        </w:rPr>
      </w:pPr>
      <w:r>
        <w:rPr/>
        <w:pict>
          <v:shape style="position:absolute;margin-left:20.519100pt;margin-top:22.643946pt;width:25.9pt;height:131.3pt;mso-position-horizontal-relative:page;mso-position-vertical-relative:paragraph;z-index:252028928" type="#_x0000_t202" filled="false" stroked="false">
            <v:textbox inset="0,0,0,0" style="layout-flow:vertical">
              <w:txbxContent>
                <w:p>
                  <w:pPr>
                    <w:spacing w:before="27"/>
                    <w:ind w:left="20" w:right="0" w:firstLine="0"/>
                    <w:jc w:val="left"/>
                    <w:rPr>
                      <w:sz w:val="39"/>
                    </w:rPr>
                  </w:pPr>
                  <w:r>
                    <w:rPr>
                      <w:color w:val="FFFFFF"/>
                      <w:w w:val="120"/>
                      <w:sz w:val="39"/>
                    </w:rPr>
                    <w:t>Nominations</w:t>
                  </w:r>
                </w:p>
              </w:txbxContent>
            </v:textbox>
            <w10:wrap type="none"/>
          </v:shape>
        </w:pict>
      </w:r>
      <w:r>
        <w:rPr>
          <w:color w:val="7EAABF"/>
          <w:w w:val="115"/>
          <w:sz w:val="26"/>
        </w:rPr>
        <w:t>Nominations</w:t>
      </w:r>
    </w:p>
    <w:p>
      <w:pPr>
        <w:spacing w:before="245"/>
        <w:ind w:left="1247" w:right="0" w:firstLine="0"/>
        <w:jc w:val="left"/>
        <w:rPr>
          <w:rFonts w:ascii="Stone Sans II ITC Std X Bd"/>
          <w:b/>
          <w:sz w:val="50"/>
        </w:rPr>
      </w:pPr>
      <w:r>
        <w:rPr>
          <w:rFonts w:ascii="Stone Sans II ITC Std X Bd"/>
          <w:b/>
          <w:w w:val="110"/>
          <w:sz w:val="50"/>
        </w:rPr>
        <w:t>Nominations committee</w:t>
      </w:r>
    </w:p>
    <w:p>
      <w:pPr>
        <w:spacing w:line="261" w:lineRule="auto" w:before="140"/>
        <w:ind w:left="1247" w:right="1995" w:firstLine="0"/>
        <w:jc w:val="left"/>
        <w:rPr>
          <w:sz w:val="18"/>
        </w:rPr>
      </w:pPr>
      <w:r>
        <w:rPr>
          <w:color w:val="87888A"/>
          <w:w w:val="120"/>
          <w:sz w:val="18"/>
        </w:rPr>
        <w:t>This committee nominates to Assembly the names of people to serve as conveners and secretaries of all Assembly committees, and as members of those committees. It also suggests names of United Reformed Church representatives on other bodies. It recommends the people to make up appointment groups for moderators of synods and Assembly-appointed staff.</w:t>
      </w:r>
    </w:p>
    <w:p>
      <w:pPr>
        <w:pStyle w:val="BodyText"/>
        <w:spacing w:before="10"/>
        <w:rPr>
          <w:sz w:val="19"/>
        </w:rPr>
      </w:pPr>
    </w:p>
    <w:p>
      <w:pPr>
        <w:spacing w:line="261" w:lineRule="auto" w:before="0"/>
        <w:ind w:left="1247" w:right="8216" w:firstLine="0"/>
        <w:jc w:val="left"/>
        <w:rPr>
          <w:sz w:val="18"/>
        </w:rPr>
      </w:pPr>
      <w:r>
        <w:rPr>
          <w:color w:val="87888A"/>
          <w:w w:val="120"/>
          <w:sz w:val="18"/>
        </w:rPr>
        <w:t>Convener: John Durell Convener-elect: Irene Wren Secretary: Carol Rogers Synod representatives:</w:t>
      </w:r>
    </w:p>
    <w:p>
      <w:pPr>
        <w:tabs>
          <w:tab w:pos="1587" w:val="left" w:leader="none"/>
          <w:tab w:pos="4307" w:val="left" w:leader="none"/>
          <w:tab w:pos="4707" w:val="left" w:leader="none"/>
          <w:tab w:pos="7967" w:val="left" w:leader="none"/>
        </w:tabs>
        <w:spacing w:before="2"/>
        <w:ind w:left="1247" w:right="0" w:firstLine="0"/>
        <w:jc w:val="left"/>
        <w:rPr>
          <w:sz w:val="18"/>
        </w:rPr>
      </w:pPr>
      <w:r>
        <w:rPr>
          <w:color w:val="87888A"/>
          <w:w w:val="115"/>
          <w:sz w:val="18"/>
        </w:rPr>
        <w:t>I</w:t>
        <w:tab/>
        <w:t>Melanie</w:t>
      </w:r>
      <w:r>
        <w:rPr>
          <w:color w:val="87888A"/>
          <w:spacing w:val="28"/>
          <w:w w:val="115"/>
          <w:sz w:val="18"/>
        </w:rPr>
        <w:t> </w:t>
      </w:r>
      <w:r>
        <w:rPr>
          <w:color w:val="87888A"/>
          <w:w w:val="115"/>
          <w:sz w:val="18"/>
        </w:rPr>
        <w:t>Campbell</w:t>
        <w:tab/>
        <w:t>II</w:t>
        <w:tab/>
      </w:r>
      <w:r>
        <w:rPr>
          <w:color w:val="87888A"/>
          <w:spacing w:val="2"/>
          <w:w w:val="115"/>
          <w:sz w:val="18"/>
        </w:rPr>
        <w:t>Martin</w:t>
      </w:r>
      <w:r>
        <w:rPr>
          <w:color w:val="87888A"/>
          <w:spacing w:val="9"/>
          <w:w w:val="115"/>
          <w:sz w:val="18"/>
        </w:rPr>
        <w:t> </w:t>
      </w:r>
      <w:r>
        <w:rPr>
          <w:color w:val="87888A"/>
          <w:w w:val="115"/>
          <w:sz w:val="18"/>
        </w:rPr>
        <w:t>Smith</w:t>
        <w:tab/>
        <w:t>III Rita</w:t>
      </w:r>
      <w:r>
        <w:rPr>
          <w:color w:val="87888A"/>
          <w:spacing w:val="4"/>
          <w:w w:val="115"/>
          <w:sz w:val="18"/>
        </w:rPr>
        <w:t> </w:t>
      </w:r>
      <w:r>
        <w:rPr>
          <w:color w:val="87888A"/>
          <w:w w:val="115"/>
          <w:sz w:val="18"/>
        </w:rPr>
        <w:t>Griffiths</w:t>
      </w:r>
    </w:p>
    <w:p>
      <w:pPr>
        <w:tabs>
          <w:tab w:pos="4307" w:val="left" w:leader="none"/>
          <w:tab w:pos="4707" w:val="left" w:leader="none"/>
          <w:tab w:pos="7967" w:val="left" w:leader="none"/>
        </w:tabs>
        <w:spacing w:before="20"/>
        <w:ind w:left="1247" w:right="0" w:firstLine="0"/>
        <w:jc w:val="left"/>
        <w:rPr>
          <w:sz w:val="18"/>
        </w:rPr>
      </w:pPr>
      <w:r>
        <w:rPr>
          <w:color w:val="87888A"/>
          <w:w w:val="115"/>
          <w:sz w:val="18"/>
        </w:rPr>
        <w:t>IV   </w:t>
      </w:r>
      <w:r>
        <w:rPr>
          <w:color w:val="87888A"/>
          <w:spacing w:val="6"/>
          <w:w w:val="115"/>
          <w:sz w:val="18"/>
        </w:rPr>
        <w:t> </w:t>
      </w:r>
      <w:r>
        <w:rPr>
          <w:color w:val="87888A"/>
          <w:w w:val="115"/>
          <w:sz w:val="18"/>
        </w:rPr>
        <w:t>Chris</w:t>
      </w:r>
      <w:r>
        <w:rPr>
          <w:color w:val="87888A"/>
          <w:spacing w:val="11"/>
          <w:w w:val="115"/>
          <w:sz w:val="18"/>
        </w:rPr>
        <w:t> </w:t>
      </w:r>
      <w:r>
        <w:rPr>
          <w:color w:val="87888A"/>
          <w:w w:val="115"/>
          <w:sz w:val="18"/>
        </w:rPr>
        <w:t>Reed</w:t>
        <w:tab/>
        <w:t>V</w:t>
        <w:tab/>
        <w:t>Duncan</w:t>
      </w:r>
      <w:r>
        <w:rPr>
          <w:color w:val="87888A"/>
          <w:spacing w:val="25"/>
          <w:w w:val="115"/>
          <w:sz w:val="18"/>
        </w:rPr>
        <w:t> </w:t>
      </w:r>
      <w:r>
        <w:rPr>
          <w:color w:val="87888A"/>
          <w:w w:val="115"/>
          <w:sz w:val="18"/>
        </w:rPr>
        <w:t>Smith</w:t>
        <w:tab/>
        <w:t>VI Margaret</w:t>
      </w:r>
      <w:r>
        <w:rPr>
          <w:color w:val="87888A"/>
          <w:spacing w:val="-15"/>
          <w:w w:val="115"/>
          <w:sz w:val="18"/>
        </w:rPr>
        <w:t> </w:t>
      </w:r>
      <w:r>
        <w:rPr>
          <w:color w:val="87888A"/>
          <w:w w:val="115"/>
          <w:sz w:val="18"/>
        </w:rPr>
        <w:t>Marshall</w:t>
      </w:r>
    </w:p>
    <w:p>
      <w:pPr>
        <w:tabs>
          <w:tab w:pos="1587" w:val="left" w:leader="none"/>
          <w:tab w:pos="4307" w:val="left" w:leader="none"/>
          <w:tab w:pos="4707" w:val="left" w:leader="none"/>
          <w:tab w:pos="7967" w:val="left" w:leader="none"/>
        </w:tabs>
        <w:spacing w:line="261" w:lineRule="auto" w:before="21"/>
        <w:ind w:left="1247" w:right="2135" w:firstLine="0"/>
        <w:jc w:val="left"/>
        <w:rPr>
          <w:sz w:val="18"/>
        </w:rPr>
      </w:pPr>
      <w:r>
        <w:rPr>
          <w:color w:val="87888A"/>
          <w:spacing w:val="2"/>
          <w:w w:val="120"/>
          <w:sz w:val="18"/>
        </w:rPr>
        <w:t>VII</w:t>
      </w:r>
      <w:r>
        <w:rPr>
          <w:color w:val="87888A"/>
          <w:spacing w:val="48"/>
          <w:w w:val="120"/>
          <w:sz w:val="18"/>
        </w:rPr>
        <w:t> </w:t>
      </w:r>
      <w:r>
        <w:rPr>
          <w:color w:val="87888A"/>
          <w:w w:val="120"/>
          <w:sz w:val="18"/>
        </w:rPr>
        <w:t>Paul</w:t>
      </w:r>
      <w:r>
        <w:rPr>
          <w:color w:val="87888A"/>
          <w:spacing w:val="-6"/>
          <w:w w:val="120"/>
          <w:sz w:val="18"/>
        </w:rPr>
        <w:t> </w:t>
      </w:r>
      <w:r>
        <w:rPr>
          <w:color w:val="87888A"/>
          <w:w w:val="120"/>
          <w:sz w:val="18"/>
        </w:rPr>
        <w:t>Whittle</w:t>
        <w:tab/>
      </w:r>
      <w:r>
        <w:rPr>
          <w:color w:val="87888A"/>
          <w:spacing w:val="2"/>
          <w:w w:val="120"/>
          <w:sz w:val="18"/>
        </w:rPr>
        <w:t>VIII </w:t>
      </w:r>
      <w:r>
        <w:rPr>
          <w:color w:val="87888A"/>
          <w:spacing w:val="16"/>
          <w:w w:val="120"/>
          <w:sz w:val="18"/>
        </w:rPr>
        <w:t> </w:t>
      </w:r>
      <w:r>
        <w:rPr>
          <w:color w:val="87888A"/>
          <w:w w:val="120"/>
          <w:sz w:val="18"/>
        </w:rPr>
        <w:t>George Faris</w:t>
        <w:tab/>
        <w:t>IX   Colin  MacBean X</w:t>
        <w:tab/>
        <w:t>Simon</w:t>
      </w:r>
      <w:r>
        <w:rPr>
          <w:color w:val="87888A"/>
          <w:spacing w:val="1"/>
          <w:w w:val="120"/>
          <w:sz w:val="18"/>
        </w:rPr>
        <w:t> </w:t>
      </w:r>
      <w:r>
        <w:rPr>
          <w:color w:val="87888A"/>
          <w:w w:val="120"/>
          <w:sz w:val="18"/>
        </w:rPr>
        <w:t>Fairnington</w:t>
        <w:tab/>
        <w:t>XI</w:t>
        <w:tab/>
        <w:t>Derrick</w:t>
      </w:r>
      <w:r>
        <w:rPr>
          <w:color w:val="87888A"/>
          <w:spacing w:val="15"/>
          <w:w w:val="120"/>
          <w:sz w:val="18"/>
        </w:rPr>
        <w:t> </w:t>
      </w:r>
      <w:r>
        <w:rPr>
          <w:color w:val="87888A"/>
          <w:w w:val="120"/>
          <w:sz w:val="18"/>
        </w:rPr>
        <w:t>Sena</w:t>
      </w:r>
      <w:r>
        <w:rPr>
          <w:color w:val="87888A"/>
          <w:spacing w:val="15"/>
          <w:w w:val="120"/>
          <w:sz w:val="18"/>
        </w:rPr>
        <w:t> </w:t>
      </w:r>
      <w:r>
        <w:rPr>
          <w:color w:val="87888A"/>
          <w:w w:val="120"/>
          <w:sz w:val="18"/>
        </w:rPr>
        <w:t>Dzandu-Hedidor</w:t>
        <w:tab/>
        <w:t>XII Jean Silvan </w:t>
      </w:r>
      <w:r>
        <w:rPr>
          <w:color w:val="87888A"/>
          <w:spacing w:val="-3"/>
          <w:w w:val="120"/>
          <w:sz w:val="18"/>
        </w:rPr>
        <w:t>Evans </w:t>
      </w:r>
      <w:r>
        <w:rPr>
          <w:color w:val="87888A"/>
          <w:w w:val="120"/>
          <w:sz w:val="18"/>
        </w:rPr>
        <w:t>XIII Myra</w:t>
      </w:r>
      <w:r>
        <w:rPr>
          <w:color w:val="87888A"/>
          <w:spacing w:val="13"/>
          <w:w w:val="120"/>
          <w:sz w:val="18"/>
        </w:rPr>
        <w:t> </w:t>
      </w:r>
      <w:r>
        <w:rPr>
          <w:color w:val="87888A"/>
          <w:w w:val="120"/>
          <w:sz w:val="18"/>
        </w:rPr>
        <w:t>Rose</w:t>
      </w:r>
    </w:p>
    <w:p>
      <w:pPr>
        <w:pStyle w:val="BodyText"/>
        <w:rPr>
          <w:sz w:val="22"/>
        </w:rPr>
      </w:pPr>
    </w:p>
    <w:p>
      <w:pPr>
        <w:pStyle w:val="BodyText"/>
        <w:rPr>
          <w:sz w:val="22"/>
        </w:rPr>
      </w:pPr>
    </w:p>
    <w:p>
      <w:pPr>
        <w:pStyle w:val="ListParagraph"/>
        <w:numPr>
          <w:ilvl w:val="0"/>
          <w:numId w:val="80"/>
        </w:numPr>
        <w:tabs>
          <w:tab w:pos="1927" w:val="left" w:leader="none"/>
          <w:tab w:pos="1928" w:val="left" w:leader="none"/>
        </w:tabs>
        <w:spacing w:line="240" w:lineRule="auto" w:before="141" w:after="0"/>
        <w:ind w:left="1927" w:right="0" w:hanging="681"/>
        <w:jc w:val="left"/>
        <w:rPr>
          <w:rFonts w:ascii="Stone Sans II ITC Std Bk"/>
          <w:b/>
          <w:sz w:val="29"/>
        </w:rPr>
      </w:pPr>
      <w:r>
        <w:rPr>
          <w:rFonts w:ascii="Stone Sans II ITC Std Bk"/>
          <w:b/>
          <w:spacing w:val="2"/>
          <w:w w:val="110"/>
          <w:sz w:val="29"/>
        </w:rPr>
        <w:t>Current</w:t>
      </w:r>
      <w:r>
        <w:rPr>
          <w:rFonts w:ascii="Stone Sans II ITC Std Bk"/>
          <w:b/>
          <w:spacing w:val="12"/>
          <w:w w:val="110"/>
          <w:sz w:val="29"/>
        </w:rPr>
        <w:t> </w:t>
      </w:r>
      <w:r>
        <w:rPr>
          <w:rFonts w:ascii="Stone Sans II ITC Std Bk"/>
          <w:b/>
          <w:spacing w:val="2"/>
          <w:w w:val="110"/>
          <w:sz w:val="29"/>
        </w:rPr>
        <w:t>work</w:t>
      </w:r>
    </w:p>
    <w:p>
      <w:pPr>
        <w:pStyle w:val="ListParagraph"/>
        <w:numPr>
          <w:ilvl w:val="1"/>
          <w:numId w:val="80"/>
        </w:numPr>
        <w:tabs>
          <w:tab w:pos="1927" w:val="left" w:leader="none"/>
          <w:tab w:pos="1928" w:val="left" w:leader="none"/>
        </w:tabs>
        <w:spacing w:line="235" w:lineRule="auto" w:before="69" w:after="0"/>
        <w:ind w:left="1247" w:right="2140" w:firstLine="0"/>
        <w:jc w:val="left"/>
        <w:rPr>
          <w:sz w:val="20"/>
        </w:rPr>
      </w:pPr>
      <w:r>
        <w:rPr>
          <w:w w:val="120"/>
          <w:sz w:val="20"/>
        </w:rPr>
        <w:t>The main activity of the committee is routine, but in its own way demanding. We depend on the </w:t>
      </w:r>
      <w:r>
        <w:rPr>
          <w:spacing w:val="2"/>
          <w:w w:val="120"/>
          <w:sz w:val="20"/>
        </w:rPr>
        <w:t>gifts </w:t>
      </w:r>
      <w:r>
        <w:rPr>
          <w:w w:val="120"/>
          <w:sz w:val="20"/>
        </w:rPr>
        <w:t>and the goodwill of members of our Church to maintain the work of all our Assembly committees and working groups; but we depend on our own committee members to ensure that invitations are issued that may result in balanced committees where every member contributes to the work of the</w:t>
      </w:r>
      <w:r>
        <w:rPr>
          <w:spacing w:val="20"/>
          <w:w w:val="120"/>
          <w:sz w:val="20"/>
        </w:rPr>
        <w:t> </w:t>
      </w:r>
      <w:r>
        <w:rPr>
          <w:w w:val="120"/>
          <w:sz w:val="20"/>
        </w:rPr>
        <w:t>whole.</w:t>
      </w:r>
    </w:p>
    <w:p>
      <w:pPr>
        <w:pStyle w:val="BodyText"/>
      </w:pPr>
    </w:p>
    <w:p>
      <w:pPr>
        <w:pStyle w:val="ListParagraph"/>
        <w:numPr>
          <w:ilvl w:val="1"/>
          <w:numId w:val="80"/>
        </w:numPr>
        <w:tabs>
          <w:tab w:pos="1927" w:val="left" w:leader="none"/>
          <w:tab w:pos="1928" w:val="left" w:leader="none"/>
        </w:tabs>
        <w:spacing w:line="235" w:lineRule="auto" w:before="0" w:after="0"/>
        <w:ind w:left="1247" w:right="1984" w:firstLine="0"/>
        <w:jc w:val="left"/>
        <w:rPr>
          <w:sz w:val="20"/>
        </w:rPr>
      </w:pPr>
      <w:r>
        <w:rPr>
          <w:w w:val="120"/>
          <w:sz w:val="20"/>
        </w:rPr>
        <w:t>Our synod representative members encourage churches and committees of their own synods to respond to our secretary’s annual letter </w:t>
      </w:r>
      <w:r>
        <w:rPr>
          <w:spacing w:val="-4"/>
          <w:w w:val="120"/>
          <w:sz w:val="20"/>
        </w:rPr>
        <w:t>(sent </w:t>
      </w:r>
      <w:r>
        <w:rPr>
          <w:w w:val="120"/>
          <w:sz w:val="20"/>
        </w:rPr>
        <w:t>out early in the summer) which lists forthcoming vacancies, and asks for suggested nominees. We also welcome suggestions made by committees themselves where appropriate, recognising that often they have the clearest understanding of their own needs. </w:t>
      </w:r>
      <w:r>
        <w:rPr>
          <w:spacing w:val="-7"/>
          <w:w w:val="120"/>
          <w:sz w:val="20"/>
        </w:rPr>
        <w:t>To </w:t>
      </w:r>
      <w:r>
        <w:rPr>
          <w:w w:val="120"/>
          <w:sz w:val="20"/>
        </w:rPr>
        <w:t>keep a healthy balance between continuity and ‘new </w:t>
      </w:r>
      <w:r>
        <w:rPr>
          <w:spacing w:val="-3"/>
          <w:w w:val="120"/>
          <w:sz w:val="20"/>
        </w:rPr>
        <w:t>blood’, </w:t>
      </w:r>
      <w:r>
        <w:rPr>
          <w:w w:val="120"/>
          <w:sz w:val="20"/>
        </w:rPr>
        <w:t>and between established expertise and untested enthusiasm, is not always easy; and, the more obvious balance we always </w:t>
      </w:r>
      <w:r>
        <w:rPr>
          <w:spacing w:val="3"/>
          <w:w w:val="120"/>
          <w:sz w:val="20"/>
        </w:rPr>
        <w:t>try </w:t>
      </w:r>
      <w:r>
        <w:rPr>
          <w:w w:val="120"/>
          <w:sz w:val="20"/>
        </w:rPr>
        <w:t>to achieve between lay and ordained, and male and female, can itself be easily lost through the refusal of first choice nominees. However, we remain deeply grateful for the number of names that we receive, and for the extent to which members of our churches still feel able to accept invitations and contribute in this way to the life of the</w:t>
      </w:r>
      <w:r>
        <w:rPr>
          <w:spacing w:val="28"/>
          <w:w w:val="120"/>
          <w:sz w:val="20"/>
        </w:rPr>
        <w:t> </w:t>
      </w:r>
      <w:r>
        <w:rPr>
          <w:w w:val="120"/>
          <w:sz w:val="20"/>
        </w:rPr>
        <w:t>Church.</w:t>
      </w:r>
    </w:p>
    <w:p>
      <w:pPr>
        <w:pStyle w:val="BodyText"/>
        <w:spacing w:before="4"/>
      </w:pPr>
    </w:p>
    <w:p>
      <w:pPr>
        <w:pStyle w:val="ListParagraph"/>
        <w:numPr>
          <w:ilvl w:val="1"/>
          <w:numId w:val="80"/>
        </w:numPr>
        <w:tabs>
          <w:tab w:pos="1927" w:val="left" w:leader="none"/>
          <w:tab w:pos="1928" w:val="left" w:leader="none"/>
        </w:tabs>
        <w:spacing w:line="235" w:lineRule="auto" w:before="0" w:after="0"/>
        <w:ind w:left="1247" w:right="2075" w:firstLine="0"/>
        <w:jc w:val="left"/>
        <w:rPr>
          <w:sz w:val="20"/>
        </w:rPr>
      </w:pPr>
      <w:r>
        <w:rPr>
          <w:spacing w:val="3"/>
          <w:w w:val="120"/>
          <w:sz w:val="20"/>
        </w:rPr>
        <w:t>As </w:t>
      </w:r>
      <w:r>
        <w:rPr>
          <w:w w:val="120"/>
          <w:sz w:val="20"/>
        </w:rPr>
        <w:t>well as nominating committee members, we also have a responsibility for the membership of General Assembly panels, and for ensuring that our representation on outside bodies is maintained. The last section of this </w:t>
      </w:r>
      <w:r>
        <w:rPr>
          <w:spacing w:val="2"/>
          <w:w w:val="120"/>
          <w:sz w:val="20"/>
        </w:rPr>
        <w:t>report </w:t>
      </w:r>
      <w:r>
        <w:rPr>
          <w:w w:val="120"/>
          <w:sz w:val="20"/>
        </w:rPr>
        <w:t>indicates the scope of the task. Even where the responsibility for some of these appointments lies with others, we are keen to maintain an up-to-date database of all who serve in this </w:t>
      </w:r>
      <w:r>
        <w:rPr>
          <w:spacing w:val="-4"/>
          <w:w w:val="120"/>
          <w:sz w:val="20"/>
        </w:rPr>
        <w:t>way, </w:t>
      </w:r>
      <w:r>
        <w:rPr>
          <w:w w:val="120"/>
          <w:sz w:val="20"/>
        </w:rPr>
        <w:t>in order that the load may be seen to be fairly</w:t>
      </w:r>
      <w:r>
        <w:rPr>
          <w:spacing w:val="15"/>
          <w:w w:val="120"/>
          <w:sz w:val="20"/>
        </w:rPr>
        <w:t> </w:t>
      </w:r>
      <w:r>
        <w:rPr>
          <w:w w:val="120"/>
          <w:sz w:val="20"/>
        </w:rPr>
        <w:t>shared.</w:t>
      </w:r>
    </w:p>
    <w:p>
      <w:pPr>
        <w:pStyle w:val="BodyText"/>
        <w:spacing w:before="9"/>
        <w:rPr>
          <w:sz w:val="17"/>
        </w:rPr>
      </w:pPr>
    </w:p>
    <w:p>
      <w:pPr>
        <w:pStyle w:val="Heading4"/>
        <w:numPr>
          <w:ilvl w:val="0"/>
          <w:numId w:val="80"/>
        </w:numPr>
        <w:tabs>
          <w:tab w:pos="1927" w:val="left" w:leader="none"/>
          <w:tab w:pos="1928" w:val="left" w:leader="none"/>
        </w:tabs>
        <w:spacing w:line="240" w:lineRule="auto" w:before="0" w:after="0"/>
        <w:ind w:left="1927" w:right="0" w:hanging="681"/>
        <w:jc w:val="left"/>
      </w:pPr>
      <w:r>
        <w:rPr>
          <w:spacing w:val="3"/>
          <w:w w:val="110"/>
        </w:rPr>
        <w:t>Monitoring</w:t>
      </w:r>
    </w:p>
    <w:p>
      <w:pPr>
        <w:pStyle w:val="ListParagraph"/>
        <w:numPr>
          <w:ilvl w:val="1"/>
          <w:numId w:val="80"/>
        </w:numPr>
        <w:tabs>
          <w:tab w:pos="1927" w:val="left" w:leader="none"/>
          <w:tab w:pos="1928" w:val="left" w:leader="none"/>
        </w:tabs>
        <w:spacing w:line="235" w:lineRule="auto" w:before="69" w:after="0"/>
        <w:ind w:left="1247" w:right="2187" w:firstLine="0"/>
        <w:jc w:val="left"/>
        <w:rPr>
          <w:sz w:val="20"/>
        </w:rPr>
      </w:pPr>
      <w:r>
        <w:rPr>
          <w:spacing w:val="-7"/>
          <w:w w:val="120"/>
          <w:sz w:val="20"/>
        </w:rPr>
        <w:t>To </w:t>
      </w:r>
      <w:r>
        <w:rPr>
          <w:w w:val="120"/>
          <w:sz w:val="20"/>
        </w:rPr>
        <w:t>help us in maintaining balance in all the </w:t>
      </w:r>
      <w:r>
        <w:rPr>
          <w:spacing w:val="-3"/>
          <w:w w:val="120"/>
          <w:sz w:val="20"/>
        </w:rPr>
        <w:t>Church’s </w:t>
      </w:r>
      <w:r>
        <w:rPr>
          <w:w w:val="120"/>
          <w:sz w:val="20"/>
        </w:rPr>
        <w:t>committees and working groups, we continue to monitor the responses of all those who receive invitations and to share this information with the equalities committee. Important as this monitoring process is, we need to warn against reading too much into trends detected in so small a</w:t>
      </w:r>
      <w:r>
        <w:rPr>
          <w:spacing w:val="1"/>
          <w:w w:val="120"/>
          <w:sz w:val="20"/>
        </w:rPr>
        <w:t> </w:t>
      </w:r>
      <w:r>
        <w:rPr>
          <w:w w:val="120"/>
          <w:sz w:val="20"/>
        </w:rPr>
        <w:t>sample.</w:t>
      </w:r>
    </w:p>
    <w:p>
      <w:pPr>
        <w:pStyle w:val="BodyText"/>
        <w:spacing w:before="8"/>
        <w:rPr>
          <w:sz w:val="19"/>
        </w:rPr>
      </w:pPr>
    </w:p>
    <w:p>
      <w:pPr>
        <w:pStyle w:val="ListParagraph"/>
        <w:numPr>
          <w:ilvl w:val="1"/>
          <w:numId w:val="80"/>
        </w:numPr>
        <w:tabs>
          <w:tab w:pos="1927" w:val="left" w:leader="none"/>
          <w:tab w:pos="1928" w:val="left" w:leader="none"/>
        </w:tabs>
        <w:spacing w:line="242" w:lineRule="exact" w:before="0" w:after="0"/>
        <w:ind w:left="1927" w:right="0" w:hanging="681"/>
        <w:jc w:val="left"/>
        <w:rPr>
          <w:sz w:val="20"/>
        </w:rPr>
      </w:pPr>
      <w:r>
        <w:rPr>
          <w:w w:val="120"/>
          <w:sz w:val="20"/>
        </w:rPr>
        <w:t>In fact, most of these observations closely follow those made in our </w:t>
      </w:r>
      <w:r>
        <w:rPr>
          <w:spacing w:val="-7"/>
          <w:w w:val="120"/>
          <w:sz w:val="20"/>
        </w:rPr>
        <w:t>2012</w:t>
      </w:r>
      <w:r>
        <w:rPr>
          <w:spacing w:val="26"/>
          <w:w w:val="120"/>
          <w:sz w:val="20"/>
        </w:rPr>
        <w:t> </w:t>
      </w:r>
      <w:r>
        <w:rPr>
          <w:spacing w:val="2"/>
          <w:w w:val="120"/>
          <w:sz w:val="20"/>
        </w:rPr>
        <w:t>report</w:t>
      </w:r>
    </w:p>
    <w:p>
      <w:pPr>
        <w:pStyle w:val="ListParagraph"/>
        <w:numPr>
          <w:ilvl w:val="0"/>
          <w:numId w:val="45"/>
        </w:numPr>
        <w:tabs>
          <w:tab w:pos="1432" w:val="left" w:leader="none"/>
        </w:tabs>
        <w:spacing w:line="240" w:lineRule="exact" w:before="0" w:after="0"/>
        <w:ind w:left="1431" w:right="0" w:hanging="185"/>
        <w:jc w:val="left"/>
        <w:rPr>
          <w:sz w:val="20"/>
        </w:rPr>
      </w:pPr>
      <w:r>
        <w:rPr>
          <w:w w:val="120"/>
          <w:sz w:val="20"/>
        </w:rPr>
        <w:t>no new trends are</w:t>
      </w:r>
      <w:r>
        <w:rPr>
          <w:spacing w:val="7"/>
          <w:w w:val="120"/>
          <w:sz w:val="20"/>
        </w:rPr>
        <w:t> </w:t>
      </w:r>
      <w:r>
        <w:rPr>
          <w:w w:val="120"/>
          <w:sz w:val="20"/>
        </w:rPr>
        <w:t>apparent.</w:t>
      </w:r>
    </w:p>
    <w:p>
      <w:pPr>
        <w:pStyle w:val="ListParagraph"/>
        <w:numPr>
          <w:ilvl w:val="0"/>
          <w:numId w:val="46"/>
        </w:numPr>
        <w:tabs>
          <w:tab w:pos="1927" w:val="left" w:leader="none"/>
          <w:tab w:pos="1928" w:val="left" w:leader="none"/>
        </w:tabs>
        <w:spacing w:line="235" w:lineRule="auto" w:before="2" w:after="0"/>
        <w:ind w:left="1927" w:right="1991" w:hanging="681"/>
        <w:jc w:val="left"/>
        <w:rPr>
          <w:sz w:val="20"/>
        </w:rPr>
      </w:pPr>
      <w:r>
        <w:rPr>
          <w:w w:val="120"/>
          <w:sz w:val="20"/>
        </w:rPr>
        <w:t>Across those committees whose members are appointed through the involvement of the nominations committee, at September </w:t>
      </w:r>
      <w:r>
        <w:rPr>
          <w:spacing w:val="-8"/>
          <w:w w:val="120"/>
          <w:sz w:val="20"/>
        </w:rPr>
        <w:t>2013 </w:t>
      </w:r>
      <w:r>
        <w:rPr>
          <w:w w:val="120"/>
          <w:sz w:val="20"/>
        </w:rPr>
        <w:t>membership was </w:t>
      </w:r>
      <w:r>
        <w:rPr>
          <w:spacing w:val="-4"/>
          <w:w w:val="120"/>
          <w:sz w:val="20"/>
        </w:rPr>
        <w:t>57% </w:t>
      </w:r>
      <w:r>
        <w:rPr>
          <w:w w:val="120"/>
          <w:sz w:val="20"/>
        </w:rPr>
        <w:t>male and </w:t>
      </w:r>
      <w:r>
        <w:rPr>
          <w:spacing w:val="-6"/>
          <w:w w:val="120"/>
          <w:sz w:val="20"/>
        </w:rPr>
        <w:t>43% </w:t>
      </w:r>
      <w:r>
        <w:rPr>
          <w:w w:val="120"/>
          <w:sz w:val="20"/>
        </w:rPr>
        <w:t>female, and </w:t>
      </w:r>
      <w:r>
        <w:rPr>
          <w:spacing w:val="-3"/>
          <w:w w:val="120"/>
          <w:sz w:val="20"/>
        </w:rPr>
        <w:t>52%</w:t>
      </w:r>
      <w:r>
        <w:rPr>
          <w:spacing w:val="12"/>
          <w:w w:val="120"/>
          <w:sz w:val="20"/>
        </w:rPr>
        <w:t> </w:t>
      </w:r>
      <w:r>
        <w:rPr>
          <w:w w:val="120"/>
          <w:sz w:val="20"/>
        </w:rPr>
        <w:t>lay and 48% ordained.</w:t>
      </w:r>
    </w:p>
    <w:p>
      <w:pPr>
        <w:spacing w:after="0" w:line="235" w:lineRule="auto"/>
        <w:jc w:val="left"/>
        <w:rPr>
          <w:sz w:val="20"/>
        </w:rPr>
        <w:sectPr>
          <w:headerReference w:type="even" r:id="rId325"/>
          <w:footerReference w:type="even" r:id="rId326"/>
          <w:footerReference w:type="default" r:id="rId327"/>
          <w:pgSz w:w="11910" w:h="16840"/>
          <w:pgMar w:header="0" w:footer="647" w:top="0" w:bottom="840" w:left="0" w:right="0"/>
          <w:pgNumType w:start="138"/>
        </w:sectPr>
      </w:pPr>
    </w:p>
    <w:p>
      <w:pPr>
        <w:pStyle w:val="BodyText"/>
      </w:pPr>
      <w:r>
        <w:rPr/>
        <w:drawing>
          <wp:anchor distT="0" distB="0" distL="0" distR="0" allowOverlap="1" layoutInCell="1" locked="0" behindDoc="0" simplePos="0" relativeHeight="252029952">
            <wp:simplePos x="0" y="0"/>
            <wp:positionH relativeFrom="page">
              <wp:posOffset>6974928</wp:posOffset>
            </wp:positionH>
            <wp:positionV relativeFrom="page">
              <wp:posOffset>0</wp:posOffset>
            </wp:positionV>
            <wp:extent cx="585063" cy="10692003"/>
            <wp:effectExtent l="0" t="0" r="0" b="0"/>
            <wp:wrapNone/>
            <wp:docPr id="257" name="image25.png"/>
            <wp:cNvGraphicFramePr>
              <a:graphicFrameLocks noChangeAspect="1"/>
            </wp:cNvGraphicFramePr>
            <a:graphic>
              <a:graphicData uri="http://schemas.openxmlformats.org/drawingml/2006/picture">
                <pic:pic>
                  <pic:nvPicPr>
                    <pic:cNvPr id="258" name="image25.png"/>
                    <pic:cNvPicPr/>
                  </pic:nvPicPr>
                  <pic:blipFill>
                    <a:blip r:embed="rId192"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pStyle w:val="Heading5"/>
        <w:ind w:left="0" w:right="1245"/>
        <w:jc w:val="right"/>
      </w:pPr>
      <w:r>
        <w:rPr/>
        <w:pict>
          <v:shape style="position:absolute;margin-left:554.141174pt;margin-top:22.593945pt;width:25.9pt;height:131.3pt;mso-position-horizontal-relative:page;mso-position-vertical-relative:paragraph;z-index:252030976" type="#_x0000_t202" filled="false" stroked="false">
            <v:textbox inset="0,0,0,0" style="layout-flow:vertical">
              <w:txbxContent>
                <w:p>
                  <w:pPr>
                    <w:spacing w:before="27"/>
                    <w:ind w:left="20" w:right="0" w:firstLine="0"/>
                    <w:jc w:val="left"/>
                    <w:rPr>
                      <w:sz w:val="39"/>
                    </w:rPr>
                  </w:pPr>
                  <w:r>
                    <w:rPr>
                      <w:color w:val="FFFFFF"/>
                      <w:w w:val="120"/>
                      <w:sz w:val="39"/>
                    </w:rPr>
                    <w:t>Nominations</w:t>
                  </w:r>
                </w:p>
              </w:txbxContent>
            </v:textbox>
            <w10:wrap type="none"/>
          </v:shape>
        </w:pict>
      </w:r>
      <w:r>
        <w:rPr>
          <w:color w:val="7EAABF"/>
          <w:w w:val="115"/>
        </w:rPr>
        <w:t>Nominations</w:t>
      </w:r>
    </w:p>
    <w:p>
      <w:pPr>
        <w:pStyle w:val="ListParagraph"/>
        <w:numPr>
          <w:ilvl w:val="1"/>
          <w:numId w:val="46"/>
        </w:numPr>
        <w:tabs>
          <w:tab w:pos="2664" w:val="left" w:leader="none"/>
          <w:tab w:pos="2665" w:val="left" w:leader="none"/>
        </w:tabs>
        <w:spacing w:line="235" w:lineRule="auto" w:before="222" w:after="0"/>
        <w:ind w:left="2664" w:right="1247" w:hanging="681"/>
        <w:jc w:val="left"/>
        <w:rPr>
          <w:sz w:val="20"/>
        </w:rPr>
      </w:pPr>
      <w:r>
        <w:rPr>
          <w:w w:val="120"/>
          <w:sz w:val="20"/>
        </w:rPr>
        <w:t>While we seem able to maintain the lay/ordained balance, we have not been able to improve the male/female ratio but have been frustrated in our </w:t>
      </w:r>
      <w:r>
        <w:rPr>
          <w:spacing w:val="2"/>
          <w:w w:val="120"/>
          <w:sz w:val="20"/>
        </w:rPr>
        <w:t>efforts </w:t>
      </w:r>
      <w:r>
        <w:rPr>
          <w:w w:val="120"/>
          <w:sz w:val="20"/>
        </w:rPr>
        <w:t>by the larger number of refusals that we receive from women, both lay and ordained, than from</w:t>
      </w:r>
      <w:r>
        <w:rPr>
          <w:spacing w:val="3"/>
          <w:w w:val="120"/>
          <w:sz w:val="20"/>
        </w:rPr>
        <w:t> </w:t>
      </w:r>
      <w:r>
        <w:rPr>
          <w:w w:val="120"/>
          <w:sz w:val="20"/>
        </w:rPr>
        <w:t>men.</w:t>
      </w:r>
    </w:p>
    <w:p>
      <w:pPr>
        <w:pStyle w:val="ListParagraph"/>
        <w:numPr>
          <w:ilvl w:val="1"/>
          <w:numId w:val="46"/>
        </w:numPr>
        <w:tabs>
          <w:tab w:pos="2664" w:val="left" w:leader="none"/>
          <w:tab w:pos="2665" w:val="left" w:leader="none"/>
        </w:tabs>
        <w:spacing w:line="235" w:lineRule="auto" w:before="3" w:after="0"/>
        <w:ind w:left="2664" w:right="1534" w:hanging="681"/>
        <w:jc w:val="left"/>
        <w:rPr>
          <w:sz w:val="20"/>
        </w:rPr>
      </w:pPr>
      <w:r>
        <w:rPr>
          <w:w w:val="120"/>
          <w:sz w:val="20"/>
        </w:rPr>
        <w:t>We have again been grateful to the secretary for racial justice and intercultural ministry for helping us identify good numbers of BME (black and minority </w:t>
      </w:r>
      <w:r>
        <w:rPr>
          <w:spacing w:val="-3"/>
          <w:w w:val="120"/>
          <w:sz w:val="20"/>
        </w:rPr>
        <w:t>ethnic) </w:t>
      </w:r>
      <w:r>
        <w:rPr>
          <w:w w:val="120"/>
          <w:sz w:val="20"/>
        </w:rPr>
        <w:t>members, eight of whom have accepted</w:t>
      </w:r>
      <w:r>
        <w:rPr>
          <w:spacing w:val="26"/>
          <w:w w:val="120"/>
          <w:sz w:val="20"/>
        </w:rPr>
        <w:t> </w:t>
      </w:r>
      <w:r>
        <w:rPr>
          <w:w w:val="120"/>
          <w:sz w:val="20"/>
        </w:rPr>
        <w:t>invitations.</w:t>
      </w:r>
    </w:p>
    <w:p>
      <w:pPr>
        <w:pStyle w:val="ListParagraph"/>
        <w:numPr>
          <w:ilvl w:val="1"/>
          <w:numId w:val="46"/>
        </w:numPr>
        <w:tabs>
          <w:tab w:pos="2664" w:val="left" w:leader="none"/>
          <w:tab w:pos="2665" w:val="left" w:leader="none"/>
        </w:tabs>
        <w:spacing w:line="240" w:lineRule="exact" w:before="0" w:after="0"/>
        <w:ind w:left="2664" w:right="0" w:hanging="681"/>
        <w:jc w:val="left"/>
        <w:rPr>
          <w:sz w:val="20"/>
        </w:rPr>
      </w:pPr>
      <w:r>
        <w:rPr>
          <w:w w:val="120"/>
          <w:sz w:val="20"/>
        </w:rPr>
        <w:t>We continue to be concerned about the age profile of those who are</w:t>
      </w:r>
      <w:r>
        <w:rPr>
          <w:spacing w:val="51"/>
          <w:w w:val="120"/>
          <w:sz w:val="20"/>
        </w:rPr>
        <w:t> </w:t>
      </w:r>
      <w:r>
        <w:rPr>
          <w:w w:val="120"/>
          <w:sz w:val="20"/>
        </w:rPr>
        <w:t>invited.</w:t>
      </w:r>
    </w:p>
    <w:p>
      <w:pPr>
        <w:pStyle w:val="BodyText"/>
        <w:spacing w:line="235" w:lineRule="auto" w:before="1"/>
        <w:ind w:left="2664" w:right="1352"/>
      </w:pPr>
      <w:r>
        <w:rPr>
          <w:w w:val="120"/>
        </w:rPr>
        <w:t>It appears that many more are over 55 than under, reflecting our lack of success in even identifying younger people who might be approached.</w:t>
      </w:r>
    </w:p>
    <w:p>
      <w:pPr>
        <w:pStyle w:val="ListParagraph"/>
        <w:numPr>
          <w:ilvl w:val="1"/>
          <w:numId w:val="46"/>
        </w:numPr>
        <w:tabs>
          <w:tab w:pos="2664" w:val="left" w:leader="none"/>
          <w:tab w:pos="2665" w:val="left" w:leader="none"/>
        </w:tabs>
        <w:spacing w:line="235" w:lineRule="auto" w:before="2" w:after="0"/>
        <w:ind w:left="2664" w:right="1706" w:hanging="681"/>
        <w:jc w:val="left"/>
        <w:rPr>
          <w:sz w:val="20"/>
        </w:rPr>
      </w:pPr>
      <w:r>
        <w:rPr>
          <w:w w:val="120"/>
          <w:sz w:val="20"/>
        </w:rPr>
        <w:t>All this information is dependent on invitees completing a monitoring form. We are grateful that the majority do, but a invariably a small number fail to – often, it seems, because a thoughtful letter of refusal appears kinder than an impersonal</w:t>
      </w:r>
      <w:r>
        <w:rPr>
          <w:spacing w:val="1"/>
          <w:w w:val="120"/>
          <w:sz w:val="20"/>
        </w:rPr>
        <w:t> </w:t>
      </w:r>
      <w:r>
        <w:rPr>
          <w:w w:val="120"/>
          <w:sz w:val="20"/>
        </w:rPr>
        <w:t>form.</w:t>
      </w:r>
    </w:p>
    <w:p>
      <w:pPr>
        <w:pStyle w:val="Heading4"/>
        <w:numPr>
          <w:ilvl w:val="0"/>
          <w:numId w:val="80"/>
        </w:numPr>
        <w:tabs>
          <w:tab w:pos="2664" w:val="left" w:leader="none"/>
          <w:tab w:pos="2665" w:val="left" w:leader="none"/>
        </w:tabs>
        <w:spacing w:line="240" w:lineRule="auto" w:before="215" w:after="0"/>
        <w:ind w:left="2664" w:right="0" w:hanging="681"/>
        <w:jc w:val="left"/>
      </w:pPr>
      <w:r>
        <w:rPr>
          <w:spacing w:val="3"/>
          <w:w w:val="110"/>
        </w:rPr>
        <w:t>Committee</w:t>
      </w:r>
      <w:r>
        <w:rPr>
          <w:spacing w:val="12"/>
          <w:w w:val="110"/>
        </w:rPr>
        <w:t> </w:t>
      </w:r>
      <w:r>
        <w:rPr>
          <w:spacing w:val="4"/>
          <w:w w:val="110"/>
        </w:rPr>
        <w:t>membership</w:t>
      </w:r>
    </w:p>
    <w:p>
      <w:pPr>
        <w:pStyle w:val="ListParagraph"/>
        <w:numPr>
          <w:ilvl w:val="1"/>
          <w:numId w:val="80"/>
        </w:numPr>
        <w:tabs>
          <w:tab w:pos="2664" w:val="left" w:leader="none"/>
          <w:tab w:pos="2665" w:val="left" w:leader="none"/>
        </w:tabs>
        <w:spacing w:line="235" w:lineRule="auto" w:before="69" w:after="0"/>
        <w:ind w:left="1984" w:right="1540" w:firstLine="0"/>
        <w:jc w:val="left"/>
        <w:rPr>
          <w:sz w:val="20"/>
        </w:rPr>
      </w:pPr>
      <w:r>
        <w:rPr>
          <w:w w:val="120"/>
          <w:sz w:val="20"/>
        </w:rPr>
        <w:t>Each synod is represented on our committee, some by their clerks and others by individuals with a good knowledge of the people within the synod. We benefit by this gradual change in our own membership. In the past year we have welcomed our new secretary, Carol Rogers, and now we welcome our new </w:t>
      </w:r>
      <w:r>
        <w:rPr>
          <w:spacing w:val="-3"/>
          <w:w w:val="120"/>
          <w:sz w:val="20"/>
        </w:rPr>
        <w:t>convener, </w:t>
      </w:r>
      <w:r>
        <w:rPr>
          <w:w w:val="120"/>
          <w:sz w:val="20"/>
        </w:rPr>
        <w:t>Irene Wren.</w:t>
      </w:r>
    </w:p>
    <w:p>
      <w:pPr>
        <w:pStyle w:val="Heading4"/>
        <w:numPr>
          <w:ilvl w:val="0"/>
          <w:numId w:val="80"/>
        </w:numPr>
        <w:tabs>
          <w:tab w:pos="2664" w:val="left" w:leader="none"/>
          <w:tab w:pos="2665" w:val="left" w:leader="none"/>
        </w:tabs>
        <w:spacing w:line="240" w:lineRule="auto" w:before="215" w:after="0"/>
        <w:ind w:left="2664" w:right="0" w:hanging="681"/>
        <w:jc w:val="left"/>
      </w:pPr>
      <w:r>
        <w:rPr>
          <w:spacing w:val="4"/>
          <w:w w:val="110"/>
        </w:rPr>
        <w:t>Thanks </w:t>
      </w:r>
      <w:r>
        <w:rPr>
          <w:w w:val="110"/>
        </w:rPr>
        <w:t>to </w:t>
      </w:r>
      <w:r>
        <w:rPr>
          <w:spacing w:val="2"/>
          <w:w w:val="110"/>
        </w:rPr>
        <w:t>all </w:t>
      </w:r>
      <w:r>
        <w:rPr>
          <w:spacing w:val="3"/>
          <w:w w:val="110"/>
        </w:rPr>
        <w:t>who</w:t>
      </w:r>
      <w:r>
        <w:rPr>
          <w:spacing w:val="44"/>
          <w:w w:val="110"/>
        </w:rPr>
        <w:t> </w:t>
      </w:r>
      <w:r>
        <w:rPr>
          <w:spacing w:val="5"/>
          <w:w w:val="110"/>
        </w:rPr>
        <w:t>serve</w:t>
      </w:r>
    </w:p>
    <w:p>
      <w:pPr>
        <w:pStyle w:val="BodyText"/>
        <w:spacing w:line="235" w:lineRule="auto" w:before="69"/>
        <w:ind w:left="1984" w:right="1390"/>
      </w:pPr>
      <w:r>
        <w:rPr>
          <w:w w:val="120"/>
        </w:rPr>
        <w:t>The Church continues to receive richly from its many willing members who are </w:t>
      </w:r>
      <w:r>
        <w:rPr>
          <w:spacing w:val="2"/>
          <w:w w:val="120"/>
        </w:rPr>
        <w:t>part </w:t>
      </w:r>
      <w:r>
        <w:rPr>
          <w:w w:val="120"/>
        </w:rPr>
        <w:t>of its committee structure, or who serve on panels and working groups, or represent it  on outside bodies. The formal acceptance of this </w:t>
      </w:r>
      <w:r>
        <w:rPr>
          <w:spacing w:val="2"/>
          <w:w w:val="120"/>
        </w:rPr>
        <w:t>report </w:t>
      </w:r>
      <w:r>
        <w:rPr>
          <w:w w:val="120"/>
        </w:rPr>
        <w:t>and the long list of names that follows will surely include a real sense of gratitude for all who serve us in this </w:t>
      </w:r>
      <w:r>
        <w:rPr>
          <w:spacing w:val="-4"/>
          <w:w w:val="120"/>
        </w:rPr>
        <w:t>way.</w:t>
      </w:r>
      <w:r>
        <w:rPr>
          <w:spacing w:val="17"/>
          <w:w w:val="120"/>
        </w:rPr>
        <w:t> </w:t>
      </w:r>
      <w:r>
        <w:rPr>
          <w:w w:val="120"/>
        </w:rPr>
        <w:t>The</w:t>
      </w:r>
    </w:p>
    <w:p>
      <w:pPr>
        <w:pStyle w:val="BodyText"/>
        <w:spacing w:line="235" w:lineRule="auto" w:before="3"/>
        <w:ind w:left="1984" w:right="1301"/>
      </w:pPr>
      <w:r>
        <w:rPr>
          <w:w w:val="120"/>
        </w:rPr>
        <w:t>Revd John Durell now completes his service as convener of the nominations committee. The members of the committee wish to record their gratitude for the many ways in which he has served both the committee and the wider Church in this role.</w:t>
      </w:r>
    </w:p>
    <w:p>
      <w:pPr>
        <w:pStyle w:val="Heading4"/>
        <w:numPr>
          <w:ilvl w:val="0"/>
          <w:numId w:val="80"/>
        </w:numPr>
        <w:tabs>
          <w:tab w:pos="2664" w:val="left" w:leader="none"/>
          <w:tab w:pos="2665" w:val="left" w:leader="none"/>
        </w:tabs>
        <w:spacing w:line="240" w:lineRule="auto" w:before="215" w:after="0"/>
        <w:ind w:left="2664" w:right="0" w:hanging="681"/>
        <w:jc w:val="left"/>
      </w:pPr>
      <w:r>
        <w:rPr>
          <w:spacing w:val="4"/>
          <w:w w:val="110"/>
        </w:rPr>
        <w:t>Assembly </w:t>
      </w:r>
      <w:r>
        <w:rPr>
          <w:spacing w:val="3"/>
          <w:w w:val="110"/>
        </w:rPr>
        <w:t>committees and other</w:t>
      </w:r>
      <w:r>
        <w:rPr>
          <w:spacing w:val="45"/>
          <w:w w:val="110"/>
        </w:rPr>
        <w:t> </w:t>
      </w:r>
      <w:r>
        <w:rPr>
          <w:spacing w:val="4"/>
          <w:w w:val="110"/>
        </w:rPr>
        <w:t>appointments</w:t>
      </w:r>
    </w:p>
    <w:p>
      <w:pPr>
        <w:pStyle w:val="BodyText"/>
        <w:spacing w:line="242" w:lineRule="exact" w:before="65"/>
        <w:ind w:left="1984"/>
      </w:pPr>
      <w:r>
        <w:rPr>
          <w:w w:val="120"/>
        </w:rPr>
        <w:t>Notes:</w:t>
      </w:r>
    </w:p>
    <w:p>
      <w:pPr>
        <w:pStyle w:val="ListParagraph"/>
        <w:numPr>
          <w:ilvl w:val="0"/>
          <w:numId w:val="81"/>
        </w:numPr>
        <w:tabs>
          <w:tab w:pos="2664" w:val="left" w:leader="none"/>
          <w:tab w:pos="2665" w:val="left" w:leader="none"/>
        </w:tabs>
        <w:spacing w:line="235" w:lineRule="auto" w:before="2" w:after="0"/>
        <w:ind w:left="2664" w:right="1392" w:hanging="681"/>
        <w:jc w:val="left"/>
        <w:rPr>
          <w:sz w:val="20"/>
        </w:rPr>
      </w:pPr>
      <w:r>
        <w:rPr>
          <w:w w:val="120"/>
          <w:sz w:val="20"/>
        </w:rPr>
        <w:t>The</w:t>
      </w:r>
      <w:r>
        <w:rPr>
          <w:spacing w:val="-13"/>
          <w:w w:val="120"/>
          <w:sz w:val="20"/>
        </w:rPr>
        <w:t> </w:t>
      </w:r>
      <w:r>
        <w:rPr>
          <w:w w:val="120"/>
          <w:sz w:val="20"/>
        </w:rPr>
        <w:t>Assembly</w:t>
      </w:r>
      <w:r>
        <w:rPr>
          <w:spacing w:val="-13"/>
          <w:w w:val="120"/>
          <w:sz w:val="20"/>
        </w:rPr>
        <w:t> </w:t>
      </w:r>
      <w:r>
        <w:rPr>
          <w:w w:val="120"/>
          <w:sz w:val="20"/>
        </w:rPr>
        <w:t>moderators,</w:t>
      </w:r>
      <w:r>
        <w:rPr>
          <w:spacing w:val="-12"/>
          <w:w w:val="120"/>
          <w:sz w:val="20"/>
        </w:rPr>
        <w:t> </w:t>
      </w:r>
      <w:r>
        <w:rPr>
          <w:w w:val="120"/>
          <w:sz w:val="20"/>
        </w:rPr>
        <w:t>the</w:t>
      </w:r>
      <w:r>
        <w:rPr>
          <w:spacing w:val="-13"/>
          <w:w w:val="120"/>
          <w:sz w:val="20"/>
        </w:rPr>
        <w:t> </w:t>
      </w:r>
      <w:r>
        <w:rPr>
          <w:w w:val="120"/>
          <w:sz w:val="20"/>
        </w:rPr>
        <w:t>moderators-elect</w:t>
      </w:r>
      <w:r>
        <w:rPr>
          <w:i/>
          <w:w w:val="120"/>
          <w:sz w:val="20"/>
        </w:rPr>
        <w:t>,</w:t>
      </w:r>
      <w:r>
        <w:rPr>
          <w:i/>
          <w:spacing w:val="-16"/>
          <w:w w:val="120"/>
          <w:sz w:val="20"/>
        </w:rPr>
        <w:t> </w:t>
      </w:r>
      <w:r>
        <w:rPr>
          <w:w w:val="120"/>
          <w:sz w:val="20"/>
        </w:rPr>
        <w:t>the</w:t>
      </w:r>
      <w:r>
        <w:rPr>
          <w:spacing w:val="-12"/>
          <w:w w:val="120"/>
          <w:sz w:val="20"/>
        </w:rPr>
        <w:t> </w:t>
      </w:r>
      <w:r>
        <w:rPr>
          <w:spacing w:val="-3"/>
          <w:w w:val="120"/>
          <w:sz w:val="20"/>
        </w:rPr>
        <w:t>immediate</w:t>
      </w:r>
      <w:r>
        <w:rPr>
          <w:spacing w:val="-13"/>
          <w:w w:val="120"/>
          <w:sz w:val="20"/>
        </w:rPr>
        <w:t> </w:t>
      </w:r>
      <w:r>
        <w:rPr>
          <w:w w:val="120"/>
          <w:sz w:val="20"/>
        </w:rPr>
        <w:t>past</w:t>
      </w:r>
      <w:r>
        <w:rPr>
          <w:spacing w:val="-13"/>
          <w:w w:val="120"/>
          <w:sz w:val="20"/>
        </w:rPr>
        <w:t> </w:t>
      </w:r>
      <w:r>
        <w:rPr>
          <w:w w:val="120"/>
          <w:sz w:val="20"/>
        </w:rPr>
        <w:t>moderators and</w:t>
      </w:r>
      <w:r>
        <w:rPr>
          <w:spacing w:val="-9"/>
          <w:w w:val="120"/>
          <w:sz w:val="20"/>
        </w:rPr>
        <w:t> </w:t>
      </w:r>
      <w:r>
        <w:rPr>
          <w:w w:val="120"/>
          <w:sz w:val="20"/>
        </w:rPr>
        <w:t>the</w:t>
      </w:r>
      <w:r>
        <w:rPr>
          <w:spacing w:val="-9"/>
          <w:w w:val="120"/>
          <w:sz w:val="20"/>
        </w:rPr>
        <w:t> </w:t>
      </w:r>
      <w:r>
        <w:rPr>
          <w:w w:val="120"/>
          <w:sz w:val="20"/>
        </w:rPr>
        <w:t>general</w:t>
      </w:r>
      <w:r>
        <w:rPr>
          <w:spacing w:val="-8"/>
          <w:w w:val="120"/>
          <w:sz w:val="20"/>
        </w:rPr>
        <w:t> </w:t>
      </w:r>
      <w:r>
        <w:rPr>
          <w:w w:val="120"/>
          <w:sz w:val="20"/>
        </w:rPr>
        <w:t>secretary</w:t>
      </w:r>
      <w:r>
        <w:rPr>
          <w:spacing w:val="-9"/>
          <w:w w:val="120"/>
          <w:sz w:val="20"/>
        </w:rPr>
        <w:t> </w:t>
      </w:r>
      <w:r>
        <w:rPr>
          <w:w w:val="120"/>
          <w:sz w:val="20"/>
        </w:rPr>
        <w:t>are</w:t>
      </w:r>
      <w:r>
        <w:rPr>
          <w:spacing w:val="-9"/>
          <w:w w:val="120"/>
          <w:sz w:val="20"/>
        </w:rPr>
        <w:t> </w:t>
      </w:r>
      <w:r>
        <w:rPr>
          <w:w w:val="120"/>
          <w:sz w:val="20"/>
        </w:rPr>
        <w:t>members</w:t>
      </w:r>
      <w:r>
        <w:rPr>
          <w:spacing w:val="-9"/>
          <w:w w:val="120"/>
          <w:sz w:val="20"/>
        </w:rPr>
        <w:t> </w:t>
      </w:r>
      <w:r>
        <w:rPr>
          <w:i/>
          <w:w w:val="120"/>
          <w:sz w:val="20"/>
        </w:rPr>
        <w:t>ex</w:t>
      </w:r>
      <w:r>
        <w:rPr>
          <w:i/>
          <w:spacing w:val="-12"/>
          <w:w w:val="120"/>
          <w:sz w:val="20"/>
        </w:rPr>
        <w:t> </w:t>
      </w:r>
      <w:r>
        <w:rPr>
          <w:i/>
          <w:w w:val="120"/>
          <w:sz w:val="20"/>
        </w:rPr>
        <w:t>officio</w:t>
      </w:r>
      <w:r>
        <w:rPr>
          <w:i/>
          <w:spacing w:val="-9"/>
          <w:w w:val="120"/>
          <w:sz w:val="20"/>
        </w:rPr>
        <w:t> </w:t>
      </w:r>
      <w:r>
        <w:rPr>
          <w:w w:val="120"/>
          <w:sz w:val="20"/>
        </w:rPr>
        <w:t>of</w:t>
      </w:r>
      <w:r>
        <w:rPr>
          <w:spacing w:val="-8"/>
          <w:w w:val="120"/>
          <w:sz w:val="20"/>
        </w:rPr>
        <w:t> </w:t>
      </w:r>
      <w:r>
        <w:rPr>
          <w:w w:val="120"/>
          <w:sz w:val="20"/>
        </w:rPr>
        <w:t>every</w:t>
      </w:r>
      <w:r>
        <w:rPr>
          <w:spacing w:val="-9"/>
          <w:w w:val="120"/>
          <w:sz w:val="20"/>
        </w:rPr>
        <w:t> </w:t>
      </w:r>
      <w:r>
        <w:rPr>
          <w:w w:val="120"/>
          <w:sz w:val="20"/>
        </w:rPr>
        <w:t>standing</w:t>
      </w:r>
      <w:r>
        <w:rPr>
          <w:spacing w:val="-9"/>
          <w:w w:val="120"/>
          <w:sz w:val="20"/>
        </w:rPr>
        <w:t> </w:t>
      </w:r>
      <w:r>
        <w:rPr>
          <w:spacing w:val="-3"/>
          <w:w w:val="120"/>
          <w:sz w:val="20"/>
        </w:rPr>
        <w:t>committee.</w:t>
      </w:r>
    </w:p>
    <w:p>
      <w:pPr>
        <w:pStyle w:val="ListParagraph"/>
        <w:numPr>
          <w:ilvl w:val="0"/>
          <w:numId w:val="81"/>
        </w:numPr>
        <w:tabs>
          <w:tab w:pos="2664" w:val="left" w:leader="none"/>
          <w:tab w:pos="2665" w:val="left" w:leader="none"/>
        </w:tabs>
        <w:spacing w:line="240" w:lineRule="exact" w:before="0" w:after="0"/>
        <w:ind w:left="2664" w:right="0" w:hanging="681"/>
        <w:jc w:val="left"/>
        <w:rPr>
          <w:sz w:val="20"/>
        </w:rPr>
      </w:pPr>
      <w:r>
        <w:rPr>
          <w:w w:val="120"/>
          <w:sz w:val="20"/>
        </w:rPr>
        <w:t>Symbols have been used as</w:t>
      </w:r>
      <w:r>
        <w:rPr>
          <w:spacing w:val="9"/>
          <w:w w:val="120"/>
          <w:sz w:val="20"/>
        </w:rPr>
        <w:t> </w:t>
      </w:r>
      <w:r>
        <w:rPr>
          <w:w w:val="120"/>
          <w:sz w:val="20"/>
        </w:rPr>
        <w:t>follows:</w:t>
      </w:r>
    </w:p>
    <w:p>
      <w:pPr>
        <w:pStyle w:val="BodyText"/>
        <w:tabs>
          <w:tab w:pos="3424" w:val="left" w:leader="none"/>
        </w:tabs>
        <w:spacing w:line="235" w:lineRule="auto" w:before="1"/>
        <w:ind w:left="3424" w:right="1853" w:hanging="760"/>
      </w:pPr>
      <w:r>
        <w:rPr>
          <w:spacing w:val="3"/>
          <w:w w:val="120"/>
        </w:rPr>
        <w:t>**</w:t>
        <w:tab/>
      </w:r>
      <w:r>
        <w:rPr>
          <w:w w:val="120"/>
        </w:rPr>
        <w:t>denotes those whom General Assembly is invited to appoint for the first</w:t>
      </w:r>
      <w:r>
        <w:rPr>
          <w:spacing w:val="1"/>
          <w:w w:val="120"/>
        </w:rPr>
        <w:t> </w:t>
      </w:r>
      <w:r>
        <w:rPr>
          <w:w w:val="120"/>
        </w:rPr>
        <w:t>time;</w:t>
      </w:r>
    </w:p>
    <w:p>
      <w:pPr>
        <w:pStyle w:val="BodyText"/>
        <w:tabs>
          <w:tab w:pos="3424" w:val="left" w:leader="none"/>
        </w:tabs>
        <w:spacing w:line="235" w:lineRule="auto" w:before="2"/>
        <w:ind w:left="2664" w:right="1414"/>
      </w:pPr>
      <w:r>
        <w:rPr>
          <w:w w:val="120"/>
        </w:rPr>
        <w:t>†</w:t>
        <w:tab/>
        <w:t>denotes those who have been invited to extend their periods of service; #</w:t>
        <w:tab/>
        <w:t>denotes a convener-elect who will become convener in</w:t>
      </w:r>
      <w:r>
        <w:rPr>
          <w:spacing w:val="30"/>
          <w:w w:val="120"/>
        </w:rPr>
        <w:t> </w:t>
      </w:r>
      <w:r>
        <w:rPr>
          <w:spacing w:val="-7"/>
          <w:w w:val="120"/>
        </w:rPr>
        <w:t>2015;</w:t>
      </w:r>
    </w:p>
    <w:p>
      <w:pPr>
        <w:pStyle w:val="BodyText"/>
        <w:tabs>
          <w:tab w:pos="3424" w:val="left" w:leader="none"/>
        </w:tabs>
        <w:spacing w:line="240" w:lineRule="exact"/>
        <w:ind w:left="2664"/>
      </w:pPr>
      <w:r>
        <w:rPr>
          <w:w w:val="115"/>
        </w:rPr>
        <w:t>/</w:t>
        <w:tab/>
        <w:t>the</w:t>
      </w:r>
      <w:r>
        <w:rPr>
          <w:spacing w:val="6"/>
          <w:w w:val="115"/>
        </w:rPr>
        <w:t> </w:t>
      </w:r>
      <w:r>
        <w:rPr>
          <w:w w:val="115"/>
        </w:rPr>
        <w:t>name</w:t>
      </w:r>
      <w:r>
        <w:rPr>
          <w:spacing w:val="7"/>
          <w:w w:val="115"/>
        </w:rPr>
        <w:t> </w:t>
      </w:r>
      <w:r>
        <w:rPr>
          <w:w w:val="115"/>
        </w:rPr>
        <w:t>after</w:t>
      </w:r>
      <w:r>
        <w:rPr>
          <w:spacing w:val="6"/>
          <w:w w:val="115"/>
        </w:rPr>
        <w:t> </w:t>
      </w:r>
      <w:r>
        <w:rPr>
          <w:w w:val="115"/>
        </w:rPr>
        <w:t>the</w:t>
      </w:r>
      <w:r>
        <w:rPr>
          <w:spacing w:val="7"/>
          <w:w w:val="115"/>
        </w:rPr>
        <w:t> </w:t>
      </w:r>
      <w:r>
        <w:rPr>
          <w:w w:val="115"/>
        </w:rPr>
        <w:t>slash</w:t>
      </w:r>
      <w:r>
        <w:rPr>
          <w:spacing w:val="7"/>
          <w:w w:val="115"/>
        </w:rPr>
        <w:t> </w:t>
      </w:r>
      <w:r>
        <w:rPr>
          <w:w w:val="115"/>
        </w:rPr>
        <w:t>is</w:t>
      </w:r>
      <w:r>
        <w:rPr>
          <w:spacing w:val="6"/>
          <w:w w:val="115"/>
        </w:rPr>
        <w:t> </w:t>
      </w:r>
      <w:r>
        <w:rPr>
          <w:w w:val="115"/>
        </w:rPr>
        <w:t>the</w:t>
      </w:r>
      <w:r>
        <w:rPr>
          <w:spacing w:val="7"/>
          <w:w w:val="115"/>
        </w:rPr>
        <w:t> </w:t>
      </w:r>
      <w:r>
        <w:rPr>
          <w:w w:val="115"/>
        </w:rPr>
        <w:t>alternate</w:t>
      </w:r>
      <w:r>
        <w:rPr>
          <w:spacing w:val="6"/>
          <w:w w:val="115"/>
        </w:rPr>
        <w:t> </w:t>
      </w:r>
      <w:r>
        <w:rPr>
          <w:w w:val="115"/>
        </w:rPr>
        <w:t>for</w:t>
      </w:r>
      <w:r>
        <w:rPr>
          <w:spacing w:val="7"/>
          <w:w w:val="115"/>
        </w:rPr>
        <w:t> </w:t>
      </w:r>
      <w:r>
        <w:rPr>
          <w:w w:val="115"/>
        </w:rPr>
        <w:t>the</w:t>
      </w:r>
      <w:r>
        <w:rPr>
          <w:spacing w:val="7"/>
          <w:w w:val="115"/>
        </w:rPr>
        <w:t> </w:t>
      </w:r>
      <w:r>
        <w:rPr>
          <w:w w:val="115"/>
        </w:rPr>
        <w:t>one</w:t>
      </w:r>
      <w:r>
        <w:rPr>
          <w:spacing w:val="6"/>
          <w:w w:val="115"/>
        </w:rPr>
        <w:t> </w:t>
      </w:r>
      <w:r>
        <w:rPr>
          <w:w w:val="115"/>
        </w:rPr>
        <w:t>before</w:t>
      </w:r>
      <w:r>
        <w:rPr>
          <w:spacing w:val="7"/>
          <w:w w:val="115"/>
        </w:rPr>
        <w:t> </w:t>
      </w:r>
      <w:r>
        <w:rPr>
          <w:w w:val="115"/>
        </w:rPr>
        <w:t>it.</w:t>
      </w:r>
    </w:p>
    <w:p>
      <w:pPr>
        <w:pStyle w:val="ListParagraph"/>
        <w:numPr>
          <w:ilvl w:val="0"/>
          <w:numId w:val="81"/>
        </w:numPr>
        <w:tabs>
          <w:tab w:pos="2664" w:val="left" w:leader="none"/>
          <w:tab w:pos="2665" w:val="left" w:leader="none"/>
        </w:tabs>
        <w:spacing w:line="240" w:lineRule="exact" w:before="0" w:after="0"/>
        <w:ind w:left="2664" w:right="0" w:hanging="681"/>
        <w:jc w:val="left"/>
        <w:rPr>
          <w:sz w:val="20"/>
        </w:rPr>
      </w:pPr>
      <w:r>
        <w:rPr>
          <w:w w:val="120"/>
          <w:sz w:val="20"/>
        </w:rPr>
        <w:t>The number in round brackets </w:t>
      </w:r>
      <w:r>
        <w:rPr>
          <w:spacing w:val="-3"/>
          <w:w w:val="120"/>
          <w:sz w:val="20"/>
        </w:rPr>
        <w:t>following </w:t>
      </w:r>
      <w:r>
        <w:rPr>
          <w:w w:val="120"/>
          <w:sz w:val="20"/>
        </w:rPr>
        <w:t>the name </w:t>
      </w:r>
      <w:r>
        <w:rPr>
          <w:spacing w:val="-3"/>
          <w:w w:val="120"/>
          <w:sz w:val="20"/>
        </w:rPr>
        <w:t>indicates </w:t>
      </w:r>
      <w:r>
        <w:rPr>
          <w:w w:val="120"/>
          <w:sz w:val="20"/>
        </w:rPr>
        <w:t>the </w:t>
      </w:r>
      <w:r>
        <w:rPr>
          <w:spacing w:val="-3"/>
          <w:w w:val="120"/>
          <w:sz w:val="20"/>
        </w:rPr>
        <w:t>member’s</w:t>
      </w:r>
      <w:r>
        <w:rPr>
          <w:spacing w:val="-12"/>
          <w:w w:val="120"/>
          <w:sz w:val="20"/>
        </w:rPr>
        <w:t> </w:t>
      </w:r>
      <w:r>
        <w:rPr>
          <w:w w:val="120"/>
          <w:sz w:val="20"/>
        </w:rPr>
        <w:t>synod:</w:t>
      </w:r>
    </w:p>
    <w:p>
      <w:pPr>
        <w:pStyle w:val="ListParagraph"/>
        <w:numPr>
          <w:ilvl w:val="1"/>
          <w:numId w:val="81"/>
        </w:numPr>
        <w:tabs>
          <w:tab w:pos="2987" w:val="left" w:leader="none"/>
        </w:tabs>
        <w:spacing w:line="235" w:lineRule="auto" w:before="2" w:after="0"/>
        <w:ind w:left="2664" w:right="1514" w:hanging="1"/>
        <w:jc w:val="left"/>
        <w:rPr>
          <w:sz w:val="20"/>
        </w:rPr>
      </w:pPr>
      <w:r>
        <w:rPr>
          <w:w w:val="125"/>
          <w:sz w:val="20"/>
        </w:rPr>
        <w:t>Northern,</w:t>
      </w:r>
      <w:r>
        <w:rPr>
          <w:spacing w:val="-18"/>
          <w:w w:val="125"/>
          <w:sz w:val="20"/>
        </w:rPr>
        <w:t> </w:t>
      </w:r>
      <w:r>
        <w:rPr>
          <w:spacing w:val="-9"/>
          <w:w w:val="125"/>
          <w:sz w:val="20"/>
        </w:rPr>
        <w:t>(2)</w:t>
      </w:r>
      <w:r>
        <w:rPr>
          <w:spacing w:val="-18"/>
          <w:w w:val="125"/>
          <w:sz w:val="20"/>
        </w:rPr>
        <w:t> </w:t>
      </w:r>
      <w:r>
        <w:rPr>
          <w:w w:val="125"/>
          <w:sz w:val="20"/>
        </w:rPr>
        <w:t>North</w:t>
      </w:r>
      <w:r>
        <w:rPr>
          <w:spacing w:val="-18"/>
          <w:w w:val="125"/>
          <w:sz w:val="20"/>
        </w:rPr>
        <w:t> </w:t>
      </w:r>
      <w:r>
        <w:rPr>
          <w:spacing w:val="-3"/>
          <w:w w:val="125"/>
          <w:sz w:val="20"/>
        </w:rPr>
        <w:t>Western,</w:t>
      </w:r>
      <w:r>
        <w:rPr>
          <w:spacing w:val="-18"/>
          <w:w w:val="125"/>
          <w:sz w:val="20"/>
        </w:rPr>
        <w:t> </w:t>
      </w:r>
      <w:r>
        <w:rPr>
          <w:spacing w:val="-9"/>
          <w:w w:val="125"/>
          <w:sz w:val="20"/>
        </w:rPr>
        <w:t>(3)</w:t>
      </w:r>
      <w:r>
        <w:rPr>
          <w:spacing w:val="-18"/>
          <w:w w:val="125"/>
          <w:sz w:val="20"/>
        </w:rPr>
        <w:t> </w:t>
      </w:r>
      <w:r>
        <w:rPr>
          <w:spacing w:val="-4"/>
          <w:w w:val="125"/>
          <w:sz w:val="20"/>
        </w:rPr>
        <w:t>Mersey,</w:t>
      </w:r>
      <w:r>
        <w:rPr>
          <w:spacing w:val="-18"/>
          <w:w w:val="125"/>
          <w:sz w:val="20"/>
        </w:rPr>
        <w:t> </w:t>
      </w:r>
      <w:r>
        <w:rPr>
          <w:spacing w:val="-12"/>
          <w:w w:val="125"/>
          <w:sz w:val="20"/>
        </w:rPr>
        <w:t>(4)</w:t>
      </w:r>
      <w:r>
        <w:rPr>
          <w:spacing w:val="-18"/>
          <w:w w:val="125"/>
          <w:sz w:val="20"/>
        </w:rPr>
        <w:t> </w:t>
      </w:r>
      <w:r>
        <w:rPr>
          <w:spacing w:val="-3"/>
          <w:w w:val="125"/>
          <w:sz w:val="20"/>
        </w:rPr>
        <w:t>Yorkshire,</w:t>
      </w:r>
      <w:r>
        <w:rPr>
          <w:spacing w:val="-18"/>
          <w:w w:val="125"/>
          <w:sz w:val="20"/>
        </w:rPr>
        <w:t> </w:t>
      </w:r>
      <w:r>
        <w:rPr>
          <w:spacing w:val="-9"/>
          <w:w w:val="125"/>
          <w:sz w:val="20"/>
        </w:rPr>
        <w:t>(5)</w:t>
      </w:r>
      <w:r>
        <w:rPr>
          <w:spacing w:val="-18"/>
          <w:w w:val="125"/>
          <w:sz w:val="20"/>
        </w:rPr>
        <w:t> </w:t>
      </w:r>
      <w:r>
        <w:rPr>
          <w:w w:val="125"/>
          <w:sz w:val="20"/>
        </w:rPr>
        <w:t>East</w:t>
      </w:r>
      <w:r>
        <w:rPr>
          <w:spacing w:val="-18"/>
          <w:w w:val="125"/>
          <w:sz w:val="20"/>
        </w:rPr>
        <w:t> </w:t>
      </w:r>
      <w:r>
        <w:rPr>
          <w:w w:val="125"/>
          <w:sz w:val="20"/>
        </w:rPr>
        <w:t>Midlands,</w:t>
      </w:r>
      <w:r>
        <w:rPr>
          <w:spacing w:val="-18"/>
          <w:w w:val="125"/>
          <w:sz w:val="20"/>
        </w:rPr>
        <w:t> </w:t>
      </w:r>
      <w:r>
        <w:rPr>
          <w:spacing w:val="-9"/>
          <w:w w:val="125"/>
          <w:sz w:val="20"/>
        </w:rPr>
        <w:t>(6) </w:t>
      </w:r>
      <w:r>
        <w:rPr>
          <w:w w:val="125"/>
          <w:sz w:val="20"/>
        </w:rPr>
        <w:t>West</w:t>
      </w:r>
      <w:r>
        <w:rPr>
          <w:spacing w:val="-24"/>
          <w:w w:val="125"/>
          <w:sz w:val="20"/>
        </w:rPr>
        <w:t> </w:t>
      </w:r>
      <w:r>
        <w:rPr>
          <w:w w:val="125"/>
          <w:sz w:val="20"/>
        </w:rPr>
        <w:t>Midlands,</w:t>
      </w:r>
      <w:r>
        <w:rPr>
          <w:spacing w:val="-24"/>
          <w:w w:val="125"/>
          <w:sz w:val="20"/>
        </w:rPr>
        <w:t> </w:t>
      </w:r>
      <w:r>
        <w:rPr>
          <w:spacing w:val="-4"/>
          <w:w w:val="125"/>
          <w:sz w:val="20"/>
        </w:rPr>
        <w:t>(7)</w:t>
      </w:r>
      <w:r>
        <w:rPr>
          <w:spacing w:val="-24"/>
          <w:w w:val="125"/>
          <w:sz w:val="20"/>
        </w:rPr>
        <w:t> </w:t>
      </w:r>
      <w:r>
        <w:rPr>
          <w:w w:val="125"/>
          <w:sz w:val="20"/>
        </w:rPr>
        <w:t>Eastern,</w:t>
      </w:r>
      <w:r>
        <w:rPr>
          <w:spacing w:val="-23"/>
          <w:w w:val="125"/>
          <w:sz w:val="20"/>
        </w:rPr>
        <w:t> </w:t>
      </w:r>
      <w:r>
        <w:rPr>
          <w:spacing w:val="-10"/>
          <w:w w:val="125"/>
          <w:sz w:val="20"/>
        </w:rPr>
        <w:t>(8)</w:t>
      </w:r>
      <w:r>
        <w:rPr>
          <w:spacing w:val="-24"/>
          <w:w w:val="125"/>
          <w:sz w:val="20"/>
        </w:rPr>
        <w:t> </w:t>
      </w:r>
      <w:r>
        <w:rPr>
          <w:w w:val="125"/>
          <w:sz w:val="20"/>
        </w:rPr>
        <w:t>South</w:t>
      </w:r>
      <w:r>
        <w:rPr>
          <w:spacing w:val="-24"/>
          <w:w w:val="125"/>
          <w:sz w:val="20"/>
        </w:rPr>
        <w:t> </w:t>
      </w:r>
      <w:r>
        <w:rPr>
          <w:spacing w:val="-3"/>
          <w:w w:val="125"/>
          <w:sz w:val="20"/>
        </w:rPr>
        <w:t>Western,</w:t>
      </w:r>
      <w:r>
        <w:rPr>
          <w:spacing w:val="-23"/>
          <w:w w:val="125"/>
          <w:sz w:val="20"/>
        </w:rPr>
        <w:t> </w:t>
      </w:r>
      <w:r>
        <w:rPr>
          <w:spacing w:val="-10"/>
          <w:w w:val="125"/>
          <w:sz w:val="20"/>
        </w:rPr>
        <w:t>(9)</w:t>
      </w:r>
      <w:r>
        <w:rPr>
          <w:spacing w:val="-24"/>
          <w:w w:val="125"/>
          <w:sz w:val="20"/>
        </w:rPr>
        <w:t> </w:t>
      </w:r>
      <w:r>
        <w:rPr>
          <w:w w:val="125"/>
          <w:sz w:val="20"/>
        </w:rPr>
        <w:t>Wessex,</w:t>
      </w:r>
      <w:r>
        <w:rPr>
          <w:spacing w:val="-24"/>
          <w:w w:val="125"/>
          <w:sz w:val="20"/>
        </w:rPr>
        <w:t> </w:t>
      </w:r>
      <w:r>
        <w:rPr>
          <w:spacing w:val="-10"/>
          <w:w w:val="125"/>
          <w:sz w:val="20"/>
        </w:rPr>
        <w:t>(10)</w:t>
      </w:r>
      <w:r>
        <w:rPr>
          <w:spacing w:val="-23"/>
          <w:w w:val="125"/>
          <w:sz w:val="20"/>
        </w:rPr>
        <w:t> </w:t>
      </w:r>
      <w:r>
        <w:rPr>
          <w:w w:val="125"/>
          <w:sz w:val="20"/>
        </w:rPr>
        <w:t>Thames</w:t>
      </w:r>
      <w:r>
        <w:rPr>
          <w:spacing w:val="-24"/>
          <w:w w:val="125"/>
          <w:sz w:val="20"/>
        </w:rPr>
        <w:t> </w:t>
      </w:r>
      <w:r>
        <w:rPr>
          <w:w w:val="125"/>
          <w:sz w:val="20"/>
        </w:rPr>
        <w:t>North,</w:t>
      </w:r>
    </w:p>
    <w:p>
      <w:pPr>
        <w:pStyle w:val="BodyText"/>
        <w:spacing w:line="235" w:lineRule="auto" w:before="1"/>
        <w:ind w:left="2664" w:right="1352"/>
      </w:pPr>
      <w:r>
        <w:rPr>
          <w:spacing w:val="-15"/>
          <w:w w:val="125"/>
        </w:rPr>
        <w:t>(11)</w:t>
      </w:r>
      <w:r>
        <w:rPr>
          <w:spacing w:val="-18"/>
          <w:w w:val="125"/>
        </w:rPr>
        <w:t> </w:t>
      </w:r>
      <w:r>
        <w:rPr>
          <w:w w:val="125"/>
        </w:rPr>
        <w:t>Southern,</w:t>
      </w:r>
      <w:r>
        <w:rPr>
          <w:spacing w:val="-17"/>
          <w:w w:val="125"/>
        </w:rPr>
        <w:t> </w:t>
      </w:r>
      <w:r>
        <w:rPr>
          <w:spacing w:val="-12"/>
          <w:w w:val="125"/>
        </w:rPr>
        <w:t>(12)</w:t>
      </w:r>
      <w:r>
        <w:rPr>
          <w:spacing w:val="-18"/>
          <w:w w:val="125"/>
        </w:rPr>
        <w:t> </w:t>
      </w:r>
      <w:r>
        <w:rPr>
          <w:spacing w:val="-3"/>
          <w:w w:val="125"/>
        </w:rPr>
        <w:t>Wales,</w:t>
      </w:r>
      <w:r>
        <w:rPr>
          <w:spacing w:val="-17"/>
          <w:w w:val="125"/>
        </w:rPr>
        <w:t> </w:t>
      </w:r>
      <w:r>
        <w:rPr>
          <w:spacing w:val="-14"/>
          <w:w w:val="125"/>
        </w:rPr>
        <w:t>(13)</w:t>
      </w:r>
      <w:r>
        <w:rPr>
          <w:spacing w:val="-17"/>
          <w:w w:val="125"/>
        </w:rPr>
        <w:t> </w:t>
      </w:r>
      <w:r>
        <w:rPr>
          <w:spacing w:val="-3"/>
          <w:w w:val="125"/>
        </w:rPr>
        <w:t>Scotland.</w:t>
      </w:r>
      <w:r>
        <w:rPr>
          <w:spacing w:val="-18"/>
          <w:w w:val="125"/>
        </w:rPr>
        <w:t> </w:t>
      </w:r>
      <w:r>
        <w:rPr>
          <w:w w:val="125"/>
        </w:rPr>
        <w:t>This</w:t>
      </w:r>
      <w:r>
        <w:rPr>
          <w:spacing w:val="-17"/>
          <w:w w:val="125"/>
        </w:rPr>
        <w:t> </w:t>
      </w:r>
      <w:r>
        <w:rPr>
          <w:w w:val="125"/>
        </w:rPr>
        <w:t>numbering</w:t>
      </w:r>
      <w:r>
        <w:rPr>
          <w:spacing w:val="-18"/>
          <w:w w:val="125"/>
        </w:rPr>
        <w:t> </w:t>
      </w:r>
      <w:r>
        <w:rPr>
          <w:w w:val="125"/>
        </w:rPr>
        <w:t>is</w:t>
      </w:r>
      <w:r>
        <w:rPr>
          <w:spacing w:val="-17"/>
          <w:w w:val="125"/>
        </w:rPr>
        <w:t> </w:t>
      </w:r>
      <w:r>
        <w:rPr>
          <w:spacing w:val="-2"/>
          <w:w w:val="125"/>
        </w:rPr>
        <w:t>not</w:t>
      </w:r>
      <w:r>
        <w:rPr>
          <w:spacing w:val="-17"/>
          <w:w w:val="125"/>
        </w:rPr>
        <w:t> </w:t>
      </w:r>
      <w:r>
        <w:rPr>
          <w:spacing w:val="-3"/>
          <w:w w:val="125"/>
        </w:rPr>
        <w:t>shown</w:t>
      </w:r>
      <w:r>
        <w:rPr>
          <w:spacing w:val="-18"/>
          <w:w w:val="125"/>
        </w:rPr>
        <w:t> </w:t>
      </w:r>
      <w:r>
        <w:rPr>
          <w:w w:val="125"/>
        </w:rPr>
        <w:t>where</w:t>
      </w:r>
      <w:r>
        <w:rPr>
          <w:spacing w:val="-17"/>
          <w:w w:val="125"/>
        </w:rPr>
        <w:t> </w:t>
      </w:r>
      <w:r>
        <w:rPr>
          <w:w w:val="125"/>
        </w:rPr>
        <w:t>it</w:t>
      </w:r>
      <w:r>
        <w:rPr>
          <w:spacing w:val="-18"/>
          <w:w w:val="125"/>
        </w:rPr>
        <w:t> </w:t>
      </w:r>
      <w:r>
        <w:rPr>
          <w:w w:val="125"/>
        </w:rPr>
        <w:t>is </w:t>
      </w:r>
      <w:r>
        <w:rPr>
          <w:spacing w:val="-2"/>
          <w:w w:val="125"/>
        </w:rPr>
        <w:t>not</w:t>
      </w:r>
      <w:r>
        <w:rPr>
          <w:spacing w:val="-5"/>
          <w:w w:val="125"/>
        </w:rPr>
        <w:t> </w:t>
      </w:r>
      <w:r>
        <w:rPr>
          <w:w w:val="125"/>
        </w:rPr>
        <w:t>relevant.</w:t>
      </w:r>
    </w:p>
    <w:p>
      <w:pPr>
        <w:pStyle w:val="ListParagraph"/>
        <w:numPr>
          <w:ilvl w:val="0"/>
          <w:numId w:val="81"/>
        </w:numPr>
        <w:tabs>
          <w:tab w:pos="2664" w:val="left" w:leader="none"/>
          <w:tab w:pos="2665" w:val="left" w:leader="none"/>
        </w:tabs>
        <w:spacing w:line="235" w:lineRule="auto" w:before="2" w:after="0"/>
        <w:ind w:left="2664" w:right="1291" w:hanging="681"/>
        <w:jc w:val="left"/>
        <w:rPr>
          <w:sz w:val="20"/>
        </w:rPr>
      </w:pPr>
      <w:r>
        <w:rPr>
          <w:w w:val="120"/>
          <w:sz w:val="20"/>
        </w:rPr>
        <w:t>When a member of a committee is there as a representative of another body or a particular category, this is indicated in round brackets following the</w:t>
      </w:r>
      <w:r>
        <w:rPr>
          <w:spacing w:val="42"/>
          <w:w w:val="120"/>
          <w:sz w:val="20"/>
        </w:rPr>
        <w:t> </w:t>
      </w:r>
      <w:r>
        <w:rPr>
          <w:w w:val="120"/>
          <w:sz w:val="20"/>
        </w:rPr>
        <w:t>name.</w:t>
      </w:r>
    </w:p>
    <w:p>
      <w:pPr>
        <w:pStyle w:val="ListParagraph"/>
        <w:numPr>
          <w:ilvl w:val="0"/>
          <w:numId w:val="81"/>
        </w:numPr>
        <w:tabs>
          <w:tab w:pos="2664" w:val="left" w:leader="none"/>
          <w:tab w:pos="2665" w:val="left" w:leader="none"/>
        </w:tabs>
        <w:spacing w:line="235" w:lineRule="auto" w:before="1" w:after="0"/>
        <w:ind w:left="2664" w:right="1766" w:hanging="681"/>
        <w:jc w:val="left"/>
        <w:rPr>
          <w:sz w:val="20"/>
        </w:rPr>
      </w:pPr>
      <w:r>
        <w:rPr>
          <w:w w:val="120"/>
          <w:sz w:val="20"/>
        </w:rPr>
        <w:t>Committee membership is normally for a period of four years, though this may sometimes exceptionally be renewable. Committee conveners serve an additional preliminary year as convener-elect. In sections one to four of the report, appointments with a different term are</w:t>
      </w:r>
      <w:r>
        <w:rPr>
          <w:spacing w:val="13"/>
          <w:w w:val="120"/>
          <w:sz w:val="20"/>
        </w:rPr>
        <w:t> </w:t>
      </w:r>
      <w:r>
        <w:rPr>
          <w:w w:val="120"/>
          <w:sz w:val="20"/>
        </w:rPr>
        <w:t>noted.</w:t>
      </w:r>
    </w:p>
    <w:p>
      <w:pPr>
        <w:pStyle w:val="ListParagraph"/>
        <w:numPr>
          <w:ilvl w:val="0"/>
          <w:numId w:val="81"/>
        </w:numPr>
        <w:tabs>
          <w:tab w:pos="2664" w:val="left" w:leader="none"/>
          <w:tab w:pos="2665" w:val="left" w:leader="none"/>
        </w:tabs>
        <w:spacing w:line="235" w:lineRule="auto" w:before="3" w:after="0"/>
        <w:ind w:left="2664" w:right="1331" w:hanging="681"/>
        <w:jc w:val="left"/>
        <w:rPr>
          <w:sz w:val="20"/>
        </w:rPr>
      </w:pPr>
      <w:r>
        <w:rPr>
          <w:w w:val="120"/>
          <w:sz w:val="20"/>
        </w:rPr>
        <w:t>The date in square brackets following the name indicates the date of retirement, assuming a full</w:t>
      </w:r>
      <w:r>
        <w:rPr>
          <w:spacing w:val="5"/>
          <w:w w:val="120"/>
          <w:sz w:val="20"/>
        </w:rPr>
        <w:t> </w:t>
      </w:r>
      <w:r>
        <w:rPr>
          <w:w w:val="120"/>
          <w:sz w:val="20"/>
        </w:rPr>
        <w:t>term.</w:t>
      </w:r>
    </w:p>
    <w:p>
      <w:pPr>
        <w:pStyle w:val="ListParagraph"/>
        <w:numPr>
          <w:ilvl w:val="0"/>
          <w:numId w:val="81"/>
        </w:numPr>
        <w:tabs>
          <w:tab w:pos="2664" w:val="left" w:leader="none"/>
          <w:tab w:pos="2665" w:val="left" w:leader="none"/>
        </w:tabs>
        <w:spacing w:line="235" w:lineRule="auto" w:before="2" w:after="0"/>
        <w:ind w:left="2664" w:right="1592" w:hanging="681"/>
        <w:jc w:val="left"/>
        <w:rPr>
          <w:sz w:val="20"/>
        </w:rPr>
      </w:pPr>
      <w:r>
        <w:rPr>
          <w:w w:val="120"/>
          <w:sz w:val="20"/>
        </w:rPr>
        <w:t>In accordance with the decision of General Assembly </w:t>
      </w:r>
      <w:r>
        <w:rPr>
          <w:spacing w:val="2"/>
          <w:w w:val="120"/>
          <w:sz w:val="20"/>
        </w:rPr>
        <w:t>2000 </w:t>
      </w:r>
      <w:r>
        <w:rPr>
          <w:w w:val="120"/>
          <w:sz w:val="20"/>
        </w:rPr>
        <w:t>some nominations are made directly by the National Synods of Wales and</w:t>
      </w:r>
      <w:r>
        <w:rPr>
          <w:spacing w:val="22"/>
          <w:w w:val="120"/>
          <w:sz w:val="20"/>
        </w:rPr>
        <w:t> </w:t>
      </w:r>
      <w:r>
        <w:rPr>
          <w:w w:val="120"/>
          <w:sz w:val="20"/>
        </w:rPr>
        <w:t>Scotland.</w:t>
      </w:r>
    </w:p>
    <w:p>
      <w:pPr>
        <w:pStyle w:val="ListParagraph"/>
        <w:numPr>
          <w:ilvl w:val="0"/>
          <w:numId w:val="81"/>
        </w:numPr>
        <w:tabs>
          <w:tab w:pos="2664" w:val="left" w:leader="none"/>
          <w:tab w:pos="2665" w:val="left" w:leader="none"/>
        </w:tabs>
        <w:spacing w:line="235" w:lineRule="auto" w:before="1" w:after="0"/>
        <w:ind w:left="2664" w:right="1342" w:hanging="681"/>
        <w:jc w:val="left"/>
        <w:rPr>
          <w:sz w:val="20"/>
        </w:rPr>
      </w:pPr>
      <w:r>
        <w:rPr>
          <w:w w:val="120"/>
          <w:sz w:val="20"/>
        </w:rPr>
        <w:t>In years when General Assembly meets, new committee members normally take up their roles at the conclusion of Assembly. In years when General Assembly does not meet, they normally begin on 1</w:t>
      </w:r>
      <w:r>
        <w:rPr>
          <w:spacing w:val="20"/>
          <w:w w:val="120"/>
          <w:sz w:val="20"/>
        </w:rPr>
        <w:t> </w:t>
      </w:r>
      <w:r>
        <w:rPr>
          <w:spacing w:val="-3"/>
          <w:w w:val="120"/>
          <w:sz w:val="20"/>
        </w:rPr>
        <w:t>July.</w:t>
      </w:r>
    </w:p>
    <w:p>
      <w:pPr>
        <w:spacing w:after="0" w:line="235" w:lineRule="auto"/>
        <w:jc w:val="left"/>
        <w:rPr>
          <w:sz w:val="20"/>
        </w:rPr>
        <w:sectPr>
          <w:headerReference w:type="default" r:id="rId328"/>
          <w:pgSz w:w="11910" w:h="16840"/>
          <w:pgMar w:header="0" w:footer="647" w:top="0" w:bottom="840" w:left="0" w:right="0"/>
        </w:sectPr>
      </w:pPr>
    </w:p>
    <w:p>
      <w:pPr>
        <w:pStyle w:val="BodyText"/>
      </w:pPr>
      <w:r>
        <w:rPr/>
        <w:drawing>
          <wp:anchor distT="0" distB="0" distL="0" distR="0" allowOverlap="1" layoutInCell="1" locked="0" behindDoc="0" simplePos="0" relativeHeight="252032000">
            <wp:simplePos x="0" y="0"/>
            <wp:positionH relativeFrom="page">
              <wp:posOffset>0</wp:posOffset>
            </wp:positionH>
            <wp:positionV relativeFrom="page">
              <wp:posOffset>0</wp:posOffset>
            </wp:positionV>
            <wp:extent cx="594067" cy="10692003"/>
            <wp:effectExtent l="0" t="0" r="0" b="0"/>
            <wp:wrapNone/>
            <wp:docPr id="259" name="image28.png"/>
            <wp:cNvGraphicFramePr>
              <a:graphicFrameLocks noChangeAspect="1"/>
            </wp:cNvGraphicFramePr>
            <a:graphic>
              <a:graphicData uri="http://schemas.openxmlformats.org/drawingml/2006/picture">
                <pic:pic>
                  <pic:nvPicPr>
                    <pic:cNvPr id="260" name="image28.png"/>
                    <pic:cNvPicPr/>
                  </pic:nvPicPr>
                  <pic:blipFill>
                    <a:blip r:embed="rId198"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shape style="position:absolute;margin-left:20.519100pt;margin-top:22.593945pt;width:25.9pt;height:131.3pt;mso-position-horizontal-relative:page;mso-position-vertical-relative:paragraph;z-index:252033024" type="#_x0000_t202" filled="false" stroked="false">
            <v:textbox inset="0,0,0,0" style="layout-flow:vertical">
              <w:txbxContent>
                <w:p>
                  <w:pPr>
                    <w:spacing w:before="27"/>
                    <w:ind w:left="20" w:right="0" w:firstLine="0"/>
                    <w:jc w:val="left"/>
                    <w:rPr>
                      <w:sz w:val="39"/>
                    </w:rPr>
                  </w:pPr>
                  <w:r>
                    <w:rPr>
                      <w:color w:val="FFFFFF"/>
                      <w:w w:val="120"/>
                      <w:sz w:val="39"/>
                    </w:rPr>
                    <w:t>Nominations</w:t>
                  </w:r>
                </w:p>
              </w:txbxContent>
            </v:textbox>
            <w10:wrap type="none"/>
          </v:shape>
        </w:pict>
      </w:r>
      <w:r>
        <w:rPr>
          <w:color w:val="7EAABF"/>
          <w:w w:val="115"/>
        </w:rPr>
        <w:t>Nominations</w:t>
      </w:r>
    </w:p>
    <w:p>
      <w:pPr>
        <w:pStyle w:val="ListParagraph"/>
        <w:numPr>
          <w:ilvl w:val="0"/>
          <w:numId w:val="82"/>
        </w:numPr>
        <w:tabs>
          <w:tab w:pos="1927" w:val="left" w:leader="none"/>
          <w:tab w:pos="1928" w:val="left" w:leader="none"/>
        </w:tabs>
        <w:spacing w:line="240" w:lineRule="auto" w:before="215" w:after="0"/>
        <w:ind w:left="1927" w:right="0" w:hanging="681"/>
        <w:jc w:val="left"/>
        <w:rPr>
          <w:rFonts w:ascii="Stone Sans II ITC Std Sm"/>
          <w:b/>
          <w:sz w:val="29"/>
        </w:rPr>
      </w:pPr>
      <w:r>
        <w:rPr>
          <w:rFonts w:ascii="Stone Sans II ITC Std Sm"/>
          <w:b/>
          <w:spacing w:val="2"/>
          <w:w w:val="110"/>
          <w:sz w:val="29"/>
        </w:rPr>
        <w:t>Mission</w:t>
      </w:r>
      <w:r>
        <w:rPr>
          <w:rFonts w:ascii="Stone Sans II ITC Std Sm"/>
          <w:b/>
          <w:spacing w:val="12"/>
          <w:w w:val="110"/>
          <w:sz w:val="29"/>
        </w:rPr>
        <w:t> </w:t>
      </w:r>
      <w:r>
        <w:rPr>
          <w:rFonts w:ascii="Stone Sans II ITC Std Sm"/>
          <w:b/>
          <w:w w:val="110"/>
          <w:sz w:val="29"/>
        </w:rPr>
        <w:t>Council</w:t>
      </w:r>
    </w:p>
    <w:p>
      <w:pPr>
        <w:pStyle w:val="BodyText"/>
        <w:spacing w:line="235" w:lineRule="auto" w:before="69"/>
        <w:ind w:left="1247" w:right="1352"/>
      </w:pPr>
      <w:r>
        <w:rPr>
          <w:w w:val="120"/>
        </w:rPr>
        <w:t>Mission Council acts on behalf of General Assembly. It consists of the officers of Assembly, the synod moderators and three representatives from each synod together with the conveners</w:t>
      </w:r>
    </w:p>
    <w:p>
      <w:pPr>
        <w:pStyle w:val="BodyText"/>
        <w:spacing w:line="235" w:lineRule="auto" w:before="2"/>
        <w:ind w:left="1247" w:right="2004"/>
      </w:pPr>
      <w:r>
        <w:rPr>
          <w:w w:val="120"/>
        </w:rPr>
        <w:t>of Assembly committees, the chair of the United Reformed Church Trust and three FURY members, including the FURY moderator.</w:t>
      </w:r>
    </w:p>
    <w:p>
      <w:pPr>
        <w:spacing w:line="240" w:lineRule="exact" w:before="0"/>
        <w:ind w:left="1247" w:right="0" w:firstLine="0"/>
        <w:jc w:val="left"/>
        <w:rPr>
          <w:i/>
          <w:sz w:val="20"/>
        </w:rPr>
      </w:pPr>
      <w:r>
        <w:rPr>
          <w:i/>
          <w:w w:val="110"/>
          <w:sz w:val="20"/>
        </w:rPr>
        <w:t>(Synods appoint and decide terms for their representatives)</w:t>
      </w:r>
    </w:p>
    <w:p>
      <w:pPr>
        <w:pStyle w:val="BodyText"/>
        <w:tabs>
          <w:tab w:pos="4127" w:val="left" w:leader="none"/>
        </w:tabs>
        <w:spacing w:line="235" w:lineRule="auto" w:before="2"/>
        <w:ind w:left="1247" w:right="3435"/>
      </w:pPr>
      <w:r>
        <w:rPr>
          <w:spacing w:val="2"/>
          <w:w w:val="120"/>
        </w:rPr>
        <w:t>Northern</w:t>
      </w:r>
      <w:r>
        <w:rPr>
          <w:spacing w:val="6"/>
          <w:w w:val="120"/>
        </w:rPr>
        <w:t> </w:t>
      </w:r>
      <w:r>
        <w:rPr>
          <w:w w:val="120"/>
        </w:rPr>
        <w:t>Synod</w:t>
        <w:tab/>
        <w:t>Mr </w:t>
      </w:r>
      <w:r>
        <w:rPr>
          <w:spacing w:val="2"/>
          <w:w w:val="120"/>
        </w:rPr>
        <w:t>Robert </w:t>
      </w:r>
      <w:r>
        <w:rPr>
          <w:w w:val="120"/>
        </w:rPr>
        <w:t>Jones, Mr Danny Pigeon, vacancy </w:t>
      </w:r>
      <w:r>
        <w:rPr>
          <w:spacing w:val="2"/>
          <w:w w:val="120"/>
        </w:rPr>
        <w:t>North</w:t>
      </w:r>
      <w:r>
        <w:rPr>
          <w:spacing w:val="-3"/>
          <w:w w:val="120"/>
        </w:rPr>
        <w:t> </w:t>
      </w:r>
      <w:r>
        <w:rPr>
          <w:w w:val="120"/>
        </w:rPr>
        <w:t>West</w:t>
        <w:tab/>
        <w:t>Miss Judith Haughton, 2</w:t>
      </w:r>
      <w:r>
        <w:rPr>
          <w:spacing w:val="9"/>
          <w:w w:val="120"/>
        </w:rPr>
        <w:t> </w:t>
      </w:r>
      <w:r>
        <w:rPr>
          <w:w w:val="120"/>
        </w:rPr>
        <w:t>vacancies</w:t>
      </w:r>
    </w:p>
    <w:p>
      <w:pPr>
        <w:pStyle w:val="BodyText"/>
        <w:tabs>
          <w:tab w:pos="4127" w:val="left" w:leader="none"/>
        </w:tabs>
        <w:spacing w:line="235" w:lineRule="auto" w:before="1"/>
        <w:ind w:left="1247" w:right="1947"/>
      </w:pPr>
      <w:r>
        <w:rPr>
          <w:w w:val="120"/>
        </w:rPr>
        <w:t>Mersey</w:t>
      </w:r>
      <w:r>
        <w:rPr>
          <w:spacing w:val="1"/>
          <w:w w:val="120"/>
        </w:rPr>
        <w:t> </w:t>
      </w:r>
      <w:r>
        <w:rPr>
          <w:w w:val="120"/>
        </w:rPr>
        <w:t>Synod</w:t>
        <w:tab/>
        <w:t>Mrs Joan Colwell, Mrs Rita Griffiths, the Revd Tim Meadows Yorkshire</w:t>
      </w:r>
      <w:r>
        <w:rPr>
          <w:spacing w:val="1"/>
          <w:w w:val="120"/>
        </w:rPr>
        <w:t> </w:t>
      </w:r>
      <w:r>
        <w:rPr>
          <w:w w:val="120"/>
        </w:rPr>
        <w:t>Synod</w:t>
        <w:tab/>
        <w:t>Mr Chris Reed, Mrs Jenny </w:t>
      </w:r>
      <w:r>
        <w:rPr>
          <w:spacing w:val="-3"/>
          <w:w w:val="120"/>
        </w:rPr>
        <w:t>Poulter, </w:t>
      </w:r>
      <w:r>
        <w:rPr>
          <w:w w:val="120"/>
        </w:rPr>
        <w:t>the Revd Alison Termie East</w:t>
      </w:r>
      <w:r>
        <w:rPr>
          <w:spacing w:val="2"/>
          <w:w w:val="120"/>
        </w:rPr>
        <w:t> </w:t>
      </w:r>
      <w:r>
        <w:rPr>
          <w:w w:val="120"/>
        </w:rPr>
        <w:t>Midlands</w:t>
      </w:r>
      <w:r>
        <w:rPr>
          <w:spacing w:val="3"/>
          <w:w w:val="120"/>
        </w:rPr>
        <w:t> </w:t>
      </w:r>
      <w:r>
        <w:rPr>
          <w:w w:val="120"/>
        </w:rPr>
        <w:t>Synod</w:t>
        <w:tab/>
        <w:t>Mr Duncan Smith, the Revd Jenny Mills, Mrs Jill Turner West Midlands</w:t>
      </w:r>
      <w:r>
        <w:rPr>
          <w:spacing w:val="1"/>
          <w:w w:val="120"/>
        </w:rPr>
        <w:t> </w:t>
      </w:r>
      <w:r>
        <w:rPr>
          <w:w w:val="120"/>
        </w:rPr>
        <w:t>Synod</w:t>
        <w:tab/>
        <w:t>The Revd Jacky </w:t>
      </w:r>
      <w:r>
        <w:rPr>
          <w:spacing w:val="-3"/>
          <w:w w:val="120"/>
        </w:rPr>
        <w:t>Embrey, </w:t>
      </w:r>
      <w:r>
        <w:rPr>
          <w:w w:val="120"/>
        </w:rPr>
        <w:t>Mrs Margaret</w:t>
      </w:r>
      <w:r>
        <w:rPr>
          <w:spacing w:val="5"/>
          <w:w w:val="120"/>
        </w:rPr>
        <w:t> </w:t>
      </w:r>
      <w:r>
        <w:rPr>
          <w:w w:val="120"/>
        </w:rPr>
        <w:t>Marshall,</w:t>
      </w:r>
    </w:p>
    <w:p>
      <w:pPr>
        <w:pStyle w:val="BodyText"/>
        <w:spacing w:line="241" w:lineRule="exact"/>
        <w:ind w:left="708" w:right="2638"/>
        <w:jc w:val="center"/>
      </w:pPr>
      <w:r>
        <w:rPr>
          <w:w w:val="120"/>
        </w:rPr>
        <w:t>Mr Andrew Evans</w:t>
      </w:r>
    </w:p>
    <w:p>
      <w:pPr>
        <w:pStyle w:val="BodyText"/>
        <w:tabs>
          <w:tab w:pos="4127" w:val="left" w:leader="none"/>
        </w:tabs>
        <w:spacing w:line="235" w:lineRule="auto" w:before="2"/>
        <w:ind w:left="1247" w:right="3089"/>
        <w:jc w:val="center"/>
      </w:pPr>
      <w:r>
        <w:rPr>
          <w:w w:val="120"/>
        </w:rPr>
        <w:t>Eastern</w:t>
      </w:r>
      <w:r>
        <w:rPr>
          <w:spacing w:val="1"/>
          <w:w w:val="120"/>
        </w:rPr>
        <w:t> </w:t>
      </w:r>
      <w:r>
        <w:rPr>
          <w:w w:val="120"/>
        </w:rPr>
        <w:t>Synod</w:t>
        <w:tab/>
        <w:t>The Revd Dr Catherine Ball, Mrs Linda Harrison, Mr Clifford</w:t>
      </w:r>
      <w:r>
        <w:rPr>
          <w:spacing w:val="3"/>
          <w:w w:val="120"/>
        </w:rPr>
        <w:t> </w:t>
      </w:r>
      <w:r>
        <w:rPr>
          <w:w w:val="120"/>
        </w:rPr>
        <w:t>Patten</w:t>
      </w:r>
    </w:p>
    <w:p>
      <w:pPr>
        <w:pStyle w:val="BodyText"/>
        <w:tabs>
          <w:tab w:pos="4127" w:val="left" w:leader="none"/>
        </w:tabs>
        <w:spacing w:line="235" w:lineRule="auto" w:before="1"/>
        <w:ind w:left="1247" w:right="1606"/>
      </w:pPr>
      <w:r>
        <w:rPr>
          <w:w w:val="120"/>
        </w:rPr>
        <w:t>South</w:t>
      </w:r>
      <w:r>
        <w:rPr>
          <w:spacing w:val="1"/>
          <w:w w:val="120"/>
        </w:rPr>
        <w:t> </w:t>
      </w:r>
      <w:r>
        <w:rPr>
          <w:w w:val="120"/>
        </w:rPr>
        <w:t>Western</w:t>
      </w:r>
      <w:r>
        <w:rPr>
          <w:spacing w:val="1"/>
          <w:w w:val="120"/>
        </w:rPr>
        <w:t> </w:t>
      </w:r>
      <w:r>
        <w:rPr>
          <w:w w:val="120"/>
        </w:rPr>
        <w:t>Synod</w:t>
        <w:tab/>
        <w:t>Mr George Faris, the Revd Dougie Burnett, Mrs Gwen Jennings Wessex</w:t>
      </w:r>
      <w:r>
        <w:rPr>
          <w:spacing w:val="-2"/>
          <w:w w:val="120"/>
        </w:rPr>
        <w:t> </w:t>
      </w:r>
      <w:r>
        <w:rPr>
          <w:w w:val="120"/>
        </w:rPr>
        <w:t>Synod</w:t>
        <w:tab/>
        <w:t>Mr Colin MacBean, 2</w:t>
      </w:r>
      <w:r>
        <w:rPr>
          <w:spacing w:val="8"/>
          <w:w w:val="120"/>
        </w:rPr>
        <w:t> </w:t>
      </w:r>
      <w:r>
        <w:rPr>
          <w:w w:val="120"/>
        </w:rPr>
        <w:t>vacancies</w:t>
      </w:r>
    </w:p>
    <w:p>
      <w:pPr>
        <w:pStyle w:val="BodyText"/>
        <w:tabs>
          <w:tab w:pos="4127" w:val="left" w:leader="none"/>
        </w:tabs>
        <w:spacing w:line="235" w:lineRule="auto" w:before="2"/>
        <w:ind w:left="1247" w:right="1948"/>
      </w:pPr>
      <w:r>
        <w:rPr>
          <w:w w:val="120"/>
        </w:rPr>
        <w:t>Thames</w:t>
      </w:r>
      <w:r>
        <w:rPr>
          <w:spacing w:val="6"/>
          <w:w w:val="120"/>
        </w:rPr>
        <w:t> </w:t>
      </w:r>
      <w:r>
        <w:rPr>
          <w:spacing w:val="2"/>
          <w:w w:val="120"/>
        </w:rPr>
        <w:t>North</w:t>
      </w:r>
      <w:r>
        <w:rPr>
          <w:spacing w:val="7"/>
          <w:w w:val="120"/>
        </w:rPr>
        <w:t> </w:t>
      </w:r>
      <w:r>
        <w:rPr>
          <w:w w:val="120"/>
        </w:rPr>
        <w:t>Synod</w:t>
        <w:tab/>
        <w:t>Mr Simon Fairnington, the Revd Edward Sanniez, vacancy Southern</w:t>
      </w:r>
      <w:r>
        <w:rPr>
          <w:spacing w:val="9"/>
          <w:w w:val="120"/>
        </w:rPr>
        <w:t> </w:t>
      </w:r>
      <w:r>
        <w:rPr>
          <w:w w:val="120"/>
        </w:rPr>
        <w:t>Synod</w:t>
        <w:tab/>
        <w:t>The Revd Derrick Sena Dzandu-Hedidor, Mr Alistair</w:t>
      </w:r>
      <w:r>
        <w:rPr>
          <w:spacing w:val="52"/>
          <w:w w:val="120"/>
        </w:rPr>
        <w:t> </w:t>
      </w:r>
      <w:r>
        <w:rPr>
          <w:w w:val="120"/>
        </w:rPr>
        <w:t>Wilson,</w:t>
      </w:r>
    </w:p>
    <w:p>
      <w:pPr>
        <w:pStyle w:val="BodyText"/>
        <w:spacing w:line="240" w:lineRule="exact"/>
        <w:ind w:left="4127"/>
      </w:pPr>
      <w:r>
        <w:rPr>
          <w:w w:val="120"/>
        </w:rPr>
        <w:t>vacancy</w:t>
      </w:r>
    </w:p>
    <w:p>
      <w:pPr>
        <w:pStyle w:val="BodyText"/>
        <w:tabs>
          <w:tab w:pos="4127" w:val="left" w:leader="none"/>
        </w:tabs>
        <w:spacing w:line="235" w:lineRule="auto" w:before="2"/>
        <w:ind w:left="1247" w:right="2325"/>
      </w:pPr>
      <w:r>
        <w:rPr>
          <w:w w:val="120"/>
        </w:rPr>
        <w:t>National Synod</w:t>
      </w:r>
      <w:r>
        <w:rPr>
          <w:spacing w:val="-4"/>
          <w:w w:val="120"/>
        </w:rPr>
        <w:t> </w:t>
      </w:r>
      <w:r>
        <w:rPr>
          <w:w w:val="120"/>
        </w:rPr>
        <w:t>of</w:t>
      </w:r>
      <w:r>
        <w:rPr>
          <w:spacing w:val="-1"/>
          <w:w w:val="120"/>
        </w:rPr>
        <w:t> </w:t>
      </w:r>
      <w:r>
        <w:rPr>
          <w:w w:val="120"/>
        </w:rPr>
        <w:t>Wales</w:t>
        <w:tab/>
        <w:t>The Revd Shelagh Pollard, Mrs Ruth Henriksen, vacancy National Synod</w:t>
      </w:r>
      <w:r>
        <w:rPr>
          <w:spacing w:val="10"/>
          <w:w w:val="120"/>
        </w:rPr>
        <w:t> </w:t>
      </w:r>
      <w:r>
        <w:rPr>
          <w:w w:val="120"/>
        </w:rPr>
        <w:t>of</w:t>
      </w:r>
      <w:r>
        <w:rPr>
          <w:spacing w:val="6"/>
          <w:w w:val="120"/>
        </w:rPr>
        <w:t> </w:t>
      </w:r>
      <w:r>
        <w:rPr>
          <w:w w:val="120"/>
        </w:rPr>
        <w:t>Scotland</w:t>
        <w:tab/>
        <w:t>The Revd Connie Bonner, the Revd Stephen</w:t>
      </w:r>
      <w:r>
        <w:rPr>
          <w:spacing w:val="28"/>
          <w:w w:val="120"/>
        </w:rPr>
        <w:t> </w:t>
      </w:r>
      <w:r>
        <w:rPr>
          <w:w w:val="120"/>
        </w:rPr>
        <w:t>Brown,</w:t>
      </w:r>
    </w:p>
    <w:p>
      <w:pPr>
        <w:pStyle w:val="BodyText"/>
        <w:spacing w:line="240" w:lineRule="exact"/>
        <w:ind w:left="4127"/>
      </w:pPr>
      <w:r>
        <w:rPr>
          <w:w w:val="115"/>
        </w:rPr>
        <w:t>Mrs Barbara Bruce</w:t>
      </w:r>
    </w:p>
    <w:p>
      <w:pPr>
        <w:spacing w:line="240" w:lineRule="exact" w:before="0"/>
        <w:ind w:left="1247" w:right="0" w:firstLine="0"/>
        <w:jc w:val="left"/>
        <w:rPr>
          <w:sz w:val="20"/>
        </w:rPr>
      </w:pPr>
      <w:r>
        <w:rPr>
          <w:i/>
          <w:w w:val="120"/>
          <w:sz w:val="20"/>
        </w:rPr>
        <w:t>In attendance: </w:t>
      </w:r>
      <w:r>
        <w:rPr>
          <w:w w:val="120"/>
          <w:sz w:val="20"/>
        </w:rPr>
        <w:t>Minute secretary: Mr Bill Robson** [2018]</w:t>
      </w:r>
    </w:p>
    <w:p>
      <w:pPr>
        <w:pStyle w:val="BodyText"/>
        <w:spacing w:line="242" w:lineRule="exact"/>
        <w:ind w:left="1247"/>
      </w:pPr>
      <w:r>
        <w:rPr>
          <w:w w:val="120"/>
        </w:rPr>
        <w:t>together with staff secretaries, moderators’ chaplains and others as appropriate</w:t>
      </w:r>
    </w:p>
    <w:p>
      <w:pPr>
        <w:pStyle w:val="BodyText"/>
        <w:spacing w:before="11"/>
        <w:rPr>
          <w:sz w:val="18"/>
        </w:rPr>
      </w:pPr>
    </w:p>
    <w:p>
      <w:pPr>
        <w:pStyle w:val="ListParagraph"/>
        <w:numPr>
          <w:ilvl w:val="1"/>
          <w:numId w:val="82"/>
        </w:numPr>
        <w:tabs>
          <w:tab w:pos="1927" w:val="left" w:leader="none"/>
          <w:tab w:pos="1928" w:val="left" w:leader="none"/>
        </w:tabs>
        <w:spacing w:line="230" w:lineRule="auto" w:before="0" w:after="0"/>
        <w:ind w:left="1247" w:right="6342" w:firstLine="0"/>
        <w:jc w:val="left"/>
        <w:rPr>
          <w:rFonts w:ascii="Stone Sans II ITC Std Bk"/>
          <w:sz w:val="20"/>
        </w:rPr>
      </w:pPr>
      <w:r>
        <w:rPr>
          <w:rFonts w:ascii="Stone Sans II ITC Std Bk"/>
          <w:b/>
          <w:w w:val="120"/>
          <w:sz w:val="20"/>
        </w:rPr>
        <w:t>Mission Council advisory group </w:t>
      </w:r>
      <w:r>
        <w:rPr>
          <w:w w:val="120"/>
          <w:sz w:val="20"/>
        </w:rPr>
        <w:t>Convener: Moderators of General Assembly Secretary: General</w:t>
      </w:r>
      <w:r>
        <w:rPr>
          <w:spacing w:val="3"/>
          <w:w w:val="120"/>
          <w:sz w:val="20"/>
        </w:rPr>
        <w:t> </w:t>
      </w:r>
      <w:r>
        <w:rPr>
          <w:w w:val="120"/>
          <w:sz w:val="20"/>
        </w:rPr>
        <w:t>secretary</w:t>
      </w:r>
    </w:p>
    <w:p>
      <w:pPr>
        <w:pStyle w:val="BodyText"/>
        <w:spacing w:line="235" w:lineRule="auto"/>
        <w:ind w:left="1247" w:right="1820"/>
      </w:pPr>
      <w:r>
        <w:rPr>
          <w:w w:val="120"/>
        </w:rPr>
        <w:t>The Revd Nicola Furley-Smith [2016], the Revd Gethin Rhys (committee convener) [2018], the Revd John Humphreys [2018]</w:t>
      </w:r>
    </w:p>
    <w:p>
      <w:pPr>
        <w:pStyle w:val="BodyText"/>
        <w:spacing w:line="235" w:lineRule="auto" w:before="2"/>
        <w:ind w:left="1247" w:right="3495"/>
      </w:pPr>
      <w:r>
        <w:rPr>
          <w:w w:val="120"/>
        </w:rPr>
        <w:t>Moderators-elect and immediate past moderators of General Assembly [</w:t>
      </w:r>
      <w:r>
        <w:rPr>
          <w:i/>
          <w:w w:val="120"/>
        </w:rPr>
        <w:t>ex officio: </w:t>
      </w:r>
      <w:r>
        <w:rPr>
          <w:w w:val="120"/>
        </w:rPr>
        <w:t>Honorary Treasurer]</w:t>
      </w:r>
    </w:p>
    <w:p>
      <w:pPr>
        <w:pStyle w:val="BodyText"/>
        <w:spacing w:before="1"/>
        <w:rPr>
          <w:sz w:val="19"/>
        </w:rPr>
      </w:pPr>
    </w:p>
    <w:p>
      <w:pPr>
        <w:pStyle w:val="ListParagraph"/>
        <w:numPr>
          <w:ilvl w:val="1"/>
          <w:numId w:val="82"/>
        </w:numPr>
        <w:tabs>
          <w:tab w:pos="1927" w:val="left" w:leader="none"/>
          <w:tab w:pos="1928" w:val="left" w:leader="none"/>
        </w:tabs>
        <w:spacing w:line="230" w:lineRule="auto" w:before="0" w:after="0"/>
        <w:ind w:left="1247" w:right="6438" w:firstLine="0"/>
        <w:jc w:val="left"/>
        <w:rPr>
          <w:rFonts w:ascii="Stone Sans II ITC Std Bk"/>
          <w:sz w:val="20"/>
        </w:rPr>
      </w:pPr>
      <w:r>
        <w:rPr>
          <w:rFonts w:ascii="Stone Sans II ITC Std Bk"/>
          <w:b/>
          <w:w w:val="110"/>
          <w:sz w:val="20"/>
        </w:rPr>
        <w:t>Human resources advisory group </w:t>
      </w:r>
      <w:r>
        <w:rPr>
          <w:w w:val="120"/>
          <w:sz w:val="20"/>
        </w:rPr>
        <w:t>Convener: Mr Keith Webster </w:t>
      </w:r>
      <w:r>
        <w:rPr>
          <w:spacing w:val="-8"/>
          <w:w w:val="120"/>
          <w:sz w:val="20"/>
        </w:rPr>
        <w:t>[2017] </w:t>
      </w:r>
      <w:r>
        <w:rPr>
          <w:w w:val="120"/>
          <w:sz w:val="20"/>
        </w:rPr>
        <w:t>Secretary: General</w:t>
      </w:r>
      <w:r>
        <w:rPr>
          <w:spacing w:val="3"/>
          <w:w w:val="120"/>
          <w:sz w:val="20"/>
        </w:rPr>
        <w:t> </w:t>
      </w:r>
      <w:r>
        <w:rPr>
          <w:w w:val="120"/>
          <w:sz w:val="20"/>
        </w:rPr>
        <w:t>secretary</w:t>
      </w:r>
    </w:p>
    <w:p>
      <w:pPr>
        <w:pStyle w:val="BodyText"/>
        <w:tabs>
          <w:tab w:pos="5567" w:val="left" w:leader="none"/>
        </w:tabs>
        <w:spacing w:line="238" w:lineRule="exact"/>
        <w:ind w:left="1247"/>
      </w:pPr>
      <w:r>
        <w:rPr>
          <w:w w:val="120"/>
        </w:rPr>
        <w:t>Mr Mike</w:t>
      </w:r>
      <w:r>
        <w:rPr>
          <w:spacing w:val="21"/>
          <w:w w:val="120"/>
        </w:rPr>
        <w:t> </w:t>
      </w:r>
      <w:r>
        <w:rPr>
          <w:w w:val="120"/>
        </w:rPr>
        <w:t>Gould</w:t>
      </w:r>
      <w:r>
        <w:rPr>
          <w:spacing w:val="11"/>
          <w:w w:val="120"/>
        </w:rPr>
        <w:t> </w:t>
      </w:r>
      <w:r>
        <w:rPr>
          <w:spacing w:val="-8"/>
          <w:w w:val="120"/>
        </w:rPr>
        <w:t>[2017]</w:t>
        <w:tab/>
      </w:r>
      <w:r>
        <w:rPr>
          <w:w w:val="120"/>
        </w:rPr>
        <w:t>Mr Peter Pay</w:t>
      </w:r>
      <w:r>
        <w:rPr>
          <w:spacing w:val="6"/>
          <w:w w:val="120"/>
        </w:rPr>
        <w:t> </w:t>
      </w:r>
      <w:r>
        <w:rPr>
          <w:spacing w:val="-8"/>
          <w:w w:val="120"/>
        </w:rPr>
        <w:t>[2017]</w:t>
      </w:r>
    </w:p>
    <w:p>
      <w:pPr>
        <w:pStyle w:val="BodyText"/>
        <w:tabs>
          <w:tab w:pos="5567" w:val="left" w:leader="none"/>
        </w:tabs>
        <w:spacing w:line="240" w:lineRule="exact"/>
        <w:ind w:left="1247"/>
      </w:pPr>
      <w:r>
        <w:rPr>
          <w:w w:val="120"/>
        </w:rPr>
        <w:t>Mr Alistair</w:t>
      </w:r>
      <w:r>
        <w:rPr>
          <w:spacing w:val="7"/>
          <w:w w:val="120"/>
        </w:rPr>
        <w:t> </w:t>
      </w:r>
      <w:r>
        <w:rPr>
          <w:spacing w:val="2"/>
          <w:w w:val="120"/>
        </w:rPr>
        <w:t>Forsyth</w:t>
      </w:r>
      <w:r>
        <w:rPr>
          <w:spacing w:val="4"/>
          <w:w w:val="120"/>
        </w:rPr>
        <w:t> </w:t>
      </w:r>
      <w:r>
        <w:rPr>
          <w:spacing w:val="-8"/>
          <w:w w:val="120"/>
        </w:rPr>
        <w:t>[2017]</w:t>
        <w:tab/>
      </w:r>
      <w:r>
        <w:rPr>
          <w:w w:val="120"/>
        </w:rPr>
        <w:t>The Revd Wendy White</w:t>
      </w:r>
      <w:r>
        <w:rPr>
          <w:spacing w:val="10"/>
          <w:w w:val="120"/>
        </w:rPr>
        <w:t> </w:t>
      </w:r>
      <w:r>
        <w:rPr>
          <w:spacing w:val="-8"/>
          <w:w w:val="120"/>
        </w:rPr>
        <w:t>[2017]</w:t>
      </w:r>
    </w:p>
    <w:p>
      <w:pPr>
        <w:pStyle w:val="BodyText"/>
        <w:tabs>
          <w:tab w:pos="5567" w:val="left" w:leader="none"/>
        </w:tabs>
        <w:spacing w:line="240" w:lineRule="exact"/>
        <w:ind w:left="1247"/>
      </w:pPr>
      <w:r>
        <w:rPr>
          <w:w w:val="120"/>
        </w:rPr>
        <w:t>Vacancy</w:t>
        <w:tab/>
        <w:t>General</w:t>
      </w:r>
      <w:r>
        <w:rPr>
          <w:spacing w:val="1"/>
          <w:w w:val="120"/>
        </w:rPr>
        <w:t> </w:t>
      </w:r>
      <w:r>
        <w:rPr>
          <w:w w:val="120"/>
        </w:rPr>
        <w:t>secretary</w:t>
      </w:r>
    </w:p>
    <w:p>
      <w:pPr>
        <w:pStyle w:val="BodyText"/>
        <w:spacing w:line="242" w:lineRule="exact"/>
        <w:ind w:left="1247"/>
      </w:pPr>
      <w:r>
        <w:rPr>
          <w:w w:val="120"/>
        </w:rPr>
        <w:t>Head of human resources</w:t>
      </w:r>
    </w:p>
    <w:p>
      <w:pPr>
        <w:pStyle w:val="BodyText"/>
        <w:spacing w:before="3"/>
        <w:rPr>
          <w:sz w:val="18"/>
        </w:rPr>
      </w:pPr>
    </w:p>
    <w:p>
      <w:pPr>
        <w:pStyle w:val="Heading9"/>
        <w:numPr>
          <w:ilvl w:val="1"/>
          <w:numId w:val="82"/>
        </w:numPr>
        <w:tabs>
          <w:tab w:pos="1927" w:val="left" w:leader="none"/>
          <w:tab w:pos="1928" w:val="left" w:leader="none"/>
        </w:tabs>
        <w:spacing w:line="261" w:lineRule="exact" w:before="0" w:after="0"/>
        <w:ind w:left="1927" w:right="0" w:hanging="681"/>
        <w:jc w:val="left"/>
      </w:pPr>
      <w:r>
        <w:rPr>
          <w:w w:val="110"/>
        </w:rPr>
        <w:t>Law and polity</w:t>
      </w:r>
      <w:r>
        <w:rPr>
          <w:spacing w:val="-1"/>
          <w:w w:val="110"/>
        </w:rPr>
        <w:t> </w:t>
      </w:r>
      <w:r>
        <w:rPr>
          <w:w w:val="110"/>
        </w:rPr>
        <w:t>group</w:t>
      </w:r>
    </w:p>
    <w:p>
      <w:pPr>
        <w:pStyle w:val="BodyText"/>
        <w:spacing w:line="235" w:lineRule="auto"/>
        <w:ind w:left="1247" w:right="5011"/>
      </w:pPr>
      <w:r>
        <w:rPr>
          <w:w w:val="120"/>
        </w:rPr>
        <w:t>Convener: The Revd Prof David Thompson [2016] Secretary: Dr Augur Pearce [2016]</w:t>
      </w:r>
    </w:p>
    <w:p>
      <w:pPr>
        <w:pStyle w:val="BodyText"/>
        <w:tabs>
          <w:tab w:pos="5567" w:val="left" w:leader="none"/>
        </w:tabs>
        <w:spacing w:line="235" w:lineRule="auto"/>
        <w:ind w:left="1247" w:right="3575"/>
      </w:pPr>
      <w:r>
        <w:rPr>
          <w:w w:val="120"/>
        </w:rPr>
        <w:t>Ms Morag</w:t>
      </w:r>
      <w:r>
        <w:rPr>
          <w:spacing w:val="21"/>
          <w:w w:val="120"/>
        </w:rPr>
        <w:t> </w:t>
      </w:r>
      <w:r>
        <w:rPr>
          <w:w w:val="120"/>
        </w:rPr>
        <w:t>McLintock</w:t>
      </w:r>
      <w:r>
        <w:rPr>
          <w:spacing w:val="10"/>
          <w:w w:val="120"/>
        </w:rPr>
        <w:t> </w:t>
      </w:r>
      <w:r>
        <w:rPr>
          <w:spacing w:val="-7"/>
          <w:w w:val="120"/>
        </w:rPr>
        <w:t>[2016]</w:t>
        <w:tab/>
      </w:r>
      <w:r>
        <w:rPr>
          <w:w w:val="120"/>
        </w:rPr>
        <w:t>Ms Denise Fitzpatrick </w:t>
      </w:r>
      <w:r>
        <w:rPr>
          <w:spacing w:val="-8"/>
          <w:w w:val="120"/>
        </w:rPr>
        <w:t>[2017] </w:t>
      </w:r>
      <w:r>
        <w:rPr>
          <w:w w:val="120"/>
        </w:rPr>
        <w:t>Mr Duncan Smith </w:t>
      </w:r>
      <w:r>
        <w:rPr>
          <w:spacing w:val="-7"/>
          <w:w w:val="120"/>
        </w:rPr>
        <w:t>[2016] </w:t>
      </w:r>
      <w:r>
        <w:rPr>
          <w:spacing w:val="2"/>
          <w:w w:val="120"/>
        </w:rPr>
        <w:t> </w:t>
      </w:r>
      <w:r>
        <w:rPr>
          <w:w w:val="120"/>
        </w:rPr>
        <w:t>(synod</w:t>
      </w:r>
      <w:r>
        <w:rPr>
          <w:spacing w:val="12"/>
          <w:w w:val="120"/>
        </w:rPr>
        <w:t> </w:t>
      </w:r>
      <w:r>
        <w:rPr>
          <w:w w:val="120"/>
        </w:rPr>
        <w:t>clerk)</w:t>
        <w:tab/>
        <w:t>Mrs Kath Fowler  </w:t>
      </w:r>
      <w:r>
        <w:rPr>
          <w:spacing w:val="-4"/>
          <w:w w:val="120"/>
        </w:rPr>
        <w:t>(PLATO) </w:t>
      </w:r>
      <w:r>
        <w:rPr>
          <w:spacing w:val="-3"/>
          <w:w w:val="120"/>
        </w:rPr>
        <w:t>[</w:t>
      </w:r>
      <w:r>
        <w:rPr>
          <w:i/>
          <w:spacing w:val="-3"/>
          <w:w w:val="120"/>
        </w:rPr>
        <w:t>ex </w:t>
      </w:r>
      <w:r>
        <w:rPr>
          <w:i/>
          <w:w w:val="120"/>
        </w:rPr>
        <w:t>officio</w:t>
      </w:r>
      <w:r>
        <w:rPr>
          <w:w w:val="120"/>
        </w:rPr>
        <w:t>: Clerk to</w:t>
      </w:r>
      <w:r>
        <w:rPr>
          <w:spacing w:val="-9"/>
          <w:w w:val="120"/>
        </w:rPr>
        <w:t> </w:t>
      </w:r>
      <w:r>
        <w:rPr>
          <w:w w:val="120"/>
        </w:rPr>
        <w:t>General</w:t>
      </w:r>
      <w:r>
        <w:rPr>
          <w:spacing w:val="-2"/>
          <w:w w:val="120"/>
        </w:rPr>
        <w:t> </w:t>
      </w:r>
      <w:r>
        <w:rPr>
          <w:w w:val="120"/>
        </w:rPr>
        <w:t>Assembly</w:t>
        <w:tab/>
        <w:t>legal</w:t>
      </w:r>
      <w:r>
        <w:rPr>
          <w:spacing w:val="3"/>
          <w:w w:val="120"/>
        </w:rPr>
        <w:t> </w:t>
      </w:r>
      <w:r>
        <w:rPr>
          <w:w w:val="120"/>
        </w:rPr>
        <w:t>adviser]</w:t>
      </w:r>
    </w:p>
    <w:p>
      <w:pPr>
        <w:pStyle w:val="BodyText"/>
        <w:spacing w:before="3"/>
        <w:rPr>
          <w:sz w:val="18"/>
        </w:rPr>
      </w:pPr>
    </w:p>
    <w:p>
      <w:pPr>
        <w:pStyle w:val="Heading9"/>
        <w:numPr>
          <w:ilvl w:val="1"/>
          <w:numId w:val="82"/>
        </w:numPr>
        <w:tabs>
          <w:tab w:pos="1927" w:val="left" w:leader="none"/>
          <w:tab w:pos="1928" w:val="left" w:leader="none"/>
        </w:tabs>
        <w:spacing w:line="261" w:lineRule="exact" w:before="0" w:after="0"/>
        <w:ind w:left="1927" w:right="0" w:hanging="681"/>
        <w:jc w:val="left"/>
      </w:pPr>
      <w:r>
        <w:rPr>
          <w:w w:val="110"/>
        </w:rPr>
        <w:t>Listed building advisory</w:t>
      </w:r>
      <w:r>
        <w:rPr>
          <w:spacing w:val="-1"/>
          <w:w w:val="110"/>
        </w:rPr>
        <w:t> </w:t>
      </w:r>
      <w:r>
        <w:rPr>
          <w:w w:val="110"/>
        </w:rPr>
        <w:t>group</w:t>
      </w:r>
    </w:p>
    <w:p>
      <w:pPr>
        <w:pStyle w:val="BodyText"/>
        <w:spacing w:line="233" w:lineRule="exact"/>
        <w:ind w:left="1304"/>
      </w:pPr>
      <w:r>
        <w:rPr>
          <w:w w:val="120"/>
        </w:rPr>
        <w:t>Convener: Mr Peter West [2015]</w:t>
      </w:r>
    </w:p>
    <w:p>
      <w:pPr>
        <w:pStyle w:val="BodyText"/>
        <w:spacing w:line="235" w:lineRule="auto" w:before="2"/>
        <w:ind w:left="1304" w:right="5691"/>
      </w:pPr>
      <w:r>
        <w:rPr>
          <w:w w:val="120"/>
        </w:rPr>
        <w:t>Convener-elect: #Mr Neil MacKenzie [2019] Secretary: The Revd James Mather**</w:t>
      </w:r>
    </w:p>
    <w:p>
      <w:pPr>
        <w:pStyle w:val="BodyText"/>
        <w:tabs>
          <w:tab w:pos="5567" w:val="left" w:leader="none"/>
        </w:tabs>
        <w:spacing w:line="240" w:lineRule="exact"/>
        <w:ind w:left="1304"/>
      </w:pPr>
      <w:r>
        <w:rPr>
          <w:w w:val="125"/>
        </w:rPr>
        <w:t>Mrs Elizabeth</w:t>
      </w:r>
      <w:r>
        <w:rPr>
          <w:spacing w:val="-18"/>
          <w:w w:val="125"/>
        </w:rPr>
        <w:t> </w:t>
      </w:r>
      <w:r>
        <w:rPr>
          <w:w w:val="125"/>
        </w:rPr>
        <w:t>Conran</w:t>
      </w:r>
      <w:r>
        <w:rPr>
          <w:spacing w:val="-9"/>
          <w:w w:val="125"/>
        </w:rPr>
        <w:t> </w:t>
      </w:r>
      <w:r>
        <w:rPr>
          <w:spacing w:val="-11"/>
          <w:w w:val="125"/>
        </w:rPr>
        <w:t>(1)</w:t>
        <w:tab/>
      </w:r>
      <w:r>
        <w:rPr>
          <w:w w:val="125"/>
        </w:rPr>
        <w:t>Mr Michael Williams</w:t>
      </w:r>
      <w:r>
        <w:rPr>
          <w:spacing w:val="-5"/>
          <w:w w:val="125"/>
        </w:rPr>
        <w:t> </w:t>
      </w:r>
      <w:r>
        <w:rPr>
          <w:spacing w:val="-8"/>
          <w:w w:val="125"/>
        </w:rPr>
        <w:t>(2)</w:t>
      </w:r>
    </w:p>
    <w:p>
      <w:pPr>
        <w:pStyle w:val="BodyText"/>
        <w:tabs>
          <w:tab w:pos="5567" w:val="left" w:leader="none"/>
        </w:tabs>
        <w:spacing w:line="240" w:lineRule="exact"/>
        <w:ind w:left="1304"/>
      </w:pPr>
      <w:r>
        <w:rPr>
          <w:w w:val="125"/>
        </w:rPr>
        <w:t>Ms Alison</w:t>
      </w:r>
      <w:r>
        <w:rPr>
          <w:spacing w:val="-15"/>
          <w:w w:val="125"/>
        </w:rPr>
        <w:t> </w:t>
      </w:r>
      <w:r>
        <w:rPr>
          <w:w w:val="125"/>
        </w:rPr>
        <w:t>Lee</w:t>
      </w:r>
      <w:r>
        <w:rPr>
          <w:spacing w:val="-8"/>
          <w:w w:val="125"/>
        </w:rPr>
        <w:t> (3)</w:t>
        <w:tab/>
      </w:r>
      <w:r>
        <w:rPr>
          <w:w w:val="125"/>
        </w:rPr>
        <w:t>The Revd David Figures</w:t>
      </w:r>
      <w:r>
        <w:rPr>
          <w:spacing w:val="-3"/>
          <w:w w:val="125"/>
        </w:rPr>
        <w:t> </w:t>
      </w:r>
      <w:r>
        <w:rPr>
          <w:spacing w:val="-10"/>
          <w:w w:val="125"/>
        </w:rPr>
        <w:t>(4)</w:t>
      </w:r>
    </w:p>
    <w:p>
      <w:pPr>
        <w:pStyle w:val="BodyText"/>
        <w:tabs>
          <w:tab w:pos="5567" w:val="left" w:leader="none"/>
        </w:tabs>
        <w:spacing w:line="240" w:lineRule="exact"/>
        <w:ind w:left="1304"/>
      </w:pPr>
      <w:r>
        <w:rPr>
          <w:w w:val="125"/>
        </w:rPr>
        <w:t>Mrs Judith</w:t>
      </w:r>
      <w:r>
        <w:rPr>
          <w:spacing w:val="-23"/>
          <w:w w:val="125"/>
        </w:rPr>
        <w:t> </w:t>
      </w:r>
      <w:r>
        <w:rPr>
          <w:w w:val="125"/>
        </w:rPr>
        <w:t>Booth</w:t>
      </w:r>
      <w:r>
        <w:rPr>
          <w:spacing w:val="-12"/>
          <w:w w:val="125"/>
        </w:rPr>
        <w:t> </w:t>
      </w:r>
      <w:r>
        <w:rPr>
          <w:spacing w:val="-8"/>
          <w:w w:val="125"/>
        </w:rPr>
        <w:t>(5)</w:t>
        <w:tab/>
      </w:r>
      <w:r>
        <w:rPr>
          <w:w w:val="125"/>
        </w:rPr>
        <w:t>Mrs Rachel Wakeman</w:t>
      </w:r>
      <w:r>
        <w:rPr>
          <w:spacing w:val="-5"/>
          <w:w w:val="125"/>
        </w:rPr>
        <w:t> </w:t>
      </w:r>
      <w:r>
        <w:rPr>
          <w:spacing w:val="-7"/>
          <w:w w:val="125"/>
        </w:rPr>
        <w:t>(6)</w:t>
      </w:r>
    </w:p>
    <w:p>
      <w:pPr>
        <w:pStyle w:val="BodyText"/>
        <w:tabs>
          <w:tab w:pos="5567" w:val="left" w:leader="none"/>
        </w:tabs>
        <w:spacing w:line="240" w:lineRule="exact"/>
        <w:ind w:left="1304"/>
      </w:pPr>
      <w:r>
        <w:rPr>
          <w:w w:val="120"/>
        </w:rPr>
        <w:t>Mr Peter</w:t>
      </w:r>
      <w:r>
        <w:rPr>
          <w:spacing w:val="-6"/>
          <w:w w:val="120"/>
        </w:rPr>
        <w:t> </w:t>
      </w:r>
      <w:r>
        <w:rPr>
          <w:w w:val="120"/>
        </w:rPr>
        <w:t>West</w:t>
      </w:r>
      <w:r>
        <w:rPr>
          <w:spacing w:val="-3"/>
          <w:w w:val="120"/>
        </w:rPr>
        <w:t> </w:t>
      </w:r>
      <w:r>
        <w:rPr>
          <w:w w:val="120"/>
        </w:rPr>
        <w:t>(7)</w:t>
        <w:tab/>
        <w:t>Mr Roger James</w:t>
      </w:r>
      <w:r>
        <w:rPr>
          <w:spacing w:val="6"/>
          <w:w w:val="120"/>
        </w:rPr>
        <w:t> </w:t>
      </w:r>
      <w:r>
        <w:rPr>
          <w:spacing w:val="-8"/>
          <w:w w:val="120"/>
        </w:rPr>
        <w:t>(8)</w:t>
      </w:r>
    </w:p>
    <w:p>
      <w:pPr>
        <w:pStyle w:val="BodyText"/>
        <w:tabs>
          <w:tab w:pos="5567" w:val="left" w:leader="none"/>
        </w:tabs>
        <w:spacing w:line="240" w:lineRule="exact"/>
        <w:ind w:left="1304"/>
      </w:pPr>
      <w:r>
        <w:rPr>
          <w:w w:val="125"/>
        </w:rPr>
        <w:t>Mr </w:t>
      </w:r>
      <w:r>
        <w:rPr>
          <w:spacing w:val="3"/>
          <w:w w:val="125"/>
        </w:rPr>
        <w:t>Gerry</w:t>
      </w:r>
      <w:r>
        <w:rPr>
          <w:spacing w:val="-31"/>
          <w:w w:val="125"/>
        </w:rPr>
        <w:t> </w:t>
      </w:r>
      <w:r>
        <w:rPr>
          <w:w w:val="125"/>
        </w:rPr>
        <w:t>Prosser</w:t>
      </w:r>
      <w:r>
        <w:rPr>
          <w:spacing w:val="-15"/>
          <w:w w:val="125"/>
        </w:rPr>
        <w:t> </w:t>
      </w:r>
      <w:r>
        <w:rPr>
          <w:spacing w:val="-8"/>
          <w:w w:val="125"/>
        </w:rPr>
        <w:t>(9)</w:t>
        <w:tab/>
      </w:r>
      <w:r>
        <w:rPr>
          <w:w w:val="125"/>
        </w:rPr>
        <w:t>Mr Christopher Buckwell</w:t>
      </w:r>
      <w:r>
        <w:rPr>
          <w:spacing w:val="-3"/>
          <w:w w:val="125"/>
        </w:rPr>
        <w:t> </w:t>
      </w:r>
      <w:r>
        <w:rPr>
          <w:spacing w:val="-9"/>
          <w:w w:val="125"/>
        </w:rPr>
        <w:t>(10)</w:t>
      </w:r>
    </w:p>
    <w:p>
      <w:pPr>
        <w:pStyle w:val="BodyText"/>
        <w:tabs>
          <w:tab w:pos="5567" w:val="left" w:leader="none"/>
        </w:tabs>
        <w:spacing w:line="242" w:lineRule="exact"/>
        <w:ind w:left="1304"/>
      </w:pPr>
      <w:r>
        <w:rPr>
          <w:w w:val="120"/>
        </w:rPr>
        <w:t>Mr Guy</w:t>
      </w:r>
      <w:r>
        <w:rPr>
          <w:spacing w:val="12"/>
          <w:w w:val="120"/>
        </w:rPr>
        <w:t> </w:t>
      </w:r>
      <w:r>
        <w:rPr>
          <w:spacing w:val="2"/>
          <w:w w:val="120"/>
        </w:rPr>
        <w:t>Morfett</w:t>
      </w:r>
      <w:r>
        <w:rPr>
          <w:spacing w:val="6"/>
          <w:w w:val="120"/>
        </w:rPr>
        <w:t> </w:t>
      </w:r>
      <w:r>
        <w:rPr>
          <w:spacing w:val="-14"/>
          <w:w w:val="120"/>
        </w:rPr>
        <w:t>(11)</w:t>
        <w:tab/>
      </w:r>
      <w:r>
        <w:rPr>
          <w:w w:val="120"/>
        </w:rPr>
        <w:t>Mrs Sue Cole</w:t>
      </w:r>
      <w:r>
        <w:rPr>
          <w:spacing w:val="7"/>
          <w:w w:val="120"/>
        </w:rPr>
        <w:t> </w:t>
      </w:r>
      <w:r>
        <w:rPr>
          <w:spacing w:val="-10"/>
          <w:w w:val="120"/>
        </w:rPr>
        <w:t>(12)</w:t>
      </w:r>
    </w:p>
    <w:p>
      <w:pPr>
        <w:spacing w:after="0" w:line="242" w:lineRule="exact"/>
        <w:sectPr>
          <w:headerReference w:type="even" r:id="rId329"/>
          <w:footerReference w:type="even" r:id="rId330"/>
          <w:footerReference w:type="default" r:id="rId331"/>
          <w:pgSz w:w="11910" w:h="16840"/>
          <w:pgMar w:header="0" w:footer="647" w:top="0" w:bottom="840" w:left="0" w:right="0"/>
        </w:sectPr>
      </w:pPr>
    </w:p>
    <w:p>
      <w:pPr>
        <w:pStyle w:val="BodyText"/>
      </w:pPr>
      <w:r>
        <w:rPr/>
        <w:drawing>
          <wp:anchor distT="0" distB="0" distL="0" distR="0" allowOverlap="1" layoutInCell="1" locked="0" behindDoc="0" simplePos="0" relativeHeight="252034048">
            <wp:simplePos x="0" y="0"/>
            <wp:positionH relativeFrom="page">
              <wp:posOffset>6974928</wp:posOffset>
            </wp:positionH>
            <wp:positionV relativeFrom="page">
              <wp:posOffset>0</wp:posOffset>
            </wp:positionV>
            <wp:extent cx="585063" cy="10692003"/>
            <wp:effectExtent l="0" t="0" r="0" b="0"/>
            <wp:wrapNone/>
            <wp:docPr id="261" name="image25.png"/>
            <wp:cNvGraphicFramePr>
              <a:graphicFrameLocks noChangeAspect="1"/>
            </wp:cNvGraphicFramePr>
            <a:graphic>
              <a:graphicData uri="http://schemas.openxmlformats.org/drawingml/2006/picture">
                <pic:pic>
                  <pic:nvPicPr>
                    <pic:cNvPr id="262" name="image25.png"/>
                    <pic:cNvPicPr/>
                  </pic:nvPicPr>
                  <pic:blipFill>
                    <a:blip r:embed="rId192"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pStyle w:val="Heading5"/>
        <w:ind w:left="0" w:right="1245"/>
        <w:jc w:val="right"/>
      </w:pPr>
      <w:r>
        <w:rPr/>
        <w:pict>
          <v:shape style="position:absolute;margin-left:554.141174pt;margin-top:22.593945pt;width:25.9pt;height:131.3pt;mso-position-horizontal-relative:page;mso-position-vertical-relative:paragraph;z-index:252035072" type="#_x0000_t202" filled="false" stroked="false">
            <v:textbox inset="0,0,0,0" style="layout-flow:vertical">
              <w:txbxContent>
                <w:p>
                  <w:pPr>
                    <w:spacing w:before="27"/>
                    <w:ind w:left="20" w:right="0" w:firstLine="0"/>
                    <w:jc w:val="left"/>
                    <w:rPr>
                      <w:sz w:val="39"/>
                    </w:rPr>
                  </w:pPr>
                  <w:r>
                    <w:rPr>
                      <w:color w:val="FFFFFF"/>
                      <w:w w:val="120"/>
                      <w:sz w:val="39"/>
                    </w:rPr>
                    <w:t>Nominations</w:t>
                  </w:r>
                </w:p>
              </w:txbxContent>
            </v:textbox>
            <w10:wrap type="none"/>
          </v:shape>
        </w:pict>
      </w:r>
      <w:r>
        <w:rPr>
          <w:color w:val="7EAABF"/>
          <w:w w:val="115"/>
        </w:rPr>
        <w:t>Nominations</w:t>
      </w:r>
    </w:p>
    <w:p>
      <w:pPr>
        <w:pStyle w:val="Heading9"/>
        <w:numPr>
          <w:ilvl w:val="1"/>
          <w:numId w:val="82"/>
        </w:numPr>
        <w:tabs>
          <w:tab w:pos="2664" w:val="left" w:leader="none"/>
          <w:tab w:pos="2665" w:val="left" w:leader="none"/>
        </w:tabs>
        <w:spacing w:line="261" w:lineRule="exact" w:before="205" w:after="0"/>
        <w:ind w:left="2664" w:right="0" w:hanging="681"/>
        <w:jc w:val="left"/>
      </w:pPr>
      <w:r>
        <w:rPr>
          <w:w w:val="110"/>
        </w:rPr>
        <w:t>MIND (ministerial incapacity and discipline) advisory</w:t>
      </w:r>
      <w:r>
        <w:rPr>
          <w:spacing w:val="-2"/>
          <w:w w:val="110"/>
        </w:rPr>
        <w:t> </w:t>
      </w:r>
      <w:r>
        <w:rPr>
          <w:w w:val="110"/>
        </w:rPr>
        <w:t>group</w:t>
      </w:r>
    </w:p>
    <w:p>
      <w:pPr>
        <w:pStyle w:val="BodyText"/>
        <w:spacing w:line="235" w:lineRule="auto"/>
        <w:ind w:left="1984" w:right="5011"/>
      </w:pPr>
      <w:r>
        <w:rPr>
          <w:w w:val="120"/>
        </w:rPr>
        <w:t>Convener: The Revd Peter Poulter [2016] Secretary: Dr Jim Merrilees [2018]</w:t>
      </w:r>
    </w:p>
    <w:p>
      <w:pPr>
        <w:pStyle w:val="BodyText"/>
        <w:spacing w:line="235" w:lineRule="auto"/>
        <w:ind w:left="1984" w:right="3769"/>
      </w:pPr>
      <w:r>
        <w:rPr>
          <w:w w:val="120"/>
        </w:rPr>
        <w:t>Convener of the Assembly commission: The Revd David Skitt Secretary of the Assembly commission: Mrs Gwen Jennings</w:t>
      </w:r>
    </w:p>
    <w:p>
      <w:pPr>
        <w:pStyle w:val="BodyText"/>
        <w:spacing w:line="235" w:lineRule="auto"/>
        <w:ind w:left="1984" w:right="1352"/>
      </w:pPr>
      <w:r>
        <w:rPr>
          <w:w w:val="120"/>
        </w:rPr>
        <w:t>Convener of the review commission of the incapacity procedure: Mr Donald Swift Secretary of the review commission of the incapacity procedure: The Revd Ray Adams Consultant for ministers and CRCWs:</w:t>
      </w:r>
    </w:p>
    <w:p>
      <w:pPr>
        <w:pStyle w:val="BodyText"/>
        <w:spacing w:line="240" w:lineRule="exact"/>
        <w:ind w:left="1984"/>
      </w:pPr>
      <w:r>
        <w:rPr>
          <w:w w:val="120"/>
        </w:rPr>
        <w:t>Consultant for mandated groups: The Revd Alison Davis</w:t>
      </w:r>
    </w:p>
    <w:p>
      <w:pPr>
        <w:pStyle w:val="BodyText"/>
        <w:tabs>
          <w:tab w:pos="6304" w:val="left" w:leader="none"/>
        </w:tabs>
        <w:spacing w:line="235" w:lineRule="auto"/>
        <w:ind w:left="1984" w:right="2586"/>
      </w:pPr>
      <w:r>
        <w:rPr>
          <w:w w:val="120"/>
        </w:rPr>
        <w:t>Training coordinator: Mr</w:t>
      </w:r>
      <w:r>
        <w:rPr>
          <w:spacing w:val="-6"/>
          <w:w w:val="120"/>
        </w:rPr>
        <w:t> </w:t>
      </w:r>
      <w:r>
        <w:rPr>
          <w:w w:val="120"/>
        </w:rPr>
        <w:t>Keith</w:t>
      </w:r>
      <w:r>
        <w:rPr>
          <w:spacing w:val="-2"/>
          <w:w w:val="120"/>
        </w:rPr>
        <w:t> </w:t>
      </w:r>
      <w:r>
        <w:rPr>
          <w:w w:val="120"/>
        </w:rPr>
        <w:t>Webster</w:t>
        <w:tab/>
        <w:t>Co-opted: Mr Hartley Oldham General secretary, Clerk to Assembly, Secretary for ministries, legal</w:t>
      </w:r>
      <w:r>
        <w:rPr>
          <w:spacing w:val="10"/>
          <w:w w:val="120"/>
        </w:rPr>
        <w:t> </w:t>
      </w:r>
      <w:r>
        <w:rPr>
          <w:w w:val="120"/>
        </w:rPr>
        <w:t>adviser</w:t>
      </w:r>
    </w:p>
    <w:p>
      <w:pPr>
        <w:pStyle w:val="BodyText"/>
        <w:spacing w:before="1"/>
        <w:rPr>
          <w:sz w:val="19"/>
        </w:rPr>
      </w:pPr>
    </w:p>
    <w:p>
      <w:pPr>
        <w:pStyle w:val="ListParagraph"/>
        <w:numPr>
          <w:ilvl w:val="1"/>
          <w:numId w:val="82"/>
        </w:numPr>
        <w:tabs>
          <w:tab w:pos="2664" w:val="left" w:leader="none"/>
          <w:tab w:pos="2665" w:val="left" w:leader="none"/>
        </w:tabs>
        <w:spacing w:line="230" w:lineRule="auto" w:before="0" w:after="0"/>
        <w:ind w:left="1984" w:right="5983" w:firstLine="0"/>
        <w:jc w:val="left"/>
        <w:rPr>
          <w:rFonts w:ascii="Stone Sans II ITC Std Bk"/>
          <w:sz w:val="20"/>
        </w:rPr>
      </w:pPr>
      <w:r>
        <w:rPr>
          <w:rFonts w:ascii="Stone Sans II ITC Std Bk"/>
          <w:b/>
          <w:w w:val="120"/>
          <w:sz w:val="20"/>
        </w:rPr>
        <w:t>Resource</w:t>
      </w:r>
      <w:r>
        <w:rPr>
          <w:rFonts w:ascii="Stone Sans II ITC Std Bk"/>
          <w:b/>
          <w:spacing w:val="-43"/>
          <w:w w:val="120"/>
          <w:sz w:val="20"/>
        </w:rPr>
        <w:t> </w:t>
      </w:r>
      <w:r>
        <w:rPr>
          <w:rFonts w:ascii="Stone Sans II ITC Std Bk"/>
          <w:b/>
          <w:w w:val="120"/>
          <w:sz w:val="20"/>
        </w:rPr>
        <w:t>sharing</w:t>
      </w:r>
      <w:r>
        <w:rPr>
          <w:rFonts w:ascii="Stone Sans II ITC Std Bk"/>
          <w:b/>
          <w:spacing w:val="-42"/>
          <w:w w:val="120"/>
          <w:sz w:val="20"/>
        </w:rPr>
        <w:t> </w:t>
      </w:r>
      <w:r>
        <w:rPr>
          <w:rFonts w:ascii="Stone Sans II ITC Std Bk"/>
          <w:b/>
          <w:w w:val="120"/>
          <w:sz w:val="20"/>
        </w:rPr>
        <w:t>task</w:t>
      </w:r>
      <w:r>
        <w:rPr>
          <w:rFonts w:ascii="Stone Sans II ITC Std Bk"/>
          <w:b/>
          <w:spacing w:val="-42"/>
          <w:w w:val="120"/>
          <w:sz w:val="20"/>
        </w:rPr>
        <w:t> </w:t>
      </w:r>
      <w:r>
        <w:rPr>
          <w:rFonts w:ascii="Stone Sans II ITC Std Bk"/>
          <w:b/>
          <w:w w:val="120"/>
          <w:sz w:val="20"/>
        </w:rPr>
        <w:t>group </w:t>
      </w:r>
      <w:r>
        <w:rPr>
          <w:w w:val="120"/>
          <w:sz w:val="20"/>
        </w:rPr>
        <w:t>Convener: The Revd Paul Whittle </w:t>
      </w:r>
      <w:r>
        <w:rPr>
          <w:spacing w:val="-8"/>
          <w:w w:val="120"/>
          <w:sz w:val="20"/>
        </w:rPr>
        <w:t>[2017] </w:t>
      </w:r>
      <w:r>
        <w:rPr>
          <w:w w:val="120"/>
          <w:sz w:val="20"/>
        </w:rPr>
        <w:t>Secretary: Mr Chris</w:t>
      </w:r>
      <w:r>
        <w:rPr>
          <w:spacing w:val="6"/>
          <w:w w:val="120"/>
          <w:sz w:val="20"/>
        </w:rPr>
        <w:t> </w:t>
      </w:r>
      <w:r>
        <w:rPr>
          <w:w w:val="120"/>
          <w:sz w:val="20"/>
        </w:rPr>
        <w:t>Allerton</w:t>
      </w:r>
    </w:p>
    <w:p>
      <w:pPr>
        <w:pStyle w:val="BodyText"/>
        <w:spacing w:line="238" w:lineRule="exact"/>
        <w:ind w:left="1984"/>
      </w:pPr>
      <w:r>
        <w:rPr>
          <w:w w:val="120"/>
        </w:rPr>
        <w:t>Treasurer: The Revd Dick Gray</w:t>
      </w:r>
    </w:p>
    <w:p>
      <w:pPr>
        <w:pStyle w:val="BodyText"/>
        <w:tabs>
          <w:tab w:pos="5584" w:val="left" w:leader="none"/>
        </w:tabs>
        <w:spacing w:line="240" w:lineRule="exact"/>
        <w:ind w:left="1984"/>
      </w:pPr>
      <w:r>
        <w:rPr>
          <w:w w:val="120"/>
        </w:rPr>
        <w:t>Miss</w:t>
      </w:r>
      <w:r>
        <w:rPr>
          <w:spacing w:val="-8"/>
          <w:w w:val="120"/>
        </w:rPr>
        <w:t> </w:t>
      </w:r>
      <w:r>
        <w:rPr>
          <w:w w:val="120"/>
        </w:rPr>
        <w:t>Margaret</w:t>
      </w:r>
      <w:r>
        <w:rPr>
          <w:spacing w:val="-7"/>
          <w:w w:val="120"/>
        </w:rPr>
        <w:t> </w:t>
      </w:r>
      <w:r>
        <w:rPr>
          <w:w w:val="120"/>
        </w:rPr>
        <w:t>Atkinson</w:t>
        <w:tab/>
        <w:t>Mr Mike</w:t>
      </w:r>
      <w:r>
        <w:rPr>
          <w:spacing w:val="4"/>
          <w:w w:val="120"/>
        </w:rPr>
        <w:t> </w:t>
      </w:r>
      <w:r>
        <w:rPr>
          <w:w w:val="120"/>
        </w:rPr>
        <w:t>Gould</w:t>
      </w:r>
    </w:p>
    <w:p>
      <w:pPr>
        <w:tabs>
          <w:tab w:pos="5584" w:val="left" w:leader="none"/>
        </w:tabs>
        <w:spacing w:line="242" w:lineRule="exact" w:before="0"/>
        <w:ind w:left="1984" w:right="0" w:firstLine="0"/>
        <w:jc w:val="left"/>
        <w:rPr>
          <w:sz w:val="20"/>
        </w:rPr>
      </w:pPr>
      <w:r>
        <w:rPr>
          <w:w w:val="115"/>
          <w:sz w:val="20"/>
        </w:rPr>
        <w:t>Mrs</w:t>
      </w:r>
      <w:r>
        <w:rPr>
          <w:spacing w:val="13"/>
          <w:w w:val="115"/>
          <w:sz w:val="20"/>
        </w:rPr>
        <w:t> </w:t>
      </w:r>
      <w:r>
        <w:rPr>
          <w:w w:val="115"/>
          <w:sz w:val="20"/>
        </w:rPr>
        <w:t>Rachel</w:t>
      </w:r>
      <w:r>
        <w:rPr>
          <w:spacing w:val="13"/>
          <w:w w:val="115"/>
          <w:sz w:val="20"/>
        </w:rPr>
        <w:t> </w:t>
      </w:r>
      <w:r>
        <w:rPr>
          <w:w w:val="115"/>
          <w:sz w:val="20"/>
        </w:rPr>
        <w:t>Wakeman</w:t>
        <w:tab/>
      </w:r>
      <w:r>
        <w:rPr>
          <w:spacing w:val="-3"/>
          <w:w w:val="115"/>
          <w:sz w:val="20"/>
        </w:rPr>
        <w:t>[</w:t>
      </w:r>
      <w:r>
        <w:rPr>
          <w:i/>
          <w:spacing w:val="-3"/>
          <w:w w:val="115"/>
          <w:sz w:val="20"/>
        </w:rPr>
        <w:t>ex </w:t>
      </w:r>
      <w:r>
        <w:rPr>
          <w:i/>
          <w:w w:val="115"/>
          <w:sz w:val="20"/>
        </w:rPr>
        <w:t>officio: </w:t>
      </w:r>
      <w:r>
        <w:rPr>
          <w:spacing w:val="2"/>
          <w:w w:val="115"/>
          <w:sz w:val="20"/>
        </w:rPr>
        <w:t>Honorary</w:t>
      </w:r>
      <w:r>
        <w:rPr>
          <w:spacing w:val="11"/>
          <w:w w:val="115"/>
          <w:sz w:val="20"/>
        </w:rPr>
        <w:t> </w:t>
      </w:r>
      <w:r>
        <w:rPr>
          <w:w w:val="115"/>
          <w:sz w:val="20"/>
        </w:rPr>
        <w:t>treasurer]</w:t>
      </w:r>
    </w:p>
    <w:p>
      <w:pPr>
        <w:pStyle w:val="BodyText"/>
        <w:spacing w:before="3"/>
        <w:rPr>
          <w:sz w:val="18"/>
        </w:rPr>
      </w:pPr>
    </w:p>
    <w:p>
      <w:pPr>
        <w:pStyle w:val="ListParagraph"/>
        <w:numPr>
          <w:ilvl w:val="1"/>
          <w:numId w:val="82"/>
        </w:numPr>
        <w:tabs>
          <w:tab w:pos="2664" w:val="left" w:leader="none"/>
          <w:tab w:pos="2665" w:val="left" w:leader="none"/>
        </w:tabs>
        <w:spacing w:line="261" w:lineRule="exact" w:before="1" w:after="0"/>
        <w:ind w:left="2664" w:right="0" w:hanging="681"/>
        <w:jc w:val="left"/>
        <w:rPr>
          <w:rFonts w:ascii="Stone Sans II ITC Std Sm"/>
          <w:b/>
          <w:sz w:val="20"/>
        </w:rPr>
      </w:pPr>
      <w:r>
        <w:rPr>
          <w:rFonts w:ascii="Stone Sans II ITC Std Sm"/>
          <w:b/>
          <w:w w:val="110"/>
          <w:sz w:val="20"/>
        </w:rPr>
        <w:t>Human sexuality task</w:t>
      </w:r>
      <w:r>
        <w:rPr>
          <w:rFonts w:ascii="Stone Sans II ITC Std Sm"/>
          <w:b/>
          <w:spacing w:val="-1"/>
          <w:w w:val="110"/>
          <w:sz w:val="20"/>
        </w:rPr>
        <w:t> </w:t>
      </w:r>
      <w:r>
        <w:rPr>
          <w:rFonts w:ascii="Stone Sans II ITC Std Sm"/>
          <w:b/>
          <w:w w:val="110"/>
          <w:sz w:val="20"/>
        </w:rPr>
        <w:t>group</w:t>
      </w:r>
    </w:p>
    <w:p>
      <w:pPr>
        <w:pStyle w:val="BodyText"/>
        <w:spacing w:line="233" w:lineRule="exact"/>
        <w:ind w:left="1984"/>
      </w:pPr>
      <w:r>
        <w:rPr>
          <w:w w:val="120"/>
        </w:rPr>
        <w:t>Convener: The Revd Elizabeth Caswell</w:t>
      </w:r>
    </w:p>
    <w:p>
      <w:pPr>
        <w:pStyle w:val="BodyText"/>
        <w:tabs>
          <w:tab w:pos="5584" w:val="left" w:leader="none"/>
        </w:tabs>
        <w:spacing w:line="240" w:lineRule="exact"/>
        <w:ind w:left="1984"/>
      </w:pPr>
      <w:r>
        <w:rPr>
          <w:w w:val="120"/>
        </w:rPr>
        <w:t>Dr</w:t>
      </w:r>
      <w:r>
        <w:rPr>
          <w:spacing w:val="8"/>
          <w:w w:val="120"/>
        </w:rPr>
        <w:t> </w:t>
      </w:r>
      <w:r>
        <w:rPr>
          <w:w w:val="120"/>
        </w:rPr>
        <w:t>Jacob</w:t>
      </w:r>
      <w:r>
        <w:rPr>
          <w:spacing w:val="8"/>
          <w:w w:val="120"/>
        </w:rPr>
        <w:t> </w:t>
      </w:r>
      <w:r>
        <w:rPr>
          <w:w w:val="120"/>
        </w:rPr>
        <w:t>Addo</w:t>
        <w:tab/>
        <w:t>Ms Karen</w:t>
      </w:r>
      <w:r>
        <w:rPr>
          <w:spacing w:val="4"/>
          <w:w w:val="120"/>
        </w:rPr>
        <w:t> </w:t>
      </w:r>
      <w:r>
        <w:rPr>
          <w:w w:val="120"/>
        </w:rPr>
        <w:t>Campbell</w:t>
      </w:r>
    </w:p>
    <w:p>
      <w:pPr>
        <w:pStyle w:val="BodyText"/>
        <w:tabs>
          <w:tab w:pos="5584" w:val="left" w:leader="none"/>
        </w:tabs>
        <w:spacing w:line="240" w:lineRule="exact"/>
        <w:ind w:left="1984"/>
      </w:pPr>
      <w:r>
        <w:rPr>
          <w:w w:val="120"/>
        </w:rPr>
        <w:t>The Revd</w:t>
      </w:r>
      <w:r>
        <w:rPr>
          <w:spacing w:val="1"/>
          <w:w w:val="120"/>
        </w:rPr>
        <w:t> </w:t>
      </w:r>
      <w:r>
        <w:rPr>
          <w:w w:val="120"/>
        </w:rPr>
        <w:t>John Hardaker</w:t>
        <w:tab/>
        <w:t>Mrs Val</w:t>
      </w:r>
      <w:r>
        <w:rPr>
          <w:spacing w:val="4"/>
          <w:w w:val="120"/>
        </w:rPr>
        <w:t> </w:t>
      </w:r>
      <w:r>
        <w:rPr>
          <w:w w:val="120"/>
        </w:rPr>
        <w:t>Morrison</w:t>
      </w:r>
    </w:p>
    <w:p>
      <w:pPr>
        <w:pStyle w:val="BodyText"/>
        <w:tabs>
          <w:tab w:pos="5584" w:val="left" w:leader="none"/>
        </w:tabs>
        <w:spacing w:line="242" w:lineRule="exact"/>
        <w:ind w:left="1984"/>
      </w:pPr>
      <w:r>
        <w:rPr>
          <w:w w:val="120"/>
        </w:rPr>
        <w:t>The Revd</w:t>
      </w:r>
      <w:r>
        <w:rPr>
          <w:spacing w:val="9"/>
          <w:w w:val="120"/>
        </w:rPr>
        <w:t> </w:t>
      </w:r>
      <w:r>
        <w:rPr>
          <w:w w:val="120"/>
        </w:rPr>
        <w:t>Neil</w:t>
      </w:r>
      <w:r>
        <w:rPr>
          <w:spacing w:val="5"/>
          <w:w w:val="120"/>
        </w:rPr>
        <w:t> </w:t>
      </w:r>
      <w:r>
        <w:rPr>
          <w:w w:val="120"/>
        </w:rPr>
        <w:t>Riches</w:t>
        <w:tab/>
        <w:t>The Revd Justine</w:t>
      </w:r>
      <w:r>
        <w:rPr>
          <w:spacing w:val="5"/>
          <w:w w:val="120"/>
        </w:rPr>
        <w:t> </w:t>
      </w:r>
      <w:r>
        <w:rPr>
          <w:w w:val="120"/>
        </w:rPr>
        <w:t>Wyatt</w:t>
      </w:r>
    </w:p>
    <w:p>
      <w:pPr>
        <w:pStyle w:val="BodyText"/>
        <w:spacing w:before="3"/>
        <w:rPr>
          <w:sz w:val="18"/>
        </w:rPr>
      </w:pPr>
    </w:p>
    <w:p>
      <w:pPr>
        <w:pStyle w:val="Heading9"/>
        <w:numPr>
          <w:ilvl w:val="1"/>
          <w:numId w:val="82"/>
        </w:numPr>
        <w:tabs>
          <w:tab w:pos="2664" w:val="left" w:leader="none"/>
          <w:tab w:pos="2665" w:val="left" w:leader="none"/>
        </w:tabs>
        <w:spacing w:line="261" w:lineRule="exact" w:before="0" w:after="0"/>
        <w:ind w:left="2664" w:right="0" w:hanging="681"/>
        <w:jc w:val="left"/>
      </w:pPr>
      <w:r>
        <w:rPr>
          <w:w w:val="110"/>
        </w:rPr>
        <w:t>Medium term strategy</w:t>
      </w:r>
      <w:r>
        <w:rPr>
          <w:spacing w:val="-1"/>
          <w:w w:val="110"/>
        </w:rPr>
        <w:t> </w:t>
      </w:r>
      <w:r>
        <w:rPr>
          <w:w w:val="110"/>
        </w:rPr>
        <w:t>group</w:t>
      </w:r>
    </w:p>
    <w:p>
      <w:pPr>
        <w:pStyle w:val="BodyText"/>
        <w:tabs>
          <w:tab w:pos="5584" w:val="left" w:leader="none"/>
        </w:tabs>
        <w:spacing w:line="235" w:lineRule="auto"/>
        <w:ind w:left="1984" w:right="4439"/>
      </w:pPr>
      <w:r>
        <w:rPr>
          <w:w w:val="120"/>
        </w:rPr>
        <w:t>General</w:t>
      </w:r>
      <w:r>
        <w:rPr>
          <w:spacing w:val="1"/>
          <w:w w:val="120"/>
        </w:rPr>
        <w:t> </w:t>
      </w:r>
      <w:r>
        <w:rPr>
          <w:w w:val="120"/>
        </w:rPr>
        <w:t>secretary</w:t>
        <w:tab/>
      </w:r>
      <w:r>
        <w:rPr>
          <w:spacing w:val="2"/>
          <w:w w:val="120"/>
        </w:rPr>
        <w:t>Honorary </w:t>
      </w:r>
      <w:r>
        <w:rPr>
          <w:spacing w:val="-3"/>
          <w:w w:val="120"/>
        </w:rPr>
        <w:t>treasurer </w:t>
      </w:r>
      <w:r>
        <w:rPr>
          <w:w w:val="120"/>
        </w:rPr>
        <w:t>Ms Linda</w:t>
      </w:r>
      <w:r>
        <w:rPr>
          <w:spacing w:val="3"/>
          <w:w w:val="120"/>
        </w:rPr>
        <w:t> </w:t>
      </w:r>
      <w:r>
        <w:rPr>
          <w:w w:val="120"/>
        </w:rPr>
        <w:t>Austin</w:t>
      </w:r>
    </w:p>
    <w:p>
      <w:pPr>
        <w:pStyle w:val="BodyText"/>
        <w:rPr>
          <w:sz w:val="18"/>
        </w:rPr>
      </w:pPr>
    </w:p>
    <w:p>
      <w:pPr>
        <w:pStyle w:val="Heading9"/>
        <w:numPr>
          <w:ilvl w:val="1"/>
          <w:numId w:val="82"/>
        </w:numPr>
        <w:tabs>
          <w:tab w:pos="2664" w:val="left" w:leader="none"/>
          <w:tab w:pos="2665" w:val="left" w:leader="none"/>
        </w:tabs>
        <w:spacing w:line="261" w:lineRule="exact" w:before="0" w:after="0"/>
        <w:ind w:left="2664" w:right="0" w:hanging="681"/>
        <w:jc w:val="left"/>
      </w:pPr>
      <w:r>
        <w:rPr>
          <w:w w:val="110"/>
        </w:rPr>
        <w:t>The Church’s engagement with </w:t>
      </w:r>
      <w:r>
        <w:rPr>
          <w:spacing w:val="4"/>
          <w:w w:val="110"/>
        </w:rPr>
        <w:t>20-40 </w:t>
      </w:r>
      <w:r>
        <w:rPr>
          <w:w w:val="110"/>
        </w:rPr>
        <w:t>year olds task</w:t>
      </w:r>
      <w:r>
        <w:rPr>
          <w:spacing w:val="-7"/>
          <w:w w:val="110"/>
        </w:rPr>
        <w:t> </w:t>
      </w:r>
      <w:r>
        <w:rPr>
          <w:w w:val="110"/>
        </w:rPr>
        <w:t>group</w:t>
      </w:r>
    </w:p>
    <w:p>
      <w:pPr>
        <w:pStyle w:val="BodyText"/>
        <w:tabs>
          <w:tab w:pos="5584" w:val="left" w:leader="none"/>
        </w:tabs>
        <w:spacing w:line="233" w:lineRule="exact"/>
        <w:ind w:left="1984"/>
      </w:pPr>
      <w:r>
        <w:rPr>
          <w:w w:val="125"/>
        </w:rPr>
        <w:t>Mr</w:t>
      </w:r>
      <w:r>
        <w:rPr>
          <w:spacing w:val="-20"/>
          <w:w w:val="125"/>
        </w:rPr>
        <w:t> </w:t>
      </w:r>
      <w:r>
        <w:rPr>
          <w:w w:val="125"/>
        </w:rPr>
        <w:t>Stewart</w:t>
      </w:r>
      <w:r>
        <w:rPr>
          <w:spacing w:val="-19"/>
          <w:w w:val="125"/>
        </w:rPr>
        <w:t> </w:t>
      </w:r>
      <w:r>
        <w:rPr>
          <w:w w:val="125"/>
        </w:rPr>
        <w:t>Cutler</w:t>
        <w:tab/>
        <w:t>The Revd David</w:t>
      </w:r>
      <w:r>
        <w:rPr>
          <w:spacing w:val="-2"/>
          <w:w w:val="125"/>
        </w:rPr>
        <w:t> </w:t>
      </w:r>
      <w:r>
        <w:rPr>
          <w:w w:val="125"/>
        </w:rPr>
        <w:t>Downing</w:t>
      </w:r>
    </w:p>
    <w:p>
      <w:pPr>
        <w:pStyle w:val="BodyText"/>
        <w:tabs>
          <w:tab w:pos="5584" w:val="left" w:leader="none"/>
        </w:tabs>
        <w:spacing w:line="240" w:lineRule="exact"/>
        <w:ind w:left="1984"/>
      </w:pPr>
      <w:r>
        <w:rPr>
          <w:w w:val="120"/>
        </w:rPr>
        <w:t>Ms</w:t>
      </w:r>
      <w:r>
        <w:rPr>
          <w:spacing w:val="1"/>
          <w:w w:val="120"/>
        </w:rPr>
        <w:t> </w:t>
      </w:r>
      <w:r>
        <w:rPr>
          <w:w w:val="120"/>
        </w:rPr>
        <w:t>Sabrina</w:t>
      </w:r>
      <w:r>
        <w:rPr>
          <w:spacing w:val="2"/>
          <w:w w:val="120"/>
        </w:rPr>
        <w:t> </w:t>
      </w:r>
      <w:r>
        <w:rPr>
          <w:w w:val="120"/>
        </w:rPr>
        <w:t>Groeschel</w:t>
        <w:tab/>
        <w:t>Ms Victoria</w:t>
      </w:r>
      <w:r>
        <w:rPr>
          <w:spacing w:val="4"/>
          <w:w w:val="120"/>
        </w:rPr>
        <w:t> </w:t>
      </w:r>
      <w:r>
        <w:rPr>
          <w:w w:val="120"/>
        </w:rPr>
        <w:t>Paulding</w:t>
      </w:r>
    </w:p>
    <w:p>
      <w:pPr>
        <w:pStyle w:val="BodyText"/>
        <w:tabs>
          <w:tab w:pos="5584" w:val="left" w:leader="none"/>
        </w:tabs>
        <w:spacing w:line="235" w:lineRule="auto" w:before="2"/>
        <w:ind w:left="1984" w:right="4235"/>
      </w:pPr>
      <w:r>
        <w:rPr>
          <w:w w:val="120"/>
        </w:rPr>
        <w:t>Ms</w:t>
      </w:r>
      <w:r>
        <w:rPr>
          <w:spacing w:val="1"/>
          <w:w w:val="120"/>
        </w:rPr>
        <w:t> </w:t>
      </w:r>
      <w:r>
        <w:rPr>
          <w:w w:val="120"/>
        </w:rPr>
        <w:t>Emma</w:t>
      </w:r>
      <w:r>
        <w:rPr>
          <w:spacing w:val="2"/>
          <w:w w:val="120"/>
        </w:rPr>
        <w:t> </w:t>
      </w:r>
      <w:r>
        <w:rPr>
          <w:w w:val="120"/>
        </w:rPr>
        <w:t>Pugh</w:t>
        <w:tab/>
        <w:t>The Revd Mike</w:t>
      </w:r>
      <w:r>
        <w:rPr>
          <w:spacing w:val="-23"/>
          <w:w w:val="120"/>
        </w:rPr>
        <w:t> </w:t>
      </w:r>
      <w:r>
        <w:rPr>
          <w:w w:val="120"/>
        </w:rPr>
        <w:t>Walsh General</w:t>
      </w:r>
      <w:r>
        <w:rPr>
          <w:spacing w:val="2"/>
          <w:w w:val="120"/>
        </w:rPr>
        <w:t> </w:t>
      </w:r>
      <w:r>
        <w:rPr>
          <w:w w:val="120"/>
        </w:rPr>
        <w:t>Secretary</w:t>
      </w:r>
    </w:p>
    <w:p>
      <w:pPr>
        <w:pStyle w:val="BodyText"/>
        <w:spacing w:before="5"/>
        <w:rPr>
          <w:sz w:val="18"/>
        </w:rPr>
      </w:pPr>
    </w:p>
    <w:p>
      <w:pPr>
        <w:pStyle w:val="Heading9"/>
        <w:numPr>
          <w:ilvl w:val="1"/>
          <w:numId w:val="82"/>
        </w:numPr>
        <w:tabs>
          <w:tab w:pos="2664" w:val="left" w:leader="none"/>
          <w:tab w:pos="2665" w:val="left" w:leader="none"/>
        </w:tabs>
        <w:spacing w:line="261" w:lineRule="exact" w:before="1" w:after="0"/>
        <w:ind w:left="2664" w:right="0" w:hanging="681"/>
        <w:jc w:val="left"/>
      </w:pPr>
      <w:r>
        <w:rPr>
          <w:w w:val="110"/>
        </w:rPr>
        <w:t>National synods task</w:t>
      </w:r>
      <w:r>
        <w:rPr>
          <w:spacing w:val="-1"/>
          <w:w w:val="110"/>
        </w:rPr>
        <w:t> </w:t>
      </w:r>
      <w:r>
        <w:rPr>
          <w:w w:val="110"/>
        </w:rPr>
        <w:t>group</w:t>
      </w:r>
    </w:p>
    <w:p>
      <w:pPr>
        <w:pStyle w:val="BodyText"/>
        <w:spacing w:line="233" w:lineRule="exact"/>
        <w:ind w:left="1984"/>
      </w:pPr>
      <w:r>
        <w:rPr>
          <w:w w:val="120"/>
        </w:rPr>
        <w:t>Chair: The Revd Dr Michael Jagessar</w:t>
      </w:r>
    </w:p>
    <w:p>
      <w:pPr>
        <w:pStyle w:val="BodyText"/>
        <w:tabs>
          <w:tab w:pos="5584" w:val="left" w:leader="none"/>
        </w:tabs>
        <w:spacing w:line="235" w:lineRule="auto" w:before="1"/>
        <w:ind w:left="1984" w:right="3818"/>
      </w:pPr>
      <w:r>
        <w:rPr>
          <w:w w:val="120"/>
        </w:rPr>
        <w:t>Scotland: Dr</w:t>
      </w:r>
      <w:r>
        <w:rPr>
          <w:spacing w:val="-3"/>
          <w:w w:val="120"/>
        </w:rPr>
        <w:t> </w:t>
      </w:r>
      <w:r>
        <w:rPr>
          <w:w w:val="120"/>
        </w:rPr>
        <w:t>Jim</w:t>
      </w:r>
      <w:r>
        <w:rPr>
          <w:spacing w:val="-1"/>
          <w:w w:val="120"/>
        </w:rPr>
        <w:t> </w:t>
      </w:r>
      <w:r>
        <w:rPr>
          <w:w w:val="120"/>
        </w:rPr>
        <w:t>Merrilees</w:t>
        <w:tab/>
        <w:t>The Revd Jack Dyce Wales: The Revd</w:t>
      </w:r>
      <w:r>
        <w:rPr>
          <w:spacing w:val="-4"/>
          <w:w w:val="120"/>
        </w:rPr>
        <w:t> </w:t>
      </w:r>
      <w:r>
        <w:rPr>
          <w:w w:val="120"/>
        </w:rPr>
        <w:t>Gethin</w:t>
      </w:r>
      <w:r>
        <w:rPr>
          <w:spacing w:val="-2"/>
          <w:w w:val="120"/>
        </w:rPr>
        <w:t> </w:t>
      </w:r>
      <w:r>
        <w:rPr>
          <w:w w:val="120"/>
        </w:rPr>
        <w:t>Rhys</w:t>
        <w:tab/>
        <w:t>The Revd Shelagh Pollard England:</w:t>
      </w:r>
      <w:r>
        <w:rPr>
          <w:spacing w:val="11"/>
          <w:w w:val="120"/>
        </w:rPr>
        <w:t> </w:t>
      </w:r>
      <w:r>
        <w:rPr>
          <w:w w:val="120"/>
        </w:rPr>
        <w:t>Simon</w:t>
      </w:r>
      <w:r>
        <w:rPr>
          <w:spacing w:val="11"/>
          <w:w w:val="120"/>
        </w:rPr>
        <w:t> </w:t>
      </w:r>
      <w:r>
        <w:rPr>
          <w:w w:val="120"/>
        </w:rPr>
        <w:t>Fairnington</w:t>
        <w:tab/>
        <w:t>Mrs Sarah</w:t>
      </w:r>
      <w:r>
        <w:rPr>
          <w:spacing w:val="1"/>
          <w:w w:val="120"/>
        </w:rPr>
        <w:t> </w:t>
      </w:r>
      <w:r>
        <w:rPr>
          <w:spacing w:val="2"/>
          <w:w w:val="120"/>
        </w:rPr>
        <w:t>Lane-Cawte</w:t>
      </w:r>
    </w:p>
    <w:p>
      <w:pPr>
        <w:pStyle w:val="BodyText"/>
        <w:tabs>
          <w:tab w:pos="5584" w:val="left" w:leader="none"/>
        </w:tabs>
        <w:spacing w:line="240" w:lineRule="exact"/>
        <w:ind w:left="1984"/>
      </w:pPr>
      <w:r>
        <w:rPr>
          <w:w w:val="120"/>
        </w:rPr>
        <w:t>Law and polity</w:t>
      </w:r>
      <w:r>
        <w:rPr>
          <w:spacing w:val="40"/>
          <w:w w:val="120"/>
        </w:rPr>
        <w:t> </w:t>
      </w:r>
      <w:r>
        <w:rPr>
          <w:w w:val="120"/>
        </w:rPr>
        <w:t>advisory</w:t>
      </w:r>
      <w:r>
        <w:rPr>
          <w:spacing w:val="13"/>
          <w:w w:val="120"/>
        </w:rPr>
        <w:t> </w:t>
      </w:r>
      <w:r>
        <w:rPr>
          <w:w w:val="120"/>
        </w:rPr>
        <w:t>group:</w:t>
        <w:tab/>
        <w:t>The Revd Prof David</w:t>
      </w:r>
      <w:r>
        <w:rPr>
          <w:spacing w:val="11"/>
          <w:w w:val="120"/>
        </w:rPr>
        <w:t> </w:t>
      </w:r>
      <w:r>
        <w:rPr>
          <w:w w:val="120"/>
        </w:rPr>
        <w:t>Thompson</w:t>
      </w:r>
    </w:p>
    <w:p>
      <w:pPr>
        <w:pStyle w:val="BodyText"/>
        <w:spacing w:line="242" w:lineRule="exact"/>
        <w:ind w:left="5584"/>
      </w:pPr>
      <w:r>
        <w:rPr>
          <w:w w:val="120"/>
        </w:rPr>
        <w:t>Dr Augur Pearce</w:t>
      </w:r>
    </w:p>
    <w:p>
      <w:pPr>
        <w:pStyle w:val="BodyText"/>
        <w:spacing w:before="2"/>
      </w:pPr>
    </w:p>
    <w:p>
      <w:pPr>
        <w:pStyle w:val="Heading9"/>
        <w:numPr>
          <w:ilvl w:val="1"/>
          <w:numId w:val="82"/>
        </w:numPr>
        <w:tabs>
          <w:tab w:pos="2664" w:val="left" w:leader="none"/>
          <w:tab w:pos="2665" w:val="left" w:leader="none"/>
        </w:tabs>
        <w:spacing w:line="213" w:lineRule="auto" w:before="0" w:after="0"/>
        <w:ind w:left="2664" w:right="2392" w:hanging="681"/>
        <w:jc w:val="left"/>
      </w:pPr>
      <w:r>
        <w:rPr>
          <w:w w:val="110"/>
        </w:rPr>
        <w:t>Methodist/United Reformed Church strategic oversight group – faith and order</w:t>
      </w:r>
      <w:r>
        <w:rPr>
          <w:spacing w:val="-1"/>
          <w:w w:val="110"/>
        </w:rPr>
        <w:t> </w:t>
      </w:r>
      <w:r>
        <w:rPr>
          <w:w w:val="110"/>
        </w:rPr>
        <w:t>conversations</w:t>
      </w:r>
    </w:p>
    <w:p>
      <w:pPr>
        <w:pStyle w:val="BodyText"/>
        <w:tabs>
          <w:tab w:pos="5584" w:val="left" w:leader="none"/>
        </w:tabs>
        <w:spacing w:line="235" w:lineRule="auto"/>
        <w:ind w:left="1984" w:right="4154"/>
      </w:pPr>
      <w:r>
        <w:rPr>
          <w:w w:val="120"/>
        </w:rPr>
        <w:t>The Revd</w:t>
      </w:r>
      <w:r>
        <w:rPr>
          <w:spacing w:val="2"/>
          <w:w w:val="120"/>
        </w:rPr>
        <w:t> </w:t>
      </w:r>
      <w:r>
        <w:rPr>
          <w:w w:val="120"/>
        </w:rPr>
        <w:t>Sarah</w:t>
      </w:r>
      <w:r>
        <w:rPr>
          <w:spacing w:val="2"/>
          <w:w w:val="120"/>
        </w:rPr>
        <w:t> </w:t>
      </w:r>
      <w:r>
        <w:rPr>
          <w:w w:val="120"/>
        </w:rPr>
        <w:t>Moore</w:t>
        <w:tab/>
        <w:t>The Revd Paul Whittle The Revd Dr Stephen</w:t>
      </w:r>
      <w:r>
        <w:rPr>
          <w:spacing w:val="11"/>
          <w:w w:val="120"/>
        </w:rPr>
        <w:t> </w:t>
      </w:r>
      <w:r>
        <w:rPr>
          <w:w w:val="120"/>
        </w:rPr>
        <w:t>Orchard</w:t>
      </w:r>
    </w:p>
    <w:p>
      <w:pPr>
        <w:pStyle w:val="Heading4"/>
        <w:numPr>
          <w:ilvl w:val="0"/>
          <w:numId w:val="82"/>
        </w:numPr>
        <w:tabs>
          <w:tab w:pos="2664" w:val="left" w:leader="none"/>
          <w:tab w:pos="2665" w:val="left" w:leader="none"/>
        </w:tabs>
        <w:spacing w:line="240" w:lineRule="auto" w:before="206" w:after="0"/>
        <w:ind w:left="2664" w:right="0" w:hanging="681"/>
        <w:jc w:val="left"/>
      </w:pPr>
      <w:r>
        <w:rPr>
          <w:spacing w:val="3"/>
          <w:w w:val="110"/>
        </w:rPr>
        <w:t>Mission</w:t>
      </w:r>
      <w:r>
        <w:rPr>
          <w:spacing w:val="12"/>
          <w:w w:val="110"/>
        </w:rPr>
        <w:t> </w:t>
      </w:r>
      <w:r>
        <w:rPr>
          <w:spacing w:val="4"/>
          <w:w w:val="110"/>
        </w:rPr>
        <w:t>department</w:t>
      </w:r>
    </w:p>
    <w:p>
      <w:pPr>
        <w:pStyle w:val="Heading9"/>
        <w:numPr>
          <w:ilvl w:val="1"/>
          <w:numId w:val="82"/>
        </w:numPr>
        <w:tabs>
          <w:tab w:pos="2664" w:val="left" w:leader="none"/>
          <w:tab w:pos="2665" w:val="left" w:leader="none"/>
        </w:tabs>
        <w:spacing w:line="261" w:lineRule="exact" w:before="53" w:after="0"/>
        <w:ind w:left="2664" w:right="0" w:hanging="681"/>
        <w:jc w:val="left"/>
      </w:pPr>
      <w:r>
        <w:rPr>
          <w:w w:val="110"/>
        </w:rPr>
        <w:t>Mission</w:t>
      </w:r>
      <w:r>
        <w:rPr>
          <w:spacing w:val="-1"/>
          <w:w w:val="110"/>
        </w:rPr>
        <w:t> </w:t>
      </w:r>
      <w:r>
        <w:rPr>
          <w:w w:val="110"/>
        </w:rPr>
        <w:t>committee</w:t>
      </w:r>
    </w:p>
    <w:p>
      <w:pPr>
        <w:pStyle w:val="BodyText"/>
        <w:spacing w:line="233" w:lineRule="exact"/>
        <w:ind w:left="1984"/>
      </w:pPr>
      <w:r>
        <w:rPr>
          <w:w w:val="120"/>
        </w:rPr>
        <w:t>Convener: The Revd Tracey Lewis [2016]</w:t>
      </w:r>
    </w:p>
    <w:p>
      <w:pPr>
        <w:pStyle w:val="BodyText"/>
        <w:spacing w:line="240" w:lineRule="exact"/>
        <w:ind w:left="1984"/>
      </w:pPr>
      <w:r>
        <w:rPr>
          <w:w w:val="120"/>
        </w:rPr>
        <w:t>Secretary: Secretary for mission</w:t>
      </w:r>
    </w:p>
    <w:p>
      <w:pPr>
        <w:pStyle w:val="BodyText"/>
        <w:tabs>
          <w:tab w:pos="6304" w:val="left" w:leader="none"/>
        </w:tabs>
        <w:spacing w:line="240" w:lineRule="exact"/>
        <w:ind w:left="1984"/>
      </w:pPr>
      <w:r>
        <w:rPr>
          <w:w w:val="125"/>
        </w:rPr>
        <w:t>vacant</w:t>
      </w:r>
      <w:r>
        <w:rPr>
          <w:spacing w:val="-23"/>
          <w:w w:val="125"/>
        </w:rPr>
        <w:t> </w:t>
      </w:r>
      <w:r>
        <w:rPr>
          <w:spacing w:val="-11"/>
          <w:w w:val="125"/>
        </w:rPr>
        <w:t>(1)</w:t>
        <w:tab/>
      </w:r>
      <w:r>
        <w:rPr>
          <w:w w:val="125"/>
        </w:rPr>
        <w:t>The Revd Stuart Nixon </w:t>
      </w:r>
      <w:r>
        <w:rPr>
          <w:spacing w:val="-8"/>
          <w:w w:val="125"/>
        </w:rPr>
        <w:t>(2)</w:t>
      </w:r>
      <w:r>
        <w:rPr>
          <w:spacing w:val="-4"/>
          <w:w w:val="125"/>
        </w:rPr>
        <w:t> </w:t>
      </w:r>
      <w:r>
        <w:rPr>
          <w:spacing w:val="-8"/>
          <w:w w:val="125"/>
        </w:rPr>
        <w:t>[2018]</w:t>
      </w:r>
    </w:p>
    <w:p>
      <w:pPr>
        <w:pStyle w:val="BodyText"/>
        <w:tabs>
          <w:tab w:pos="6304" w:val="left" w:leader="none"/>
        </w:tabs>
        <w:spacing w:line="240" w:lineRule="exact"/>
        <w:ind w:left="1984"/>
      </w:pPr>
      <w:r>
        <w:rPr>
          <w:w w:val="125"/>
        </w:rPr>
        <w:t>vacant</w:t>
      </w:r>
      <w:r>
        <w:rPr>
          <w:spacing w:val="-2"/>
          <w:w w:val="125"/>
        </w:rPr>
        <w:t> </w:t>
      </w:r>
      <w:r>
        <w:rPr>
          <w:spacing w:val="-8"/>
          <w:w w:val="125"/>
        </w:rPr>
        <w:t>(3)</w:t>
        <w:tab/>
      </w:r>
      <w:r>
        <w:rPr>
          <w:w w:val="125"/>
        </w:rPr>
        <w:t>Mrs </w:t>
      </w:r>
      <w:r>
        <w:rPr>
          <w:spacing w:val="-3"/>
          <w:w w:val="125"/>
        </w:rPr>
        <w:t>Tessa </w:t>
      </w:r>
      <w:r>
        <w:rPr>
          <w:w w:val="125"/>
        </w:rPr>
        <w:t>Henry-Robinson </w:t>
      </w:r>
      <w:r>
        <w:rPr>
          <w:spacing w:val="-10"/>
          <w:w w:val="125"/>
        </w:rPr>
        <w:t>(4)</w:t>
      </w:r>
      <w:r>
        <w:rPr>
          <w:spacing w:val="-4"/>
          <w:w w:val="125"/>
        </w:rPr>
        <w:t> </w:t>
      </w:r>
      <w:r>
        <w:rPr>
          <w:spacing w:val="-8"/>
          <w:w w:val="125"/>
        </w:rPr>
        <w:t>[2015]</w:t>
      </w:r>
    </w:p>
    <w:p>
      <w:pPr>
        <w:pStyle w:val="BodyText"/>
        <w:tabs>
          <w:tab w:pos="6304" w:val="left" w:leader="none"/>
        </w:tabs>
        <w:spacing w:line="240" w:lineRule="exact"/>
        <w:ind w:left="1984"/>
      </w:pPr>
      <w:r>
        <w:rPr>
          <w:w w:val="125"/>
        </w:rPr>
        <w:t>The Revd David Dean </w:t>
      </w:r>
      <w:r>
        <w:rPr>
          <w:spacing w:val="-8"/>
          <w:w w:val="125"/>
        </w:rPr>
        <w:t>(5)</w:t>
      </w:r>
      <w:r>
        <w:rPr>
          <w:w w:val="125"/>
        </w:rPr>
        <w:t> </w:t>
      </w:r>
      <w:r>
        <w:rPr>
          <w:spacing w:val="-8"/>
          <w:w w:val="125"/>
        </w:rPr>
        <w:t>[2015]</w:t>
        <w:tab/>
      </w:r>
      <w:r>
        <w:rPr>
          <w:w w:val="125"/>
        </w:rPr>
        <w:t>vacant </w:t>
      </w:r>
      <w:r>
        <w:rPr>
          <w:spacing w:val="-7"/>
          <w:w w:val="125"/>
        </w:rPr>
        <w:t>(6)</w:t>
      </w:r>
    </w:p>
    <w:p>
      <w:pPr>
        <w:pStyle w:val="BodyText"/>
        <w:tabs>
          <w:tab w:pos="6304" w:val="left" w:leader="none"/>
        </w:tabs>
        <w:spacing w:line="240" w:lineRule="exact"/>
        <w:ind w:left="1984"/>
      </w:pPr>
      <w:r>
        <w:rPr>
          <w:w w:val="120"/>
        </w:rPr>
        <w:t>The Revd Sam White</w:t>
      </w:r>
      <w:r>
        <w:rPr>
          <w:spacing w:val="47"/>
          <w:w w:val="120"/>
        </w:rPr>
        <w:t> </w:t>
      </w:r>
      <w:r>
        <w:rPr>
          <w:w w:val="120"/>
        </w:rPr>
        <w:t>(7)</w:t>
      </w:r>
      <w:r>
        <w:rPr>
          <w:spacing w:val="12"/>
          <w:w w:val="120"/>
        </w:rPr>
        <w:t> </w:t>
      </w:r>
      <w:r>
        <w:rPr>
          <w:spacing w:val="-8"/>
          <w:w w:val="120"/>
        </w:rPr>
        <w:t>[2015]</w:t>
        <w:tab/>
      </w:r>
      <w:r>
        <w:rPr>
          <w:w w:val="120"/>
        </w:rPr>
        <w:t>The Revd Stephen Newell**</w:t>
      </w:r>
      <w:r>
        <w:rPr>
          <w:spacing w:val="8"/>
          <w:w w:val="120"/>
        </w:rPr>
        <w:t> </w:t>
      </w:r>
      <w:r>
        <w:rPr>
          <w:spacing w:val="-8"/>
          <w:w w:val="120"/>
        </w:rPr>
        <w:t>(8)</w:t>
      </w:r>
    </w:p>
    <w:p>
      <w:pPr>
        <w:pStyle w:val="BodyText"/>
        <w:tabs>
          <w:tab w:pos="6304" w:val="left" w:leader="none"/>
        </w:tabs>
        <w:spacing w:line="240" w:lineRule="exact"/>
        <w:ind w:left="1984"/>
      </w:pPr>
      <w:r>
        <w:rPr>
          <w:w w:val="120"/>
        </w:rPr>
        <w:t>Mrs Sheila Thatcher**</w:t>
      </w:r>
      <w:r>
        <w:rPr>
          <w:spacing w:val="13"/>
          <w:w w:val="120"/>
        </w:rPr>
        <w:t> </w:t>
      </w:r>
      <w:r>
        <w:rPr>
          <w:spacing w:val="-8"/>
          <w:w w:val="120"/>
        </w:rPr>
        <w:t>(9)</w:t>
      </w:r>
      <w:r>
        <w:rPr>
          <w:spacing w:val="4"/>
          <w:w w:val="120"/>
        </w:rPr>
        <w:t> </w:t>
      </w:r>
      <w:r>
        <w:rPr>
          <w:spacing w:val="-8"/>
          <w:w w:val="120"/>
        </w:rPr>
        <w:t>[2018]</w:t>
        <w:tab/>
      </w:r>
      <w:r>
        <w:rPr>
          <w:w w:val="120"/>
        </w:rPr>
        <w:t>The Revd John Macaulay </w:t>
      </w:r>
      <w:r>
        <w:rPr>
          <w:spacing w:val="-9"/>
          <w:w w:val="120"/>
        </w:rPr>
        <w:t>(10)</w:t>
      </w:r>
      <w:r>
        <w:rPr>
          <w:spacing w:val="19"/>
          <w:w w:val="120"/>
        </w:rPr>
        <w:t> </w:t>
      </w:r>
      <w:r>
        <w:rPr>
          <w:spacing w:val="-8"/>
          <w:w w:val="120"/>
        </w:rPr>
        <w:t>[2015]</w:t>
      </w:r>
    </w:p>
    <w:p>
      <w:pPr>
        <w:pStyle w:val="BodyText"/>
        <w:tabs>
          <w:tab w:pos="6304" w:val="left" w:leader="none"/>
        </w:tabs>
        <w:spacing w:line="240" w:lineRule="exact"/>
        <w:ind w:left="1984"/>
      </w:pPr>
      <w:r>
        <w:rPr>
          <w:w w:val="125"/>
        </w:rPr>
        <w:t>Mr Martin Hayward</w:t>
      </w:r>
      <w:r>
        <w:rPr>
          <w:spacing w:val="-19"/>
          <w:w w:val="125"/>
        </w:rPr>
        <w:t> </w:t>
      </w:r>
      <w:r>
        <w:rPr>
          <w:spacing w:val="-14"/>
          <w:w w:val="125"/>
        </w:rPr>
        <w:t>(11)</w:t>
      </w:r>
      <w:r>
        <w:rPr>
          <w:spacing w:val="-6"/>
          <w:w w:val="125"/>
        </w:rPr>
        <w:t> </w:t>
      </w:r>
      <w:r>
        <w:rPr>
          <w:spacing w:val="-8"/>
          <w:w w:val="125"/>
        </w:rPr>
        <w:t>[2015]</w:t>
        <w:tab/>
      </w:r>
      <w:r>
        <w:rPr>
          <w:w w:val="125"/>
        </w:rPr>
        <w:t>Mrs Janet Drogan** </w:t>
      </w:r>
      <w:r>
        <w:rPr>
          <w:spacing w:val="-10"/>
          <w:w w:val="125"/>
        </w:rPr>
        <w:t>(12)</w:t>
      </w:r>
      <w:r>
        <w:rPr>
          <w:spacing w:val="-9"/>
          <w:w w:val="125"/>
        </w:rPr>
        <w:t> </w:t>
      </w:r>
      <w:r>
        <w:rPr>
          <w:spacing w:val="-8"/>
          <w:w w:val="125"/>
        </w:rPr>
        <w:t>[2018]</w:t>
      </w:r>
    </w:p>
    <w:p>
      <w:pPr>
        <w:pStyle w:val="BodyText"/>
        <w:spacing w:line="242" w:lineRule="exact"/>
        <w:ind w:left="1984"/>
      </w:pPr>
      <w:r>
        <w:rPr>
          <w:w w:val="125"/>
        </w:rPr>
        <w:t>The Revd Lindsey Sanderson (13) [2015]</w:t>
      </w:r>
    </w:p>
    <w:p>
      <w:pPr>
        <w:spacing w:after="0" w:line="242" w:lineRule="exact"/>
        <w:sectPr>
          <w:headerReference w:type="default" r:id="rId332"/>
          <w:pgSz w:w="11910" w:h="16840"/>
          <w:pgMar w:header="0" w:footer="647" w:top="0" w:bottom="840" w:left="0" w:right="0"/>
        </w:sectPr>
      </w:pPr>
    </w:p>
    <w:p>
      <w:pPr>
        <w:pStyle w:val="BodyText"/>
      </w:pPr>
      <w:r>
        <w:rPr/>
        <w:drawing>
          <wp:anchor distT="0" distB="0" distL="0" distR="0" allowOverlap="1" layoutInCell="1" locked="0" behindDoc="0" simplePos="0" relativeHeight="252036096">
            <wp:simplePos x="0" y="0"/>
            <wp:positionH relativeFrom="page">
              <wp:posOffset>0</wp:posOffset>
            </wp:positionH>
            <wp:positionV relativeFrom="page">
              <wp:posOffset>0</wp:posOffset>
            </wp:positionV>
            <wp:extent cx="594067" cy="10692003"/>
            <wp:effectExtent l="0" t="0" r="0" b="0"/>
            <wp:wrapNone/>
            <wp:docPr id="263" name="image28.png"/>
            <wp:cNvGraphicFramePr>
              <a:graphicFrameLocks noChangeAspect="1"/>
            </wp:cNvGraphicFramePr>
            <a:graphic>
              <a:graphicData uri="http://schemas.openxmlformats.org/drawingml/2006/picture">
                <pic:pic>
                  <pic:nvPicPr>
                    <pic:cNvPr id="264" name="image28.png"/>
                    <pic:cNvPicPr/>
                  </pic:nvPicPr>
                  <pic:blipFill>
                    <a:blip r:embed="rId198"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spacing w:before="106"/>
        <w:ind w:left="1247" w:right="0" w:firstLine="0"/>
        <w:jc w:val="left"/>
        <w:rPr>
          <w:sz w:val="26"/>
        </w:rPr>
      </w:pPr>
      <w:r>
        <w:rPr/>
        <w:pict>
          <v:shape style="position:absolute;margin-left:20.519100pt;margin-top:22.593945pt;width:25.9pt;height:131.3pt;mso-position-horizontal-relative:page;mso-position-vertical-relative:paragraph;z-index:252037120" type="#_x0000_t202" filled="false" stroked="false">
            <v:textbox inset="0,0,0,0" style="layout-flow:vertical">
              <w:txbxContent>
                <w:p>
                  <w:pPr>
                    <w:spacing w:before="27"/>
                    <w:ind w:left="20" w:right="0" w:firstLine="0"/>
                    <w:jc w:val="left"/>
                    <w:rPr>
                      <w:sz w:val="39"/>
                    </w:rPr>
                  </w:pPr>
                  <w:r>
                    <w:rPr>
                      <w:color w:val="FFFFFF"/>
                      <w:w w:val="120"/>
                      <w:sz w:val="39"/>
                    </w:rPr>
                    <w:t>Nominations</w:t>
                  </w:r>
                </w:p>
              </w:txbxContent>
            </v:textbox>
            <w10:wrap type="none"/>
          </v:shape>
        </w:pict>
      </w:r>
      <w:r>
        <w:rPr>
          <w:color w:val="7EAABF"/>
          <w:w w:val="115"/>
          <w:sz w:val="26"/>
        </w:rPr>
        <w:t>Nominations</w:t>
      </w:r>
    </w:p>
    <w:p>
      <w:pPr>
        <w:pStyle w:val="Heading9"/>
        <w:numPr>
          <w:ilvl w:val="2"/>
          <w:numId w:val="83"/>
        </w:numPr>
        <w:tabs>
          <w:tab w:pos="1928" w:val="left" w:leader="none"/>
        </w:tabs>
        <w:spacing w:line="261" w:lineRule="exact" w:before="205" w:after="0"/>
        <w:ind w:left="1927" w:right="0" w:hanging="681"/>
        <w:jc w:val="left"/>
      </w:pPr>
      <w:r>
        <w:rPr>
          <w:w w:val="110"/>
        </w:rPr>
        <w:t>International exchange reference</w:t>
      </w:r>
      <w:r>
        <w:rPr>
          <w:spacing w:val="-1"/>
          <w:w w:val="110"/>
        </w:rPr>
        <w:t> </w:t>
      </w:r>
      <w:r>
        <w:rPr>
          <w:w w:val="110"/>
        </w:rPr>
        <w:t>group</w:t>
      </w:r>
    </w:p>
    <w:p>
      <w:pPr>
        <w:pStyle w:val="BodyText"/>
        <w:spacing w:line="233" w:lineRule="exact"/>
        <w:ind w:left="1247"/>
      </w:pPr>
      <w:r>
        <w:rPr>
          <w:w w:val="120"/>
        </w:rPr>
        <w:t>Convener: Mr Chris Wright [2016]</w:t>
      </w:r>
    </w:p>
    <w:p>
      <w:pPr>
        <w:pStyle w:val="BodyText"/>
        <w:spacing w:line="235" w:lineRule="auto" w:before="2"/>
        <w:ind w:left="1247" w:right="4801"/>
      </w:pPr>
      <w:r>
        <w:rPr>
          <w:w w:val="125"/>
        </w:rPr>
        <w:t>Members:</w:t>
      </w:r>
      <w:r>
        <w:rPr>
          <w:spacing w:val="-23"/>
          <w:w w:val="125"/>
        </w:rPr>
        <w:t> </w:t>
      </w:r>
      <w:r>
        <w:rPr>
          <w:w w:val="125"/>
        </w:rPr>
        <w:t>The</w:t>
      </w:r>
      <w:r>
        <w:rPr>
          <w:spacing w:val="-23"/>
          <w:w w:val="125"/>
        </w:rPr>
        <w:t> </w:t>
      </w:r>
      <w:r>
        <w:rPr>
          <w:w w:val="125"/>
        </w:rPr>
        <w:t>Revd</w:t>
      </w:r>
      <w:r>
        <w:rPr>
          <w:spacing w:val="-22"/>
          <w:w w:val="125"/>
        </w:rPr>
        <w:t> </w:t>
      </w:r>
      <w:r>
        <w:rPr>
          <w:w w:val="125"/>
        </w:rPr>
        <w:t>Paul</w:t>
      </w:r>
      <w:r>
        <w:rPr>
          <w:spacing w:val="-23"/>
          <w:w w:val="125"/>
        </w:rPr>
        <w:t> </w:t>
      </w:r>
      <w:r>
        <w:rPr>
          <w:w w:val="125"/>
        </w:rPr>
        <w:t>Whittle</w:t>
      </w:r>
      <w:r>
        <w:rPr>
          <w:spacing w:val="-23"/>
          <w:w w:val="125"/>
        </w:rPr>
        <w:t> </w:t>
      </w:r>
      <w:r>
        <w:rPr>
          <w:spacing w:val="-3"/>
          <w:w w:val="125"/>
        </w:rPr>
        <w:t>(Synod</w:t>
      </w:r>
      <w:r>
        <w:rPr>
          <w:spacing w:val="-22"/>
          <w:w w:val="125"/>
        </w:rPr>
        <w:t> </w:t>
      </w:r>
      <w:r>
        <w:rPr>
          <w:w w:val="125"/>
        </w:rPr>
        <w:t>Moderator)</w:t>
      </w:r>
      <w:r>
        <w:rPr>
          <w:spacing w:val="-23"/>
          <w:w w:val="125"/>
        </w:rPr>
        <w:t> </w:t>
      </w:r>
      <w:r>
        <w:rPr>
          <w:spacing w:val="-8"/>
          <w:w w:val="125"/>
        </w:rPr>
        <w:t>[2018] </w:t>
      </w:r>
      <w:r>
        <w:rPr>
          <w:w w:val="125"/>
        </w:rPr>
        <w:t>Mrs Judith </w:t>
      </w:r>
      <w:r>
        <w:rPr>
          <w:spacing w:val="2"/>
          <w:w w:val="125"/>
        </w:rPr>
        <w:t>North </w:t>
      </w:r>
      <w:r>
        <w:rPr>
          <w:spacing w:val="-8"/>
          <w:w w:val="125"/>
        </w:rPr>
        <w:t>(5)</w:t>
      </w:r>
      <w:r>
        <w:rPr>
          <w:spacing w:val="-6"/>
          <w:w w:val="125"/>
        </w:rPr>
        <w:t> </w:t>
      </w:r>
      <w:r>
        <w:rPr>
          <w:spacing w:val="-7"/>
          <w:w w:val="125"/>
        </w:rPr>
        <w:t>[2016]</w:t>
      </w:r>
    </w:p>
    <w:p>
      <w:pPr>
        <w:pStyle w:val="BodyText"/>
        <w:spacing w:line="242" w:lineRule="exact"/>
        <w:ind w:left="1247"/>
      </w:pPr>
      <w:r>
        <w:rPr>
          <w:w w:val="120"/>
        </w:rPr>
        <w:t>Secretary for world church relations</w:t>
      </w:r>
    </w:p>
    <w:p>
      <w:pPr>
        <w:pStyle w:val="BodyText"/>
        <w:spacing w:before="3"/>
        <w:rPr>
          <w:sz w:val="18"/>
        </w:rPr>
      </w:pPr>
    </w:p>
    <w:p>
      <w:pPr>
        <w:pStyle w:val="Heading9"/>
        <w:numPr>
          <w:ilvl w:val="2"/>
          <w:numId w:val="83"/>
        </w:numPr>
        <w:tabs>
          <w:tab w:pos="1928" w:val="left" w:leader="none"/>
        </w:tabs>
        <w:spacing w:line="261" w:lineRule="exact" w:before="0" w:after="0"/>
        <w:ind w:left="1927" w:right="0" w:hanging="681"/>
        <w:jc w:val="left"/>
      </w:pPr>
      <w:r>
        <w:rPr>
          <w:w w:val="110"/>
        </w:rPr>
        <w:t>Commitment for life reference</w:t>
      </w:r>
      <w:r>
        <w:rPr>
          <w:spacing w:val="-1"/>
          <w:w w:val="110"/>
        </w:rPr>
        <w:t> </w:t>
      </w:r>
      <w:r>
        <w:rPr>
          <w:w w:val="110"/>
        </w:rPr>
        <w:t>group</w:t>
      </w:r>
    </w:p>
    <w:p>
      <w:pPr>
        <w:pStyle w:val="BodyText"/>
        <w:spacing w:line="235" w:lineRule="exact"/>
        <w:ind w:left="1247"/>
      </w:pPr>
      <w:r>
        <w:rPr>
          <w:w w:val="120"/>
        </w:rPr>
        <w:t>Convener: Mr John Griffith [2016]</w:t>
      </w:r>
    </w:p>
    <w:p>
      <w:pPr>
        <w:pStyle w:val="BodyText"/>
        <w:spacing w:before="4"/>
        <w:rPr>
          <w:sz w:val="18"/>
        </w:rPr>
      </w:pPr>
    </w:p>
    <w:p>
      <w:pPr>
        <w:pStyle w:val="Heading9"/>
        <w:numPr>
          <w:ilvl w:val="2"/>
          <w:numId w:val="83"/>
        </w:numPr>
        <w:tabs>
          <w:tab w:pos="1928" w:val="left" w:leader="none"/>
        </w:tabs>
        <w:spacing w:line="261" w:lineRule="exact" w:before="0" w:after="0"/>
        <w:ind w:left="1927" w:right="0" w:hanging="681"/>
        <w:jc w:val="left"/>
      </w:pPr>
      <w:r>
        <w:rPr>
          <w:w w:val="110"/>
        </w:rPr>
        <w:t>Methodist/URC interfaith reference</w:t>
      </w:r>
      <w:r>
        <w:rPr>
          <w:spacing w:val="-1"/>
          <w:w w:val="110"/>
        </w:rPr>
        <w:t> </w:t>
      </w:r>
      <w:r>
        <w:rPr>
          <w:w w:val="110"/>
        </w:rPr>
        <w:t>group</w:t>
      </w:r>
    </w:p>
    <w:p>
      <w:pPr>
        <w:spacing w:line="233" w:lineRule="exact" w:before="0"/>
        <w:ind w:left="1247" w:right="0" w:firstLine="0"/>
        <w:jc w:val="left"/>
        <w:rPr>
          <w:i/>
          <w:sz w:val="20"/>
        </w:rPr>
      </w:pPr>
      <w:r>
        <w:rPr>
          <w:i/>
          <w:w w:val="110"/>
          <w:sz w:val="20"/>
        </w:rPr>
        <w:t>(Members normally serve for six years in parallel with Methodist terms)</w:t>
      </w:r>
    </w:p>
    <w:p>
      <w:pPr>
        <w:pStyle w:val="BodyText"/>
        <w:spacing w:line="240" w:lineRule="exact"/>
        <w:ind w:left="1247"/>
      </w:pPr>
      <w:r>
        <w:rPr>
          <w:w w:val="125"/>
        </w:rPr>
        <w:t>Co-convener: The Revd Clare Downing [2019]</w:t>
      </w:r>
    </w:p>
    <w:p>
      <w:pPr>
        <w:pStyle w:val="BodyText"/>
        <w:tabs>
          <w:tab w:pos="5567" w:val="left" w:leader="none"/>
        </w:tabs>
        <w:spacing w:line="235" w:lineRule="auto" w:before="2"/>
        <w:ind w:left="1247" w:right="3678"/>
      </w:pPr>
      <w:r>
        <w:rPr>
          <w:w w:val="120"/>
        </w:rPr>
        <w:t>The Revd Bill</w:t>
      </w:r>
      <w:r>
        <w:rPr>
          <w:spacing w:val="33"/>
          <w:w w:val="120"/>
        </w:rPr>
        <w:t> </w:t>
      </w:r>
      <w:r>
        <w:rPr>
          <w:w w:val="120"/>
        </w:rPr>
        <w:t>Burgess</w:t>
      </w:r>
      <w:r>
        <w:rPr>
          <w:spacing w:val="11"/>
          <w:w w:val="120"/>
        </w:rPr>
        <w:t> </w:t>
      </w:r>
      <w:r>
        <w:rPr>
          <w:spacing w:val="-8"/>
          <w:w w:val="120"/>
        </w:rPr>
        <w:t>[2015]</w:t>
        <w:tab/>
      </w:r>
      <w:r>
        <w:rPr>
          <w:w w:val="120"/>
        </w:rPr>
        <w:t>The Revd Tim Clarke </w:t>
      </w:r>
      <w:r>
        <w:rPr>
          <w:spacing w:val="-8"/>
          <w:w w:val="120"/>
        </w:rPr>
        <w:t>[2015] </w:t>
      </w:r>
      <w:r>
        <w:rPr>
          <w:w w:val="120"/>
        </w:rPr>
        <w:t>Mr John Mellor</w:t>
      </w:r>
      <w:r>
        <w:rPr>
          <w:spacing w:val="4"/>
          <w:w w:val="120"/>
        </w:rPr>
        <w:t> </w:t>
      </w:r>
      <w:r>
        <w:rPr>
          <w:spacing w:val="-3"/>
          <w:w w:val="120"/>
        </w:rPr>
        <w:t>**[2020]</w:t>
      </w:r>
    </w:p>
    <w:p>
      <w:pPr>
        <w:pStyle w:val="BodyText"/>
        <w:spacing w:before="5"/>
        <w:rPr>
          <w:sz w:val="18"/>
        </w:rPr>
      </w:pPr>
    </w:p>
    <w:p>
      <w:pPr>
        <w:pStyle w:val="Heading9"/>
        <w:numPr>
          <w:ilvl w:val="2"/>
          <w:numId w:val="83"/>
        </w:numPr>
        <w:tabs>
          <w:tab w:pos="1928" w:val="left" w:leader="none"/>
        </w:tabs>
        <w:spacing w:line="261" w:lineRule="exact" w:before="0" w:after="0"/>
        <w:ind w:left="1927" w:right="0" w:hanging="681"/>
        <w:jc w:val="left"/>
      </w:pPr>
      <w:r>
        <w:rPr>
          <w:w w:val="110"/>
        </w:rPr>
        <w:t>Joint public issues team strategy and policy</w:t>
      </w:r>
      <w:r>
        <w:rPr>
          <w:spacing w:val="-2"/>
          <w:w w:val="110"/>
        </w:rPr>
        <w:t> </w:t>
      </w:r>
      <w:r>
        <w:rPr>
          <w:w w:val="110"/>
        </w:rPr>
        <w:t>group</w:t>
      </w:r>
    </w:p>
    <w:p>
      <w:pPr>
        <w:pStyle w:val="BodyText"/>
        <w:spacing w:line="235" w:lineRule="auto"/>
        <w:ind w:left="1247" w:right="2586"/>
      </w:pPr>
      <w:r>
        <w:rPr>
          <w:w w:val="120"/>
        </w:rPr>
        <w:t>Ms Marie Trubic (spokesperson on public issues for the United Reformed Church) (Other members appointed by the Methodist Church and the Baptist Union of Great Britain)</w:t>
      </w:r>
    </w:p>
    <w:p>
      <w:pPr>
        <w:pStyle w:val="BodyText"/>
        <w:spacing w:before="1"/>
        <w:rPr>
          <w:sz w:val="18"/>
        </w:rPr>
      </w:pPr>
    </w:p>
    <w:p>
      <w:pPr>
        <w:pStyle w:val="Heading9"/>
        <w:numPr>
          <w:ilvl w:val="2"/>
          <w:numId w:val="83"/>
        </w:numPr>
        <w:tabs>
          <w:tab w:pos="1928" w:val="left" w:leader="none"/>
        </w:tabs>
        <w:spacing w:line="261" w:lineRule="exact" w:before="0" w:after="0"/>
        <w:ind w:left="1927" w:right="0" w:hanging="681"/>
        <w:jc w:val="left"/>
      </w:pPr>
      <w:r>
        <w:rPr>
          <w:w w:val="110"/>
        </w:rPr>
        <w:t>Rural strategy group (United Reformed</w:t>
      </w:r>
      <w:r>
        <w:rPr>
          <w:spacing w:val="-2"/>
          <w:w w:val="110"/>
        </w:rPr>
        <w:t> </w:t>
      </w:r>
      <w:r>
        <w:rPr>
          <w:w w:val="110"/>
        </w:rPr>
        <w:t>Church/Methodist)</w:t>
      </w:r>
    </w:p>
    <w:p>
      <w:pPr>
        <w:pStyle w:val="BodyText"/>
        <w:spacing w:line="233" w:lineRule="exact"/>
        <w:ind w:left="1247"/>
      </w:pPr>
      <w:r>
        <w:rPr>
          <w:w w:val="120"/>
        </w:rPr>
        <w:t>Co-chair: The Revd Roy Lowes</w:t>
      </w:r>
    </w:p>
    <w:p>
      <w:pPr>
        <w:pStyle w:val="BodyText"/>
        <w:tabs>
          <w:tab w:pos="5567" w:val="left" w:leader="none"/>
        </w:tabs>
        <w:spacing w:line="242" w:lineRule="exact"/>
        <w:ind w:left="1247"/>
      </w:pPr>
      <w:r>
        <w:rPr>
          <w:w w:val="120"/>
        </w:rPr>
        <w:t>The Revd</w:t>
      </w:r>
      <w:r>
        <w:rPr>
          <w:spacing w:val="3"/>
          <w:w w:val="120"/>
        </w:rPr>
        <w:t> </w:t>
      </w:r>
      <w:r>
        <w:rPr>
          <w:w w:val="120"/>
        </w:rPr>
        <w:t>Louise</w:t>
      </w:r>
      <w:r>
        <w:rPr>
          <w:spacing w:val="2"/>
          <w:w w:val="120"/>
        </w:rPr>
        <w:t> </w:t>
      </w:r>
      <w:r>
        <w:rPr>
          <w:w w:val="120"/>
        </w:rPr>
        <w:t>Franklin</w:t>
        <w:tab/>
        <w:t>The Revd Peter</w:t>
      </w:r>
      <w:r>
        <w:rPr>
          <w:spacing w:val="5"/>
          <w:w w:val="120"/>
        </w:rPr>
        <w:t> </w:t>
      </w:r>
      <w:r>
        <w:rPr>
          <w:w w:val="120"/>
        </w:rPr>
        <w:t>Ball</w:t>
      </w:r>
    </w:p>
    <w:p>
      <w:pPr>
        <w:pStyle w:val="Heading4"/>
        <w:numPr>
          <w:ilvl w:val="0"/>
          <w:numId w:val="82"/>
        </w:numPr>
        <w:tabs>
          <w:tab w:pos="1927" w:val="left" w:leader="none"/>
          <w:tab w:pos="1928" w:val="left" w:leader="none"/>
        </w:tabs>
        <w:spacing w:line="240" w:lineRule="auto" w:before="212" w:after="0"/>
        <w:ind w:left="1927" w:right="0" w:hanging="681"/>
        <w:jc w:val="left"/>
      </w:pPr>
      <w:r>
        <w:rPr>
          <w:spacing w:val="3"/>
          <w:w w:val="110"/>
        </w:rPr>
        <w:t>Discipleship</w:t>
      </w:r>
      <w:r>
        <w:rPr>
          <w:spacing w:val="12"/>
          <w:w w:val="110"/>
        </w:rPr>
        <w:t> </w:t>
      </w:r>
      <w:r>
        <w:rPr>
          <w:spacing w:val="4"/>
          <w:w w:val="110"/>
        </w:rPr>
        <w:t>department</w:t>
      </w:r>
    </w:p>
    <w:p>
      <w:pPr>
        <w:pStyle w:val="ListParagraph"/>
        <w:numPr>
          <w:ilvl w:val="1"/>
          <w:numId w:val="82"/>
        </w:numPr>
        <w:tabs>
          <w:tab w:pos="1927" w:val="left" w:leader="none"/>
          <w:tab w:pos="1928" w:val="left" w:leader="none"/>
        </w:tabs>
        <w:spacing w:line="230" w:lineRule="auto" w:before="61" w:after="0"/>
        <w:ind w:left="1247" w:right="6735" w:firstLine="0"/>
        <w:jc w:val="left"/>
        <w:rPr>
          <w:rFonts w:ascii="Stone Sans II ITC Std Sm"/>
          <w:sz w:val="20"/>
        </w:rPr>
      </w:pPr>
      <w:r>
        <w:rPr>
          <w:rFonts w:ascii="Stone Sans II ITC Std Sm"/>
          <w:b/>
          <w:w w:val="120"/>
          <w:sz w:val="20"/>
        </w:rPr>
        <w:t>Ministries committee </w:t>
      </w:r>
      <w:r>
        <w:rPr>
          <w:w w:val="120"/>
          <w:sz w:val="20"/>
        </w:rPr>
        <w:t>Convener: The Revd Gethin Rhys </w:t>
      </w:r>
      <w:r>
        <w:rPr>
          <w:spacing w:val="-8"/>
          <w:w w:val="120"/>
          <w:sz w:val="20"/>
        </w:rPr>
        <w:t>[2018] </w:t>
      </w:r>
      <w:r>
        <w:rPr>
          <w:w w:val="120"/>
          <w:sz w:val="20"/>
        </w:rPr>
        <w:t>Secretary: Secretary for</w:t>
      </w:r>
      <w:r>
        <w:rPr>
          <w:spacing w:val="1"/>
          <w:w w:val="120"/>
          <w:sz w:val="20"/>
        </w:rPr>
        <w:t> </w:t>
      </w:r>
      <w:r>
        <w:rPr>
          <w:w w:val="120"/>
          <w:sz w:val="20"/>
        </w:rPr>
        <w:t>ministries</w:t>
      </w:r>
    </w:p>
    <w:p>
      <w:pPr>
        <w:pStyle w:val="BodyText"/>
        <w:tabs>
          <w:tab w:pos="5567" w:val="left" w:leader="none"/>
        </w:tabs>
        <w:spacing w:line="238" w:lineRule="exact"/>
        <w:ind w:left="1247"/>
      </w:pPr>
      <w:r>
        <w:rPr>
          <w:w w:val="125"/>
        </w:rPr>
        <w:t>The Revd Heather Pencavel</w:t>
      </w:r>
      <w:r>
        <w:rPr>
          <w:spacing w:val="-37"/>
          <w:w w:val="125"/>
        </w:rPr>
        <w:t> </w:t>
      </w:r>
      <w:r>
        <w:rPr>
          <w:spacing w:val="-8"/>
          <w:w w:val="125"/>
        </w:rPr>
        <w:t>(8)</w:t>
      </w:r>
      <w:r>
        <w:rPr>
          <w:spacing w:val="-9"/>
          <w:w w:val="125"/>
        </w:rPr>
        <w:t> </w:t>
      </w:r>
      <w:r>
        <w:rPr>
          <w:spacing w:val="-8"/>
          <w:w w:val="125"/>
        </w:rPr>
        <w:t>[2015]</w:t>
        <w:tab/>
      </w:r>
      <w:r>
        <w:rPr>
          <w:w w:val="125"/>
        </w:rPr>
        <w:t>The Revd Clive Sutcliffe (7)</w:t>
      </w:r>
      <w:r>
        <w:rPr>
          <w:spacing w:val="-5"/>
          <w:w w:val="125"/>
        </w:rPr>
        <w:t> </w:t>
      </w:r>
      <w:r>
        <w:rPr>
          <w:spacing w:val="-7"/>
          <w:w w:val="125"/>
        </w:rPr>
        <w:t>[2016]</w:t>
      </w:r>
    </w:p>
    <w:p>
      <w:pPr>
        <w:pStyle w:val="BodyText"/>
        <w:tabs>
          <w:tab w:pos="5567" w:val="left" w:leader="none"/>
        </w:tabs>
        <w:spacing w:line="240" w:lineRule="exact"/>
        <w:ind w:left="1247"/>
      </w:pPr>
      <w:r>
        <w:rPr>
          <w:w w:val="125"/>
        </w:rPr>
        <w:t>The Revd Dr James Coleman</w:t>
      </w:r>
      <w:r>
        <w:rPr>
          <w:spacing w:val="-33"/>
          <w:w w:val="125"/>
        </w:rPr>
        <w:t> </w:t>
      </w:r>
      <w:r>
        <w:rPr>
          <w:spacing w:val="-10"/>
          <w:w w:val="125"/>
        </w:rPr>
        <w:t>(4)</w:t>
      </w:r>
      <w:r>
        <w:rPr>
          <w:spacing w:val="-6"/>
          <w:w w:val="125"/>
        </w:rPr>
        <w:t> </w:t>
      </w:r>
      <w:r>
        <w:rPr>
          <w:spacing w:val="-8"/>
          <w:w w:val="125"/>
        </w:rPr>
        <w:t>[2017]</w:t>
        <w:tab/>
      </w:r>
      <w:r>
        <w:rPr>
          <w:w w:val="125"/>
        </w:rPr>
        <w:t>Mrs Jane Woods-Scawen </w:t>
      </w:r>
      <w:r>
        <w:rPr>
          <w:spacing w:val="-7"/>
          <w:w w:val="125"/>
        </w:rPr>
        <w:t>(6)</w:t>
      </w:r>
      <w:r>
        <w:rPr>
          <w:spacing w:val="-8"/>
          <w:w w:val="125"/>
        </w:rPr>
        <w:t> [2017]</w:t>
      </w:r>
    </w:p>
    <w:p>
      <w:pPr>
        <w:pStyle w:val="BodyText"/>
        <w:tabs>
          <w:tab w:pos="5567" w:val="left" w:leader="none"/>
        </w:tabs>
        <w:spacing w:line="240" w:lineRule="exact"/>
        <w:ind w:left="1247"/>
      </w:pPr>
      <w:r>
        <w:rPr>
          <w:w w:val="125"/>
        </w:rPr>
        <w:t>Mr Stuart Dew**</w:t>
      </w:r>
      <w:r>
        <w:rPr>
          <w:spacing w:val="-37"/>
          <w:w w:val="125"/>
        </w:rPr>
        <w:t> </w:t>
      </w:r>
      <w:r>
        <w:rPr>
          <w:spacing w:val="-8"/>
          <w:w w:val="125"/>
        </w:rPr>
        <w:t>(9)</w:t>
      </w:r>
      <w:r>
        <w:rPr>
          <w:spacing w:val="-12"/>
          <w:w w:val="125"/>
        </w:rPr>
        <w:t> </w:t>
      </w:r>
      <w:r>
        <w:rPr>
          <w:spacing w:val="-8"/>
          <w:w w:val="125"/>
        </w:rPr>
        <w:t>[2018]</w:t>
        <w:tab/>
      </w:r>
      <w:r>
        <w:rPr>
          <w:w w:val="125"/>
        </w:rPr>
        <w:t>Vacancy</w:t>
      </w:r>
    </w:p>
    <w:p>
      <w:pPr>
        <w:pStyle w:val="BodyText"/>
        <w:spacing w:line="235" w:lineRule="auto" w:before="2"/>
        <w:ind w:left="1247" w:right="4813"/>
      </w:pPr>
      <w:r>
        <w:rPr>
          <w:w w:val="125"/>
        </w:rPr>
        <w:t>Mrs</w:t>
      </w:r>
      <w:r>
        <w:rPr>
          <w:spacing w:val="-22"/>
          <w:w w:val="125"/>
        </w:rPr>
        <w:t> </w:t>
      </w:r>
      <w:r>
        <w:rPr>
          <w:w w:val="125"/>
        </w:rPr>
        <w:t>Judith</w:t>
      </w:r>
      <w:r>
        <w:rPr>
          <w:spacing w:val="-21"/>
          <w:w w:val="125"/>
        </w:rPr>
        <w:t> </w:t>
      </w:r>
      <w:r>
        <w:rPr>
          <w:w w:val="125"/>
        </w:rPr>
        <w:t>Johnson</w:t>
      </w:r>
      <w:r>
        <w:rPr>
          <w:spacing w:val="-21"/>
          <w:w w:val="125"/>
        </w:rPr>
        <w:t> </w:t>
      </w:r>
      <w:r>
        <w:rPr>
          <w:w w:val="125"/>
        </w:rPr>
        <w:t>(leadership</w:t>
      </w:r>
      <w:r>
        <w:rPr>
          <w:spacing w:val="-21"/>
          <w:w w:val="125"/>
        </w:rPr>
        <w:t> </w:t>
      </w:r>
      <w:r>
        <w:rPr>
          <w:w w:val="125"/>
        </w:rPr>
        <w:t>in</w:t>
      </w:r>
      <w:r>
        <w:rPr>
          <w:spacing w:val="-21"/>
          <w:w w:val="125"/>
        </w:rPr>
        <w:t> </w:t>
      </w:r>
      <w:r>
        <w:rPr>
          <w:w w:val="125"/>
        </w:rPr>
        <w:t>worship</w:t>
      </w:r>
      <w:r>
        <w:rPr>
          <w:spacing w:val="-21"/>
          <w:w w:val="125"/>
        </w:rPr>
        <w:t> </w:t>
      </w:r>
      <w:r>
        <w:rPr>
          <w:spacing w:val="-3"/>
          <w:w w:val="125"/>
        </w:rPr>
        <w:t>advocate)</w:t>
      </w:r>
      <w:r>
        <w:rPr>
          <w:spacing w:val="-21"/>
          <w:w w:val="125"/>
        </w:rPr>
        <w:t> </w:t>
      </w:r>
      <w:r>
        <w:rPr>
          <w:spacing w:val="-8"/>
          <w:w w:val="125"/>
        </w:rPr>
        <w:t>[2015] </w:t>
      </w:r>
      <w:r>
        <w:rPr>
          <w:spacing w:val="-3"/>
          <w:w w:val="125"/>
        </w:rPr>
        <w:t>Convener, </w:t>
      </w:r>
      <w:r>
        <w:rPr>
          <w:w w:val="125"/>
        </w:rPr>
        <w:t>assessment</w:t>
      </w:r>
      <w:r>
        <w:rPr>
          <w:spacing w:val="-2"/>
          <w:w w:val="125"/>
        </w:rPr>
        <w:t> </w:t>
      </w:r>
      <w:r>
        <w:rPr>
          <w:w w:val="125"/>
        </w:rPr>
        <w:t>board</w:t>
      </w:r>
    </w:p>
    <w:p>
      <w:pPr>
        <w:pStyle w:val="BodyText"/>
        <w:spacing w:before="5"/>
        <w:rPr>
          <w:sz w:val="18"/>
        </w:rPr>
      </w:pPr>
    </w:p>
    <w:p>
      <w:pPr>
        <w:pStyle w:val="Heading9"/>
        <w:numPr>
          <w:ilvl w:val="2"/>
          <w:numId w:val="82"/>
        </w:numPr>
        <w:tabs>
          <w:tab w:pos="1985" w:val="left" w:leader="none"/>
          <w:tab w:pos="1986" w:val="left" w:leader="none"/>
        </w:tabs>
        <w:spacing w:line="261" w:lineRule="exact" w:before="0" w:after="0"/>
        <w:ind w:left="1985" w:right="0" w:hanging="739"/>
        <w:jc w:val="left"/>
      </w:pPr>
      <w:r>
        <w:rPr>
          <w:w w:val="110"/>
        </w:rPr>
        <w:t>Ministries – accreditation</w:t>
      </w:r>
      <w:r>
        <w:rPr>
          <w:spacing w:val="-1"/>
          <w:w w:val="110"/>
        </w:rPr>
        <w:t> </w:t>
      </w:r>
      <w:r>
        <w:rPr>
          <w:w w:val="110"/>
        </w:rPr>
        <w:t>sub-committee</w:t>
      </w:r>
    </w:p>
    <w:p>
      <w:pPr>
        <w:pStyle w:val="BodyText"/>
        <w:spacing w:line="235" w:lineRule="auto"/>
        <w:ind w:left="1247" w:right="5691"/>
      </w:pPr>
      <w:r>
        <w:rPr>
          <w:w w:val="120"/>
        </w:rPr>
        <w:t>Convener: The Revd Fran Ruthven [2017] Secretary: Secretary for ministries</w:t>
      </w:r>
    </w:p>
    <w:p>
      <w:pPr>
        <w:pStyle w:val="BodyText"/>
        <w:spacing w:line="240" w:lineRule="exact"/>
        <w:ind w:left="1247"/>
      </w:pPr>
      <w:r>
        <w:rPr>
          <w:w w:val="125"/>
        </w:rPr>
        <w:t>The Revd Richard Church (synod moderator) [2017]</w:t>
      </w:r>
    </w:p>
    <w:p>
      <w:pPr>
        <w:pStyle w:val="BodyText"/>
        <w:tabs>
          <w:tab w:pos="5567" w:val="left" w:leader="none"/>
        </w:tabs>
        <w:spacing w:line="235" w:lineRule="auto"/>
        <w:ind w:left="1247" w:right="2741"/>
      </w:pPr>
      <w:r>
        <w:rPr>
          <w:w w:val="125"/>
        </w:rPr>
        <w:t>The Revd Helga Cornell</w:t>
      </w:r>
      <w:r>
        <w:rPr>
          <w:spacing w:val="6"/>
          <w:w w:val="125"/>
        </w:rPr>
        <w:t> </w:t>
      </w:r>
      <w:r>
        <w:rPr>
          <w:spacing w:val="-7"/>
          <w:w w:val="125"/>
        </w:rPr>
        <w:t>(6)</w:t>
      </w:r>
      <w:r>
        <w:rPr>
          <w:spacing w:val="2"/>
          <w:w w:val="125"/>
        </w:rPr>
        <w:t> </w:t>
      </w:r>
      <w:r>
        <w:rPr>
          <w:spacing w:val="-8"/>
          <w:w w:val="125"/>
        </w:rPr>
        <w:t>[2015]</w:t>
        <w:tab/>
      </w:r>
      <w:r>
        <w:rPr>
          <w:w w:val="125"/>
        </w:rPr>
        <w:t>The Revd Bridget Banks </w:t>
      </w:r>
      <w:r>
        <w:rPr>
          <w:spacing w:val="-14"/>
          <w:w w:val="125"/>
        </w:rPr>
        <w:t>(11) </w:t>
      </w:r>
      <w:r>
        <w:rPr>
          <w:spacing w:val="-8"/>
          <w:w w:val="125"/>
        </w:rPr>
        <w:t>[2017] </w:t>
      </w:r>
      <w:r>
        <w:rPr>
          <w:w w:val="125"/>
        </w:rPr>
        <w:t>The Revd Naison Hove</w:t>
      </w:r>
      <w:r>
        <w:rPr>
          <w:spacing w:val="-11"/>
          <w:w w:val="125"/>
        </w:rPr>
        <w:t> </w:t>
      </w:r>
      <w:r>
        <w:rPr>
          <w:spacing w:val="-9"/>
          <w:w w:val="125"/>
        </w:rPr>
        <w:t>(10)</w:t>
      </w:r>
      <w:r>
        <w:rPr>
          <w:spacing w:val="-2"/>
          <w:w w:val="125"/>
        </w:rPr>
        <w:t> </w:t>
      </w:r>
      <w:r>
        <w:rPr>
          <w:spacing w:val="-8"/>
          <w:w w:val="125"/>
        </w:rPr>
        <w:t>[2017]</w:t>
        <w:tab/>
      </w:r>
      <w:r>
        <w:rPr>
          <w:w w:val="125"/>
        </w:rPr>
        <w:t>The</w:t>
      </w:r>
      <w:r>
        <w:rPr>
          <w:spacing w:val="-25"/>
          <w:w w:val="125"/>
        </w:rPr>
        <w:t> </w:t>
      </w:r>
      <w:r>
        <w:rPr>
          <w:w w:val="125"/>
        </w:rPr>
        <w:t>Revd</w:t>
      </w:r>
      <w:r>
        <w:rPr>
          <w:spacing w:val="-25"/>
          <w:w w:val="125"/>
        </w:rPr>
        <w:t> </w:t>
      </w:r>
      <w:r>
        <w:rPr>
          <w:w w:val="125"/>
        </w:rPr>
        <w:t>Mark</w:t>
      </w:r>
      <w:r>
        <w:rPr>
          <w:spacing w:val="-26"/>
          <w:w w:val="125"/>
        </w:rPr>
        <w:t> </w:t>
      </w:r>
      <w:r>
        <w:rPr>
          <w:spacing w:val="-3"/>
          <w:w w:val="125"/>
        </w:rPr>
        <w:t>Robinson**(4)</w:t>
      </w:r>
      <w:r>
        <w:rPr>
          <w:spacing w:val="-25"/>
          <w:w w:val="125"/>
        </w:rPr>
        <w:t> </w:t>
      </w:r>
      <w:r>
        <w:rPr>
          <w:spacing w:val="-8"/>
          <w:w w:val="125"/>
        </w:rPr>
        <w:t>[2018]</w:t>
      </w:r>
    </w:p>
    <w:p>
      <w:pPr>
        <w:pStyle w:val="BodyText"/>
        <w:spacing w:before="2"/>
        <w:rPr>
          <w:sz w:val="18"/>
        </w:rPr>
      </w:pPr>
    </w:p>
    <w:p>
      <w:pPr>
        <w:pStyle w:val="Heading9"/>
        <w:numPr>
          <w:ilvl w:val="2"/>
          <w:numId w:val="82"/>
        </w:numPr>
        <w:tabs>
          <w:tab w:pos="1928" w:val="left" w:leader="none"/>
        </w:tabs>
        <w:spacing w:line="261" w:lineRule="exact" w:before="0" w:after="0"/>
        <w:ind w:left="1927" w:right="0" w:hanging="681"/>
        <w:jc w:val="left"/>
      </w:pPr>
      <w:r>
        <w:rPr>
          <w:w w:val="110"/>
        </w:rPr>
        <w:t>Ministries – </w:t>
      </w:r>
      <w:r>
        <w:rPr>
          <w:spacing w:val="2"/>
          <w:w w:val="110"/>
        </w:rPr>
        <w:t>CRCW </w:t>
      </w:r>
      <w:r>
        <w:rPr>
          <w:w w:val="110"/>
        </w:rPr>
        <w:t>programme</w:t>
      </w:r>
      <w:r>
        <w:rPr>
          <w:spacing w:val="-2"/>
          <w:w w:val="110"/>
        </w:rPr>
        <w:t> </w:t>
      </w:r>
      <w:r>
        <w:rPr>
          <w:w w:val="110"/>
        </w:rPr>
        <w:t>sub-committee</w:t>
      </w:r>
    </w:p>
    <w:p>
      <w:pPr>
        <w:pStyle w:val="BodyText"/>
        <w:spacing w:line="235" w:lineRule="auto"/>
        <w:ind w:left="1247" w:right="5691"/>
      </w:pPr>
      <w:r>
        <w:rPr>
          <w:w w:val="120"/>
        </w:rPr>
        <w:t>Convener: The Revd Jacky Embrey {2016] Secretaries: CRCW development workers</w:t>
      </w:r>
    </w:p>
    <w:p>
      <w:pPr>
        <w:pStyle w:val="BodyText"/>
        <w:tabs>
          <w:tab w:pos="5567" w:val="left" w:leader="none"/>
        </w:tabs>
        <w:spacing w:line="240" w:lineRule="exact"/>
        <w:ind w:left="1247"/>
      </w:pPr>
      <w:r>
        <w:rPr>
          <w:w w:val="125"/>
        </w:rPr>
        <w:t>The Revd Carolyn Smyth</w:t>
      </w:r>
      <w:r>
        <w:rPr>
          <w:spacing w:val="-9"/>
          <w:w w:val="125"/>
        </w:rPr>
        <w:t> </w:t>
      </w:r>
      <w:r>
        <w:rPr>
          <w:spacing w:val="-12"/>
          <w:w w:val="125"/>
        </w:rPr>
        <w:t>(13)</w:t>
      </w:r>
      <w:r>
        <w:rPr>
          <w:spacing w:val="-3"/>
          <w:w w:val="125"/>
        </w:rPr>
        <w:t> </w:t>
      </w:r>
      <w:r>
        <w:rPr>
          <w:spacing w:val="-7"/>
          <w:w w:val="125"/>
        </w:rPr>
        <w:t>[2016]</w:t>
        <w:tab/>
      </w:r>
      <w:r>
        <w:rPr>
          <w:w w:val="125"/>
        </w:rPr>
        <w:t>The Revd Keith Morrison </w:t>
      </w:r>
      <w:r>
        <w:rPr>
          <w:spacing w:val="-8"/>
          <w:w w:val="125"/>
        </w:rPr>
        <w:t>(5)</w:t>
      </w:r>
      <w:r>
        <w:rPr>
          <w:spacing w:val="-6"/>
          <w:w w:val="125"/>
        </w:rPr>
        <w:t> </w:t>
      </w:r>
      <w:r>
        <w:rPr>
          <w:spacing w:val="-7"/>
          <w:w w:val="125"/>
        </w:rPr>
        <w:t>[2016]</w:t>
      </w:r>
    </w:p>
    <w:p>
      <w:pPr>
        <w:pStyle w:val="BodyText"/>
        <w:tabs>
          <w:tab w:pos="5567" w:val="left" w:leader="none"/>
        </w:tabs>
        <w:spacing w:line="240" w:lineRule="exact"/>
        <w:ind w:left="1247"/>
      </w:pPr>
      <w:r>
        <w:rPr>
          <w:w w:val="125"/>
        </w:rPr>
        <w:t>The Revd Dr John Campbell</w:t>
      </w:r>
      <w:r>
        <w:rPr>
          <w:spacing w:val="-8"/>
          <w:w w:val="125"/>
        </w:rPr>
        <w:t> </w:t>
      </w:r>
      <w:r>
        <w:rPr>
          <w:spacing w:val="-9"/>
          <w:w w:val="125"/>
        </w:rPr>
        <w:t>(10)</w:t>
      </w:r>
      <w:r>
        <w:rPr>
          <w:spacing w:val="-1"/>
          <w:w w:val="125"/>
        </w:rPr>
        <w:t> </w:t>
      </w:r>
      <w:r>
        <w:rPr>
          <w:spacing w:val="-7"/>
          <w:w w:val="125"/>
        </w:rPr>
        <w:t>[2016]</w:t>
        <w:tab/>
      </w:r>
      <w:r>
        <w:rPr>
          <w:w w:val="125"/>
        </w:rPr>
        <w:t>Mr John Grundy </w:t>
      </w:r>
      <w:r>
        <w:rPr>
          <w:spacing w:val="-8"/>
          <w:w w:val="125"/>
        </w:rPr>
        <w:t>(3)</w:t>
      </w:r>
      <w:r>
        <w:rPr>
          <w:spacing w:val="-2"/>
          <w:w w:val="125"/>
        </w:rPr>
        <w:t> </w:t>
      </w:r>
      <w:r>
        <w:rPr>
          <w:spacing w:val="-8"/>
          <w:w w:val="125"/>
        </w:rPr>
        <w:t>[2017}</w:t>
      </w:r>
    </w:p>
    <w:p>
      <w:pPr>
        <w:pStyle w:val="BodyText"/>
        <w:tabs>
          <w:tab w:pos="5567" w:val="left" w:leader="none"/>
        </w:tabs>
        <w:spacing w:line="242" w:lineRule="exact"/>
        <w:ind w:left="1247"/>
      </w:pPr>
      <w:r>
        <w:rPr>
          <w:w w:val="120"/>
        </w:rPr>
        <w:t>Mrs Rosie Buxton**</w:t>
      </w:r>
      <w:r>
        <w:rPr>
          <w:spacing w:val="11"/>
          <w:w w:val="120"/>
        </w:rPr>
        <w:t> </w:t>
      </w:r>
      <w:r>
        <w:rPr>
          <w:spacing w:val="-10"/>
          <w:w w:val="120"/>
        </w:rPr>
        <w:t>(12)</w:t>
      </w:r>
      <w:r>
        <w:rPr>
          <w:spacing w:val="4"/>
          <w:w w:val="120"/>
        </w:rPr>
        <w:t> </w:t>
      </w:r>
      <w:r>
        <w:rPr>
          <w:spacing w:val="-8"/>
          <w:w w:val="120"/>
        </w:rPr>
        <w:t>[2018]</w:t>
        <w:tab/>
      </w:r>
      <w:r>
        <w:rPr>
          <w:w w:val="120"/>
        </w:rPr>
        <w:t>The Revd Simon Walkling (synod</w:t>
      </w:r>
      <w:r>
        <w:rPr>
          <w:spacing w:val="15"/>
          <w:w w:val="120"/>
        </w:rPr>
        <w:t> </w:t>
      </w:r>
      <w:r>
        <w:rPr>
          <w:w w:val="120"/>
        </w:rPr>
        <w:t>moderator)</w:t>
      </w:r>
    </w:p>
    <w:p>
      <w:pPr>
        <w:pStyle w:val="BodyText"/>
        <w:spacing w:before="11"/>
        <w:rPr>
          <w:sz w:val="17"/>
        </w:rPr>
      </w:pPr>
    </w:p>
    <w:p>
      <w:pPr>
        <w:pStyle w:val="Heading9"/>
        <w:numPr>
          <w:ilvl w:val="2"/>
          <w:numId w:val="82"/>
        </w:numPr>
        <w:tabs>
          <w:tab w:pos="1928" w:val="left" w:leader="none"/>
        </w:tabs>
        <w:spacing w:line="261" w:lineRule="exact" w:before="0" w:after="0"/>
        <w:ind w:left="1927" w:right="0" w:hanging="681"/>
        <w:jc w:val="left"/>
      </w:pPr>
      <w:r>
        <w:rPr>
          <w:w w:val="110"/>
        </w:rPr>
        <w:t>Ministries – maintenance of ministry sub-committee</w:t>
      </w:r>
    </w:p>
    <w:p>
      <w:pPr>
        <w:pStyle w:val="BodyText"/>
        <w:spacing w:line="233" w:lineRule="exact"/>
        <w:ind w:left="1247"/>
      </w:pPr>
      <w:r>
        <w:rPr>
          <w:w w:val="120"/>
        </w:rPr>
        <w:t>Convener: The Revd Pamela Ward [2017]</w:t>
      </w:r>
    </w:p>
    <w:p>
      <w:pPr>
        <w:pStyle w:val="BodyText"/>
        <w:tabs>
          <w:tab w:pos="5567" w:val="left" w:leader="none"/>
        </w:tabs>
        <w:spacing w:line="240" w:lineRule="exact"/>
        <w:ind w:left="1247"/>
      </w:pPr>
      <w:r>
        <w:rPr>
          <w:w w:val="125"/>
        </w:rPr>
        <w:t>The Revd Richard Turnbull</w:t>
      </w:r>
      <w:r>
        <w:rPr>
          <w:spacing w:val="-30"/>
          <w:w w:val="125"/>
        </w:rPr>
        <w:t> </w:t>
      </w:r>
      <w:r>
        <w:rPr>
          <w:spacing w:val="-8"/>
          <w:w w:val="125"/>
        </w:rPr>
        <w:t>(5 [2015]</w:t>
        <w:tab/>
      </w:r>
      <w:r>
        <w:rPr>
          <w:w w:val="125"/>
        </w:rPr>
        <w:t>Mr Peter Rippon </w:t>
      </w:r>
      <w:r>
        <w:rPr>
          <w:spacing w:val="-8"/>
          <w:w w:val="125"/>
        </w:rPr>
        <w:t>(5)</w:t>
      </w:r>
      <w:r>
        <w:rPr>
          <w:spacing w:val="-3"/>
          <w:w w:val="125"/>
        </w:rPr>
        <w:t> </w:t>
      </w:r>
      <w:r>
        <w:rPr>
          <w:spacing w:val="-7"/>
          <w:w w:val="125"/>
        </w:rPr>
        <w:t>[2016]</w:t>
      </w:r>
    </w:p>
    <w:p>
      <w:pPr>
        <w:pStyle w:val="BodyText"/>
        <w:tabs>
          <w:tab w:pos="5567" w:val="left" w:leader="none"/>
        </w:tabs>
        <w:spacing w:line="240" w:lineRule="exact"/>
        <w:ind w:left="1247"/>
      </w:pPr>
      <w:r>
        <w:rPr>
          <w:w w:val="125"/>
        </w:rPr>
        <w:t>Mrs Eilidh </w:t>
      </w:r>
      <w:r>
        <w:rPr>
          <w:spacing w:val="-3"/>
          <w:w w:val="125"/>
        </w:rPr>
        <w:t>Young</w:t>
      </w:r>
      <w:r>
        <w:rPr>
          <w:spacing w:val="-1"/>
          <w:w w:val="125"/>
        </w:rPr>
        <w:t> </w:t>
      </w:r>
      <w:r>
        <w:rPr>
          <w:spacing w:val="-12"/>
          <w:w w:val="125"/>
        </w:rPr>
        <w:t>(13)</w:t>
      </w:r>
      <w:r>
        <w:rPr>
          <w:w w:val="125"/>
        </w:rPr>
        <w:t> </w:t>
      </w:r>
      <w:r>
        <w:rPr>
          <w:spacing w:val="-7"/>
          <w:w w:val="125"/>
        </w:rPr>
        <w:t>[2016]</w:t>
        <w:tab/>
      </w:r>
      <w:r>
        <w:rPr>
          <w:w w:val="125"/>
        </w:rPr>
        <w:t>The Revd Sue Kirkbride** </w:t>
      </w:r>
      <w:r>
        <w:rPr>
          <w:spacing w:val="-12"/>
          <w:w w:val="125"/>
        </w:rPr>
        <w:t>(13)</w:t>
      </w:r>
      <w:r>
        <w:rPr>
          <w:spacing w:val="-8"/>
          <w:w w:val="125"/>
        </w:rPr>
        <w:t> [2018]</w:t>
      </w:r>
    </w:p>
    <w:p>
      <w:pPr>
        <w:pStyle w:val="BodyText"/>
        <w:spacing w:line="242" w:lineRule="exact"/>
        <w:ind w:left="1247"/>
      </w:pPr>
      <w:r>
        <w:rPr>
          <w:w w:val="120"/>
        </w:rPr>
        <w:t>Mr David Black ** (6) [2018]</w:t>
      </w:r>
    </w:p>
    <w:p>
      <w:pPr>
        <w:pStyle w:val="BodyText"/>
        <w:spacing w:before="3"/>
        <w:rPr>
          <w:sz w:val="18"/>
        </w:rPr>
      </w:pPr>
    </w:p>
    <w:p>
      <w:pPr>
        <w:pStyle w:val="Heading9"/>
        <w:numPr>
          <w:ilvl w:val="2"/>
          <w:numId w:val="82"/>
        </w:numPr>
        <w:tabs>
          <w:tab w:pos="1928" w:val="left" w:leader="none"/>
        </w:tabs>
        <w:spacing w:line="261" w:lineRule="exact" w:before="0" w:after="0"/>
        <w:ind w:left="1927" w:right="0" w:hanging="681"/>
        <w:jc w:val="left"/>
      </w:pPr>
      <w:r>
        <w:rPr>
          <w:w w:val="110"/>
        </w:rPr>
        <w:t>Ministries – retired ministers’ housing sub-committee</w:t>
      </w:r>
    </w:p>
    <w:p>
      <w:pPr>
        <w:spacing w:line="235" w:lineRule="auto" w:before="0"/>
        <w:ind w:left="1247" w:right="2823" w:firstLine="0"/>
        <w:jc w:val="left"/>
        <w:rPr>
          <w:i/>
          <w:sz w:val="20"/>
        </w:rPr>
      </w:pPr>
      <w:r>
        <w:rPr>
          <w:i/>
          <w:w w:val="110"/>
          <w:sz w:val="20"/>
        </w:rPr>
        <w:t>(Members will normally serve for four years but appointments may be extended for a </w:t>
      </w:r>
      <w:r>
        <w:rPr>
          <w:i/>
          <w:w w:val="110"/>
          <w:sz w:val="20"/>
        </w:rPr>
        <w:t>further two years)</w:t>
      </w:r>
    </w:p>
    <w:p>
      <w:pPr>
        <w:pStyle w:val="BodyText"/>
        <w:spacing w:line="235" w:lineRule="auto"/>
        <w:ind w:left="1247" w:right="5691"/>
      </w:pPr>
      <w:r>
        <w:rPr>
          <w:w w:val="120"/>
        </w:rPr>
        <w:t>Convener: The Revd David Bedford [2016] Secretary: Retired ministers’ housing society Ltd</w:t>
      </w:r>
    </w:p>
    <w:p>
      <w:pPr>
        <w:spacing w:after="0" w:line="235" w:lineRule="auto"/>
        <w:sectPr>
          <w:headerReference w:type="even" r:id="rId333"/>
          <w:footerReference w:type="even" r:id="rId334"/>
          <w:footerReference w:type="default" r:id="rId335"/>
          <w:pgSz w:w="11910" w:h="16840"/>
          <w:pgMar w:header="0" w:footer="647" w:top="0" w:bottom="840" w:left="0" w:right="0"/>
          <w:pgNumType w:start="142"/>
        </w:sectPr>
      </w:pPr>
    </w:p>
    <w:p>
      <w:pPr>
        <w:pStyle w:val="BodyText"/>
      </w:pPr>
      <w:r>
        <w:rPr/>
        <w:drawing>
          <wp:anchor distT="0" distB="0" distL="0" distR="0" allowOverlap="1" layoutInCell="1" locked="0" behindDoc="0" simplePos="0" relativeHeight="252038144">
            <wp:simplePos x="0" y="0"/>
            <wp:positionH relativeFrom="page">
              <wp:posOffset>6974928</wp:posOffset>
            </wp:positionH>
            <wp:positionV relativeFrom="page">
              <wp:posOffset>0</wp:posOffset>
            </wp:positionV>
            <wp:extent cx="585063" cy="10692003"/>
            <wp:effectExtent l="0" t="0" r="0" b="0"/>
            <wp:wrapNone/>
            <wp:docPr id="265" name="image25.png"/>
            <wp:cNvGraphicFramePr>
              <a:graphicFrameLocks noChangeAspect="1"/>
            </wp:cNvGraphicFramePr>
            <a:graphic>
              <a:graphicData uri="http://schemas.openxmlformats.org/drawingml/2006/picture">
                <pic:pic>
                  <pic:nvPicPr>
                    <pic:cNvPr id="266" name="image25.png"/>
                    <pic:cNvPicPr/>
                  </pic:nvPicPr>
                  <pic:blipFill>
                    <a:blip r:embed="rId192"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131.3pt;mso-position-horizontal-relative:page;mso-position-vertical-relative:paragraph;z-index:252039168" type="#_x0000_t202" filled="false" stroked="false">
            <v:textbox inset="0,0,0,0" style="layout-flow:vertical">
              <w:txbxContent>
                <w:p>
                  <w:pPr>
                    <w:spacing w:before="27"/>
                    <w:ind w:left="20" w:right="0" w:firstLine="0"/>
                    <w:jc w:val="left"/>
                    <w:rPr>
                      <w:sz w:val="39"/>
                    </w:rPr>
                  </w:pPr>
                  <w:r>
                    <w:rPr>
                      <w:color w:val="FFFFFF"/>
                      <w:w w:val="120"/>
                      <w:sz w:val="39"/>
                    </w:rPr>
                    <w:t>Nominations</w:t>
                  </w:r>
                </w:p>
              </w:txbxContent>
            </v:textbox>
            <w10:wrap type="none"/>
          </v:shape>
        </w:pict>
      </w:r>
      <w:r>
        <w:rPr>
          <w:color w:val="7EAABF"/>
          <w:w w:val="115"/>
          <w:sz w:val="26"/>
        </w:rPr>
        <w:t>Nominations</w:t>
      </w:r>
    </w:p>
    <w:p>
      <w:pPr>
        <w:pStyle w:val="BodyText"/>
        <w:tabs>
          <w:tab w:pos="5584" w:val="left" w:leader="none"/>
        </w:tabs>
        <w:spacing w:line="235" w:lineRule="auto" w:before="222"/>
        <w:ind w:left="1984" w:right="1245"/>
        <w:jc w:val="both"/>
      </w:pPr>
      <w:r>
        <w:rPr>
          <w:w w:val="120"/>
        </w:rPr>
        <w:t>The Revd Anne Bedford </w:t>
      </w:r>
      <w:r>
        <w:rPr>
          <w:spacing w:val="-8"/>
          <w:w w:val="120"/>
        </w:rPr>
        <w:t>(3) [2015]  </w:t>
      </w:r>
      <w:r>
        <w:rPr>
          <w:w w:val="120"/>
        </w:rPr>
        <w:t>The </w:t>
      </w:r>
      <w:r>
        <w:rPr>
          <w:spacing w:val="-3"/>
          <w:w w:val="120"/>
        </w:rPr>
        <w:t>Revd </w:t>
      </w:r>
      <w:r>
        <w:rPr>
          <w:w w:val="120"/>
        </w:rPr>
        <w:t>John Humphreys </w:t>
      </w:r>
      <w:r>
        <w:rPr>
          <w:spacing w:val="-4"/>
          <w:w w:val="120"/>
        </w:rPr>
        <w:t>(synod </w:t>
      </w:r>
      <w:r>
        <w:rPr>
          <w:spacing w:val="-3"/>
          <w:w w:val="120"/>
        </w:rPr>
        <w:t>moderator) </w:t>
      </w:r>
      <w:r>
        <w:rPr>
          <w:spacing w:val="-9"/>
          <w:w w:val="120"/>
        </w:rPr>
        <w:t>[2015] </w:t>
      </w:r>
      <w:r>
        <w:rPr>
          <w:w w:val="120"/>
        </w:rPr>
        <w:t>Mr Peter West</w:t>
      </w:r>
      <w:r>
        <w:rPr>
          <w:spacing w:val="15"/>
          <w:w w:val="120"/>
        </w:rPr>
        <w:t> </w:t>
      </w:r>
      <w:r>
        <w:rPr>
          <w:w w:val="120"/>
        </w:rPr>
        <w:t>(7)</w:t>
      </w:r>
      <w:r>
        <w:rPr>
          <w:spacing w:val="6"/>
          <w:w w:val="120"/>
        </w:rPr>
        <w:t> </w:t>
      </w:r>
      <w:r>
        <w:rPr>
          <w:spacing w:val="-8"/>
          <w:w w:val="120"/>
        </w:rPr>
        <w:t>[2015]</w:t>
        <w:tab/>
      </w:r>
      <w:r>
        <w:rPr>
          <w:w w:val="120"/>
        </w:rPr>
        <w:t>Mr Malcolm Lindo </w:t>
      </w:r>
      <w:r>
        <w:rPr>
          <w:spacing w:val="-9"/>
          <w:w w:val="120"/>
        </w:rPr>
        <w:t>(10)</w:t>
      </w:r>
      <w:r>
        <w:rPr>
          <w:spacing w:val="16"/>
          <w:w w:val="120"/>
        </w:rPr>
        <w:t> </w:t>
      </w:r>
      <w:r>
        <w:rPr>
          <w:spacing w:val="-7"/>
          <w:w w:val="120"/>
        </w:rPr>
        <w:t>[2016]</w:t>
      </w:r>
    </w:p>
    <w:p>
      <w:pPr>
        <w:spacing w:line="233" w:lineRule="exact" w:before="0"/>
        <w:ind w:left="1984" w:right="0" w:firstLine="0"/>
        <w:jc w:val="both"/>
        <w:rPr>
          <w:sz w:val="20"/>
        </w:rPr>
      </w:pPr>
      <w:r>
        <w:rPr>
          <w:w w:val="115"/>
          <w:sz w:val="20"/>
        </w:rPr>
        <w:t>[</w:t>
      </w:r>
      <w:r>
        <w:rPr>
          <w:i/>
          <w:w w:val="115"/>
          <w:sz w:val="20"/>
        </w:rPr>
        <w:t>ex-officio</w:t>
      </w:r>
      <w:r>
        <w:rPr>
          <w:w w:val="115"/>
          <w:sz w:val="20"/>
        </w:rPr>
        <w:t>: Honorary treasurer]</w:t>
      </w:r>
    </w:p>
    <w:p>
      <w:pPr>
        <w:spacing w:line="230" w:lineRule="auto" w:before="0"/>
        <w:ind w:left="1984" w:right="2125" w:firstLine="0"/>
        <w:jc w:val="both"/>
        <w:rPr>
          <w:i/>
          <w:sz w:val="20"/>
        </w:rPr>
      </w:pPr>
      <w:r>
        <w:rPr>
          <w:w w:val="110"/>
          <w:sz w:val="20"/>
        </w:rPr>
        <w:t>(</w:t>
      </w:r>
      <w:r>
        <w:rPr>
          <w:i/>
          <w:w w:val="110"/>
          <w:sz w:val="20"/>
        </w:rPr>
        <w:t>Properties are managed by a company viz: </w:t>
      </w:r>
      <w:r>
        <w:rPr>
          <w:rFonts w:ascii="Stone Sans II ITC Std Bk" w:hAnsi="Stone Sans II ITC Std Bk"/>
          <w:b/>
          <w:i/>
          <w:w w:val="110"/>
          <w:sz w:val="20"/>
        </w:rPr>
        <w:t>Retired ministers’ housing society Ltd</w:t>
      </w:r>
      <w:r>
        <w:rPr>
          <w:i/>
          <w:w w:val="110"/>
          <w:sz w:val="20"/>
        </w:rPr>
        <w:t>. </w:t>
      </w:r>
      <w:r>
        <w:rPr>
          <w:i/>
          <w:w w:val="110"/>
          <w:sz w:val="20"/>
        </w:rPr>
        <w:t>Details of the members of the board etc may be obtained from the secretary, Mr Andy Bottomley, at Church House)</w:t>
      </w:r>
    </w:p>
    <w:p>
      <w:pPr>
        <w:pStyle w:val="BodyText"/>
        <w:spacing w:before="3"/>
        <w:rPr>
          <w:i/>
          <w:sz w:val="18"/>
        </w:rPr>
      </w:pPr>
    </w:p>
    <w:p>
      <w:pPr>
        <w:pStyle w:val="ListParagraph"/>
        <w:numPr>
          <w:ilvl w:val="2"/>
          <w:numId w:val="82"/>
        </w:numPr>
        <w:tabs>
          <w:tab w:pos="2665" w:val="left" w:leader="none"/>
        </w:tabs>
        <w:spacing w:line="261" w:lineRule="exact" w:before="0" w:after="0"/>
        <w:ind w:left="2664" w:right="0" w:hanging="681"/>
        <w:jc w:val="left"/>
        <w:rPr>
          <w:rFonts w:ascii="Stone Sans II ITC Std Sm"/>
          <w:b/>
          <w:sz w:val="20"/>
        </w:rPr>
      </w:pPr>
      <w:r>
        <w:rPr>
          <w:rFonts w:ascii="Stone Sans II ITC Std Sm"/>
          <w:b/>
          <w:w w:val="110"/>
          <w:sz w:val="20"/>
        </w:rPr>
        <w:t>Assessment</w:t>
      </w:r>
      <w:r>
        <w:rPr>
          <w:rFonts w:ascii="Stone Sans II ITC Std Sm"/>
          <w:b/>
          <w:spacing w:val="-1"/>
          <w:w w:val="110"/>
          <w:sz w:val="20"/>
        </w:rPr>
        <w:t> </w:t>
      </w:r>
      <w:r>
        <w:rPr>
          <w:rFonts w:ascii="Stone Sans II ITC Std Sm"/>
          <w:b/>
          <w:w w:val="110"/>
          <w:sz w:val="20"/>
        </w:rPr>
        <w:t>board</w:t>
      </w:r>
    </w:p>
    <w:p>
      <w:pPr>
        <w:pStyle w:val="BodyText"/>
        <w:spacing w:line="235" w:lineRule="auto"/>
        <w:ind w:left="1984" w:right="3769"/>
      </w:pPr>
      <w:r>
        <w:rPr>
          <w:w w:val="120"/>
        </w:rPr>
        <w:t>(Members usually serve for five years as training is required) Convener: Dr Ewan Harley [2019]</w:t>
      </w:r>
    </w:p>
    <w:p>
      <w:pPr>
        <w:pStyle w:val="BodyText"/>
        <w:spacing w:before="1"/>
        <w:rPr>
          <w:sz w:val="19"/>
        </w:rPr>
      </w:pPr>
    </w:p>
    <w:p>
      <w:pPr>
        <w:pStyle w:val="BodyText"/>
        <w:spacing w:line="242" w:lineRule="exact"/>
        <w:ind w:left="1984"/>
      </w:pPr>
      <w:r>
        <w:rPr>
          <w:w w:val="120"/>
        </w:rPr>
        <w:t>Retiring 2015:</w:t>
      </w:r>
    </w:p>
    <w:p>
      <w:pPr>
        <w:pStyle w:val="BodyText"/>
        <w:tabs>
          <w:tab w:pos="5584" w:val="left" w:leader="none"/>
        </w:tabs>
        <w:spacing w:line="240" w:lineRule="exact"/>
        <w:ind w:left="1984"/>
      </w:pPr>
      <w:r>
        <w:rPr>
          <w:w w:val="125"/>
        </w:rPr>
        <w:t>Mrs Judith</w:t>
      </w:r>
      <w:r>
        <w:rPr>
          <w:spacing w:val="-34"/>
          <w:w w:val="125"/>
        </w:rPr>
        <w:t> </w:t>
      </w:r>
      <w:r>
        <w:rPr>
          <w:w w:val="125"/>
        </w:rPr>
        <w:t>Garthwaite</w:t>
      </w:r>
      <w:r>
        <w:rPr>
          <w:spacing w:val="-16"/>
          <w:w w:val="125"/>
        </w:rPr>
        <w:t> </w:t>
      </w:r>
      <w:r>
        <w:rPr>
          <w:spacing w:val="-10"/>
          <w:w w:val="125"/>
        </w:rPr>
        <w:t>(4)</w:t>
        <w:tab/>
      </w:r>
      <w:r>
        <w:rPr>
          <w:w w:val="125"/>
        </w:rPr>
        <w:t>Mr Rod Morrison</w:t>
      </w:r>
      <w:r>
        <w:rPr>
          <w:spacing w:val="-3"/>
          <w:w w:val="125"/>
        </w:rPr>
        <w:t> </w:t>
      </w:r>
      <w:r>
        <w:rPr>
          <w:spacing w:val="-10"/>
          <w:w w:val="125"/>
        </w:rPr>
        <w:t>(4)</w:t>
      </w:r>
    </w:p>
    <w:p>
      <w:pPr>
        <w:pStyle w:val="BodyText"/>
        <w:tabs>
          <w:tab w:pos="5584" w:val="left" w:leader="none"/>
        </w:tabs>
        <w:spacing w:line="242" w:lineRule="exact"/>
        <w:ind w:left="1984"/>
      </w:pPr>
      <w:r>
        <w:rPr>
          <w:w w:val="125"/>
        </w:rPr>
        <w:t>Ms Mercy</w:t>
      </w:r>
      <w:r>
        <w:rPr>
          <w:spacing w:val="-23"/>
          <w:w w:val="125"/>
        </w:rPr>
        <w:t> </w:t>
      </w:r>
      <w:r>
        <w:rPr>
          <w:w w:val="125"/>
        </w:rPr>
        <w:t>Nimako</w:t>
      </w:r>
      <w:r>
        <w:rPr>
          <w:spacing w:val="-11"/>
          <w:w w:val="125"/>
        </w:rPr>
        <w:t> </w:t>
      </w:r>
      <w:r>
        <w:rPr>
          <w:spacing w:val="-14"/>
          <w:w w:val="125"/>
        </w:rPr>
        <w:t>(11)</w:t>
        <w:tab/>
      </w:r>
      <w:r>
        <w:rPr>
          <w:w w:val="125"/>
        </w:rPr>
        <w:t>Mrs Maureen Campbell</w:t>
      </w:r>
      <w:r>
        <w:rPr>
          <w:spacing w:val="-3"/>
          <w:w w:val="125"/>
        </w:rPr>
        <w:t> </w:t>
      </w:r>
      <w:r>
        <w:rPr>
          <w:spacing w:val="-9"/>
          <w:w w:val="125"/>
        </w:rPr>
        <w:t>(10)</w:t>
      </w:r>
    </w:p>
    <w:p>
      <w:pPr>
        <w:pStyle w:val="BodyText"/>
        <w:spacing w:before="4"/>
        <w:rPr>
          <w:sz w:val="19"/>
        </w:rPr>
      </w:pPr>
    </w:p>
    <w:p>
      <w:pPr>
        <w:pStyle w:val="BodyText"/>
        <w:spacing w:line="242" w:lineRule="exact"/>
        <w:ind w:left="1984"/>
      </w:pPr>
      <w:r>
        <w:rPr>
          <w:w w:val="120"/>
        </w:rPr>
        <w:t>Retiring 2016:</w:t>
      </w:r>
    </w:p>
    <w:p>
      <w:pPr>
        <w:pStyle w:val="BodyText"/>
        <w:tabs>
          <w:tab w:pos="5584" w:val="left" w:leader="none"/>
        </w:tabs>
        <w:spacing w:line="235" w:lineRule="auto" w:before="1"/>
        <w:ind w:left="1984" w:right="3286"/>
      </w:pPr>
      <w:r>
        <w:rPr>
          <w:w w:val="120"/>
        </w:rPr>
        <w:t>Mrs Adella</w:t>
      </w:r>
      <w:r>
        <w:rPr>
          <w:spacing w:val="10"/>
          <w:w w:val="120"/>
        </w:rPr>
        <w:t> </w:t>
      </w:r>
      <w:r>
        <w:rPr>
          <w:w w:val="120"/>
        </w:rPr>
        <w:t>Pritchard</w:t>
      </w:r>
      <w:r>
        <w:rPr>
          <w:spacing w:val="5"/>
          <w:w w:val="120"/>
        </w:rPr>
        <w:t> </w:t>
      </w:r>
      <w:r>
        <w:rPr>
          <w:spacing w:val="-7"/>
          <w:w w:val="120"/>
        </w:rPr>
        <w:t>(6)</w:t>
        <w:tab/>
      </w:r>
      <w:r>
        <w:rPr>
          <w:w w:val="120"/>
        </w:rPr>
        <w:t>The Revd Franziska Herring </w:t>
      </w:r>
      <w:r>
        <w:rPr>
          <w:spacing w:val="-7"/>
          <w:w w:val="120"/>
        </w:rPr>
        <w:t>(6), </w:t>
      </w:r>
      <w:r>
        <w:rPr>
          <w:w w:val="120"/>
        </w:rPr>
        <w:t>The Revd Sue Kirkbride</w:t>
      </w:r>
      <w:r>
        <w:rPr>
          <w:spacing w:val="11"/>
          <w:w w:val="120"/>
        </w:rPr>
        <w:t> </w:t>
      </w:r>
      <w:r>
        <w:rPr>
          <w:spacing w:val="-12"/>
          <w:w w:val="120"/>
        </w:rPr>
        <w:t>(13)</w:t>
      </w:r>
    </w:p>
    <w:p>
      <w:pPr>
        <w:pStyle w:val="BodyText"/>
        <w:spacing w:before="6"/>
        <w:rPr>
          <w:sz w:val="19"/>
        </w:rPr>
      </w:pPr>
    </w:p>
    <w:p>
      <w:pPr>
        <w:pStyle w:val="BodyText"/>
        <w:spacing w:line="242" w:lineRule="exact"/>
        <w:ind w:left="1984"/>
      </w:pPr>
      <w:r>
        <w:rPr>
          <w:w w:val="120"/>
        </w:rPr>
        <w:t>Retiring 2017:</w:t>
      </w:r>
    </w:p>
    <w:p>
      <w:pPr>
        <w:pStyle w:val="BodyText"/>
        <w:tabs>
          <w:tab w:pos="5584" w:val="left" w:leader="none"/>
        </w:tabs>
        <w:spacing w:line="240" w:lineRule="exact"/>
        <w:ind w:left="1984"/>
      </w:pPr>
      <w:r>
        <w:rPr>
          <w:w w:val="125"/>
        </w:rPr>
        <w:t>Ms Alex</w:t>
      </w:r>
      <w:r>
        <w:rPr>
          <w:spacing w:val="-21"/>
          <w:w w:val="125"/>
        </w:rPr>
        <w:t> </w:t>
      </w:r>
      <w:r>
        <w:rPr>
          <w:w w:val="125"/>
        </w:rPr>
        <w:t>Bediako</w:t>
      </w:r>
      <w:r>
        <w:rPr>
          <w:spacing w:val="-11"/>
          <w:w w:val="125"/>
        </w:rPr>
        <w:t> </w:t>
      </w:r>
      <w:r>
        <w:rPr>
          <w:spacing w:val="-9"/>
          <w:w w:val="125"/>
        </w:rPr>
        <w:t>(10)</w:t>
        <w:tab/>
      </w:r>
      <w:r>
        <w:rPr>
          <w:w w:val="125"/>
        </w:rPr>
        <w:t>Mr Bill Gould</w:t>
      </w:r>
      <w:r>
        <w:rPr>
          <w:spacing w:val="-1"/>
          <w:w w:val="125"/>
        </w:rPr>
        <w:t> </w:t>
      </w:r>
      <w:r>
        <w:rPr>
          <w:spacing w:val="-8"/>
          <w:w w:val="125"/>
        </w:rPr>
        <w:t>(3)</w:t>
      </w:r>
    </w:p>
    <w:p>
      <w:pPr>
        <w:pStyle w:val="BodyText"/>
        <w:tabs>
          <w:tab w:pos="5584" w:val="left" w:leader="none"/>
        </w:tabs>
        <w:spacing w:line="242" w:lineRule="exact"/>
        <w:ind w:left="1984"/>
      </w:pPr>
      <w:r>
        <w:rPr>
          <w:w w:val="120"/>
        </w:rPr>
        <w:t>The Revd Peter</w:t>
      </w:r>
      <w:r>
        <w:rPr>
          <w:spacing w:val="26"/>
          <w:w w:val="120"/>
        </w:rPr>
        <w:t> </w:t>
      </w:r>
      <w:r>
        <w:rPr>
          <w:w w:val="120"/>
        </w:rPr>
        <w:t>Henderson</w:t>
      </w:r>
      <w:r>
        <w:rPr>
          <w:spacing w:val="9"/>
          <w:w w:val="120"/>
        </w:rPr>
        <w:t> </w:t>
      </w:r>
      <w:r>
        <w:rPr>
          <w:spacing w:val="-8"/>
          <w:w w:val="120"/>
        </w:rPr>
        <w:t>(8)</w:t>
        <w:tab/>
      </w:r>
      <w:r>
        <w:rPr>
          <w:w w:val="120"/>
        </w:rPr>
        <w:t>The Revd Shahbaz Javed</w:t>
      </w:r>
      <w:r>
        <w:rPr>
          <w:spacing w:val="11"/>
          <w:w w:val="120"/>
        </w:rPr>
        <w:t> </w:t>
      </w:r>
      <w:r>
        <w:rPr>
          <w:spacing w:val="-9"/>
          <w:w w:val="120"/>
        </w:rPr>
        <w:t>(10)</w:t>
      </w:r>
    </w:p>
    <w:p>
      <w:pPr>
        <w:pStyle w:val="BodyText"/>
        <w:spacing w:before="4"/>
        <w:rPr>
          <w:sz w:val="19"/>
        </w:rPr>
      </w:pPr>
    </w:p>
    <w:p>
      <w:pPr>
        <w:pStyle w:val="BodyText"/>
        <w:spacing w:line="242" w:lineRule="exact"/>
        <w:ind w:left="1984"/>
      </w:pPr>
      <w:r>
        <w:rPr>
          <w:w w:val="120"/>
        </w:rPr>
        <w:t>Retiring 2018:</w:t>
      </w:r>
    </w:p>
    <w:p>
      <w:pPr>
        <w:pStyle w:val="BodyText"/>
        <w:tabs>
          <w:tab w:pos="5584" w:val="left" w:leader="none"/>
        </w:tabs>
        <w:spacing w:line="235" w:lineRule="auto" w:before="2"/>
        <w:ind w:left="1984" w:right="3678"/>
      </w:pPr>
      <w:r>
        <w:rPr>
          <w:w w:val="120"/>
        </w:rPr>
        <w:t>The Revd</w:t>
      </w:r>
      <w:r>
        <w:rPr>
          <w:spacing w:val="13"/>
          <w:w w:val="120"/>
        </w:rPr>
        <w:t> </w:t>
      </w:r>
      <w:r>
        <w:rPr>
          <w:w w:val="120"/>
        </w:rPr>
        <w:t>Kim</w:t>
      </w:r>
      <w:r>
        <w:rPr>
          <w:spacing w:val="7"/>
          <w:w w:val="120"/>
        </w:rPr>
        <w:t> </w:t>
      </w:r>
      <w:r>
        <w:rPr>
          <w:w w:val="120"/>
        </w:rPr>
        <w:t>Plumpton</w:t>
        <w:tab/>
        <w:t>The Revd </w:t>
      </w:r>
      <w:r>
        <w:rPr>
          <w:spacing w:val="2"/>
          <w:w w:val="120"/>
        </w:rPr>
        <w:t>Mary </w:t>
      </w:r>
      <w:r>
        <w:rPr>
          <w:w w:val="120"/>
        </w:rPr>
        <w:t>Thomas </w:t>
      </w:r>
      <w:r>
        <w:rPr>
          <w:spacing w:val="-8"/>
          <w:w w:val="120"/>
        </w:rPr>
        <w:t>(9) </w:t>
      </w:r>
      <w:r>
        <w:rPr>
          <w:w w:val="120"/>
        </w:rPr>
        <w:t>The Revd Ruth Allen</w:t>
      </w:r>
      <w:r>
        <w:rPr>
          <w:spacing w:val="10"/>
          <w:w w:val="120"/>
        </w:rPr>
        <w:t> </w:t>
      </w:r>
      <w:r>
        <w:rPr>
          <w:spacing w:val="-8"/>
          <w:w w:val="120"/>
        </w:rPr>
        <w:t>(5)</w:t>
      </w:r>
    </w:p>
    <w:p>
      <w:pPr>
        <w:pStyle w:val="BodyText"/>
        <w:spacing w:before="5"/>
        <w:rPr>
          <w:sz w:val="19"/>
        </w:rPr>
      </w:pPr>
    </w:p>
    <w:p>
      <w:pPr>
        <w:pStyle w:val="BodyText"/>
        <w:spacing w:line="242" w:lineRule="exact" w:before="1"/>
        <w:ind w:left="1984"/>
      </w:pPr>
      <w:r>
        <w:rPr>
          <w:w w:val="120"/>
        </w:rPr>
        <w:t>Retiring 2019:</w:t>
      </w:r>
    </w:p>
    <w:p>
      <w:pPr>
        <w:pStyle w:val="BodyText"/>
        <w:tabs>
          <w:tab w:pos="5584" w:val="left" w:leader="none"/>
        </w:tabs>
        <w:spacing w:line="235" w:lineRule="auto" w:before="1"/>
        <w:ind w:left="1984" w:right="3769"/>
      </w:pPr>
      <w:r>
        <w:rPr>
          <w:w w:val="120"/>
        </w:rPr>
        <w:t>The Revd Stuart</w:t>
      </w:r>
      <w:r>
        <w:rPr>
          <w:spacing w:val="-9"/>
          <w:w w:val="120"/>
        </w:rPr>
        <w:t> </w:t>
      </w:r>
      <w:r>
        <w:rPr>
          <w:w w:val="120"/>
        </w:rPr>
        <w:t>Radcliffe**</w:t>
      </w:r>
      <w:r>
        <w:rPr>
          <w:spacing w:val="-2"/>
          <w:w w:val="120"/>
        </w:rPr>
        <w:t> </w:t>
      </w:r>
      <w:r>
        <w:rPr>
          <w:spacing w:val="-8"/>
          <w:w w:val="120"/>
        </w:rPr>
        <w:t>(2)</w:t>
        <w:tab/>
      </w:r>
      <w:r>
        <w:rPr>
          <w:w w:val="120"/>
        </w:rPr>
        <w:t>The Revd Sohail Ejaz** (7) The Revd Peter Rand</w:t>
      </w:r>
      <w:r>
        <w:rPr>
          <w:spacing w:val="-9"/>
          <w:w w:val="120"/>
        </w:rPr>
        <w:t> </w:t>
      </w:r>
      <w:r>
        <w:rPr>
          <w:spacing w:val="3"/>
          <w:w w:val="120"/>
        </w:rPr>
        <w:t>**</w:t>
      </w:r>
      <w:r>
        <w:rPr>
          <w:spacing w:val="-2"/>
          <w:w w:val="120"/>
        </w:rPr>
        <w:t> </w:t>
      </w:r>
      <w:r>
        <w:rPr>
          <w:spacing w:val="-11"/>
          <w:w w:val="120"/>
        </w:rPr>
        <w:t>(1)</w:t>
        <w:tab/>
      </w:r>
      <w:r>
        <w:rPr>
          <w:w w:val="120"/>
        </w:rPr>
        <w:t>1</w:t>
      </w:r>
      <w:r>
        <w:rPr>
          <w:spacing w:val="3"/>
          <w:w w:val="120"/>
        </w:rPr>
        <w:t> </w:t>
      </w:r>
      <w:r>
        <w:rPr>
          <w:w w:val="120"/>
        </w:rPr>
        <w:t>vacancy</w:t>
      </w:r>
    </w:p>
    <w:p>
      <w:pPr>
        <w:pStyle w:val="BodyText"/>
        <w:spacing w:before="1"/>
        <w:rPr>
          <w:sz w:val="19"/>
        </w:rPr>
      </w:pPr>
    </w:p>
    <w:p>
      <w:pPr>
        <w:pStyle w:val="ListParagraph"/>
        <w:numPr>
          <w:ilvl w:val="1"/>
          <w:numId w:val="82"/>
        </w:numPr>
        <w:tabs>
          <w:tab w:pos="2664" w:val="left" w:leader="none"/>
          <w:tab w:pos="2665" w:val="left" w:leader="none"/>
        </w:tabs>
        <w:spacing w:line="230" w:lineRule="auto" w:before="1" w:after="0"/>
        <w:ind w:left="1984" w:right="5513" w:firstLine="0"/>
        <w:jc w:val="left"/>
        <w:rPr>
          <w:rFonts w:ascii="Stone Sans II ITC Std Bk"/>
          <w:sz w:val="20"/>
        </w:rPr>
      </w:pPr>
      <w:r>
        <w:rPr>
          <w:rFonts w:ascii="Stone Sans II ITC Std Bk"/>
          <w:b/>
          <w:w w:val="110"/>
          <w:sz w:val="20"/>
        </w:rPr>
        <w:t>Education and learning committee </w:t>
      </w:r>
      <w:r>
        <w:rPr>
          <w:w w:val="120"/>
          <w:sz w:val="20"/>
        </w:rPr>
        <w:t>Convener: The Revd John Smith </w:t>
      </w:r>
      <w:r>
        <w:rPr>
          <w:spacing w:val="-8"/>
          <w:w w:val="120"/>
          <w:sz w:val="20"/>
        </w:rPr>
        <w:t>[2015] </w:t>
      </w:r>
      <w:r>
        <w:rPr>
          <w:w w:val="120"/>
          <w:sz w:val="20"/>
        </w:rPr>
        <w:t>Convener-elect:</w:t>
      </w:r>
      <w:r>
        <w:rPr>
          <w:spacing w:val="2"/>
          <w:w w:val="120"/>
          <w:sz w:val="20"/>
        </w:rPr>
        <w:t> </w:t>
      </w:r>
      <w:r>
        <w:rPr>
          <w:w w:val="120"/>
          <w:sz w:val="20"/>
        </w:rPr>
        <w:t>#</w:t>
      </w:r>
    </w:p>
    <w:p>
      <w:pPr>
        <w:pStyle w:val="BodyText"/>
        <w:spacing w:line="238" w:lineRule="exact"/>
        <w:ind w:left="1984"/>
      </w:pPr>
      <w:r>
        <w:rPr>
          <w:w w:val="120"/>
        </w:rPr>
        <w:t>Secretary: Secretary for education and learning</w:t>
      </w:r>
    </w:p>
    <w:p>
      <w:pPr>
        <w:pStyle w:val="BodyText"/>
        <w:tabs>
          <w:tab w:pos="5584" w:val="left" w:leader="none"/>
        </w:tabs>
        <w:spacing w:line="240" w:lineRule="exact"/>
        <w:ind w:left="1984"/>
      </w:pPr>
      <w:r>
        <w:rPr>
          <w:w w:val="125"/>
        </w:rPr>
        <w:t>Mrs Liz Bird</w:t>
      </w:r>
      <w:r>
        <w:rPr>
          <w:spacing w:val="-2"/>
          <w:w w:val="125"/>
        </w:rPr>
        <w:t> </w:t>
      </w:r>
      <w:r>
        <w:rPr>
          <w:w w:val="125"/>
        </w:rPr>
        <w:t>(7)</w:t>
      </w:r>
      <w:r>
        <w:rPr>
          <w:spacing w:val="-1"/>
          <w:w w:val="125"/>
        </w:rPr>
        <w:t> </w:t>
      </w:r>
      <w:r>
        <w:rPr>
          <w:spacing w:val="-8"/>
          <w:w w:val="125"/>
        </w:rPr>
        <w:t>[2015]</w:t>
        <w:tab/>
      </w:r>
      <w:r>
        <w:rPr>
          <w:w w:val="125"/>
        </w:rPr>
        <w:t>Mr Mal Breeze </w:t>
      </w:r>
      <w:r>
        <w:rPr>
          <w:spacing w:val="-10"/>
          <w:w w:val="125"/>
        </w:rPr>
        <w:t>(12)</w:t>
      </w:r>
      <w:r>
        <w:rPr>
          <w:spacing w:val="-3"/>
          <w:w w:val="125"/>
        </w:rPr>
        <w:t> </w:t>
      </w:r>
      <w:r>
        <w:rPr>
          <w:spacing w:val="-7"/>
          <w:w w:val="125"/>
        </w:rPr>
        <w:t>[2016]</w:t>
      </w:r>
    </w:p>
    <w:p>
      <w:pPr>
        <w:pStyle w:val="BodyText"/>
        <w:tabs>
          <w:tab w:pos="5584" w:val="left" w:leader="none"/>
        </w:tabs>
        <w:spacing w:line="240" w:lineRule="exact"/>
        <w:ind w:left="1984"/>
      </w:pPr>
      <w:r>
        <w:rPr>
          <w:w w:val="120"/>
        </w:rPr>
        <w:t>Mrs Julie Jefferson</w:t>
      </w:r>
      <w:r>
        <w:rPr>
          <w:spacing w:val="8"/>
          <w:w w:val="120"/>
        </w:rPr>
        <w:t> </w:t>
      </w:r>
      <w:r>
        <w:rPr>
          <w:spacing w:val="-7"/>
          <w:w w:val="120"/>
        </w:rPr>
        <w:t>(6)</w:t>
      </w:r>
      <w:r>
        <w:rPr>
          <w:spacing w:val="3"/>
          <w:w w:val="120"/>
        </w:rPr>
        <w:t> </w:t>
      </w:r>
      <w:r>
        <w:rPr>
          <w:spacing w:val="-7"/>
          <w:w w:val="120"/>
        </w:rPr>
        <w:t>[2016]</w:t>
        <w:tab/>
      </w:r>
      <w:r>
        <w:rPr>
          <w:w w:val="120"/>
        </w:rPr>
        <w:t>The Revd Dr Irene John </w:t>
      </w:r>
      <w:r>
        <w:rPr>
          <w:spacing w:val="-12"/>
          <w:w w:val="120"/>
        </w:rPr>
        <w:t>(13)</w:t>
      </w:r>
      <w:r>
        <w:rPr>
          <w:spacing w:val="21"/>
          <w:w w:val="120"/>
        </w:rPr>
        <w:t> </w:t>
      </w:r>
      <w:r>
        <w:rPr>
          <w:spacing w:val="-7"/>
          <w:w w:val="120"/>
        </w:rPr>
        <w:t>[2016]</w:t>
      </w:r>
    </w:p>
    <w:p>
      <w:pPr>
        <w:pStyle w:val="BodyText"/>
        <w:tabs>
          <w:tab w:pos="5584" w:val="left" w:leader="none"/>
        </w:tabs>
        <w:spacing w:line="235" w:lineRule="auto" w:before="1"/>
        <w:ind w:left="1984" w:right="3495"/>
      </w:pPr>
      <w:r>
        <w:rPr>
          <w:w w:val="120"/>
        </w:rPr>
        <w:t>Ms Ellen Quayle</w:t>
      </w:r>
      <w:r>
        <w:rPr>
          <w:spacing w:val="46"/>
          <w:w w:val="120"/>
        </w:rPr>
        <w:t> </w:t>
      </w:r>
      <w:r>
        <w:rPr>
          <w:spacing w:val="-9"/>
          <w:w w:val="120"/>
        </w:rPr>
        <w:t>(10)</w:t>
      </w:r>
      <w:r>
        <w:rPr>
          <w:spacing w:val="15"/>
          <w:w w:val="120"/>
        </w:rPr>
        <w:t> </w:t>
      </w:r>
      <w:r>
        <w:rPr>
          <w:spacing w:val="-8"/>
          <w:w w:val="120"/>
        </w:rPr>
        <w:t>[2017]</w:t>
        <w:tab/>
      </w:r>
      <w:r>
        <w:rPr>
          <w:w w:val="120"/>
        </w:rPr>
        <w:t>Mrs Sheila Telfer** </w:t>
      </w:r>
      <w:r>
        <w:rPr>
          <w:spacing w:val="-10"/>
          <w:w w:val="120"/>
        </w:rPr>
        <w:t>(4) </w:t>
      </w:r>
      <w:r>
        <w:rPr>
          <w:spacing w:val="-8"/>
          <w:w w:val="120"/>
        </w:rPr>
        <w:t>[2018] </w:t>
      </w:r>
      <w:r>
        <w:rPr>
          <w:w w:val="120"/>
        </w:rPr>
        <w:t>The Revd Ros Lyle**</w:t>
      </w:r>
      <w:r>
        <w:rPr>
          <w:spacing w:val="24"/>
          <w:w w:val="120"/>
        </w:rPr>
        <w:t> </w:t>
      </w:r>
      <w:r>
        <w:rPr>
          <w:spacing w:val="-9"/>
          <w:w w:val="120"/>
        </w:rPr>
        <w:t>(10)</w:t>
      </w:r>
      <w:r>
        <w:rPr>
          <w:spacing w:val="6"/>
          <w:w w:val="120"/>
        </w:rPr>
        <w:t> </w:t>
      </w:r>
      <w:r>
        <w:rPr>
          <w:spacing w:val="-7"/>
          <w:w w:val="120"/>
        </w:rPr>
        <w:t>[2018}</w:t>
        <w:tab/>
      </w:r>
      <w:r>
        <w:rPr>
          <w:w w:val="120"/>
        </w:rPr>
        <w:t>vacancy</w:t>
      </w:r>
    </w:p>
    <w:p>
      <w:pPr>
        <w:pStyle w:val="BodyText"/>
        <w:spacing w:line="240" w:lineRule="exact"/>
        <w:ind w:left="1984"/>
      </w:pPr>
      <w:r>
        <w:rPr>
          <w:w w:val="120"/>
        </w:rPr>
        <w:t>The Revd Jack Dyce (resource centre)</w:t>
      </w:r>
    </w:p>
    <w:p>
      <w:pPr>
        <w:pStyle w:val="BodyText"/>
        <w:spacing w:line="242" w:lineRule="exact"/>
        <w:ind w:left="1984"/>
      </w:pPr>
      <w:r>
        <w:rPr>
          <w:w w:val="120"/>
        </w:rPr>
        <w:t>The Revd David Salsbury (synod development officer)</w:t>
      </w:r>
    </w:p>
    <w:p>
      <w:pPr>
        <w:pStyle w:val="BodyText"/>
        <w:spacing w:before="4"/>
        <w:rPr>
          <w:sz w:val="18"/>
        </w:rPr>
      </w:pPr>
    </w:p>
    <w:p>
      <w:pPr>
        <w:pStyle w:val="Heading9"/>
        <w:numPr>
          <w:ilvl w:val="2"/>
          <w:numId w:val="82"/>
        </w:numPr>
        <w:tabs>
          <w:tab w:pos="2665" w:val="left" w:leader="none"/>
        </w:tabs>
        <w:spacing w:line="261" w:lineRule="exact" w:before="0" w:after="0"/>
        <w:ind w:left="2664" w:right="0" w:hanging="681"/>
        <w:jc w:val="left"/>
      </w:pPr>
      <w:r>
        <w:rPr>
          <w:w w:val="110"/>
        </w:rPr>
        <w:t>Windermere management</w:t>
      </w:r>
      <w:r>
        <w:rPr>
          <w:spacing w:val="-1"/>
          <w:w w:val="110"/>
        </w:rPr>
        <w:t> </w:t>
      </w:r>
      <w:r>
        <w:rPr>
          <w:w w:val="110"/>
        </w:rPr>
        <w:t>committee</w:t>
      </w:r>
    </w:p>
    <w:p>
      <w:pPr>
        <w:pStyle w:val="BodyText"/>
        <w:spacing w:line="233" w:lineRule="exact"/>
        <w:ind w:left="1984"/>
      </w:pPr>
      <w:r>
        <w:rPr>
          <w:w w:val="120"/>
        </w:rPr>
        <w:t>Convener: The Revd Mitchell Bunting</w:t>
      </w:r>
    </w:p>
    <w:p>
      <w:pPr>
        <w:pStyle w:val="BodyText"/>
        <w:spacing w:line="240" w:lineRule="exact"/>
        <w:ind w:left="1984"/>
      </w:pPr>
      <w:r>
        <w:rPr>
          <w:w w:val="125"/>
        </w:rPr>
        <w:t>Minute secretary: Mrs Jenny Poulter (4) [2016]</w:t>
      </w:r>
    </w:p>
    <w:p>
      <w:pPr>
        <w:pStyle w:val="BodyText"/>
        <w:tabs>
          <w:tab w:pos="5584" w:val="left" w:leader="none"/>
          <w:tab w:pos="6304" w:val="left" w:leader="none"/>
        </w:tabs>
        <w:spacing w:line="235" w:lineRule="auto" w:before="2"/>
        <w:ind w:left="1984" w:right="3818"/>
      </w:pPr>
      <w:r>
        <w:rPr>
          <w:w w:val="120"/>
        </w:rPr>
        <w:t>Mr Peter</w:t>
      </w:r>
      <w:r>
        <w:rPr>
          <w:spacing w:val="3"/>
          <w:w w:val="120"/>
        </w:rPr>
        <w:t> </w:t>
      </w:r>
      <w:r>
        <w:rPr>
          <w:w w:val="120"/>
        </w:rPr>
        <w:t>Farrand</w:t>
      </w:r>
      <w:r>
        <w:rPr>
          <w:spacing w:val="2"/>
          <w:w w:val="120"/>
        </w:rPr>
        <w:t> </w:t>
      </w:r>
      <w:r>
        <w:rPr>
          <w:spacing w:val="-8"/>
          <w:w w:val="120"/>
        </w:rPr>
        <w:t>[2015]</w:t>
        <w:tab/>
      </w:r>
      <w:r>
        <w:rPr>
          <w:w w:val="120"/>
        </w:rPr>
        <w:t>Dr Peter Clarke </w:t>
      </w:r>
      <w:r>
        <w:rPr>
          <w:spacing w:val="-11"/>
          <w:w w:val="120"/>
        </w:rPr>
        <w:t>(1) </w:t>
      </w:r>
      <w:r>
        <w:rPr>
          <w:spacing w:val="-8"/>
          <w:w w:val="120"/>
        </w:rPr>
        <w:t>[2015] </w:t>
      </w:r>
      <w:r>
        <w:rPr>
          <w:w w:val="120"/>
        </w:rPr>
        <w:t>The Revd Jan</w:t>
      </w:r>
      <w:r>
        <w:rPr>
          <w:spacing w:val="24"/>
          <w:w w:val="120"/>
        </w:rPr>
        <w:t> </w:t>
      </w:r>
      <w:r>
        <w:rPr>
          <w:w w:val="120"/>
        </w:rPr>
        <w:t>Adamson</w:t>
      </w:r>
      <w:r>
        <w:rPr>
          <w:spacing w:val="8"/>
          <w:w w:val="120"/>
        </w:rPr>
        <w:t> </w:t>
      </w:r>
      <w:r>
        <w:rPr>
          <w:spacing w:val="-8"/>
          <w:w w:val="120"/>
        </w:rPr>
        <w:t>[2017]</w:t>
        <w:tab/>
        <w:tab/>
      </w:r>
      <w:r>
        <w:rPr>
          <w:w w:val="120"/>
        </w:rPr>
        <w:t>vacancy</w:t>
      </w:r>
    </w:p>
    <w:p>
      <w:pPr>
        <w:pStyle w:val="BodyText"/>
        <w:spacing w:before="5"/>
        <w:rPr>
          <w:sz w:val="18"/>
        </w:rPr>
      </w:pPr>
    </w:p>
    <w:p>
      <w:pPr>
        <w:pStyle w:val="ListParagraph"/>
        <w:numPr>
          <w:ilvl w:val="2"/>
          <w:numId w:val="82"/>
        </w:numPr>
        <w:tabs>
          <w:tab w:pos="2784" w:val="left" w:leader="none"/>
          <w:tab w:pos="2785" w:val="left" w:leader="none"/>
        </w:tabs>
        <w:spacing w:line="261" w:lineRule="exact" w:before="0" w:after="0"/>
        <w:ind w:left="2784" w:right="0" w:hanging="801"/>
        <w:jc w:val="left"/>
        <w:rPr>
          <w:rFonts w:ascii="Stone Sans II ITC Std Sm"/>
          <w:b/>
          <w:sz w:val="20"/>
        </w:rPr>
      </w:pPr>
      <w:r>
        <w:rPr>
          <w:rFonts w:ascii="Stone Sans II ITC Std Sm"/>
          <w:b/>
          <w:w w:val="110"/>
          <w:sz w:val="20"/>
        </w:rPr>
        <w:t>Education for ministry phase 2 and 3 </w:t>
      </w:r>
      <w:r>
        <w:rPr>
          <w:rFonts w:ascii="Stone Sans II ITC Std Sm"/>
          <w:b/>
          <w:spacing w:val="-4"/>
          <w:w w:val="110"/>
          <w:sz w:val="20"/>
        </w:rPr>
        <w:t>(EM2/3)</w:t>
      </w:r>
      <w:r>
        <w:rPr>
          <w:rFonts w:ascii="Stone Sans II ITC Std Sm"/>
          <w:b/>
          <w:w w:val="110"/>
          <w:sz w:val="20"/>
        </w:rPr>
        <w:t> sub-committee</w:t>
      </w:r>
    </w:p>
    <w:p>
      <w:pPr>
        <w:pStyle w:val="BodyText"/>
        <w:spacing w:line="233" w:lineRule="exact"/>
        <w:ind w:left="1984"/>
      </w:pPr>
      <w:r>
        <w:rPr>
          <w:w w:val="120"/>
        </w:rPr>
        <w:t>Convener: The Revd Dr </w:t>
      </w:r>
      <w:r>
        <w:rPr>
          <w:spacing w:val="2"/>
          <w:w w:val="120"/>
        </w:rPr>
        <w:t>Robert</w:t>
      </w:r>
      <w:r>
        <w:rPr>
          <w:spacing w:val="48"/>
          <w:w w:val="120"/>
        </w:rPr>
        <w:t> </w:t>
      </w:r>
      <w:r>
        <w:rPr>
          <w:w w:val="120"/>
        </w:rPr>
        <w:t>Pope</w:t>
      </w:r>
    </w:p>
    <w:p>
      <w:pPr>
        <w:pStyle w:val="BodyText"/>
        <w:spacing w:line="235" w:lineRule="auto" w:before="2"/>
        <w:ind w:left="1984" w:right="5011"/>
      </w:pPr>
      <w:r>
        <w:rPr>
          <w:w w:val="120"/>
        </w:rPr>
        <w:t>Minute secretary: The Revd Elizabeth Gray-King The Revd Sue Fender (EM2</w:t>
      </w:r>
      <w:r>
        <w:rPr>
          <w:spacing w:val="10"/>
          <w:w w:val="120"/>
        </w:rPr>
        <w:t> </w:t>
      </w:r>
      <w:r>
        <w:rPr>
          <w:w w:val="120"/>
        </w:rPr>
        <w:t>minister)</w:t>
      </w:r>
    </w:p>
    <w:p>
      <w:pPr>
        <w:pStyle w:val="BodyText"/>
        <w:spacing w:line="240" w:lineRule="exact"/>
        <w:ind w:left="1984"/>
      </w:pPr>
      <w:r>
        <w:rPr>
          <w:w w:val="125"/>
        </w:rPr>
        <w:t>Mrs Marie Trubic (CRCW)</w:t>
      </w:r>
    </w:p>
    <w:p>
      <w:pPr>
        <w:pStyle w:val="BodyText"/>
        <w:spacing w:line="240" w:lineRule="exact"/>
        <w:ind w:left="1984"/>
      </w:pPr>
      <w:r>
        <w:rPr>
          <w:w w:val="125"/>
        </w:rPr>
        <w:t>The Revd David Downing (EM3 minister)</w:t>
      </w:r>
    </w:p>
    <w:p>
      <w:pPr>
        <w:pStyle w:val="BodyText"/>
        <w:spacing w:line="235" w:lineRule="auto" w:before="2"/>
        <w:ind w:left="1984" w:right="3717"/>
      </w:pPr>
      <w:r>
        <w:rPr>
          <w:w w:val="120"/>
        </w:rPr>
        <w:t>The Revd Anne Sardeson (training and development officer) The Revd Dr James Coleman (training and development officer) </w:t>
      </w:r>
      <w:r>
        <w:rPr>
          <w:i/>
          <w:w w:val="120"/>
        </w:rPr>
        <w:t>[Ex officio</w:t>
      </w:r>
      <w:r>
        <w:rPr>
          <w:w w:val="120"/>
        </w:rPr>
        <w:t>: Secretary for education and</w:t>
      </w:r>
      <w:r>
        <w:rPr>
          <w:spacing w:val="2"/>
          <w:w w:val="120"/>
        </w:rPr>
        <w:t> </w:t>
      </w:r>
      <w:r>
        <w:rPr>
          <w:w w:val="120"/>
        </w:rPr>
        <w:t>learning</w:t>
      </w:r>
    </w:p>
    <w:p>
      <w:pPr>
        <w:pStyle w:val="BodyText"/>
        <w:spacing w:line="243" w:lineRule="exact"/>
        <w:ind w:left="1984"/>
      </w:pPr>
      <w:r>
        <w:rPr>
          <w:w w:val="120"/>
        </w:rPr>
        <w:t>Convener, education and learning committee, Secretary for ministries]</w:t>
      </w:r>
    </w:p>
    <w:p>
      <w:pPr>
        <w:spacing w:after="0" w:line="243" w:lineRule="exact"/>
        <w:sectPr>
          <w:headerReference w:type="default" r:id="rId336"/>
          <w:pgSz w:w="11910" w:h="16840"/>
          <w:pgMar w:header="0" w:footer="647" w:top="0" w:bottom="840" w:left="0" w:right="0"/>
        </w:sectPr>
      </w:pPr>
    </w:p>
    <w:p>
      <w:pPr>
        <w:pStyle w:val="BodyText"/>
      </w:pPr>
      <w:r>
        <w:rPr/>
        <w:drawing>
          <wp:anchor distT="0" distB="0" distL="0" distR="0" allowOverlap="1" layoutInCell="1" locked="0" behindDoc="0" simplePos="0" relativeHeight="252040192">
            <wp:simplePos x="0" y="0"/>
            <wp:positionH relativeFrom="page">
              <wp:posOffset>0</wp:posOffset>
            </wp:positionH>
            <wp:positionV relativeFrom="page">
              <wp:posOffset>0</wp:posOffset>
            </wp:positionV>
            <wp:extent cx="594067" cy="10692003"/>
            <wp:effectExtent l="0" t="0" r="0" b="0"/>
            <wp:wrapNone/>
            <wp:docPr id="267" name="image28.png"/>
            <wp:cNvGraphicFramePr>
              <a:graphicFrameLocks noChangeAspect="1"/>
            </wp:cNvGraphicFramePr>
            <a:graphic>
              <a:graphicData uri="http://schemas.openxmlformats.org/drawingml/2006/picture">
                <pic:pic>
                  <pic:nvPicPr>
                    <pic:cNvPr id="268" name="image28.png"/>
                    <pic:cNvPicPr/>
                  </pic:nvPicPr>
                  <pic:blipFill>
                    <a:blip r:embed="rId198"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shape style="position:absolute;margin-left:20.519100pt;margin-top:22.593945pt;width:25.9pt;height:131.3pt;mso-position-horizontal-relative:page;mso-position-vertical-relative:paragraph;z-index:252041216" type="#_x0000_t202" filled="false" stroked="false">
            <v:textbox inset="0,0,0,0" style="layout-flow:vertical">
              <w:txbxContent>
                <w:p>
                  <w:pPr>
                    <w:spacing w:before="27"/>
                    <w:ind w:left="20" w:right="0" w:firstLine="0"/>
                    <w:jc w:val="left"/>
                    <w:rPr>
                      <w:sz w:val="39"/>
                    </w:rPr>
                  </w:pPr>
                  <w:r>
                    <w:rPr>
                      <w:color w:val="FFFFFF"/>
                      <w:w w:val="120"/>
                      <w:sz w:val="39"/>
                    </w:rPr>
                    <w:t>Nominations</w:t>
                  </w:r>
                </w:p>
              </w:txbxContent>
            </v:textbox>
            <w10:wrap type="none"/>
          </v:shape>
        </w:pict>
      </w:r>
      <w:r>
        <w:rPr>
          <w:color w:val="7EAABF"/>
          <w:w w:val="115"/>
        </w:rPr>
        <w:t>Nominations</w:t>
      </w:r>
    </w:p>
    <w:p>
      <w:pPr>
        <w:pStyle w:val="Heading9"/>
        <w:numPr>
          <w:ilvl w:val="2"/>
          <w:numId w:val="82"/>
        </w:numPr>
        <w:tabs>
          <w:tab w:pos="1986" w:val="left" w:leader="none"/>
        </w:tabs>
        <w:spacing w:line="261" w:lineRule="exact" w:before="205" w:after="0"/>
        <w:ind w:left="1985" w:right="0" w:hanging="739"/>
        <w:jc w:val="left"/>
      </w:pPr>
      <w:r>
        <w:rPr>
          <w:w w:val="110"/>
        </w:rPr>
        <w:t>Education and learning finance sub-committee</w:t>
      </w:r>
    </w:p>
    <w:p>
      <w:pPr>
        <w:pStyle w:val="BodyText"/>
        <w:spacing w:line="235" w:lineRule="auto"/>
        <w:ind w:left="1247" w:right="5177"/>
      </w:pPr>
      <w:r>
        <w:rPr>
          <w:w w:val="120"/>
        </w:rPr>
        <w:t>Chair: The Revd John Smith (acting in a vacancy) Minutes secretary: Secretary for education and learning Member: Mr Lyndon Oelmann</w:t>
      </w:r>
    </w:p>
    <w:p>
      <w:pPr>
        <w:spacing w:line="240" w:lineRule="exact" w:before="0"/>
        <w:ind w:left="1247" w:right="0" w:firstLine="0"/>
        <w:jc w:val="left"/>
        <w:rPr>
          <w:sz w:val="20"/>
        </w:rPr>
      </w:pPr>
      <w:r>
        <w:rPr>
          <w:i/>
          <w:w w:val="120"/>
          <w:sz w:val="20"/>
        </w:rPr>
        <w:t>Ex-officio</w:t>
      </w:r>
      <w:r>
        <w:rPr>
          <w:w w:val="120"/>
          <w:sz w:val="20"/>
        </w:rPr>
        <w:t>: URC Treasurer (John Ellis)</w:t>
      </w:r>
    </w:p>
    <w:p>
      <w:pPr>
        <w:spacing w:line="242" w:lineRule="exact" w:before="0"/>
        <w:ind w:left="1247" w:right="0" w:firstLine="0"/>
        <w:jc w:val="left"/>
        <w:rPr>
          <w:sz w:val="20"/>
        </w:rPr>
      </w:pPr>
      <w:r>
        <w:rPr>
          <w:i/>
          <w:w w:val="120"/>
          <w:sz w:val="20"/>
        </w:rPr>
        <w:t>Staff in attendance</w:t>
      </w:r>
      <w:r>
        <w:rPr>
          <w:w w:val="120"/>
          <w:sz w:val="20"/>
        </w:rPr>
        <w:t>: Chief finance officer, education and learning finance officer</w:t>
      </w:r>
    </w:p>
    <w:p>
      <w:pPr>
        <w:pStyle w:val="BodyText"/>
        <w:spacing w:before="7"/>
        <w:rPr>
          <w:sz w:val="18"/>
        </w:rPr>
      </w:pPr>
    </w:p>
    <w:p>
      <w:pPr>
        <w:pStyle w:val="ListParagraph"/>
        <w:numPr>
          <w:ilvl w:val="1"/>
          <w:numId w:val="82"/>
        </w:numPr>
        <w:tabs>
          <w:tab w:pos="1927" w:val="left" w:leader="none"/>
          <w:tab w:pos="1928" w:val="left" w:leader="none"/>
        </w:tabs>
        <w:spacing w:line="230" w:lineRule="auto" w:before="0" w:after="0"/>
        <w:ind w:left="1247" w:right="5930" w:firstLine="0"/>
        <w:jc w:val="left"/>
        <w:rPr>
          <w:rFonts w:ascii="Stone Sans II ITC Std Bk" w:hAnsi="Stone Sans II ITC Std Bk"/>
          <w:sz w:val="20"/>
        </w:rPr>
      </w:pPr>
      <w:r>
        <w:rPr>
          <w:rFonts w:ascii="Stone Sans II ITC Std Bk" w:hAnsi="Stone Sans II ITC Std Bk"/>
          <w:b/>
          <w:w w:val="110"/>
          <w:sz w:val="20"/>
        </w:rPr>
        <w:t>Children’s and youth work committee </w:t>
      </w:r>
      <w:r>
        <w:rPr>
          <w:w w:val="120"/>
          <w:sz w:val="20"/>
        </w:rPr>
        <w:t>Convener: The Revd Tim Meachin </w:t>
      </w:r>
      <w:r>
        <w:rPr>
          <w:spacing w:val="-8"/>
          <w:w w:val="120"/>
          <w:sz w:val="20"/>
        </w:rPr>
        <w:t>(2017) </w:t>
      </w:r>
      <w:r>
        <w:rPr>
          <w:w w:val="120"/>
          <w:sz w:val="20"/>
        </w:rPr>
        <w:t>Secretary: Head of </w:t>
      </w:r>
      <w:r>
        <w:rPr>
          <w:spacing w:val="-3"/>
          <w:w w:val="120"/>
          <w:sz w:val="20"/>
        </w:rPr>
        <w:t>childen’s </w:t>
      </w:r>
      <w:r>
        <w:rPr>
          <w:w w:val="120"/>
          <w:sz w:val="20"/>
        </w:rPr>
        <w:t>and youth</w:t>
      </w:r>
      <w:r>
        <w:rPr>
          <w:spacing w:val="35"/>
          <w:w w:val="120"/>
          <w:sz w:val="20"/>
        </w:rPr>
        <w:t> </w:t>
      </w:r>
      <w:r>
        <w:rPr>
          <w:w w:val="120"/>
          <w:sz w:val="20"/>
        </w:rPr>
        <w:t>work</w:t>
      </w:r>
    </w:p>
    <w:p>
      <w:pPr>
        <w:pStyle w:val="BodyText"/>
        <w:tabs>
          <w:tab w:pos="5567" w:val="left" w:leader="none"/>
        </w:tabs>
        <w:spacing w:line="238" w:lineRule="exact"/>
        <w:ind w:left="1247"/>
      </w:pPr>
      <w:r>
        <w:rPr>
          <w:w w:val="125"/>
        </w:rPr>
        <w:t>The Revd Tim Lowe</w:t>
      </w:r>
      <w:r>
        <w:rPr>
          <w:spacing w:val="-2"/>
          <w:w w:val="125"/>
        </w:rPr>
        <w:t> </w:t>
      </w:r>
      <w:r>
        <w:rPr>
          <w:spacing w:val="-7"/>
          <w:w w:val="125"/>
        </w:rPr>
        <w:t>(6)</w:t>
      </w:r>
      <w:r>
        <w:rPr>
          <w:w w:val="125"/>
        </w:rPr>
        <w:t> </w:t>
      </w:r>
      <w:r>
        <w:rPr>
          <w:spacing w:val="-8"/>
          <w:w w:val="125"/>
        </w:rPr>
        <w:t>[2015]</w:t>
        <w:tab/>
      </w:r>
      <w:r>
        <w:rPr>
          <w:w w:val="125"/>
        </w:rPr>
        <w:t>The Revd Sue McKenzie </w:t>
      </w:r>
      <w:r>
        <w:rPr>
          <w:spacing w:val="-9"/>
          <w:w w:val="125"/>
        </w:rPr>
        <w:t>(10)</w:t>
      </w:r>
      <w:r>
        <w:rPr>
          <w:spacing w:val="-4"/>
          <w:w w:val="125"/>
        </w:rPr>
        <w:t> </w:t>
      </w:r>
      <w:r>
        <w:rPr>
          <w:spacing w:val="-8"/>
          <w:w w:val="125"/>
        </w:rPr>
        <w:t>[2015]</w:t>
      </w:r>
    </w:p>
    <w:p>
      <w:pPr>
        <w:pStyle w:val="BodyText"/>
        <w:tabs>
          <w:tab w:pos="5567" w:val="left" w:leader="none"/>
        </w:tabs>
        <w:spacing w:line="240" w:lineRule="exact"/>
        <w:ind w:left="1247"/>
      </w:pPr>
      <w:r>
        <w:rPr>
          <w:w w:val="125"/>
        </w:rPr>
        <w:t>Ms Alison Hadley</w:t>
      </w:r>
      <w:r>
        <w:rPr>
          <w:spacing w:val="-11"/>
          <w:w w:val="125"/>
        </w:rPr>
        <w:t> </w:t>
      </w:r>
      <w:r>
        <w:rPr>
          <w:spacing w:val="-8"/>
          <w:w w:val="125"/>
        </w:rPr>
        <w:t>(5)</w:t>
      </w:r>
      <w:r>
        <w:rPr>
          <w:spacing w:val="-4"/>
          <w:w w:val="125"/>
        </w:rPr>
        <w:t> </w:t>
      </w:r>
      <w:r>
        <w:rPr>
          <w:spacing w:val="-8"/>
          <w:w w:val="125"/>
        </w:rPr>
        <w:t>[2015]</w:t>
        <w:tab/>
      </w:r>
      <w:r>
        <w:rPr>
          <w:w w:val="125"/>
        </w:rPr>
        <w:t>Mr Mick Smerdon </w:t>
      </w:r>
      <w:r>
        <w:rPr>
          <w:spacing w:val="-12"/>
          <w:w w:val="125"/>
        </w:rPr>
        <w:t>(13)</w:t>
      </w:r>
      <w:r>
        <w:rPr>
          <w:spacing w:val="-3"/>
          <w:w w:val="125"/>
        </w:rPr>
        <w:t> </w:t>
      </w:r>
      <w:r>
        <w:rPr>
          <w:spacing w:val="-7"/>
          <w:w w:val="125"/>
        </w:rPr>
        <w:t>[2016]</w:t>
      </w:r>
    </w:p>
    <w:p>
      <w:pPr>
        <w:pStyle w:val="BodyText"/>
        <w:tabs>
          <w:tab w:pos="5567" w:val="left" w:leader="none"/>
        </w:tabs>
        <w:spacing w:line="240" w:lineRule="exact"/>
        <w:ind w:left="1247"/>
      </w:pPr>
      <w:r>
        <w:rPr>
          <w:w w:val="125"/>
        </w:rPr>
        <w:t>Mr Philip Reeve</w:t>
      </w:r>
      <w:r>
        <w:rPr>
          <w:spacing w:val="-17"/>
          <w:w w:val="125"/>
        </w:rPr>
        <w:t> </w:t>
      </w:r>
      <w:r>
        <w:rPr>
          <w:spacing w:val="-8"/>
          <w:w w:val="125"/>
        </w:rPr>
        <w:t>(3)</w:t>
      </w:r>
      <w:r>
        <w:rPr>
          <w:spacing w:val="-6"/>
          <w:w w:val="125"/>
        </w:rPr>
        <w:t> </w:t>
      </w:r>
      <w:r>
        <w:rPr>
          <w:spacing w:val="-8"/>
          <w:w w:val="125"/>
        </w:rPr>
        <w:t>[2017]</w:t>
        <w:tab/>
      </w:r>
      <w:r>
        <w:rPr>
          <w:w w:val="125"/>
        </w:rPr>
        <w:t>Mrs Lorraine Downer-Mattis </w:t>
      </w:r>
      <w:r>
        <w:rPr>
          <w:spacing w:val="-9"/>
          <w:w w:val="125"/>
        </w:rPr>
        <w:t>(10)</w:t>
      </w:r>
      <w:r>
        <w:rPr>
          <w:spacing w:val="-8"/>
          <w:w w:val="125"/>
        </w:rPr>
        <w:t> [2017]</w:t>
      </w:r>
    </w:p>
    <w:p>
      <w:pPr>
        <w:pStyle w:val="BodyText"/>
        <w:spacing w:line="240" w:lineRule="exact"/>
        <w:ind w:left="1247"/>
      </w:pPr>
      <w:r>
        <w:rPr>
          <w:w w:val="125"/>
        </w:rPr>
        <w:t>The Revd Richard Eastman (5) [2017]</w:t>
      </w:r>
    </w:p>
    <w:p>
      <w:pPr>
        <w:pStyle w:val="BodyText"/>
        <w:spacing w:line="235" w:lineRule="auto" w:before="2"/>
        <w:ind w:left="1247" w:right="9036"/>
      </w:pPr>
      <w:r>
        <w:rPr>
          <w:w w:val="120"/>
        </w:rPr>
        <w:t>5 vacancies FURY</w:t>
      </w:r>
      <w:r>
        <w:rPr>
          <w:spacing w:val="-21"/>
          <w:w w:val="120"/>
        </w:rPr>
        <w:t> </w:t>
      </w:r>
      <w:r>
        <w:rPr>
          <w:w w:val="120"/>
        </w:rPr>
        <w:t>Moderator</w:t>
      </w:r>
    </w:p>
    <w:p>
      <w:pPr>
        <w:pStyle w:val="BodyText"/>
        <w:spacing w:line="242" w:lineRule="exact"/>
        <w:ind w:left="1247"/>
      </w:pPr>
      <w:r>
        <w:rPr>
          <w:w w:val="120"/>
        </w:rPr>
        <w:t>FURY Moderator Elect</w:t>
      </w:r>
    </w:p>
    <w:p>
      <w:pPr>
        <w:pStyle w:val="BodyText"/>
        <w:spacing w:before="3"/>
        <w:rPr>
          <w:sz w:val="18"/>
        </w:rPr>
      </w:pPr>
    </w:p>
    <w:p>
      <w:pPr>
        <w:pStyle w:val="Heading9"/>
        <w:numPr>
          <w:ilvl w:val="2"/>
          <w:numId w:val="82"/>
        </w:numPr>
        <w:tabs>
          <w:tab w:pos="1928" w:val="left" w:leader="none"/>
        </w:tabs>
        <w:spacing w:line="261" w:lineRule="exact" w:before="0" w:after="0"/>
        <w:ind w:left="1927" w:right="0" w:hanging="681"/>
        <w:jc w:val="left"/>
      </w:pPr>
      <w:r>
        <w:rPr>
          <w:w w:val="110"/>
        </w:rPr>
        <w:t>Pilots management</w:t>
      </w:r>
      <w:r>
        <w:rPr>
          <w:spacing w:val="-1"/>
          <w:w w:val="110"/>
        </w:rPr>
        <w:t> </w:t>
      </w:r>
      <w:r>
        <w:rPr>
          <w:w w:val="110"/>
        </w:rPr>
        <w:t>sub-committee</w:t>
      </w:r>
    </w:p>
    <w:p>
      <w:pPr>
        <w:pStyle w:val="BodyText"/>
        <w:spacing w:line="235" w:lineRule="auto"/>
        <w:ind w:left="1247" w:right="7038"/>
      </w:pPr>
      <w:r>
        <w:rPr>
          <w:w w:val="125"/>
        </w:rPr>
        <w:t>Convener: Mrs Soo Webster </w:t>
      </w:r>
      <w:r>
        <w:rPr>
          <w:spacing w:val="-8"/>
          <w:w w:val="125"/>
        </w:rPr>
        <w:t>[2015] </w:t>
      </w:r>
      <w:r>
        <w:rPr>
          <w:w w:val="125"/>
        </w:rPr>
        <w:t>Member: Mrs </w:t>
      </w:r>
      <w:r>
        <w:rPr>
          <w:spacing w:val="-3"/>
          <w:w w:val="125"/>
        </w:rPr>
        <w:t>Tricia </w:t>
      </w:r>
      <w:r>
        <w:rPr>
          <w:w w:val="125"/>
        </w:rPr>
        <w:t>Legge </w:t>
      </w:r>
      <w:r>
        <w:rPr>
          <w:spacing w:val="-8"/>
          <w:w w:val="125"/>
        </w:rPr>
        <w:t>(5) [2015]</w:t>
      </w:r>
    </w:p>
    <w:p>
      <w:pPr>
        <w:spacing w:line="235" w:lineRule="auto" w:before="0"/>
        <w:ind w:left="1247" w:right="2004" w:firstLine="0"/>
        <w:jc w:val="left"/>
        <w:rPr>
          <w:i/>
          <w:sz w:val="20"/>
        </w:rPr>
      </w:pPr>
      <w:r>
        <w:rPr>
          <w:i/>
          <w:w w:val="110"/>
          <w:sz w:val="20"/>
        </w:rPr>
        <w:t>(Other members of the sub-committee are appointed by the children’s and youth work </w:t>
      </w:r>
      <w:r>
        <w:rPr>
          <w:i/>
          <w:w w:val="110"/>
          <w:sz w:val="20"/>
        </w:rPr>
        <w:t>committee. The Congregational Federation also has two representatives.)</w:t>
      </w:r>
    </w:p>
    <w:p>
      <w:pPr>
        <w:pStyle w:val="Heading4"/>
        <w:numPr>
          <w:ilvl w:val="0"/>
          <w:numId w:val="82"/>
        </w:numPr>
        <w:tabs>
          <w:tab w:pos="1927" w:val="left" w:leader="none"/>
          <w:tab w:pos="1928" w:val="left" w:leader="none"/>
        </w:tabs>
        <w:spacing w:line="240" w:lineRule="auto" w:before="210" w:after="0"/>
        <w:ind w:left="1927" w:right="0" w:hanging="681"/>
        <w:jc w:val="left"/>
      </w:pPr>
      <w:r>
        <w:rPr>
          <w:spacing w:val="3"/>
          <w:w w:val="110"/>
        </w:rPr>
        <w:t>Administration and resources</w:t>
      </w:r>
      <w:r>
        <w:rPr>
          <w:spacing w:val="34"/>
          <w:w w:val="110"/>
        </w:rPr>
        <w:t> </w:t>
      </w:r>
      <w:r>
        <w:rPr>
          <w:spacing w:val="4"/>
          <w:w w:val="110"/>
        </w:rPr>
        <w:t>department</w:t>
      </w:r>
    </w:p>
    <w:p>
      <w:pPr>
        <w:pStyle w:val="ListParagraph"/>
        <w:numPr>
          <w:ilvl w:val="1"/>
          <w:numId w:val="82"/>
        </w:numPr>
        <w:tabs>
          <w:tab w:pos="1927" w:val="left" w:leader="none"/>
          <w:tab w:pos="1928" w:val="left" w:leader="none"/>
        </w:tabs>
        <w:spacing w:line="230" w:lineRule="auto" w:before="61" w:after="0"/>
        <w:ind w:left="1247" w:right="6171" w:firstLine="0"/>
        <w:jc w:val="left"/>
        <w:rPr>
          <w:rFonts w:ascii="Stone Sans II ITC Std Bk"/>
          <w:sz w:val="20"/>
        </w:rPr>
      </w:pPr>
      <w:r>
        <w:rPr>
          <w:rFonts w:ascii="Stone Sans II ITC Std Bk"/>
          <w:b/>
          <w:w w:val="110"/>
          <w:sz w:val="20"/>
        </w:rPr>
        <w:t>Assembly arrangements committee </w:t>
      </w:r>
      <w:r>
        <w:rPr>
          <w:w w:val="120"/>
          <w:sz w:val="20"/>
        </w:rPr>
        <w:t>Convener: The Revd Michael Hopkins </w:t>
      </w:r>
      <w:r>
        <w:rPr>
          <w:spacing w:val="-5"/>
          <w:w w:val="120"/>
          <w:sz w:val="20"/>
        </w:rPr>
        <w:t>[2020] </w:t>
      </w:r>
      <w:r>
        <w:rPr>
          <w:w w:val="120"/>
          <w:sz w:val="20"/>
        </w:rPr>
        <w:t>Secretary: Facilities</w:t>
      </w:r>
      <w:r>
        <w:rPr>
          <w:spacing w:val="3"/>
          <w:w w:val="120"/>
          <w:sz w:val="20"/>
        </w:rPr>
        <w:t> </w:t>
      </w:r>
      <w:r>
        <w:rPr>
          <w:w w:val="120"/>
          <w:sz w:val="20"/>
        </w:rPr>
        <w:t>manager</w:t>
      </w:r>
    </w:p>
    <w:p>
      <w:pPr>
        <w:pStyle w:val="BodyText"/>
        <w:tabs>
          <w:tab w:pos="5567" w:val="left" w:leader="none"/>
        </w:tabs>
        <w:spacing w:line="238" w:lineRule="exact"/>
        <w:ind w:left="1247"/>
      </w:pPr>
      <w:r>
        <w:rPr>
          <w:w w:val="120"/>
        </w:rPr>
        <w:t>Assembly</w:t>
      </w:r>
      <w:r>
        <w:rPr>
          <w:spacing w:val="3"/>
          <w:w w:val="120"/>
        </w:rPr>
        <w:t> </w:t>
      </w:r>
      <w:r>
        <w:rPr>
          <w:w w:val="120"/>
        </w:rPr>
        <w:t>moderators</w:t>
        <w:tab/>
        <w:t>Moderators</w:t>
      </w:r>
      <w:r>
        <w:rPr>
          <w:spacing w:val="2"/>
          <w:w w:val="120"/>
        </w:rPr>
        <w:t> </w:t>
      </w:r>
      <w:r>
        <w:rPr>
          <w:w w:val="120"/>
        </w:rPr>
        <w:t>elect</w:t>
      </w:r>
    </w:p>
    <w:p>
      <w:pPr>
        <w:pStyle w:val="BodyText"/>
        <w:tabs>
          <w:tab w:pos="5567" w:val="left" w:leader="none"/>
        </w:tabs>
        <w:spacing w:line="235" w:lineRule="auto" w:before="2"/>
        <w:ind w:left="1247" w:right="3732"/>
      </w:pPr>
      <w:r>
        <w:rPr>
          <w:w w:val="120"/>
        </w:rPr>
        <w:t>General</w:t>
      </w:r>
      <w:r>
        <w:rPr>
          <w:spacing w:val="1"/>
          <w:w w:val="120"/>
        </w:rPr>
        <w:t> </w:t>
      </w:r>
      <w:r>
        <w:rPr>
          <w:w w:val="120"/>
        </w:rPr>
        <w:t>secretary</w:t>
        <w:tab/>
        <w:t>Clerk to General Assembly </w:t>
      </w:r>
      <w:r>
        <w:rPr>
          <w:spacing w:val="-3"/>
          <w:w w:val="120"/>
        </w:rPr>
        <w:t>Convener, </w:t>
      </w:r>
      <w:r>
        <w:rPr>
          <w:w w:val="120"/>
        </w:rPr>
        <w:t>local arrangements</w:t>
      </w:r>
      <w:r>
        <w:rPr>
          <w:spacing w:val="11"/>
          <w:w w:val="120"/>
        </w:rPr>
        <w:t> </w:t>
      </w:r>
      <w:r>
        <w:rPr>
          <w:w w:val="120"/>
        </w:rPr>
        <w:t>committee</w:t>
      </w:r>
    </w:p>
    <w:p>
      <w:pPr>
        <w:pStyle w:val="BodyText"/>
        <w:spacing w:before="11"/>
        <w:rPr>
          <w:sz w:val="18"/>
        </w:rPr>
      </w:pPr>
    </w:p>
    <w:p>
      <w:pPr>
        <w:pStyle w:val="ListParagraph"/>
        <w:numPr>
          <w:ilvl w:val="1"/>
          <w:numId w:val="82"/>
        </w:numPr>
        <w:tabs>
          <w:tab w:pos="1927" w:val="left" w:leader="none"/>
          <w:tab w:pos="1928" w:val="left" w:leader="none"/>
        </w:tabs>
        <w:spacing w:line="232" w:lineRule="auto" w:before="0" w:after="0"/>
        <w:ind w:left="1247" w:right="5506" w:firstLine="0"/>
        <w:jc w:val="left"/>
        <w:rPr>
          <w:rFonts w:ascii="Stone Sans II ITC Std Bk"/>
          <w:sz w:val="20"/>
        </w:rPr>
      </w:pPr>
      <w:r>
        <w:rPr>
          <w:rFonts w:ascii="Stone Sans II ITC Std Bk"/>
          <w:b/>
          <w:w w:val="110"/>
          <w:sz w:val="20"/>
        </w:rPr>
        <w:t>Communications and editorial committee </w:t>
      </w:r>
      <w:r>
        <w:rPr>
          <w:w w:val="120"/>
          <w:sz w:val="20"/>
        </w:rPr>
        <w:t>Convener: The Revd John Humphreys </w:t>
      </w:r>
      <w:r>
        <w:rPr>
          <w:spacing w:val="-8"/>
          <w:w w:val="120"/>
          <w:sz w:val="20"/>
        </w:rPr>
        <w:t>[2015] </w:t>
      </w:r>
      <w:r>
        <w:rPr>
          <w:w w:val="120"/>
          <w:sz w:val="20"/>
        </w:rPr>
        <w:t>Convener-elect: #Mr Peter Knowles  </w:t>
      </w:r>
      <w:r>
        <w:rPr>
          <w:spacing w:val="-8"/>
          <w:w w:val="120"/>
          <w:sz w:val="20"/>
        </w:rPr>
        <w:t>[2019] </w:t>
      </w:r>
      <w:r>
        <w:rPr>
          <w:w w:val="120"/>
          <w:sz w:val="20"/>
        </w:rPr>
        <w:t>Secretary: Director of</w:t>
      </w:r>
      <w:r>
        <w:rPr>
          <w:spacing w:val="7"/>
          <w:w w:val="120"/>
          <w:sz w:val="20"/>
        </w:rPr>
        <w:t> </w:t>
      </w:r>
      <w:r>
        <w:rPr>
          <w:w w:val="120"/>
          <w:sz w:val="20"/>
        </w:rPr>
        <w:t>communications</w:t>
      </w:r>
    </w:p>
    <w:p>
      <w:pPr>
        <w:pStyle w:val="BodyText"/>
        <w:tabs>
          <w:tab w:pos="5567" w:val="left" w:leader="none"/>
        </w:tabs>
        <w:spacing w:line="236" w:lineRule="exact"/>
        <w:ind w:left="1247"/>
      </w:pPr>
      <w:r>
        <w:rPr>
          <w:w w:val="125"/>
        </w:rPr>
        <w:t>The Revd Ian Fosten</w:t>
      </w:r>
      <w:r>
        <w:rPr>
          <w:spacing w:val="-27"/>
          <w:w w:val="125"/>
        </w:rPr>
        <w:t> </w:t>
      </w:r>
      <w:r>
        <w:rPr>
          <w:w w:val="125"/>
        </w:rPr>
        <w:t>(7)</w:t>
      </w:r>
      <w:r>
        <w:rPr>
          <w:spacing w:val="-6"/>
          <w:w w:val="125"/>
        </w:rPr>
        <w:t> </w:t>
      </w:r>
      <w:r>
        <w:rPr>
          <w:spacing w:val="-8"/>
          <w:w w:val="125"/>
        </w:rPr>
        <w:t>[2015]</w:t>
        <w:tab/>
      </w:r>
      <w:r>
        <w:rPr>
          <w:w w:val="125"/>
        </w:rPr>
        <w:t>The Revd Heather Whyte </w:t>
      </w:r>
      <w:r>
        <w:rPr>
          <w:spacing w:val="-8"/>
          <w:w w:val="125"/>
        </w:rPr>
        <w:t>(8)</w:t>
      </w:r>
      <w:r>
        <w:rPr>
          <w:spacing w:val="-7"/>
          <w:w w:val="125"/>
        </w:rPr>
        <w:t> </w:t>
      </w:r>
      <w:r>
        <w:rPr>
          <w:spacing w:val="-8"/>
          <w:w w:val="125"/>
        </w:rPr>
        <w:t>[2015]</w:t>
      </w:r>
    </w:p>
    <w:p>
      <w:pPr>
        <w:pStyle w:val="BodyText"/>
        <w:tabs>
          <w:tab w:pos="5567" w:val="left" w:leader="none"/>
        </w:tabs>
        <w:spacing w:line="235" w:lineRule="auto" w:before="2"/>
        <w:ind w:left="1247" w:right="2915"/>
      </w:pPr>
      <w:r>
        <w:rPr>
          <w:w w:val="125"/>
        </w:rPr>
        <w:t>Mrs Andrea Varnavides</w:t>
      </w:r>
      <w:r>
        <w:rPr>
          <w:spacing w:val="-39"/>
          <w:w w:val="125"/>
        </w:rPr>
        <w:t> </w:t>
      </w:r>
      <w:r>
        <w:rPr>
          <w:spacing w:val="-10"/>
          <w:w w:val="125"/>
        </w:rPr>
        <w:t>(4)</w:t>
      </w:r>
      <w:r>
        <w:rPr>
          <w:spacing w:val="-13"/>
          <w:w w:val="125"/>
        </w:rPr>
        <w:t> </w:t>
      </w:r>
      <w:r>
        <w:rPr>
          <w:spacing w:val="-7"/>
          <w:w w:val="125"/>
        </w:rPr>
        <w:t>[2016]</w:t>
        <w:tab/>
      </w:r>
      <w:r>
        <w:rPr>
          <w:w w:val="125"/>
        </w:rPr>
        <w:t>The Revd Peter Cooper </w:t>
      </w:r>
      <w:r>
        <w:rPr>
          <w:spacing w:val="-9"/>
          <w:w w:val="125"/>
        </w:rPr>
        <w:t>(10) </w:t>
      </w:r>
      <w:r>
        <w:rPr>
          <w:spacing w:val="-8"/>
          <w:w w:val="125"/>
        </w:rPr>
        <w:t>[2017] </w:t>
      </w:r>
      <w:r>
        <w:rPr>
          <w:w w:val="125"/>
        </w:rPr>
        <w:t>The Revd Dr Kevin</w:t>
      </w:r>
      <w:r>
        <w:rPr>
          <w:spacing w:val="-11"/>
          <w:w w:val="125"/>
        </w:rPr>
        <w:t> </w:t>
      </w:r>
      <w:r>
        <w:rPr>
          <w:spacing w:val="-5"/>
          <w:w w:val="125"/>
        </w:rPr>
        <w:t>Snyman(12)</w:t>
      </w:r>
      <w:r>
        <w:rPr>
          <w:spacing w:val="-2"/>
          <w:w w:val="125"/>
        </w:rPr>
        <w:t> </w:t>
      </w:r>
      <w:r>
        <w:rPr>
          <w:spacing w:val="-8"/>
          <w:w w:val="125"/>
        </w:rPr>
        <w:t>[2017]</w:t>
        <w:tab/>
      </w:r>
      <w:r>
        <w:rPr>
          <w:w w:val="125"/>
        </w:rPr>
        <w:t>Mr Andy Jeans </w:t>
      </w:r>
      <w:r>
        <w:rPr>
          <w:spacing w:val="-8"/>
          <w:w w:val="125"/>
        </w:rPr>
        <w:t>(3) [2017]</w:t>
      </w:r>
    </w:p>
    <w:p>
      <w:pPr>
        <w:pStyle w:val="BodyText"/>
        <w:tabs>
          <w:tab w:pos="5567" w:val="left" w:leader="none"/>
        </w:tabs>
        <w:spacing w:line="242" w:lineRule="exact"/>
        <w:ind w:left="1247"/>
      </w:pPr>
      <w:r>
        <w:rPr>
          <w:w w:val="125"/>
        </w:rPr>
        <w:t>The Revd Kate Gray</w:t>
      </w:r>
      <w:r>
        <w:rPr>
          <w:spacing w:val="-12"/>
          <w:w w:val="125"/>
        </w:rPr>
        <w:t> </w:t>
      </w:r>
      <w:r>
        <w:rPr>
          <w:spacing w:val="-8"/>
          <w:w w:val="125"/>
        </w:rPr>
        <w:t>(2)</w:t>
      </w:r>
      <w:r>
        <w:rPr>
          <w:spacing w:val="-3"/>
          <w:w w:val="125"/>
        </w:rPr>
        <w:t> </w:t>
      </w:r>
      <w:r>
        <w:rPr>
          <w:spacing w:val="-8"/>
          <w:w w:val="125"/>
        </w:rPr>
        <w:t>[2017]</w:t>
        <w:tab/>
      </w:r>
      <w:r>
        <w:rPr>
          <w:w w:val="125"/>
        </w:rPr>
        <w:t>The Revd Ashley Evans </w:t>
      </w:r>
      <w:r>
        <w:rPr>
          <w:spacing w:val="-9"/>
          <w:w w:val="125"/>
        </w:rPr>
        <w:t>(10)</w:t>
      </w:r>
      <w:r>
        <w:rPr>
          <w:spacing w:val="-5"/>
          <w:w w:val="125"/>
        </w:rPr>
        <w:t> </w:t>
      </w:r>
      <w:r>
        <w:rPr>
          <w:spacing w:val="-8"/>
          <w:w w:val="125"/>
        </w:rPr>
        <w:t>[2017]</w:t>
      </w:r>
    </w:p>
    <w:p>
      <w:pPr>
        <w:pStyle w:val="BodyText"/>
        <w:spacing w:before="11"/>
        <w:rPr>
          <w:sz w:val="18"/>
        </w:rPr>
      </w:pPr>
    </w:p>
    <w:p>
      <w:pPr>
        <w:pStyle w:val="ListParagraph"/>
        <w:numPr>
          <w:ilvl w:val="1"/>
          <w:numId w:val="82"/>
        </w:numPr>
        <w:tabs>
          <w:tab w:pos="1985" w:val="left" w:leader="none"/>
          <w:tab w:pos="1986" w:val="left" w:leader="none"/>
        </w:tabs>
        <w:spacing w:line="230" w:lineRule="auto" w:before="1" w:after="0"/>
        <w:ind w:left="1247" w:right="6644" w:firstLine="0"/>
        <w:jc w:val="left"/>
        <w:rPr>
          <w:rFonts w:ascii="Stone Sans II ITC Std Bk"/>
          <w:sz w:val="20"/>
        </w:rPr>
      </w:pPr>
      <w:r>
        <w:rPr>
          <w:rFonts w:ascii="Stone Sans II ITC Std Bk"/>
          <w:b/>
          <w:w w:val="120"/>
          <w:sz w:val="20"/>
        </w:rPr>
        <w:t>Equalities committee </w:t>
      </w:r>
      <w:r>
        <w:rPr>
          <w:w w:val="120"/>
          <w:sz w:val="20"/>
        </w:rPr>
        <w:t>Convener: The Revd Helen Mee </w:t>
      </w:r>
      <w:r>
        <w:rPr>
          <w:spacing w:val="-8"/>
          <w:w w:val="120"/>
          <w:sz w:val="20"/>
        </w:rPr>
        <w:t>[2018] </w:t>
      </w:r>
      <w:r>
        <w:rPr>
          <w:w w:val="120"/>
          <w:sz w:val="20"/>
        </w:rPr>
        <w:t>Secretary: The Revd Adrian Bulley</w:t>
      </w:r>
      <w:r>
        <w:rPr>
          <w:spacing w:val="9"/>
          <w:w w:val="120"/>
          <w:sz w:val="20"/>
        </w:rPr>
        <w:t> </w:t>
      </w:r>
      <w:r>
        <w:rPr>
          <w:spacing w:val="-8"/>
          <w:w w:val="120"/>
          <w:sz w:val="20"/>
        </w:rPr>
        <w:t>[2017]</w:t>
      </w:r>
    </w:p>
    <w:p>
      <w:pPr>
        <w:pStyle w:val="BodyText"/>
        <w:tabs>
          <w:tab w:pos="5567" w:val="left" w:leader="none"/>
        </w:tabs>
        <w:spacing w:line="235" w:lineRule="auto"/>
        <w:ind w:left="1247" w:right="2950"/>
      </w:pPr>
      <w:r>
        <w:rPr>
          <w:w w:val="125"/>
        </w:rPr>
        <w:t>Mrs </w:t>
      </w:r>
      <w:r>
        <w:rPr>
          <w:spacing w:val="-3"/>
          <w:w w:val="125"/>
        </w:rPr>
        <w:t>Tunde </w:t>
      </w:r>
      <w:r>
        <w:rPr>
          <w:w w:val="125"/>
        </w:rPr>
        <w:t>Biyi</w:t>
      </w:r>
      <w:r>
        <w:rPr>
          <w:spacing w:val="-4"/>
          <w:w w:val="125"/>
        </w:rPr>
        <w:t> </w:t>
      </w:r>
      <w:r>
        <w:rPr>
          <w:w w:val="125"/>
        </w:rPr>
        <w:t>(7)</w:t>
      </w:r>
      <w:r>
        <w:rPr>
          <w:spacing w:val="-3"/>
          <w:w w:val="125"/>
        </w:rPr>
        <w:t> </w:t>
      </w:r>
      <w:r>
        <w:rPr>
          <w:spacing w:val="-8"/>
          <w:w w:val="125"/>
        </w:rPr>
        <w:t>[2015]</w:t>
        <w:tab/>
      </w:r>
      <w:r>
        <w:rPr>
          <w:w w:val="125"/>
        </w:rPr>
        <w:t>Mrs Adella Pritchard </w:t>
      </w:r>
      <w:r>
        <w:rPr>
          <w:spacing w:val="-7"/>
          <w:w w:val="125"/>
        </w:rPr>
        <w:t>(6) [2016] </w:t>
      </w:r>
      <w:r>
        <w:rPr>
          <w:w w:val="125"/>
        </w:rPr>
        <w:t>Mrs Margaret Telfer</w:t>
      </w:r>
      <w:r>
        <w:rPr>
          <w:spacing w:val="-44"/>
          <w:w w:val="125"/>
        </w:rPr>
        <w:t> </w:t>
      </w:r>
      <w:r>
        <w:rPr>
          <w:spacing w:val="-8"/>
          <w:w w:val="125"/>
        </w:rPr>
        <w:t>(9)</w:t>
      </w:r>
      <w:r>
        <w:rPr>
          <w:spacing w:val="-15"/>
          <w:w w:val="125"/>
        </w:rPr>
        <w:t> </w:t>
      </w:r>
      <w:r>
        <w:rPr>
          <w:spacing w:val="-7"/>
          <w:w w:val="125"/>
        </w:rPr>
        <w:t>[2016]</w:t>
        <w:tab/>
      </w:r>
      <w:r>
        <w:rPr>
          <w:w w:val="125"/>
        </w:rPr>
        <w:t>The</w:t>
      </w:r>
      <w:r>
        <w:rPr>
          <w:spacing w:val="-11"/>
          <w:w w:val="125"/>
        </w:rPr>
        <w:t> </w:t>
      </w:r>
      <w:r>
        <w:rPr>
          <w:w w:val="125"/>
        </w:rPr>
        <w:t>Revd</w:t>
      </w:r>
      <w:r>
        <w:rPr>
          <w:spacing w:val="-11"/>
          <w:w w:val="125"/>
        </w:rPr>
        <w:t> </w:t>
      </w:r>
      <w:r>
        <w:rPr>
          <w:w w:val="125"/>
        </w:rPr>
        <w:t>Iain</w:t>
      </w:r>
      <w:r>
        <w:rPr>
          <w:spacing w:val="-11"/>
          <w:w w:val="125"/>
        </w:rPr>
        <w:t> </w:t>
      </w:r>
      <w:r>
        <w:rPr>
          <w:w w:val="125"/>
        </w:rPr>
        <w:t>McDonald(8)</w:t>
      </w:r>
      <w:r>
        <w:rPr>
          <w:spacing w:val="-11"/>
          <w:w w:val="125"/>
        </w:rPr>
        <w:t> </w:t>
      </w:r>
      <w:r>
        <w:rPr>
          <w:spacing w:val="-7"/>
          <w:w w:val="125"/>
        </w:rPr>
        <w:t>[2016] </w:t>
      </w:r>
      <w:r>
        <w:rPr>
          <w:w w:val="125"/>
        </w:rPr>
        <w:t>The Revd Susan Flynn</w:t>
      </w:r>
      <w:r>
        <w:rPr>
          <w:spacing w:val="-19"/>
          <w:w w:val="125"/>
        </w:rPr>
        <w:t> </w:t>
      </w:r>
      <w:r>
        <w:rPr>
          <w:spacing w:val="-8"/>
          <w:w w:val="125"/>
        </w:rPr>
        <w:t>(3)</w:t>
      </w:r>
      <w:r>
        <w:rPr>
          <w:spacing w:val="-4"/>
          <w:w w:val="125"/>
        </w:rPr>
        <w:t> </w:t>
      </w:r>
      <w:r>
        <w:rPr>
          <w:spacing w:val="-8"/>
          <w:w w:val="125"/>
        </w:rPr>
        <w:t>[2017]</w:t>
        <w:tab/>
      </w:r>
      <w:r>
        <w:rPr>
          <w:w w:val="125"/>
        </w:rPr>
        <w:t>Ms Maria Mills </w:t>
      </w:r>
      <w:r>
        <w:rPr>
          <w:spacing w:val="-8"/>
          <w:w w:val="125"/>
        </w:rPr>
        <w:t>(8)</w:t>
      </w:r>
      <w:r>
        <w:rPr>
          <w:spacing w:val="-13"/>
          <w:w w:val="125"/>
        </w:rPr>
        <w:t> </w:t>
      </w:r>
      <w:r>
        <w:rPr>
          <w:spacing w:val="-8"/>
          <w:w w:val="125"/>
        </w:rPr>
        <w:t>[2017]</w:t>
      </w:r>
    </w:p>
    <w:p>
      <w:pPr>
        <w:pStyle w:val="BodyText"/>
        <w:tabs>
          <w:tab w:pos="5567" w:val="left" w:leader="none"/>
        </w:tabs>
        <w:spacing w:line="243" w:lineRule="exact"/>
        <w:ind w:left="1247"/>
      </w:pPr>
      <w:r>
        <w:rPr>
          <w:w w:val="120"/>
        </w:rPr>
        <w:t>Mr Clive Curtis**</w:t>
      </w:r>
      <w:r>
        <w:rPr>
          <w:spacing w:val="31"/>
          <w:w w:val="120"/>
        </w:rPr>
        <w:t> </w:t>
      </w:r>
      <w:r>
        <w:rPr>
          <w:spacing w:val="-10"/>
          <w:w w:val="120"/>
        </w:rPr>
        <w:t>(12)</w:t>
      </w:r>
      <w:r>
        <w:rPr>
          <w:spacing w:val="11"/>
          <w:w w:val="120"/>
        </w:rPr>
        <w:t> </w:t>
      </w:r>
      <w:r>
        <w:rPr>
          <w:spacing w:val="-8"/>
          <w:w w:val="120"/>
        </w:rPr>
        <w:t>[2018]</w:t>
        <w:tab/>
      </w:r>
      <w:r>
        <w:rPr>
          <w:w w:val="120"/>
        </w:rPr>
        <w:t>Mrs Ruth Clarke** </w:t>
      </w:r>
      <w:r>
        <w:rPr>
          <w:spacing w:val="-8"/>
          <w:w w:val="120"/>
        </w:rPr>
        <w:t>(2)</w:t>
      </w:r>
      <w:r>
        <w:rPr>
          <w:spacing w:val="9"/>
          <w:w w:val="120"/>
        </w:rPr>
        <w:t> </w:t>
      </w:r>
      <w:r>
        <w:rPr>
          <w:spacing w:val="-8"/>
          <w:w w:val="120"/>
        </w:rPr>
        <w:t>[2018]</w:t>
      </w:r>
    </w:p>
    <w:p>
      <w:pPr>
        <w:pStyle w:val="BodyText"/>
        <w:spacing w:before="9"/>
        <w:rPr>
          <w:sz w:val="18"/>
        </w:rPr>
      </w:pPr>
    </w:p>
    <w:p>
      <w:pPr>
        <w:pStyle w:val="ListParagraph"/>
        <w:numPr>
          <w:ilvl w:val="1"/>
          <w:numId w:val="82"/>
        </w:numPr>
        <w:tabs>
          <w:tab w:pos="1927" w:val="left" w:leader="none"/>
          <w:tab w:pos="1928" w:val="left" w:leader="none"/>
        </w:tabs>
        <w:spacing w:line="232" w:lineRule="auto" w:before="0" w:after="0"/>
        <w:ind w:left="1247" w:right="6270" w:firstLine="0"/>
        <w:jc w:val="left"/>
        <w:rPr>
          <w:rFonts w:ascii="Stone Sans II ITC Std Bk"/>
          <w:sz w:val="20"/>
        </w:rPr>
      </w:pPr>
      <w:r>
        <w:rPr>
          <w:rFonts w:ascii="Stone Sans II ITC Std Bk"/>
          <w:b/>
          <w:w w:val="120"/>
          <w:sz w:val="20"/>
        </w:rPr>
        <w:t>Faith and order committee </w:t>
      </w:r>
      <w:r>
        <w:rPr>
          <w:i/>
          <w:w w:val="120"/>
          <w:sz w:val="20"/>
        </w:rPr>
        <w:t>(Members normally serve for six </w:t>
      </w:r>
      <w:r>
        <w:rPr>
          <w:i/>
          <w:spacing w:val="-3"/>
          <w:w w:val="120"/>
          <w:sz w:val="20"/>
        </w:rPr>
        <w:t>years) </w:t>
      </w:r>
      <w:r>
        <w:rPr>
          <w:w w:val="120"/>
          <w:sz w:val="20"/>
        </w:rPr>
        <w:t>Convener: The Revd Elizabeth Welch </w:t>
      </w:r>
      <w:r>
        <w:rPr>
          <w:spacing w:val="-8"/>
          <w:w w:val="120"/>
          <w:sz w:val="20"/>
        </w:rPr>
        <w:t>[2017] </w:t>
      </w:r>
      <w:r>
        <w:rPr>
          <w:w w:val="120"/>
          <w:sz w:val="20"/>
        </w:rPr>
        <w:t>Secretary: Secretary for ecumenical</w:t>
      </w:r>
      <w:r>
        <w:rPr>
          <w:spacing w:val="-5"/>
          <w:w w:val="120"/>
          <w:sz w:val="20"/>
        </w:rPr>
        <w:t> </w:t>
      </w:r>
      <w:r>
        <w:rPr>
          <w:w w:val="120"/>
          <w:sz w:val="20"/>
        </w:rPr>
        <w:t>relations</w:t>
      </w:r>
    </w:p>
    <w:p>
      <w:pPr>
        <w:pStyle w:val="BodyText"/>
        <w:spacing w:line="236" w:lineRule="exact"/>
        <w:ind w:left="1247"/>
      </w:pPr>
      <w:r>
        <w:rPr>
          <w:w w:val="125"/>
        </w:rPr>
        <w:t>The Revd Dr Malachie Muneyeza (6) [2018] The Revd Tim Meadows (3) [2018]</w:t>
      </w:r>
    </w:p>
    <w:p>
      <w:pPr>
        <w:pStyle w:val="BodyText"/>
        <w:tabs>
          <w:tab w:pos="5567" w:val="left" w:leader="none"/>
        </w:tabs>
        <w:spacing w:line="240" w:lineRule="exact"/>
        <w:ind w:left="1247"/>
      </w:pPr>
      <w:r>
        <w:rPr>
          <w:w w:val="120"/>
        </w:rPr>
        <w:t>Dr Augur Pearce</w:t>
      </w:r>
      <w:r>
        <w:rPr>
          <w:spacing w:val="48"/>
          <w:w w:val="120"/>
        </w:rPr>
        <w:t> </w:t>
      </w:r>
      <w:r>
        <w:rPr>
          <w:w w:val="120"/>
        </w:rPr>
        <w:t>(7)</w:t>
      </w:r>
      <w:r>
        <w:rPr>
          <w:spacing w:val="16"/>
          <w:w w:val="120"/>
        </w:rPr>
        <w:t> </w:t>
      </w:r>
      <w:r>
        <w:rPr>
          <w:spacing w:val="-8"/>
          <w:w w:val="120"/>
        </w:rPr>
        <w:t>[2018]</w:t>
        <w:tab/>
      </w:r>
      <w:r>
        <w:rPr>
          <w:w w:val="120"/>
        </w:rPr>
        <w:t>The Revd Dr Catherine Ball**(7)</w:t>
      </w:r>
      <w:r>
        <w:rPr>
          <w:spacing w:val="15"/>
          <w:w w:val="120"/>
        </w:rPr>
        <w:t> </w:t>
      </w:r>
      <w:r>
        <w:rPr>
          <w:spacing w:val="-5"/>
          <w:w w:val="120"/>
        </w:rPr>
        <w:t>[2020]</w:t>
      </w:r>
    </w:p>
    <w:p>
      <w:pPr>
        <w:pStyle w:val="BodyText"/>
        <w:tabs>
          <w:tab w:pos="5567" w:val="left" w:leader="none"/>
        </w:tabs>
        <w:spacing w:line="242" w:lineRule="exact"/>
        <w:ind w:left="1247"/>
      </w:pPr>
      <w:r>
        <w:rPr>
          <w:w w:val="120"/>
        </w:rPr>
        <w:t>Ms Anna Briggs</w:t>
      </w:r>
      <w:r>
        <w:rPr>
          <w:spacing w:val="30"/>
          <w:w w:val="120"/>
        </w:rPr>
        <w:t> </w:t>
      </w:r>
      <w:r>
        <w:rPr>
          <w:spacing w:val="-8"/>
          <w:w w:val="120"/>
        </w:rPr>
        <w:t>**(13)</w:t>
      </w:r>
      <w:r>
        <w:rPr>
          <w:spacing w:val="10"/>
          <w:w w:val="120"/>
        </w:rPr>
        <w:t> </w:t>
      </w:r>
      <w:r>
        <w:rPr>
          <w:spacing w:val="-5"/>
          <w:w w:val="120"/>
        </w:rPr>
        <w:t>[2020]</w:t>
        <w:tab/>
      </w:r>
      <w:r>
        <w:rPr>
          <w:w w:val="120"/>
        </w:rPr>
        <w:t>1</w:t>
      </w:r>
      <w:r>
        <w:rPr>
          <w:spacing w:val="2"/>
          <w:w w:val="120"/>
        </w:rPr>
        <w:t> </w:t>
      </w:r>
      <w:r>
        <w:rPr>
          <w:w w:val="120"/>
        </w:rPr>
        <w:t>vacancy</w:t>
      </w:r>
    </w:p>
    <w:p>
      <w:pPr>
        <w:spacing w:after="0" w:line="242" w:lineRule="exact"/>
        <w:sectPr>
          <w:headerReference w:type="even" r:id="rId337"/>
          <w:footerReference w:type="even" r:id="rId338"/>
          <w:footerReference w:type="default" r:id="rId339"/>
          <w:pgSz w:w="11910" w:h="16840"/>
          <w:pgMar w:header="0" w:footer="647" w:top="0" w:bottom="840" w:left="0" w:right="0"/>
          <w:pgNumType w:start="144"/>
        </w:sectPr>
      </w:pPr>
    </w:p>
    <w:p>
      <w:pPr>
        <w:pStyle w:val="BodyText"/>
      </w:pPr>
      <w:r>
        <w:rPr/>
        <w:drawing>
          <wp:anchor distT="0" distB="0" distL="0" distR="0" allowOverlap="1" layoutInCell="1" locked="0" behindDoc="0" simplePos="0" relativeHeight="252042240">
            <wp:simplePos x="0" y="0"/>
            <wp:positionH relativeFrom="page">
              <wp:posOffset>6974928</wp:posOffset>
            </wp:positionH>
            <wp:positionV relativeFrom="page">
              <wp:posOffset>0</wp:posOffset>
            </wp:positionV>
            <wp:extent cx="585063" cy="10692003"/>
            <wp:effectExtent l="0" t="0" r="0" b="0"/>
            <wp:wrapNone/>
            <wp:docPr id="269" name="image25.png"/>
            <wp:cNvGraphicFramePr>
              <a:graphicFrameLocks noChangeAspect="1"/>
            </wp:cNvGraphicFramePr>
            <a:graphic>
              <a:graphicData uri="http://schemas.openxmlformats.org/drawingml/2006/picture">
                <pic:pic>
                  <pic:nvPicPr>
                    <pic:cNvPr id="270" name="image25.png"/>
                    <pic:cNvPicPr/>
                  </pic:nvPicPr>
                  <pic:blipFill>
                    <a:blip r:embed="rId192"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pStyle w:val="Heading5"/>
        <w:ind w:left="0" w:right="1245"/>
        <w:jc w:val="right"/>
      </w:pPr>
      <w:r>
        <w:rPr/>
        <w:pict>
          <v:shape style="position:absolute;margin-left:554.141174pt;margin-top:22.593945pt;width:25.9pt;height:131.3pt;mso-position-horizontal-relative:page;mso-position-vertical-relative:paragraph;z-index:252043264" type="#_x0000_t202" filled="false" stroked="false">
            <v:textbox inset="0,0,0,0" style="layout-flow:vertical">
              <w:txbxContent>
                <w:p>
                  <w:pPr>
                    <w:spacing w:before="27"/>
                    <w:ind w:left="20" w:right="0" w:firstLine="0"/>
                    <w:jc w:val="left"/>
                    <w:rPr>
                      <w:sz w:val="39"/>
                    </w:rPr>
                  </w:pPr>
                  <w:r>
                    <w:rPr>
                      <w:color w:val="FFFFFF"/>
                      <w:w w:val="120"/>
                      <w:sz w:val="39"/>
                    </w:rPr>
                    <w:t>Nominations</w:t>
                  </w:r>
                </w:p>
              </w:txbxContent>
            </v:textbox>
            <w10:wrap type="none"/>
          </v:shape>
        </w:pict>
      </w:r>
      <w:r>
        <w:rPr>
          <w:color w:val="7EAABF"/>
          <w:w w:val="115"/>
        </w:rPr>
        <w:t>Nominations</w:t>
      </w:r>
    </w:p>
    <w:p>
      <w:pPr>
        <w:pStyle w:val="ListParagraph"/>
        <w:numPr>
          <w:ilvl w:val="1"/>
          <w:numId w:val="82"/>
        </w:numPr>
        <w:tabs>
          <w:tab w:pos="2664" w:val="left" w:leader="none"/>
          <w:tab w:pos="2665" w:val="left" w:leader="none"/>
        </w:tabs>
        <w:spacing w:line="230" w:lineRule="auto" w:before="213" w:after="0"/>
        <w:ind w:left="1984" w:right="6959" w:firstLine="0"/>
        <w:jc w:val="left"/>
        <w:rPr>
          <w:rFonts w:ascii="Stone Sans II ITC Std Bk"/>
          <w:sz w:val="20"/>
        </w:rPr>
      </w:pPr>
      <w:r>
        <w:rPr>
          <w:rFonts w:ascii="Stone Sans II ITC Std Bk"/>
          <w:b/>
          <w:w w:val="115"/>
          <w:sz w:val="20"/>
        </w:rPr>
        <w:t>Finance committee </w:t>
      </w:r>
      <w:r>
        <w:rPr>
          <w:w w:val="115"/>
          <w:sz w:val="20"/>
        </w:rPr>
        <w:t>Convener: </w:t>
      </w:r>
      <w:r>
        <w:rPr>
          <w:spacing w:val="2"/>
          <w:w w:val="115"/>
          <w:sz w:val="20"/>
        </w:rPr>
        <w:t>Honorary </w:t>
      </w:r>
      <w:r>
        <w:rPr>
          <w:w w:val="115"/>
          <w:sz w:val="20"/>
        </w:rPr>
        <w:t>treasurer Chief finance</w:t>
      </w:r>
      <w:r>
        <w:rPr>
          <w:spacing w:val="14"/>
          <w:w w:val="115"/>
          <w:sz w:val="20"/>
        </w:rPr>
        <w:t> </w:t>
      </w:r>
      <w:r>
        <w:rPr>
          <w:w w:val="115"/>
          <w:sz w:val="20"/>
        </w:rPr>
        <w:t>officer</w:t>
      </w:r>
    </w:p>
    <w:p>
      <w:pPr>
        <w:pStyle w:val="BodyText"/>
        <w:tabs>
          <w:tab w:pos="5584" w:val="left" w:leader="none"/>
        </w:tabs>
        <w:spacing w:line="238" w:lineRule="exact"/>
        <w:ind w:left="1984"/>
      </w:pPr>
      <w:r>
        <w:rPr>
          <w:w w:val="125"/>
        </w:rPr>
        <w:t>Mrs </w:t>
      </w:r>
      <w:r>
        <w:rPr>
          <w:spacing w:val="2"/>
          <w:w w:val="125"/>
        </w:rPr>
        <w:t>Mary </w:t>
      </w:r>
      <w:r>
        <w:rPr>
          <w:w w:val="125"/>
        </w:rPr>
        <w:t>Martin</w:t>
      </w:r>
      <w:r>
        <w:rPr>
          <w:spacing w:val="-33"/>
          <w:w w:val="125"/>
        </w:rPr>
        <w:t> </w:t>
      </w:r>
      <w:r>
        <w:rPr>
          <w:spacing w:val="-7"/>
          <w:w w:val="125"/>
        </w:rPr>
        <w:t>(6)</w:t>
      </w:r>
      <w:r>
        <w:rPr>
          <w:spacing w:val="-10"/>
          <w:w w:val="125"/>
        </w:rPr>
        <w:t> </w:t>
      </w:r>
      <w:r>
        <w:rPr>
          <w:spacing w:val="-8"/>
          <w:w w:val="125"/>
        </w:rPr>
        <w:t>[2015]</w:t>
        <w:tab/>
      </w:r>
      <w:r>
        <w:rPr>
          <w:w w:val="125"/>
        </w:rPr>
        <w:t>Mr Andrew Mackenzie (7)</w:t>
      </w:r>
      <w:r>
        <w:rPr>
          <w:spacing w:val="-5"/>
          <w:w w:val="125"/>
        </w:rPr>
        <w:t> </w:t>
      </w:r>
      <w:r>
        <w:rPr>
          <w:spacing w:val="-8"/>
          <w:w w:val="125"/>
        </w:rPr>
        <w:t>[2015]</w:t>
      </w:r>
    </w:p>
    <w:p>
      <w:pPr>
        <w:pStyle w:val="BodyText"/>
        <w:tabs>
          <w:tab w:pos="5584" w:val="left" w:leader="none"/>
        </w:tabs>
        <w:spacing w:line="240" w:lineRule="exact"/>
        <w:ind w:left="1984"/>
      </w:pPr>
      <w:r>
        <w:rPr>
          <w:w w:val="125"/>
        </w:rPr>
        <w:t>Mrs Elsie Gillard</w:t>
      </w:r>
      <w:r>
        <w:rPr>
          <w:spacing w:val="-19"/>
          <w:w w:val="125"/>
        </w:rPr>
        <w:t> </w:t>
      </w:r>
      <w:r>
        <w:rPr>
          <w:spacing w:val="-8"/>
          <w:w w:val="125"/>
        </w:rPr>
        <w:t>(2)</w:t>
      </w:r>
      <w:r>
        <w:rPr>
          <w:spacing w:val="-6"/>
          <w:w w:val="125"/>
        </w:rPr>
        <w:t> </w:t>
      </w:r>
      <w:r>
        <w:rPr>
          <w:spacing w:val="-7"/>
          <w:w w:val="125"/>
        </w:rPr>
        <w:t>[2016]</w:t>
        <w:tab/>
      </w:r>
      <w:r>
        <w:rPr>
          <w:w w:val="125"/>
        </w:rPr>
        <w:t>Mr Richard Pryor (7)</w:t>
      </w:r>
      <w:r>
        <w:rPr>
          <w:spacing w:val="-3"/>
          <w:w w:val="125"/>
        </w:rPr>
        <w:t> </w:t>
      </w:r>
      <w:r>
        <w:rPr>
          <w:spacing w:val="-7"/>
          <w:w w:val="125"/>
        </w:rPr>
        <w:t>[2016]</w:t>
      </w:r>
    </w:p>
    <w:p>
      <w:pPr>
        <w:pStyle w:val="BodyText"/>
        <w:tabs>
          <w:tab w:pos="5584" w:val="left" w:leader="none"/>
        </w:tabs>
        <w:spacing w:line="238" w:lineRule="exact"/>
        <w:ind w:left="1984"/>
      </w:pPr>
      <w:r>
        <w:rPr>
          <w:w w:val="125"/>
        </w:rPr>
        <w:t>The Revd Kate Gartside</w:t>
      </w:r>
      <w:r>
        <w:rPr>
          <w:spacing w:val="-15"/>
          <w:w w:val="125"/>
        </w:rPr>
        <w:t> </w:t>
      </w:r>
      <w:r>
        <w:rPr>
          <w:spacing w:val="-8"/>
          <w:w w:val="125"/>
        </w:rPr>
        <w:t>(3)</w:t>
      </w:r>
      <w:r>
        <w:rPr>
          <w:spacing w:val="-3"/>
          <w:w w:val="125"/>
        </w:rPr>
        <w:t> </w:t>
      </w:r>
      <w:r>
        <w:rPr>
          <w:spacing w:val="-8"/>
          <w:w w:val="125"/>
        </w:rPr>
        <w:t>[2017]</w:t>
        <w:tab/>
      </w:r>
      <w:r>
        <w:rPr>
          <w:w w:val="125"/>
        </w:rPr>
        <w:t>Mr Ian Simpson </w:t>
      </w:r>
      <w:r>
        <w:rPr>
          <w:spacing w:val="-8"/>
          <w:w w:val="125"/>
        </w:rPr>
        <w:t>(9)</w:t>
      </w:r>
      <w:r>
        <w:rPr>
          <w:spacing w:val="-3"/>
          <w:w w:val="125"/>
        </w:rPr>
        <w:t> </w:t>
      </w:r>
      <w:r>
        <w:rPr>
          <w:spacing w:val="-8"/>
          <w:w w:val="125"/>
        </w:rPr>
        <w:t>[2017]</w:t>
      </w:r>
    </w:p>
    <w:p>
      <w:pPr>
        <w:pStyle w:val="BodyText"/>
        <w:tabs>
          <w:tab w:pos="5584" w:val="left" w:leader="none"/>
        </w:tabs>
        <w:ind w:left="1984"/>
      </w:pPr>
      <w:r>
        <w:rPr>
          <w:w w:val="120"/>
        </w:rPr>
        <w:t>Mr Richard Turnbull</w:t>
      </w:r>
      <w:r>
        <w:rPr>
          <w:spacing w:val="43"/>
          <w:w w:val="120"/>
        </w:rPr>
        <w:t> </w:t>
      </w:r>
      <w:r>
        <w:rPr>
          <w:spacing w:val="-8"/>
          <w:w w:val="120"/>
        </w:rPr>
        <w:t>(5)</w:t>
      </w:r>
      <w:r>
        <w:rPr>
          <w:spacing w:val="15"/>
          <w:w w:val="120"/>
        </w:rPr>
        <w:t> </w:t>
      </w:r>
      <w:r>
        <w:rPr>
          <w:spacing w:val="-8"/>
          <w:w w:val="120"/>
        </w:rPr>
        <w:t>[2017]</w:t>
        <w:tab/>
      </w:r>
      <w:r>
        <w:rPr>
          <w:w w:val="120"/>
        </w:rPr>
        <w:t>The Revd David Walton </w:t>
      </w:r>
      <w:r>
        <w:rPr>
          <w:spacing w:val="3"/>
          <w:w w:val="120"/>
        </w:rPr>
        <w:t>** </w:t>
      </w:r>
      <w:r>
        <w:rPr>
          <w:spacing w:val="-7"/>
          <w:w w:val="120"/>
        </w:rPr>
        <w:t>(6)</w:t>
      </w:r>
      <w:r>
        <w:rPr>
          <w:spacing w:val="13"/>
          <w:w w:val="120"/>
        </w:rPr>
        <w:t> </w:t>
      </w:r>
      <w:r>
        <w:rPr>
          <w:spacing w:val="-8"/>
          <w:w w:val="120"/>
        </w:rPr>
        <w:t>[2018]</w:t>
      </w:r>
    </w:p>
    <w:p>
      <w:pPr>
        <w:pStyle w:val="BodyText"/>
        <w:spacing w:before="4"/>
        <w:rPr>
          <w:sz w:val="18"/>
        </w:rPr>
      </w:pPr>
    </w:p>
    <w:p>
      <w:pPr>
        <w:pStyle w:val="Heading9"/>
        <w:numPr>
          <w:ilvl w:val="2"/>
          <w:numId w:val="82"/>
        </w:numPr>
        <w:tabs>
          <w:tab w:pos="2665" w:val="left" w:leader="none"/>
        </w:tabs>
        <w:spacing w:line="261" w:lineRule="exact" w:before="0" w:after="0"/>
        <w:ind w:left="2664" w:right="0" w:hanging="681"/>
        <w:jc w:val="left"/>
      </w:pPr>
      <w:r>
        <w:rPr>
          <w:w w:val="110"/>
        </w:rPr>
        <w:t>Stewardship</w:t>
      </w:r>
      <w:r>
        <w:rPr>
          <w:spacing w:val="-1"/>
          <w:w w:val="110"/>
        </w:rPr>
        <w:t> </w:t>
      </w:r>
      <w:r>
        <w:rPr>
          <w:w w:val="110"/>
        </w:rPr>
        <w:t>sub-committee</w:t>
      </w:r>
    </w:p>
    <w:p>
      <w:pPr>
        <w:pStyle w:val="BodyText"/>
        <w:spacing w:line="233" w:lineRule="exact"/>
        <w:ind w:left="1984"/>
      </w:pPr>
      <w:r>
        <w:rPr>
          <w:w w:val="120"/>
        </w:rPr>
        <w:t>Convener: Mr Keith Berry [2017]</w:t>
      </w:r>
    </w:p>
    <w:p>
      <w:pPr>
        <w:pStyle w:val="BodyText"/>
        <w:tabs>
          <w:tab w:pos="5584" w:val="left" w:leader="none"/>
        </w:tabs>
        <w:spacing w:line="240" w:lineRule="exact"/>
        <w:ind w:left="1984"/>
      </w:pPr>
      <w:r>
        <w:rPr>
          <w:w w:val="125"/>
        </w:rPr>
        <w:t>Mr Jim Crawford</w:t>
      </w:r>
      <w:r>
        <w:rPr>
          <w:spacing w:val="-13"/>
          <w:w w:val="125"/>
        </w:rPr>
        <w:t> </w:t>
      </w:r>
      <w:r>
        <w:rPr>
          <w:spacing w:val="-8"/>
          <w:w w:val="125"/>
        </w:rPr>
        <w:t>(3)</w:t>
      </w:r>
      <w:r>
        <w:rPr>
          <w:spacing w:val="-5"/>
          <w:w w:val="125"/>
        </w:rPr>
        <w:t> </w:t>
      </w:r>
      <w:r>
        <w:rPr>
          <w:spacing w:val="-7"/>
          <w:w w:val="125"/>
        </w:rPr>
        <w:t>[2016]</w:t>
        <w:tab/>
      </w:r>
      <w:r>
        <w:rPr>
          <w:w w:val="125"/>
        </w:rPr>
        <w:t>Mrs Rosie Buxton </w:t>
      </w:r>
      <w:r>
        <w:rPr>
          <w:spacing w:val="-10"/>
          <w:w w:val="125"/>
        </w:rPr>
        <w:t>(12)</w:t>
      </w:r>
      <w:r>
        <w:rPr>
          <w:spacing w:val="-4"/>
          <w:w w:val="125"/>
        </w:rPr>
        <w:t> </w:t>
      </w:r>
      <w:r>
        <w:rPr>
          <w:spacing w:val="-7"/>
          <w:w w:val="125"/>
        </w:rPr>
        <w:t>[2016]</w:t>
      </w:r>
    </w:p>
    <w:p>
      <w:pPr>
        <w:pStyle w:val="BodyText"/>
        <w:tabs>
          <w:tab w:pos="5584" w:val="left" w:leader="none"/>
        </w:tabs>
        <w:spacing w:line="242" w:lineRule="exact"/>
        <w:ind w:left="1984"/>
      </w:pPr>
      <w:r>
        <w:rPr>
          <w:w w:val="125"/>
        </w:rPr>
        <w:t>Mr John Denison</w:t>
      </w:r>
      <w:r>
        <w:rPr>
          <w:spacing w:val="-13"/>
          <w:w w:val="125"/>
        </w:rPr>
        <w:t> </w:t>
      </w:r>
      <w:r>
        <w:rPr>
          <w:spacing w:val="-14"/>
          <w:w w:val="125"/>
        </w:rPr>
        <w:t>(11)</w:t>
      </w:r>
      <w:r>
        <w:rPr>
          <w:spacing w:val="-4"/>
          <w:w w:val="125"/>
        </w:rPr>
        <w:t> </w:t>
      </w:r>
      <w:r>
        <w:rPr>
          <w:spacing w:val="-8"/>
          <w:w w:val="125"/>
        </w:rPr>
        <w:t>[2017]</w:t>
        <w:tab/>
      </w:r>
      <w:r>
        <w:rPr>
          <w:w w:val="125"/>
        </w:rPr>
        <w:t>The Revd Andrew Mills** </w:t>
      </w:r>
      <w:r>
        <w:rPr>
          <w:spacing w:val="-14"/>
          <w:w w:val="125"/>
        </w:rPr>
        <w:t>(11)</w:t>
      </w:r>
      <w:r>
        <w:rPr>
          <w:spacing w:val="-10"/>
          <w:w w:val="125"/>
        </w:rPr>
        <w:t> </w:t>
      </w:r>
      <w:r>
        <w:rPr>
          <w:spacing w:val="-8"/>
          <w:w w:val="125"/>
        </w:rPr>
        <w:t>[2018]</w:t>
      </w:r>
    </w:p>
    <w:p>
      <w:pPr>
        <w:pStyle w:val="BodyText"/>
        <w:spacing w:before="3"/>
        <w:rPr>
          <w:sz w:val="18"/>
        </w:rPr>
      </w:pPr>
    </w:p>
    <w:p>
      <w:pPr>
        <w:pStyle w:val="Heading9"/>
        <w:numPr>
          <w:ilvl w:val="1"/>
          <w:numId w:val="82"/>
        </w:numPr>
        <w:tabs>
          <w:tab w:pos="2664" w:val="left" w:leader="none"/>
          <w:tab w:pos="2665" w:val="left" w:leader="none"/>
        </w:tabs>
        <w:spacing w:line="261" w:lineRule="exact" w:before="0" w:after="0"/>
        <w:ind w:left="2664" w:right="0" w:hanging="681"/>
        <w:jc w:val="left"/>
      </w:pPr>
      <w:r>
        <w:rPr>
          <w:w w:val="110"/>
        </w:rPr>
        <w:t>Nominations</w:t>
      </w:r>
      <w:r>
        <w:rPr>
          <w:spacing w:val="-1"/>
          <w:w w:val="110"/>
        </w:rPr>
        <w:t> </w:t>
      </w:r>
      <w:r>
        <w:rPr>
          <w:w w:val="110"/>
        </w:rPr>
        <w:t>committee</w:t>
      </w:r>
    </w:p>
    <w:p>
      <w:pPr>
        <w:spacing w:line="233" w:lineRule="exact" w:before="0"/>
        <w:ind w:left="1984" w:right="0" w:firstLine="0"/>
        <w:jc w:val="left"/>
        <w:rPr>
          <w:i/>
          <w:sz w:val="20"/>
        </w:rPr>
      </w:pPr>
      <w:r>
        <w:rPr>
          <w:i/>
          <w:w w:val="110"/>
          <w:sz w:val="20"/>
        </w:rPr>
        <w:t>(Synods appoint and decide terms for their representation)</w:t>
      </w:r>
    </w:p>
    <w:p>
      <w:pPr>
        <w:pStyle w:val="BodyText"/>
        <w:spacing w:line="235" w:lineRule="auto" w:before="2"/>
        <w:ind w:left="1984" w:right="5691"/>
      </w:pPr>
      <w:r>
        <w:rPr>
          <w:w w:val="120"/>
        </w:rPr>
        <w:t>Convener: Mrs Irene Wren [2018] Secretary: Mrs Carol Rogers [2017]</w:t>
      </w:r>
    </w:p>
    <w:p>
      <w:pPr>
        <w:pStyle w:val="BodyText"/>
        <w:tabs>
          <w:tab w:pos="5584" w:val="left" w:leader="none"/>
        </w:tabs>
        <w:spacing w:line="235" w:lineRule="auto" w:before="2"/>
        <w:ind w:left="1984" w:right="3726"/>
      </w:pPr>
      <w:r>
        <w:rPr>
          <w:w w:val="125"/>
        </w:rPr>
        <w:t>Mrs Melanie</w:t>
      </w:r>
      <w:r>
        <w:rPr>
          <w:spacing w:val="-21"/>
          <w:w w:val="125"/>
        </w:rPr>
        <w:t> </w:t>
      </w:r>
      <w:r>
        <w:rPr>
          <w:w w:val="125"/>
        </w:rPr>
        <w:t>Campbell</w:t>
      </w:r>
      <w:r>
        <w:rPr>
          <w:spacing w:val="-11"/>
          <w:w w:val="125"/>
        </w:rPr>
        <w:t> (1)</w:t>
        <w:tab/>
      </w:r>
      <w:r>
        <w:rPr>
          <w:w w:val="125"/>
        </w:rPr>
        <w:t>The</w:t>
      </w:r>
      <w:r>
        <w:rPr>
          <w:spacing w:val="-14"/>
          <w:w w:val="125"/>
        </w:rPr>
        <w:t> </w:t>
      </w:r>
      <w:r>
        <w:rPr>
          <w:w w:val="125"/>
        </w:rPr>
        <w:t>Revd</w:t>
      </w:r>
      <w:r>
        <w:rPr>
          <w:spacing w:val="-14"/>
          <w:w w:val="125"/>
        </w:rPr>
        <w:t> </w:t>
      </w:r>
      <w:r>
        <w:rPr>
          <w:w w:val="125"/>
        </w:rPr>
        <w:t>Martin</w:t>
      </w:r>
      <w:r>
        <w:rPr>
          <w:spacing w:val="-14"/>
          <w:w w:val="125"/>
        </w:rPr>
        <w:t> </w:t>
      </w:r>
      <w:r>
        <w:rPr>
          <w:w w:val="125"/>
        </w:rPr>
        <w:t>Smith</w:t>
      </w:r>
      <w:r>
        <w:rPr>
          <w:spacing w:val="-15"/>
          <w:w w:val="125"/>
        </w:rPr>
        <w:t> </w:t>
      </w:r>
      <w:r>
        <w:rPr>
          <w:spacing w:val="-8"/>
          <w:w w:val="125"/>
        </w:rPr>
        <w:t>(2) </w:t>
      </w:r>
      <w:r>
        <w:rPr>
          <w:w w:val="125"/>
        </w:rPr>
        <w:t>Mrs Rita</w:t>
      </w:r>
      <w:r>
        <w:rPr>
          <w:spacing w:val="-32"/>
          <w:w w:val="125"/>
        </w:rPr>
        <w:t> </w:t>
      </w:r>
      <w:r>
        <w:rPr>
          <w:w w:val="125"/>
        </w:rPr>
        <w:t>Griffiths</w:t>
      </w:r>
      <w:r>
        <w:rPr>
          <w:spacing w:val="-16"/>
          <w:w w:val="125"/>
        </w:rPr>
        <w:t> </w:t>
      </w:r>
      <w:r>
        <w:rPr>
          <w:spacing w:val="-8"/>
          <w:w w:val="125"/>
        </w:rPr>
        <w:t>(3)</w:t>
        <w:tab/>
      </w:r>
      <w:r>
        <w:rPr>
          <w:w w:val="125"/>
        </w:rPr>
        <w:t>Mr Chris Reed</w:t>
      </w:r>
      <w:r>
        <w:rPr>
          <w:spacing w:val="-5"/>
          <w:w w:val="125"/>
        </w:rPr>
        <w:t> </w:t>
      </w:r>
      <w:r>
        <w:rPr>
          <w:spacing w:val="-10"/>
          <w:w w:val="125"/>
        </w:rPr>
        <w:t>(4)</w:t>
      </w:r>
    </w:p>
    <w:p>
      <w:pPr>
        <w:pStyle w:val="BodyText"/>
        <w:tabs>
          <w:tab w:pos="5584" w:val="left" w:leader="none"/>
        </w:tabs>
        <w:spacing w:line="235" w:lineRule="auto" w:before="1"/>
        <w:ind w:left="1984" w:right="3763"/>
      </w:pPr>
      <w:r>
        <w:rPr>
          <w:w w:val="125"/>
        </w:rPr>
        <w:t>Mr Duncan</w:t>
      </w:r>
      <w:r>
        <w:rPr>
          <w:spacing w:val="-12"/>
          <w:w w:val="125"/>
        </w:rPr>
        <w:t> </w:t>
      </w:r>
      <w:r>
        <w:rPr>
          <w:w w:val="125"/>
        </w:rPr>
        <w:t>Smith</w:t>
      </w:r>
      <w:r>
        <w:rPr>
          <w:spacing w:val="-6"/>
          <w:w w:val="125"/>
        </w:rPr>
        <w:t> </w:t>
      </w:r>
      <w:r>
        <w:rPr>
          <w:spacing w:val="-8"/>
          <w:w w:val="125"/>
        </w:rPr>
        <w:t>(5)</w:t>
        <w:tab/>
      </w:r>
      <w:r>
        <w:rPr>
          <w:w w:val="125"/>
        </w:rPr>
        <w:t>Mrs</w:t>
      </w:r>
      <w:r>
        <w:rPr>
          <w:spacing w:val="-36"/>
          <w:w w:val="125"/>
        </w:rPr>
        <w:t> </w:t>
      </w:r>
      <w:r>
        <w:rPr>
          <w:w w:val="125"/>
        </w:rPr>
        <w:t>Margaret</w:t>
      </w:r>
      <w:r>
        <w:rPr>
          <w:spacing w:val="-36"/>
          <w:w w:val="125"/>
        </w:rPr>
        <w:t> </w:t>
      </w:r>
      <w:r>
        <w:rPr>
          <w:w w:val="125"/>
        </w:rPr>
        <w:t>Marshall</w:t>
      </w:r>
      <w:r>
        <w:rPr>
          <w:spacing w:val="-35"/>
          <w:w w:val="125"/>
        </w:rPr>
        <w:t> </w:t>
      </w:r>
      <w:r>
        <w:rPr>
          <w:spacing w:val="-7"/>
          <w:w w:val="125"/>
        </w:rPr>
        <w:t>(6) </w:t>
      </w:r>
      <w:r>
        <w:rPr>
          <w:w w:val="125"/>
        </w:rPr>
        <w:t>The Revd Paul</w:t>
      </w:r>
      <w:r>
        <w:rPr>
          <w:spacing w:val="-37"/>
          <w:w w:val="125"/>
        </w:rPr>
        <w:t> </w:t>
      </w:r>
      <w:r>
        <w:rPr>
          <w:w w:val="125"/>
        </w:rPr>
        <w:t>Whittle</w:t>
      </w:r>
      <w:r>
        <w:rPr>
          <w:spacing w:val="-12"/>
          <w:w w:val="125"/>
        </w:rPr>
        <w:t> </w:t>
      </w:r>
      <w:r>
        <w:rPr>
          <w:w w:val="125"/>
        </w:rPr>
        <w:t>(7)</w:t>
        <w:tab/>
        <w:t>Mr George Faris</w:t>
      </w:r>
      <w:r>
        <w:rPr>
          <w:spacing w:val="-9"/>
          <w:w w:val="125"/>
        </w:rPr>
        <w:t> </w:t>
      </w:r>
      <w:r>
        <w:rPr>
          <w:spacing w:val="-8"/>
          <w:w w:val="125"/>
        </w:rPr>
        <w:t>(8)</w:t>
      </w:r>
    </w:p>
    <w:p>
      <w:pPr>
        <w:pStyle w:val="BodyText"/>
        <w:tabs>
          <w:tab w:pos="5584" w:val="left" w:leader="none"/>
        </w:tabs>
        <w:spacing w:line="235" w:lineRule="auto" w:before="1"/>
        <w:ind w:left="1984" w:right="3725"/>
      </w:pPr>
      <w:r>
        <w:rPr>
          <w:w w:val="125"/>
        </w:rPr>
        <w:t>Mr Colin</w:t>
      </w:r>
      <w:r>
        <w:rPr>
          <w:spacing w:val="-21"/>
          <w:w w:val="125"/>
        </w:rPr>
        <w:t> </w:t>
      </w:r>
      <w:r>
        <w:rPr>
          <w:w w:val="125"/>
        </w:rPr>
        <w:t>MacBean</w:t>
      </w:r>
      <w:r>
        <w:rPr>
          <w:spacing w:val="-11"/>
          <w:w w:val="125"/>
        </w:rPr>
        <w:t> </w:t>
      </w:r>
      <w:r>
        <w:rPr>
          <w:spacing w:val="-8"/>
          <w:w w:val="125"/>
        </w:rPr>
        <w:t>(9)</w:t>
        <w:tab/>
      </w:r>
      <w:r>
        <w:rPr>
          <w:w w:val="125"/>
        </w:rPr>
        <w:t>Mr</w:t>
      </w:r>
      <w:r>
        <w:rPr>
          <w:spacing w:val="-16"/>
          <w:w w:val="125"/>
        </w:rPr>
        <w:t> </w:t>
      </w:r>
      <w:r>
        <w:rPr>
          <w:w w:val="125"/>
        </w:rPr>
        <w:t>Simon</w:t>
      </w:r>
      <w:r>
        <w:rPr>
          <w:spacing w:val="-17"/>
          <w:w w:val="125"/>
        </w:rPr>
        <w:t> </w:t>
      </w:r>
      <w:r>
        <w:rPr>
          <w:w w:val="125"/>
        </w:rPr>
        <w:t>Fairnington</w:t>
      </w:r>
      <w:r>
        <w:rPr>
          <w:spacing w:val="-17"/>
          <w:w w:val="125"/>
        </w:rPr>
        <w:t> </w:t>
      </w:r>
      <w:r>
        <w:rPr>
          <w:spacing w:val="-9"/>
          <w:w w:val="125"/>
        </w:rPr>
        <w:t>(10) </w:t>
      </w:r>
      <w:r>
        <w:rPr>
          <w:w w:val="125"/>
        </w:rPr>
        <w:t>The Revd Derrick Sena Dzandu-Hedidor</w:t>
      </w:r>
      <w:r>
        <w:rPr>
          <w:spacing w:val="-7"/>
          <w:w w:val="125"/>
        </w:rPr>
        <w:t> </w:t>
      </w:r>
      <w:r>
        <w:rPr>
          <w:spacing w:val="-14"/>
          <w:w w:val="125"/>
        </w:rPr>
        <w:t>(11)</w:t>
      </w:r>
    </w:p>
    <w:p>
      <w:pPr>
        <w:pStyle w:val="BodyText"/>
        <w:tabs>
          <w:tab w:pos="5584" w:val="left" w:leader="none"/>
        </w:tabs>
        <w:spacing w:line="242" w:lineRule="exact"/>
        <w:ind w:left="1984"/>
      </w:pPr>
      <w:r>
        <w:rPr>
          <w:w w:val="120"/>
        </w:rPr>
        <w:t>Dr Jean</w:t>
      </w:r>
      <w:r>
        <w:rPr>
          <w:spacing w:val="13"/>
          <w:w w:val="120"/>
        </w:rPr>
        <w:t> </w:t>
      </w:r>
      <w:r>
        <w:rPr>
          <w:w w:val="120"/>
        </w:rPr>
        <w:t>Silvan-Evans</w:t>
      </w:r>
      <w:r>
        <w:rPr>
          <w:spacing w:val="6"/>
          <w:w w:val="120"/>
        </w:rPr>
        <w:t> </w:t>
      </w:r>
      <w:r>
        <w:rPr>
          <w:spacing w:val="-10"/>
          <w:w w:val="120"/>
        </w:rPr>
        <w:t>(12)</w:t>
        <w:tab/>
      </w:r>
      <w:r>
        <w:rPr>
          <w:w w:val="120"/>
        </w:rPr>
        <w:t>Mrs Myra Rose</w:t>
      </w:r>
      <w:r>
        <w:rPr>
          <w:spacing w:val="6"/>
          <w:w w:val="120"/>
        </w:rPr>
        <w:t> </w:t>
      </w:r>
      <w:r>
        <w:rPr>
          <w:spacing w:val="-12"/>
          <w:w w:val="120"/>
        </w:rPr>
        <w:t>(13)</w:t>
      </w:r>
    </w:p>
    <w:p>
      <w:pPr>
        <w:pStyle w:val="BodyText"/>
        <w:rPr>
          <w:sz w:val="19"/>
        </w:rPr>
      </w:pPr>
    </w:p>
    <w:p>
      <w:pPr>
        <w:pStyle w:val="ListParagraph"/>
        <w:numPr>
          <w:ilvl w:val="2"/>
          <w:numId w:val="82"/>
        </w:numPr>
        <w:tabs>
          <w:tab w:pos="2665" w:val="left" w:leader="none"/>
        </w:tabs>
        <w:spacing w:line="230" w:lineRule="auto" w:before="0" w:after="0"/>
        <w:ind w:left="1984" w:right="4467" w:firstLine="0"/>
        <w:jc w:val="left"/>
        <w:rPr>
          <w:rFonts w:ascii="Stone Sans II ITC Std Bk"/>
          <w:sz w:val="20"/>
        </w:rPr>
      </w:pPr>
      <w:r>
        <w:rPr>
          <w:rFonts w:ascii="Stone Sans II ITC Std Bk"/>
          <w:b/>
          <w:w w:val="110"/>
          <w:sz w:val="20"/>
        </w:rPr>
        <w:t>Panel for General Assembly appointments </w:t>
      </w:r>
      <w:r>
        <w:rPr>
          <w:i/>
          <w:w w:val="110"/>
          <w:sz w:val="20"/>
        </w:rPr>
        <w:t>(Members usually serve for five years as training is required) </w:t>
      </w:r>
      <w:r>
        <w:rPr>
          <w:w w:val="110"/>
          <w:sz w:val="20"/>
        </w:rPr>
        <w:t>Retiring</w:t>
      </w:r>
      <w:r>
        <w:rPr>
          <w:spacing w:val="8"/>
          <w:w w:val="110"/>
          <w:sz w:val="20"/>
        </w:rPr>
        <w:t> </w:t>
      </w:r>
      <w:r>
        <w:rPr>
          <w:spacing w:val="-7"/>
          <w:w w:val="110"/>
          <w:sz w:val="20"/>
        </w:rPr>
        <w:t>2015</w:t>
      </w:r>
    </w:p>
    <w:p>
      <w:pPr>
        <w:pStyle w:val="BodyText"/>
        <w:tabs>
          <w:tab w:pos="5584" w:val="left" w:leader="none"/>
        </w:tabs>
        <w:spacing w:line="238" w:lineRule="exact"/>
        <w:ind w:left="1984"/>
      </w:pPr>
      <w:r>
        <w:rPr>
          <w:w w:val="120"/>
        </w:rPr>
        <w:t>Mrs Joan</w:t>
      </w:r>
      <w:r>
        <w:rPr>
          <w:spacing w:val="-2"/>
          <w:w w:val="120"/>
        </w:rPr>
        <w:t> </w:t>
      </w:r>
      <w:r>
        <w:rPr>
          <w:w w:val="120"/>
        </w:rPr>
        <w:t>Turner (7)</w:t>
        <w:tab/>
        <w:t>Mr Peter Pay</w:t>
      </w:r>
      <w:r>
        <w:rPr>
          <w:spacing w:val="5"/>
          <w:w w:val="120"/>
        </w:rPr>
        <w:t> </w:t>
      </w:r>
      <w:r>
        <w:rPr>
          <w:spacing w:val="-8"/>
          <w:w w:val="120"/>
        </w:rPr>
        <w:t>(9)</w:t>
      </w:r>
    </w:p>
    <w:p>
      <w:pPr>
        <w:pStyle w:val="BodyText"/>
        <w:tabs>
          <w:tab w:pos="5584" w:val="left" w:leader="none"/>
        </w:tabs>
        <w:spacing w:line="235" w:lineRule="auto" w:before="2"/>
        <w:ind w:left="1984" w:right="3685"/>
      </w:pPr>
      <w:r>
        <w:rPr>
          <w:w w:val="125"/>
        </w:rPr>
        <w:t>The Revd Pauline</w:t>
      </w:r>
      <w:r>
        <w:rPr>
          <w:spacing w:val="-40"/>
          <w:w w:val="125"/>
        </w:rPr>
        <w:t> </w:t>
      </w:r>
      <w:r>
        <w:rPr>
          <w:w w:val="125"/>
        </w:rPr>
        <w:t>Barnes</w:t>
      </w:r>
      <w:r>
        <w:rPr>
          <w:spacing w:val="-14"/>
          <w:w w:val="125"/>
        </w:rPr>
        <w:t> </w:t>
      </w:r>
      <w:r>
        <w:rPr>
          <w:spacing w:val="-8"/>
          <w:w w:val="125"/>
        </w:rPr>
        <w:t>(5)</w:t>
        <w:tab/>
      </w:r>
      <w:r>
        <w:rPr>
          <w:w w:val="125"/>
        </w:rPr>
        <w:t>The</w:t>
      </w:r>
      <w:r>
        <w:rPr>
          <w:spacing w:val="-16"/>
          <w:w w:val="125"/>
        </w:rPr>
        <w:t> </w:t>
      </w:r>
      <w:r>
        <w:rPr>
          <w:w w:val="125"/>
        </w:rPr>
        <w:t>Revd</w:t>
      </w:r>
      <w:r>
        <w:rPr>
          <w:spacing w:val="-15"/>
          <w:w w:val="125"/>
        </w:rPr>
        <w:t> </w:t>
      </w:r>
      <w:r>
        <w:rPr>
          <w:w w:val="125"/>
        </w:rPr>
        <w:t>Alison</w:t>
      </w:r>
      <w:r>
        <w:rPr>
          <w:spacing w:val="-16"/>
          <w:w w:val="125"/>
        </w:rPr>
        <w:t> </w:t>
      </w:r>
      <w:r>
        <w:rPr>
          <w:w w:val="125"/>
        </w:rPr>
        <w:t>Termie</w:t>
      </w:r>
      <w:r>
        <w:rPr>
          <w:spacing w:val="-16"/>
          <w:w w:val="125"/>
        </w:rPr>
        <w:t> </w:t>
      </w:r>
      <w:r>
        <w:rPr>
          <w:spacing w:val="-10"/>
          <w:w w:val="125"/>
        </w:rPr>
        <w:t>(4) </w:t>
      </w:r>
      <w:r>
        <w:rPr>
          <w:w w:val="125"/>
        </w:rPr>
        <w:t>Mrs Angela</w:t>
      </w:r>
      <w:r>
        <w:rPr>
          <w:spacing w:val="-9"/>
          <w:w w:val="125"/>
        </w:rPr>
        <w:t> </w:t>
      </w:r>
      <w:r>
        <w:rPr>
          <w:w w:val="125"/>
        </w:rPr>
        <w:t>Quinn</w:t>
      </w:r>
      <w:r>
        <w:rPr>
          <w:spacing w:val="-4"/>
          <w:w w:val="125"/>
        </w:rPr>
        <w:t> </w:t>
      </w:r>
      <w:r>
        <w:rPr>
          <w:spacing w:val="-12"/>
          <w:w w:val="125"/>
        </w:rPr>
        <w:t>(13)</w:t>
        <w:tab/>
      </w:r>
      <w:r>
        <w:rPr>
          <w:w w:val="125"/>
        </w:rPr>
        <w:t>Mr Phil Knott</w:t>
      </w:r>
      <w:r>
        <w:rPr>
          <w:spacing w:val="-5"/>
          <w:w w:val="125"/>
        </w:rPr>
        <w:t> </w:t>
      </w:r>
      <w:r>
        <w:rPr>
          <w:spacing w:val="-8"/>
          <w:w w:val="125"/>
        </w:rPr>
        <w:t>(2)</w:t>
      </w:r>
    </w:p>
    <w:p>
      <w:pPr>
        <w:pStyle w:val="BodyText"/>
        <w:spacing w:before="5"/>
        <w:rPr>
          <w:sz w:val="19"/>
        </w:rPr>
      </w:pPr>
    </w:p>
    <w:p>
      <w:pPr>
        <w:pStyle w:val="BodyText"/>
        <w:spacing w:line="242" w:lineRule="exact"/>
        <w:ind w:left="1984"/>
      </w:pPr>
      <w:r>
        <w:rPr>
          <w:w w:val="120"/>
        </w:rPr>
        <w:t>Retiring 2017:</w:t>
      </w:r>
    </w:p>
    <w:p>
      <w:pPr>
        <w:pStyle w:val="BodyText"/>
        <w:tabs>
          <w:tab w:pos="5584" w:val="left" w:leader="none"/>
        </w:tabs>
        <w:spacing w:line="240" w:lineRule="exact"/>
        <w:ind w:left="1984"/>
      </w:pPr>
      <w:r>
        <w:rPr>
          <w:w w:val="125"/>
        </w:rPr>
        <w:t>The Revd Stuart</w:t>
      </w:r>
      <w:r>
        <w:rPr>
          <w:spacing w:val="-29"/>
          <w:w w:val="125"/>
        </w:rPr>
        <w:t> </w:t>
      </w:r>
      <w:r>
        <w:rPr>
          <w:w w:val="125"/>
        </w:rPr>
        <w:t>Brock</w:t>
      </w:r>
      <w:r>
        <w:rPr>
          <w:spacing w:val="-9"/>
          <w:w w:val="125"/>
        </w:rPr>
        <w:t> </w:t>
      </w:r>
      <w:r>
        <w:rPr>
          <w:spacing w:val="-11"/>
          <w:w w:val="125"/>
        </w:rPr>
        <w:t>(1)</w:t>
        <w:tab/>
      </w:r>
      <w:r>
        <w:rPr>
          <w:w w:val="125"/>
        </w:rPr>
        <w:t>The Revd Dr Jim Coleman</w:t>
      </w:r>
      <w:r>
        <w:rPr>
          <w:spacing w:val="-5"/>
          <w:w w:val="125"/>
        </w:rPr>
        <w:t> </w:t>
      </w:r>
      <w:r>
        <w:rPr>
          <w:spacing w:val="-10"/>
          <w:w w:val="125"/>
        </w:rPr>
        <w:t>(4)</w:t>
      </w:r>
    </w:p>
    <w:p>
      <w:pPr>
        <w:pStyle w:val="BodyText"/>
        <w:tabs>
          <w:tab w:pos="5584" w:val="left" w:leader="none"/>
        </w:tabs>
        <w:spacing w:line="235" w:lineRule="auto" w:before="2"/>
        <w:ind w:left="1984" w:right="1947"/>
      </w:pPr>
      <w:r>
        <w:rPr>
          <w:w w:val="125"/>
        </w:rPr>
        <w:t>The Revd Linda</w:t>
      </w:r>
      <w:r>
        <w:rPr>
          <w:spacing w:val="-20"/>
          <w:w w:val="125"/>
        </w:rPr>
        <w:t> </w:t>
      </w:r>
      <w:r>
        <w:rPr>
          <w:w w:val="125"/>
        </w:rPr>
        <w:t>Elliott</w:t>
      </w:r>
      <w:r>
        <w:rPr>
          <w:spacing w:val="-6"/>
          <w:w w:val="125"/>
        </w:rPr>
        <w:t> </w:t>
      </w:r>
      <w:r>
        <w:rPr>
          <w:spacing w:val="-10"/>
          <w:w w:val="125"/>
        </w:rPr>
        <w:t>(12)</w:t>
        <w:tab/>
      </w:r>
      <w:r>
        <w:rPr>
          <w:w w:val="125"/>
        </w:rPr>
        <w:t>The Revd Derrick Sena Dzandu-Hedidor</w:t>
      </w:r>
      <w:r>
        <w:rPr>
          <w:spacing w:val="-37"/>
          <w:w w:val="125"/>
        </w:rPr>
        <w:t> </w:t>
      </w:r>
      <w:r>
        <w:rPr>
          <w:spacing w:val="-14"/>
          <w:w w:val="125"/>
        </w:rPr>
        <w:t>(11) </w:t>
      </w:r>
      <w:r>
        <w:rPr>
          <w:w w:val="125"/>
        </w:rPr>
        <w:t>Dr </w:t>
      </w:r>
      <w:r>
        <w:rPr>
          <w:spacing w:val="-4"/>
          <w:w w:val="125"/>
        </w:rPr>
        <w:t>Tony</w:t>
      </w:r>
      <w:r>
        <w:rPr>
          <w:spacing w:val="-14"/>
          <w:w w:val="125"/>
        </w:rPr>
        <w:t> </w:t>
      </w:r>
      <w:r>
        <w:rPr>
          <w:w w:val="125"/>
        </w:rPr>
        <w:t>Jeans</w:t>
      </w:r>
      <w:r>
        <w:rPr>
          <w:spacing w:val="-7"/>
          <w:w w:val="125"/>
        </w:rPr>
        <w:t> (6)</w:t>
        <w:tab/>
      </w:r>
      <w:r>
        <w:rPr>
          <w:w w:val="125"/>
        </w:rPr>
        <w:t>Mrs Hilary Miles</w:t>
      </w:r>
      <w:r>
        <w:rPr>
          <w:spacing w:val="-4"/>
          <w:w w:val="125"/>
        </w:rPr>
        <w:t> </w:t>
      </w:r>
      <w:r>
        <w:rPr>
          <w:spacing w:val="-14"/>
          <w:w w:val="125"/>
        </w:rPr>
        <w:t>(11)</w:t>
      </w:r>
    </w:p>
    <w:p>
      <w:pPr>
        <w:pStyle w:val="BodyText"/>
        <w:tabs>
          <w:tab w:pos="5584" w:val="left" w:leader="none"/>
        </w:tabs>
        <w:spacing w:line="242" w:lineRule="exact"/>
        <w:ind w:left="1984"/>
      </w:pPr>
      <w:r>
        <w:rPr>
          <w:w w:val="125"/>
        </w:rPr>
        <w:t>The Revd Peter</w:t>
      </w:r>
      <w:r>
        <w:rPr>
          <w:spacing w:val="-32"/>
          <w:w w:val="125"/>
        </w:rPr>
        <w:t> </w:t>
      </w:r>
      <w:r>
        <w:rPr>
          <w:w w:val="125"/>
        </w:rPr>
        <w:t>Rand</w:t>
      </w:r>
      <w:r>
        <w:rPr>
          <w:spacing w:val="-10"/>
          <w:w w:val="125"/>
        </w:rPr>
        <w:t> </w:t>
      </w:r>
      <w:r>
        <w:rPr>
          <w:spacing w:val="-11"/>
          <w:w w:val="125"/>
        </w:rPr>
        <w:t>(1)</w:t>
        <w:tab/>
      </w:r>
      <w:r>
        <w:rPr>
          <w:w w:val="125"/>
        </w:rPr>
        <w:t>Mr David Clarkson</w:t>
      </w:r>
      <w:r>
        <w:rPr>
          <w:spacing w:val="-2"/>
          <w:w w:val="125"/>
        </w:rPr>
        <w:t> </w:t>
      </w:r>
      <w:r>
        <w:rPr>
          <w:spacing w:val="-10"/>
          <w:w w:val="125"/>
        </w:rPr>
        <w:t>(12)</w:t>
      </w:r>
    </w:p>
    <w:p>
      <w:pPr>
        <w:pStyle w:val="BodyText"/>
        <w:spacing w:before="4"/>
        <w:rPr>
          <w:sz w:val="19"/>
        </w:rPr>
      </w:pPr>
    </w:p>
    <w:p>
      <w:pPr>
        <w:pStyle w:val="BodyText"/>
        <w:spacing w:line="242" w:lineRule="exact"/>
        <w:ind w:left="1984"/>
      </w:pPr>
      <w:r>
        <w:rPr>
          <w:w w:val="120"/>
        </w:rPr>
        <w:t>Retiring 2018:</w:t>
      </w:r>
    </w:p>
    <w:p>
      <w:pPr>
        <w:pStyle w:val="BodyText"/>
        <w:tabs>
          <w:tab w:pos="5584" w:val="left" w:leader="none"/>
        </w:tabs>
        <w:spacing w:line="240" w:lineRule="exact"/>
        <w:ind w:left="1984"/>
      </w:pPr>
      <w:r>
        <w:rPr>
          <w:w w:val="120"/>
        </w:rPr>
        <w:t>The Revd Viv</w:t>
      </w:r>
      <w:r>
        <w:rPr>
          <w:spacing w:val="32"/>
          <w:w w:val="120"/>
        </w:rPr>
        <w:t> </w:t>
      </w:r>
      <w:r>
        <w:rPr>
          <w:w w:val="120"/>
        </w:rPr>
        <w:t>Randles</w:t>
      </w:r>
      <w:r>
        <w:rPr>
          <w:spacing w:val="11"/>
          <w:w w:val="120"/>
        </w:rPr>
        <w:t> </w:t>
      </w:r>
      <w:r>
        <w:rPr>
          <w:spacing w:val="-9"/>
          <w:w w:val="120"/>
        </w:rPr>
        <w:t>(10)</w:t>
        <w:tab/>
      </w:r>
      <w:r>
        <w:rPr>
          <w:w w:val="120"/>
        </w:rPr>
        <w:t>Mrs Helen Renner</w:t>
      </w:r>
      <w:r>
        <w:rPr>
          <w:spacing w:val="7"/>
          <w:w w:val="120"/>
        </w:rPr>
        <w:t> </w:t>
      </w:r>
      <w:r>
        <w:rPr>
          <w:spacing w:val="-8"/>
          <w:w w:val="120"/>
        </w:rPr>
        <w:t>(3)</w:t>
      </w:r>
    </w:p>
    <w:p>
      <w:pPr>
        <w:pStyle w:val="BodyText"/>
        <w:tabs>
          <w:tab w:pos="5584" w:val="left" w:leader="none"/>
        </w:tabs>
        <w:spacing w:line="240" w:lineRule="exact"/>
        <w:ind w:left="1984"/>
      </w:pPr>
      <w:r>
        <w:rPr>
          <w:w w:val="125"/>
        </w:rPr>
        <w:t>Mr Bill</w:t>
      </w:r>
      <w:r>
        <w:rPr>
          <w:spacing w:val="-17"/>
          <w:w w:val="125"/>
        </w:rPr>
        <w:t> </w:t>
      </w:r>
      <w:r>
        <w:rPr>
          <w:w w:val="125"/>
        </w:rPr>
        <w:t>Robson</w:t>
      </w:r>
      <w:r>
        <w:rPr>
          <w:spacing w:val="-8"/>
          <w:w w:val="125"/>
        </w:rPr>
        <w:t> </w:t>
      </w:r>
      <w:r>
        <w:rPr>
          <w:spacing w:val="-12"/>
          <w:w w:val="125"/>
        </w:rPr>
        <w:t>(13)</w:t>
        <w:tab/>
      </w:r>
      <w:r>
        <w:rPr>
          <w:w w:val="125"/>
        </w:rPr>
        <w:t>Mrs Lesley Richmond</w:t>
      </w:r>
      <w:r>
        <w:rPr>
          <w:spacing w:val="-3"/>
          <w:w w:val="125"/>
        </w:rPr>
        <w:t> </w:t>
      </w:r>
      <w:r>
        <w:rPr>
          <w:spacing w:val="-12"/>
          <w:w w:val="125"/>
        </w:rPr>
        <w:t>(13)</w:t>
      </w:r>
    </w:p>
    <w:p>
      <w:pPr>
        <w:pStyle w:val="BodyText"/>
        <w:tabs>
          <w:tab w:pos="5584" w:val="left" w:leader="none"/>
        </w:tabs>
        <w:spacing w:line="235" w:lineRule="auto" w:before="2"/>
        <w:ind w:left="1984" w:right="3499"/>
      </w:pPr>
      <w:r>
        <w:rPr>
          <w:w w:val="125"/>
        </w:rPr>
        <w:t>The Revd Liz</w:t>
      </w:r>
      <w:r>
        <w:rPr>
          <w:spacing w:val="-9"/>
          <w:w w:val="125"/>
        </w:rPr>
        <w:t> </w:t>
      </w:r>
      <w:r>
        <w:rPr>
          <w:w w:val="125"/>
        </w:rPr>
        <w:t>Shaw</w:t>
      </w:r>
      <w:r>
        <w:rPr>
          <w:spacing w:val="-3"/>
          <w:w w:val="125"/>
        </w:rPr>
        <w:t> </w:t>
      </w:r>
      <w:r>
        <w:rPr>
          <w:spacing w:val="-9"/>
          <w:w w:val="125"/>
        </w:rPr>
        <w:t>(10)</w:t>
        <w:tab/>
      </w:r>
      <w:r>
        <w:rPr>
          <w:w w:val="125"/>
        </w:rPr>
        <w:t>The</w:t>
      </w:r>
      <w:r>
        <w:rPr>
          <w:spacing w:val="-16"/>
          <w:w w:val="125"/>
        </w:rPr>
        <w:t> </w:t>
      </w:r>
      <w:r>
        <w:rPr>
          <w:w w:val="125"/>
        </w:rPr>
        <w:t>Revd</w:t>
      </w:r>
      <w:r>
        <w:rPr>
          <w:spacing w:val="-17"/>
          <w:w w:val="125"/>
        </w:rPr>
        <w:t> </w:t>
      </w:r>
      <w:r>
        <w:rPr>
          <w:w w:val="125"/>
        </w:rPr>
        <w:t>Mike</w:t>
      </w:r>
      <w:r>
        <w:rPr>
          <w:spacing w:val="-16"/>
          <w:w w:val="125"/>
        </w:rPr>
        <w:t> </w:t>
      </w:r>
      <w:r>
        <w:rPr>
          <w:w w:val="125"/>
        </w:rPr>
        <w:t>Shrubsole</w:t>
      </w:r>
      <w:r>
        <w:rPr>
          <w:spacing w:val="-16"/>
          <w:w w:val="125"/>
        </w:rPr>
        <w:t> </w:t>
      </w:r>
      <w:r>
        <w:rPr>
          <w:spacing w:val="-8"/>
          <w:w w:val="125"/>
        </w:rPr>
        <w:t>(9) </w:t>
      </w:r>
      <w:r>
        <w:rPr>
          <w:w w:val="125"/>
        </w:rPr>
        <w:t>The Revd Martin Smith</w:t>
      </w:r>
      <w:r>
        <w:rPr>
          <w:spacing w:val="-5"/>
          <w:w w:val="125"/>
        </w:rPr>
        <w:t> </w:t>
      </w:r>
      <w:r>
        <w:rPr>
          <w:spacing w:val="-8"/>
          <w:w w:val="125"/>
        </w:rPr>
        <w:t>(2)</w:t>
      </w:r>
    </w:p>
    <w:p>
      <w:pPr>
        <w:pStyle w:val="BodyText"/>
        <w:spacing w:before="5"/>
        <w:rPr>
          <w:sz w:val="19"/>
        </w:rPr>
      </w:pPr>
    </w:p>
    <w:p>
      <w:pPr>
        <w:pStyle w:val="BodyText"/>
        <w:spacing w:line="242" w:lineRule="exact" w:before="1"/>
        <w:ind w:left="1984"/>
      </w:pPr>
      <w:r>
        <w:rPr>
          <w:w w:val="120"/>
        </w:rPr>
        <w:t>Retiring 2019:</w:t>
      </w:r>
    </w:p>
    <w:p>
      <w:pPr>
        <w:pStyle w:val="BodyText"/>
        <w:tabs>
          <w:tab w:pos="5584" w:val="left" w:leader="none"/>
        </w:tabs>
        <w:spacing w:line="235" w:lineRule="auto" w:before="1"/>
        <w:ind w:left="1984" w:right="3690"/>
      </w:pPr>
      <w:r>
        <w:rPr>
          <w:w w:val="120"/>
        </w:rPr>
        <w:t>Mrs Sue</w:t>
      </w:r>
      <w:r>
        <w:rPr>
          <w:spacing w:val="-8"/>
          <w:w w:val="120"/>
        </w:rPr>
        <w:t> </w:t>
      </w:r>
      <w:r>
        <w:rPr>
          <w:w w:val="120"/>
        </w:rPr>
        <w:t>Brown**</w:t>
      </w:r>
      <w:r>
        <w:rPr>
          <w:spacing w:val="-3"/>
          <w:w w:val="120"/>
        </w:rPr>
        <w:t> </w:t>
      </w:r>
      <w:r>
        <w:rPr>
          <w:spacing w:val="-8"/>
          <w:w w:val="120"/>
        </w:rPr>
        <w:t>(9)</w:t>
        <w:tab/>
      </w:r>
      <w:r>
        <w:rPr>
          <w:w w:val="120"/>
        </w:rPr>
        <w:t>The Revd Nick Adlem** </w:t>
      </w:r>
      <w:r>
        <w:rPr>
          <w:spacing w:val="-8"/>
          <w:w w:val="120"/>
        </w:rPr>
        <w:t>(9) </w:t>
      </w:r>
      <w:r>
        <w:rPr>
          <w:w w:val="120"/>
        </w:rPr>
        <w:t>The Revd Paul</w:t>
      </w:r>
      <w:r>
        <w:rPr>
          <w:spacing w:val="2"/>
          <w:w w:val="120"/>
        </w:rPr>
        <w:t> </w:t>
      </w:r>
      <w:r>
        <w:rPr>
          <w:w w:val="120"/>
        </w:rPr>
        <w:t>Bedford** </w:t>
      </w:r>
      <w:r>
        <w:rPr>
          <w:spacing w:val="-8"/>
          <w:w w:val="120"/>
        </w:rPr>
        <w:t>(9)</w:t>
        <w:tab/>
      </w:r>
      <w:r>
        <w:rPr>
          <w:w w:val="120"/>
        </w:rPr>
        <w:t>The Revd Sohail Ejaz** (7) other names to be</w:t>
      </w:r>
      <w:r>
        <w:rPr>
          <w:spacing w:val="7"/>
          <w:w w:val="120"/>
        </w:rPr>
        <w:t> </w:t>
      </w:r>
      <w:r>
        <w:rPr>
          <w:w w:val="120"/>
        </w:rPr>
        <w:t>confirmed</w:t>
      </w:r>
    </w:p>
    <w:p>
      <w:pPr>
        <w:pStyle w:val="BodyText"/>
        <w:spacing w:before="6"/>
        <w:rPr>
          <w:sz w:val="18"/>
        </w:rPr>
      </w:pPr>
    </w:p>
    <w:p>
      <w:pPr>
        <w:pStyle w:val="Heading9"/>
        <w:numPr>
          <w:ilvl w:val="1"/>
          <w:numId w:val="82"/>
        </w:numPr>
        <w:tabs>
          <w:tab w:pos="2664" w:val="left" w:leader="none"/>
          <w:tab w:pos="2665" w:val="left" w:leader="none"/>
        </w:tabs>
        <w:spacing w:line="261" w:lineRule="exact" w:before="0" w:after="0"/>
        <w:ind w:left="2664" w:right="0" w:hanging="681"/>
        <w:jc w:val="left"/>
      </w:pPr>
      <w:r>
        <w:rPr>
          <w:w w:val="110"/>
        </w:rPr>
        <w:t>Pastoral reference and welfare</w:t>
      </w:r>
      <w:r>
        <w:rPr>
          <w:spacing w:val="-1"/>
          <w:w w:val="110"/>
        </w:rPr>
        <w:t> </w:t>
      </w:r>
      <w:r>
        <w:rPr>
          <w:w w:val="110"/>
        </w:rPr>
        <w:t>committee</w:t>
      </w:r>
    </w:p>
    <w:p>
      <w:pPr>
        <w:pStyle w:val="BodyText"/>
        <w:spacing w:line="235" w:lineRule="auto"/>
        <w:ind w:left="1984" w:right="5100"/>
      </w:pPr>
      <w:r>
        <w:rPr>
          <w:w w:val="120"/>
        </w:rPr>
        <w:t>Convener: The Revd Sheila Maxey [2015] Convener-elect: # Mrs Wilma Frew [2018] Secretary: Deputy general secretary, discipleship</w:t>
      </w:r>
    </w:p>
    <w:p>
      <w:pPr>
        <w:pStyle w:val="BodyText"/>
        <w:tabs>
          <w:tab w:pos="5584" w:val="left" w:leader="none"/>
        </w:tabs>
        <w:spacing w:line="235" w:lineRule="auto"/>
        <w:ind w:left="1984" w:right="1254"/>
      </w:pPr>
      <w:r>
        <w:rPr>
          <w:w w:val="125"/>
        </w:rPr>
        <w:t>Mrs Irene Wren</w:t>
      </w:r>
      <w:r>
        <w:rPr>
          <w:spacing w:val="-26"/>
          <w:w w:val="125"/>
        </w:rPr>
        <w:t> </w:t>
      </w:r>
      <w:r>
        <w:rPr>
          <w:spacing w:val="-8"/>
          <w:w w:val="125"/>
        </w:rPr>
        <w:t>(5) [2015]</w:t>
        <w:tab/>
      </w:r>
      <w:r>
        <w:rPr>
          <w:w w:val="125"/>
        </w:rPr>
        <w:t>The</w:t>
      </w:r>
      <w:r>
        <w:rPr>
          <w:spacing w:val="-9"/>
          <w:w w:val="125"/>
        </w:rPr>
        <w:t> </w:t>
      </w:r>
      <w:r>
        <w:rPr>
          <w:w w:val="125"/>
        </w:rPr>
        <w:t>Revd</w:t>
      </w:r>
      <w:r>
        <w:rPr>
          <w:spacing w:val="-10"/>
          <w:w w:val="125"/>
        </w:rPr>
        <w:t> </w:t>
      </w:r>
      <w:r>
        <w:rPr>
          <w:w w:val="125"/>
        </w:rPr>
        <w:t>Clare</w:t>
      </w:r>
      <w:r>
        <w:rPr>
          <w:spacing w:val="-9"/>
          <w:w w:val="125"/>
        </w:rPr>
        <w:t> </w:t>
      </w:r>
      <w:r>
        <w:rPr>
          <w:w w:val="125"/>
        </w:rPr>
        <w:t>Downing</w:t>
      </w:r>
      <w:r>
        <w:rPr>
          <w:spacing w:val="-10"/>
          <w:w w:val="125"/>
        </w:rPr>
        <w:t> </w:t>
      </w:r>
      <w:r>
        <w:rPr>
          <w:w w:val="125"/>
        </w:rPr>
        <w:t>(synod</w:t>
      </w:r>
      <w:r>
        <w:rPr>
          <w:spacing w:val="-9"/>
          <w:w w:val="125"/>
        </w:rPr>
        <w:t> </w:t>
      </w:r>
      <w:r>
        <w:rPr>
          <w:w w:val="125"/>
        </w:rPr>
        <w:t>moderator)</w:t>
      </w:r>
      <w:r>
        <w:rPr>
          <w:spacing w:val="-10"/>
          <w:w w:val="125"/>
        </w:rPr>
        <w:t> </w:t>
      </w:r>
      <w:r>
        <w:rPr>
          <w:spacing w:val="-8"/>
          <w:w w:val="125"/>
        </w:rPr>
        <w:t>[2015] </w:t>
      </w:r>
      <w:r>
        <w:rPr>
          <w:w w:val="125"/>
        </w:rPr>
        <w:t>Mrs Gabrielle Pagan</w:t>
      </w:r>
      <w:r>
        <w:rPr>
          <w:spacing w:val="-19"/>
          <w:w w:val="125"/>
        </w:rPr>
        <w:t> </w:t>
      </w:r>
      <w:r>
        <w:rPr>
          <w:w w:val="125"/>
        </w:rPr>
        <w:t>(7)</w:t>
      </w:r>
      <w:r>
        <w:rPr>
          <w:spacing w:val="-7"/>
          <w:w w:val="125"/>
        </w:rPr>
        <w:t> [2016]</w:t>
        <w:tab/>
      </w:r>
      <w:r>
        <w:rPr>
          <w:w w:val="125"/>
        </w:rPr>
        <w:t>Mr Douglas Hay </w:t>
      </w:r>
      <w:r>
        <w:rPr>
          <w:spacing w:val="-12"/>
          <w:w w:val="125"/>
        </w:rPr>
        <w:t>(13)</w:t>
      </w:r>
      <w:r>
        <w:rPr>
          <w:w w:val="125"/>
        </w:rPr>
        <w:t> </w:t>
      </w:r>
      <w:r>
        <w:rPr>
          <w:spacing w:val="-8"/>
          <w:w w:val="125"/>
        </w:rPr>
        <w:t>[2017]</w:t>
      </w:r>
    </w:p>
    <w:p>
      <w:pPr>
        <w:pStyle w:val="BodyText"/>
        <w:tabs>
          <w:tab w:pos="5584" w:val="left" w:leader="none"/>
          <w:tab w:pos="7744" w:val="left" w:leader="none"/>
        </w:tabs>
        <w:spacing w:line="242" w:lineRule="exact"/>
        <w:ind w:left="1984"/>
      </w:pPr>
      <w:r>
        <w:rPr>
          <w:spacing w:val="-3"/>
          <w:w w:val="120"/>
        </w:rPr>
        <w:t>[</w:t>
      </w:r>
      <w:r>
        <w:rPr>
          <w:i/>
          <w:spacing w:val="-3"/>
          <w:w w:val="120"/>
        </w:rPr>
        <w:t>ex </w:t>
      </w:r>
      <w:r>
        <w:rPr>
          <w:i/>
          <w:w w:val="120"/>
        </w:rPr>
        <w:t>officio :</w:t>
      </w:r>
      <w:r>
        <w:rPr>
          <w:i/>
          <w:spacing w:val="-38"/>
          <w:w w:val="120"/>
        </w:rPr>
        <w:t> </w:t>
      </w:r>
      <w:r>
        <w:rPr>
          <w:spacing w:val="2"/>
          <w:w w:val="120"/>
        </w:rPr>
        <w:t>Honorary</w:t>
      </w:r>
      <w:r>
        <w:rPr>
          <w:spacing w:val="-12"/>
          <w:w w:val="120"/>
        </w:rPr>
        <w:t> </w:t>
      </w:r>
      <w:r>
        <w:rPr>
          <w:w w:val="120"/>
        </w:rPr>
        <w:t>treasurer</w:t>
        <w:tab/>
        <w:t>General</w:t>
      </w:r>
      <w:r>
        <w:rPr>
          <w:spacing w:val="2"/>
          <w:w w:val="120"/>
        </w:rPr>
        <w:t> </w:t>
      </w:r>
      <w:r>
        <w:rPr>
          <w:w w:val="120"/>
        </w:rPr>
        <w:t>secretary</w:t>
        <w:tab/>
        <w:t>Secretary for</w:t>
      </w:r>
      <w:r>
        <w:rPr>
          <w:spacing w:val="3"/>
          <w:w w:val="120"/>
        </w:rPr>
        <w:t> </w:t>
      </w:r>
      <w:r>
        <w:rPr>
          <w:w w:val="120"/>
        </w:rPr>
        <w:t>welfare]</w:t>
      </w:r>
    </w:p>
    <w:p>
      <w:pPr>
        <w:spacing w:after="0" w:line="242" w:lineRule="exact"/>
        <w:sectPr>
          <w:headerReference w:type="default" r:id="rId340"/>
          <w:pgSz w:w="11910" w:h="16840"/>
          <w:pgMar w:header="0" w:footer="647" w:top="0" w:bottom="840" w:left="0" w:right="0"/>
        </w:sectPr>
      </w:pPr>
    </w:p>
    <w:p>
      <w:pPr>
        <w:pStyle w:val="BodyText"/>
      </w:pPr>
      <w:r>
        <w:rPr/>
        <w:drawing>
          <wp:anchor distT="0" distB="0" distL="0" distR="0" allowOverlap="1" layoutInCell="1" locked="0" behindDoc="0" simplePos="0" relativeHeight="252044288">
            <wp:simplePos x="0" y="0"/>
            <wp:positionH relativeFrom="page">
              <wp:posOffset>0</wp:posOffset>
            </wp:positionH>
            <wp:positionV relativeFrom="page">
              <wp:posOffset>0</wp:posOffset>
            </wp:positionV>
            <wp:extent cx="594067" cy="10692003"/>
            <wp:effectExtent l="0" t="0" r="0" b="0"/>
            <wp:wrapNone/>
            <wp:docPr id="271" name="image28.png"/>
            <wp:cNvGraphicFramePr>
              <a:graphicFrameLocks noChangeAspect="1"/>
            </wp:cNvGraphicFramePr>
            <a:graphic>
              <a:graphicData uri="http://schemas.openxmlformats.org/drawingml/2006/picture">
                <pic:pic>
                  <pic:nvPicPr>
                    <pic:cNvPr id="272" name="image28.png"/>
                    <pic:cNvPicPr/>
                  </pic:nvPicPr>
                  <pic:blipFill>
                    <a:blip r:embed="rId198"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shape style="position:absolute;margin-left:20.519100pt;margin-top:22.593945pt;width:25.9pt;height:131.3pt;mso-position-horizontal-relative:page;mso-position-vertical-relative:paragraph;z-index:252045312" type="#_x0000_t202" filled="false" stroked="false">
            <v:textbox inset="0,0,0,0" style="layout-flow:vertical">
              <w:txbxContent>
                <w:p>
                  <w:pPr>
                    <w:spacing w:before="27"/>
                    <w:ind w:left="20" w:right="0" w:firstLine="0"/>
                    <w:jc w:val="left"/>
                    <w:rPr>
                      <w:sz w:val="39"/>
                    </w:rPr>
                  </w:pPr>
                  <w:r>
                    <w:rPr>
                      <w:color w:val="FFFFFF"/>
                      <w:w w:val="120"/>
                      <w:sz w:val="39"/>
                    </w:rPr>
                    <w:t>Nominations</w:t>
                  </w:r>
                </w:p>
              </w:txbxContent>
            </v:textbox>
            <w10:wrap type="none"/>
          </v:shape>
        </w:pict>
      </w:r>
      <w:r>
        <w:rPr>
          <w:color w:val="7EAABF"/>
          <w:w w:val="115"/>
        </w:rPr>
        <w:t>Nominations</w:t>
      </w:r>
    </w:p>
    <w:p>
      <w:pPr>
        <w:pStyle w:val="Heading9"/>
        <w:numPr>
          <w:ilvl w:val="1"/>
          <w:numId w:val="82"/>
        </w:numPr>
        <w:tabs>
          <w:tab w:pos="1927" w:val="left" w:leader="none"/>
          <w:tab w:pos="1928" w:val="left" w:leader="none"/>
        </w:tabs>
        <w:spacing w:line="261" w:lineRule="exact" w:before="205" w:after="0"/>
        <w:ind w:left="1927" w:right="0" w:hanging="681"/>
        <w:jc w:val="left"/>
      </w:pPr>
      <w:r>
        <w:rPr>
          <w:w w:val="110"/>
        </w:rPr>
        <w:t>Disciplinary process – commission</w:t>
      </w:r>
      <w:r>
        <w:rPr>
          <w:spacing w:val="-1"/>
          <w:w w:val="110"/>
        </w:rPr>
        <w:t> </w:t>
      </w:r>
      <w:r>
        <w:rPr>
          <w:w w:val="110"/>
        </w:rPr>
        <w:t>panel</w:t>
      </w:r>
    </w:p>
    <w:p>
      <w:pPr>
        <w:spacing w:line="235" w:lineRule="auto" w:before="0"/>
        <w:ind w:left="1247" w:right="2004" w:firstLine="0"/>
        <w:jc w:val="left"/>
        <w:rPr>
          <w:i/>
          <w:sz w:val="20"/>
        </w:rPr>
      </w:pPr>
      <w:r>
        <w:rPr>
          <w:i/>
          <w:w w:val="110"/>
          <w:sz w:val="20"/>
        </w:rPr>
        <w:t>(Members serve for five years as regular training is required. They may be invited to continue </w:t>
      </w:r>
      <w:r>
        <w:rPr>
          <w:i/>
          <w:w w:val="110"/>
          <w:sz w:val="20"/>
        </w:rPr>
        <w:t>serving beyond this as experience is especially valuable on this panel)</w:t>
      </w:r>
    </w:p>
    <w:p>
      <w:pPr>
        <w:pStyle w:val="BodyText"/>
        <w:spacing w:line="235" w:lineRule="auto"/>
        <w:ind w:left="1247" w:right="6841"/>
      </w:pPr>
      <w:r>
        <w:rPr>
          <w:w w:val="120"/>
        </w:rPr>
        <w:t>Convener: The Revd David Skitt [2019] Deputy convener:</w:t>
      </w:r>
    </w:p>
    <w:p>
      <w:pPr>
        <w:pStyle w:val="BodyText"/>
        <w:spacing w:line="235" w:lineRule="auto"/>
        <w:ind w:left="1247" w:right="6841"/>
      </w:pPr>
      <w:r>
        <w:rPr>
          <w:w w:val="120"/>
        </w:rPr>
        <w:t>Secretary: Mrs Gwen Jennings [2017] Members:</w:t>
      </w:r>
    </w:p>
    <w:p>
      <w:pPr>
        <w:pStyle w:val="BodyText"/>
        <w:spacing w:line="240" w:lineRule="exact"/>
        <w:ind w:left="1247"/>
      </w:pPr>
      <w:r>
        <w:rPr>
          <w:w w:val="125"/>
        </w:rPr>
        <w:t>Retiring 2015</w:t>
      </w:r>
    </w:p>
    <w:p>
      <w:pPr>
        <w:pStyle w:val="BodyText"/>
        <w:tabs>
          <w:tab w:pos="5567" w:val="left" w:leader="none"/>
        </w:tabs>
        <w:spacing w:line="240" w:lineRule="exact"/>
        <w:ind w:left="1247"/>
      </w:pPr>
      <w:r>
        <w:rPr>
          <w:w w:val="125"/>
        </w:rPr>
        <w:t>The Revd </w:t>
      </w:r>
      <w:r>
        <w:rPr>
          <w:spacing w:val="2"/>
          <w:w w:val="125"/>
        </w:rPr>
        <w:t>Meryl</w:t>
      </w:r>
      <w:r>
        <w:rPr>
          <w:spacing w:val="-17"/>
          <w:w w:val="125"/>
        </w:rPr>
        <w:t> </w:t>
      </w:r>
      <w:r>
        <w:rPr>
          <w:w w:val="125"/>
        </w:rPr>
        <w:t>Court</w:t>
      </w:r>
      <w:r>
        <w:rPr>
          <w:spacing w:val="-5"/>
          <w:w w:val="125"/>
        </w:rPr>
        <w:t> </w:t>
      </w:r>
      <w:r>
        <w:rPr>
          <w:spacing w:val="-9"/>
          <w:w w:val="125"/>
        </w:rPr>
        <w:t>(10)</w:t>
        <w:tab/>
      </w:r>
      <w:r>
        <w:rPr>
          <w:w w:val="125"/>
        </w:rPr>
        <w:t>Mrs Pat Crozier</w:t>
      </w:r>
      <w:r>
        <w:rPr>
          <w:spacing w:val="-3"/>
          <w:w w:val="125"/>
        </w:rPr>
        <w:t> </w:t>
      </w:r>
      <w:r>
        <w:rPr>
          <w:spacing w:val="-8"/>
          <w:w w:val="125"/>
        </w:rPr>
        <w:t>(3)</w:t>
      </w:r>
    </w:p>
    <w:p>
      <w:pPr>
        <w:pStyle w:val="BodyText"/>
        <w:tabs>
          <w:tab w:pos="5567" w:val="left" w:leader="none"/>
        </w:tabs>
        <w:spacing w:line="240" w:lineRule="exact"/>
        <w:ind w:left="1247"/>
      </w:pPr>
      <w:r>
        <w:rPr>
          <w:w w:val="125"/>
        </w:rPr>
        <w:t>Dr Fiona</w:t>
      </w:r>
      <w:r>
        <w:rPr>
          <w:spacing w:val="-1"/>
          <w:w w:val="125"/>
        </w:rPr>
        <w:t> </w:t>
      </w:r>
      <w:r>
        <w:rPr>
          <w:w w:val="125"/>
        </w:rPr>
        <w:t>Liddell </w:t>
      </w:r>
      <w:r>
        <w:rPr>
          <w:spacing w:val="-10"/>
          <w:w w:val="125"/>
        </w:rPr>
        <w:t>(12),</w:t>
        <w:tab/>
      </w:r>
      <w:r>
        <w:rPr>
          <w:w w:val="125"/>
        </w:rPr>
        <w:t>Mr</w:t>
      </w:r>
      <w:r>
        <w:rPr>
          <w:spacing w:val="-18"/>
          <w:w w:val="125"/>
        </w:rPr>
        <w:t> </w:t>
      </w:r>
      <w:r>
        <w:rPr>
          <w:w w:val="125"/>
        </w:rPr>
        <w:t>Colin</w:t>
      </w:r>
      <w:r>
        <w:rPr>
          <w:spacing w:val="-17"/>
          <w:w w:val="125"/>
        </w:rPr>
        <w:t> </w:t>
      </w:r>
      <w:r>
        <w:rPr>
          <w:w w:val="125"/>
        </w:rPr>
        <w:t>MacBean</w:t>
      </w:r>
      <w:r>
        <w:rPr>
          <w:spacing w:val="-18"/>
          <w:w w:val="125"/>
        </w:rPr>
        <w:t> </w:t>
      </w:r>
      <w:r>
        <w:rPr>
          <w:spacing w:val="-8"/>
          <w:w w:val="125"/>
        </w:rPr>
        <w:t>(9)</w:t>
      </w:r>
    </w:p>
    <w:p>
      <w:pPr>
        <w:pStyle w:val="BodyText"/>
        <w:tabs>
          <w:tab w:pos="5567" w:val="left" w:leader="none"/>
        </w:tabs>
        <w:spacing w:line="242" w:lineRule="exact"/>
        <w:ind w:left="1247"/>
      </w:pPr>
      <w:r>
        <w:rPr>
          <w:w w:val="125"/>
        </w:rPr>
        <w:t>Mrs Pamela</w:t>
      </w:r>
      <w:r>
        <w:rPr>
          <w:spacing w:val="-28"/>
          <w:w w:val="125"/>
        </w:rPr>
        <w:t> </w:t>
      </w:r>
      <w:r>
        <w:rPr>
          <w:w w:val="125"/>
        </w:rPr>
        <w:t>Sharp</w:t>
      </w:r>
      <w:r>
        <w:rPr>
          <w:spacing w:val="-14"/>
          <w:w w:val="125"/>
        </w:rPr>
        <w:t> </w:t>
      </w:r>
      <w:r>
        <w:rPr>
          <w:spacing w:val="-8"/>
          <w:w w:val="125"/>
        </w:rPr>
        <w:t>(3)</w:t>
        <w:tab/>
      </w:r>
      <w:r>
        <w:rPr>
          <w:w w:val="125"/>
        </w:rPr>
        <w:t>Mr</w:t>
      </w:r>
      <w:r>
        <w:rPr>
          <w:spacing w:val="-20"/>
          <w:w w:val="125"/>
        </w:rPr>
        <w:t> </w:t>
      </w:r>
      <w:r>
        <w:rPr>
          <w:w w:val="125"/>
        </w:rPr>
        <w:t>Patrick</w:t>
      </w:r>
      <w:r>
        <w:rPr>
          <w:spacing w:val="-20"/>
          <w:w w:val="125"/>
        </w:rPr>
        <w:t> </w:t>
      </w:r>
      <w:r>
        <w:rPr>
          <w:w w:val="125"/>
        </w:rPr>
        <w:t>Smyth</w:t>
      </w:r>
      <w:r>
        <w:rPr>
          <w:spacing w:val="-20"/>
          <w:w w:val="125"/>
        </w:rPr>
        <w:t> </w:t>
      </w:r>
      <w:r>
        <w:rPr>
          <w:spacing w:val="-12"/>
          <w:w w:val="125"/>
        </w:rPr>
        <w:t>(13)</w:t>
      </w:r>
    </w:p>
    <w:p>
      <w:pPr>
        <w:pStyle w:val="BodyText"/>
        <w:spacing w:before="2"/>
        <w:rPr>
          <w:sz w:val="19"/>
        </w:rPr>
      </w:pPr>
    </w:p>
    <w:p>
      <w:pPr>
        <w:pStyle w:val="BodyText"/>
        <w:spacing w:line="242" w:lineRule="exact"/>
        <w:ind w:left="1247"/>
      </w:pPr>
      <w:r>
        <w:rPr>
          <w:w w:val="125"/>
        </w:rPr>
        <w:t>Retiring 2016</w:t>
      </w:r>
    </w:p>
    <w:p>
      <w:pPr>
        <w:pStyle w:val="BodyText"/>
        <w:tabs>
          <w:tab w:pos="5567" w:val="left" w:leader="none"/>
        </w:tabs>
        <w:spacing w:line="240" w:lineRule="exact"/>
        <w:ind w:left="1247"/>
      </w:pPr>
      <w:r>
        <w:rPr>
          <w:w w:val="120"/>
        </w:rPr>
        <w:t>Mr Geoffrey</w:t>
      </w:r>
      <w:r>
        <w:rPr>
          <w:spacing w:val="6"/>
          <w:w w:val="120"/>
        </w:rPr>
        <w:t> </w:t>
      </w:r>
      <w:r>
        <w:rPr>
          <w:w w:val="120"/>
        </w:rPr>
        <w:t>Milnes</w:t>
      </w:r>
      <w:r>
        <w:rPr>
          <w:spacing w:val="2"/>
          <w:w w:val="120"/>
        </w:rPr>
        <w:t> </w:t>
      </w:r>
      <w:r>
        <w:rPr>
          <w:spacing w:val="-8"/>
          <w:w w:val="120"/>
        </w:rPr>
        <w:t>(5)</w:t>
        <w:tab/>
      </w:r>
      <w:r>
        <w:rPr>
          <w:w w:val="120"/>
        </w:rPr>
        <w:t>The Revd David Pattie</w:t>
      </w:r>
      <w:r>
        <w:rPr>
          <w:spacing w:val="11"/>
          <w:w w:val="120"/>
        </w:rPr>
        <w:t> </w:t>
      </w:r>
      <w:r>
        <w:rPr>
          <w:spacing w:val="-8"/>
          <w:w w:val="120"/>
        </w:rPr>
        <w:t>(8)</w:t>
      </w:r>
    </w:p>
    <w:p>
      <w:pPr>
        <w:pStyle w:val="BodyText"/>
        <w:tabs>
          <w:tab w:pos="5567" w:val="left" w:leader="none"/>
        </w:tabs>
        <w:spacing w:line="240" w:lineRule="exact"/>
        <w:ind w:left="1247"/>
      </w:pPr>
      <w:r>
        <w:rPr>
          <w:w w:val="120"/>
        </w:rPr>
        <w:t>Mr Neil</w:t>
      </w:r>
      <w:r>
        <w:rPr>
          <w:spacing w:val="19"/>
          <w:w w:val="120"/>
        </w:rPr>
        <w:t> </w:t>
      </w:r>
      <w:r>
        <w:rPr>
          <w:w w:val="120"/>
        </w:rPr>
        <w:t>Robinson</w:t>
      </w:r>
      <w:r>
        <w:rPr>
          <w:spacing w:val="9"/>
          <w:w w:val="120"/>
        </w:rPr>
        <w:t> </w:t>
      </w:r>
      <w:r>
        <w:rPr>
          <w:spacing w:val="-10"/>
          <w:w w:val="120"/>
        </w:rPr>
        <w:t>(4)</w:t>
        <w:tab/>
      </w:r>
      <w:r>
        <w:rPr>
          <w:w w:val="120"/>
        </w:rPr>
        <w:t>The Revd Yvonne Stone </w:t>
      </w:r>
      <w:r>
        <w:rPr>
          <w:spacing w:val="2"/>
          <w:w w:val="120"/>
        </w:rPr>
        <w:t> </w:t>
      </w:r>
      <w:r>
        <w:rPr>
          <w:spacing w:val="-7"/>
          <w:w w:val="120"/>
        </w:rPr>
        <w:t>(6)</w:t>
      </w:r>
    </w:p>
    <w:p>
      <w:pPr>
        <w:pStyle w:val="BodyText"/>
        <w:tabs>
          <w:tab w:pos="5567" w:val="left" w:leader="none"/>
        </w:tabs>
        <w:spacing w:line="242" w:lineRule="exact"/>
        <w:ind w:left="1247"/>
      </w:pPr>
      <w:r>
        <w:rPr>
          <w:w w:val="125"/>
        </w:rPr>
        <w:t>Ms Nneoma</w:t>
      </w:r>
      <w:r>
        <w:rPr>
          <w:spacing w:val="-16"/>
          <w:w w:val="125"/>
        </w:rPr>
        <w:t> </w:t>
      </w:r>
      <w:r>
        <w:rPr>
          <w:w w:val="125"/>
        </w:rPr>
        <w:t>Chyima</w:t>
      </w:r>
      <w:r>
        <w:rPr>
          <w:spacing w:val="-8"/>
          <w:w w:val="125"/>
        </w:rPr>
        <w:t> </w:t>
      </w:r>
      <w:r>
        <w:rPr>
          <w:spacing w:val="-9"/>
          <w:w w:val="125"/>
        </w:rPr>
        <w:t>(10)</w:t>
        <w:tab/>
      </w:r>
      <w:r>
        <w:rPr>
          <w:w w:val="125"/>
        </w:rPr>
        <w:t>The</w:t>
      </w:r>
      <w:r>
        <w:rPr>
          <w:spacing w:val="-17"/>
          <w:w w:val="125"/>
        </w:rPr>
        <w:t> </w:t>
      </w:r>
      <w:r>
        <w:rPr>
          <w:w w:val="125"/>
        </w:rPr>
        <w:t>Revd</w:t>
      </w:r>
      <w:r>
        <w:rPr>
          <w:spacing w:val="-18"/>
          <w:w w:val="125"/>
        </w:rPr>
        <w:t> </w:t>
      </w:r>
      <w:r>
        <w:rPr>
          <w:w w:val="125"/>
        </w:rPr>
        <w:t>Wendy</w:t>
      </w:r>
      <w:r>
        <w:rPr>
          <w:spacing w:val="-18"/>
          <w:w w:val="125"/>
        </w:rPr>
        <w:t> </w:t>
      </w:r>
      <w:r>
        <w:rPr>
          <w:w w:val="125"/>
        </w:rPr>
        <w:t>White</w:t>
      </w:r>
      <w:r>
        <w:rPr>
          <w:spacing w:val="-18"/>
          <w:w w:val="125"/>
        </w:rPr>
        <w:t> </w:t>
      </w:r>
      <w:r>
        <w:rPr>
          <w:spacing w:val="-8"/>
          <w:w w:val="125"/>
        </w:rPr>
        <w:t>(2)</w:t>
      </w:r>
    </w:p>
    <w:p>
      <w:pPr>
        <w:pStyle w:val="BodyText"/>
        <w:spacing w:before="4"/>
        <w:rPr>
          <w:sz w:val="19"/>
        </w:rPr>
      </w:pPr>
    </w:p>
    <w:p>
      <w:pPr>
        <w:pStyle w:val="BodyText"/>
        <w:spacing w:line="242" w:lineRule="exact"/>
        <w:ind w:left="1247"/>
      </w:pPr>
      <w:r>
        <w:rPr>
          <w:w w:val="125"/>
        </w:rPr>
        <w:t>Retiring 2017</w:t>
      </w:r>
    </w:p>
    <w:p>
      <w:pPr>
        <w:pStyle w:val="BodyText"/>
        <w:tabs>
          <w:tab w:pos="5567" w:val="left" w:leader="none"/>
        </w:tabs>
        <w:spacing w:line="240" w:lineRule="exact"/>
        <w:ind w:left="1247"/>
      </w:pPr>
      <w:r>
        <w:rPr>
          <w:w w:val="125"/>
        </w:rPr>
        <w:t>The Revd Nick</w:t>
      </w:r>
      <w:r>
        <w:rPr>
          <w:spacing w:val="-12"/>
          <w:w w:val="125"/>
        </w:rPr>
        <w:t> </w:t>
      </w:r>
      <w:r>
        <w:rPr>
          <w:w w:val="125"/>
        </w:rPr>
        <w:t>Adlem</w:t>
      </w:r>
      <w:r>
        <w:rPr>
          <w:spacing w:val="-4"/>
          <w:w w:val="125"/>
        </w:rPr>
        <w:t> </w:t>
      </w:r>
      <w:r>
        <w:rPr>
          <w:spacing w:val="-8"/>
          <w:w w:val="125"/>
        </w:rPr>
        <w:t>(8),</w:t>
        <w:tab/>
      </w:r>
      <w:r>
        <w:rPr>
          <w:w w:val="125"/>
        </w:rPr>
        <w:t>Miss Judith Haughton</w:t>
      </w:r>
      <w:r>
        <w:rPr>
          <w:spacing w:val="-3"/>
          <w:w w:val="125"/>
        </w:rPr>
        <w:t> </w:t>
      </w:r>
      <w:r>
        <w:rPr>
          <w:spacing w:val="-8"/>
          <w:w w:val="125"/>
        </w:rPr>
        <w:t>(2)</w:t>
      </w:r>
    </w:p>
    <w:p>
      <w:pPr>
        <w:pStyle w:val="BodyText"/>
        <w:tabs>
          <w:tab w:pos="5567" w:val="left" w:leader="none"/>
        </w:tabs>
        <w:spacing w:line="240" w:lineRule="exact"/>
        <w:ind w:left="1247"/>
      </w:pPr>
      <w:r>
        <w:rPr>
          <w:w w:val="125"/>
        </w:rPr>
        <w:t>The Revd Colin</w:t>
      </w:r>
      <w:r>
        <w:rPr>
          <w:spacing w:val="-11"/>
          <w:w w:val="125"/>
        </w:rPr>
        <w:t> </w:t>
      </w:r>
      <w:r>
        <w:rPr>
          <w:w w:val="125"/>
        </w:rPr>
        <w:t>Offor</w:t>
      </w:r>
      <w:r>
        <w:rPr>
          <w:spacing w:val="-3"/>
          <w:w w:val="125"/>
        </w:rPr>
        <w:t> </w:t>
      </w:r>
      <w:r>
        <w:rPr>
          <w:spacing w:val="-11"/>
          <w:w w:val="125"/>
        </w:rPr>
        <w:t>(1)</w:t>
        <w:tab/>
      </w:r>
      <w:r>
        <w:rPr>
          <w:w w:val="125"/>
        </w:rPr>
        <w:t>The Revd Carolyn Smyth</w:t>
      </w:r>
      <w:r>
        <w:rPr>
          <w:spacing w:val="-3"/>
          <w:w w:val="125"/>
        </w:rPr>
        <w:t> </w:t>
      </w:r>
      <w:r>
        <w:rPr>
          <w:spacing w:val="-12"/>
          <w:w w:val="125"/>
        </w:rPr>
        <w:t>(13)</w:t>
      </w:r>
    </w:p>
    <w:p>
      <w:pPr>
        <w:pStyle w:val="BodyText"/>
        <w:tabs>
          <w:tab w:pos="5567" w:val="left" w:leader="none"/>
        </w:tabs>
        <w:spacing w:line="240" w:lineRule="exact"/>
        <w:ind w:left="1247"/>
      </w:pPr>
      <w:r>
        <w:rPr>
          <w:w w:val="125"/>
        </w:rPr>
        <w:t>Mr Donald</w:t>
      </w:r>
      <w:r>
        <w:rPr>
          <w:spacing w:val="-10"/>
          <w:w w:val="125"/>
        </w:rPr>
        <w:t> </w:t>
      </w:r>
      <w:r>
        <w:rPr>
          <w:w w:val="125"/>
        </w:rPr>
        <w:t>Swift</w:t>
      </w:r>
      <w:r>
        <w:rPr>
          <w:spacing w:val="-4"/>
          <w:w w:val="125"/>
        </w:rPr>
        <w:t> </w:t>
      </w:r>
      <w:r>
        <w:rPr>
          <w:spacing w:val="-8"/>
          <w:w w:val="125"/>
        </w:rPr>
        <w:t>(3)</w:t>
        <w:tab/>
      </w:r>
      <w:r>
        <w:rPr>
          <w:w w:val="125"/>
        </w:rPr>
        <w:t>Mr Douglas Hay</w:t>
      </w:r>
      <w:r>
        <w:rPr>
          <w:spacing w:val="-1"/>
          <w:w w:val="125"/>
        </w:rPr>
        <w:t> </w:t>
      </w:r>
      <w:r>
        <w:rPr>
          <w:spacing w:val="-12"/>
          <w:w w:val="125"/>
        </w:rPr>
        <w:t>(13)</w:t>
      </w:r>
    </w:p>
    <w:p>
      <w:pPr>
        <w:pStyle w:val="BodyText"/>
        <w:tabs>
          <w:tab w:pos="5567" w:val="left" w:leader="none"/>
        </w:tabs>
        <w:spacing w:line="240" w:lineRule="exact"/>
        <w:ind w:left="1247"/>
      </w:pPr>
      <w:r>
        <w:rPr>
          <w:w w:val="125"/>
        </w:rPr>
        <w:t>The Revd Craig</w:t>
      </w:r>
      <w:r>
        <w:rPr>
          <w:spacing w:val="-10"/>
          <w:w w:val="125"/>
        </w:rPr>
        <w:t> </w:t>
      </w:r>
      <w:r>
        <w:rPr>
          <w:w w:val="125"/>
        </w:rPr>
        <w:t>Muir</w:t>
      </w:r>
      <w:r>
        <w:rPr>
          <w:spacing w:val="-3"/>
          <w:w w:val="125"/>
        </w:rPr>
        <w:t> </w:t>
      </w:r>
      <w:r>
        <w:rPr>
          <w:spacing w:val="-7"/>
          <w:w w:val="125"/>
        </w:rPr>
        <w:t>(6)</w:t>
        <w:tab/>
      </w:r>
      <w:r>
        <w:rPr>
          <w:w w:val="125"/>
        </w:rPr>
        <w:t>Mr Alistair </w:t>
      </w:r>
      <w:r>
        <w:rPr>
          <w:spacing w:val="2"/>
          <w:w w:val="125"/>
        </w:rPr>
        <w:t>Forsyth</w:t>
      </w:r>
      <w:r>
        <w:rPr>
          <w:spacing w:val="-4"/>
          <w:w w:val="125"/>
        </w:rPr>
        <w:t> </w:t>
      </w:r>
      <w:r>
        <w:rPr>
          <w:spacing w:val="-10"/>
          <w:w w:val="125"/>
        </w:rPr>
        <w:t>(4)</w:t>
      </w:r>
    </w:p>
    <w:p>
      <w:pPr>
        <w:pStyle w:val="BodyText"/>
        <w:tabs>
          <w:tab w:pos="5567" w:val="left" w:leader="none"/>
        </w:tabs>
        <w:spacing w:line="240" w:lineRule="exact"/>
        <w:ind w:left="1247"/>
      </w:pPr>
      <w:r>
        <w:rPr>
          <w:w w:val="125"/>
        </w:rPr>
        <w:t>Mr David</w:t>
      </w:r>
      <w:r>
        <w:rPr>
          <w:spacing w:val="-11"/>
          <w:w w:val="125"/>
        </w:rPr>
        <w:t> </w:t>
      </w:r>
      <w:r>
        <w:rPr>
          <w:w w:val="125"/>
        </w:rPr>
        <w:t>Rice</w:t>
      </w:r>
      <w:r>
        <w:rPr>
          <w:spacing w:val="-5"/>
          <w:w w:val="125"/>
        </w:rPr>
        <w:t> </w:t>
      </w:r>
      <w:r>
        <w:rPr>
          <w:spacing w:val="-12"/>
          <w:w w:val="125"/>
        </w:rPr>
        <w:t>(13)</w:t>
        <w:tab/>
      </w:r>
      <w:r>
        <w:rPr>
          <w:w w:val="125"/>
        </w:rPr>
        <w:t>The Revd John Bremner</w:t>
      </w:r>
      <w:r>
        <w:rPr>
          <w:spacing w:val="-6"/>
          <w:w w:val="125"/>
        </w:rPr>
        <w:t> </w:t>
      </w:r>
      <w:r>
        <w:rPr>
          <w:spacing w:val="-12"/>
          <w:w w:val="125"/>
        </w:rPr>
        <w:t>(13)</w:t>
      </w:r>
    </w:p>
    <w:p>
      <w:pPr>
        <w:pStyle w:val="BodyText"/>
        <w:tabs>
          <w:tab w:pos="5567" w:val="left" w:leader="none"/>
        </w:tabs>
        <w:spacing w:line="235" w:lineRule="auto" w:before="2"/>
        <w:ind w:left="1247" w:right="4168"/>
      </w:pPr>
      <w:r>
        <w:rPr>
          <w:w w:val="125"/>
        </w:rPr>
        <w:t>The Revd Jane</w:t>
      </w:r>
      <w:r>
        <w:rPr>
          <w:spacing w:val="-21"/>
          <w:w w:val="125"/>
        </w:rPr>
        <w:t> </w:t>
      </w:r>
      <w:r>
        <w:rPr>
          <w:w w:val="125"/>
        </w:rPr>
        <w:t>Campbell</w:t>
      </w:r>
      <w:r>
        <w:rPr>
          <w:spacing w:val="-6"/>
          <w:w w:val="125"/>
        </w:rPr>
        <w:t> </w:t>
      </w:r>
      <w:r>
        <w:rPr>
          <w:spacing w:val="-8"/>
          <w:w w:val="125"/>
        </w:rPr>
        <w:t>(5)</w:t>
        <w:tab/>
      </w:r>
      <w:r>
        <w:rPr>
          <w:w w:val="125"/>
        </w:rPr>
        <w:t>Mr</w:t>
      </w:r>
      <w:r>
        <w:rPr>
          <w:spacing w:val="-24"/>
          <w:w w:val="125"/>
        </w:rPr>
        <w:t> </w:t>
      </w:r>
      <w:r>
        <w:rPr>
          <w:w w:val="125"/>
        </w:rPr>
        <w:t>Keith</w:t>
      </w:r>
      <w:r>
        <w:rPr>
          <w:spacing w:val="-24"/>
          <w:w w:val="125"/>
        </w:rPr>
        <w:t> </w:t>
      </w:r>
      <w:r>
        <w:rPr>
          <w:w w:val="125"/>
        </w:rPr>
        <w:t>Webster</w:t>
      </w:r>
      <w:r>
        <w:rPr>
          <w:spacing w:val="-24"/>
          <w:w w:val="125"/>
        </w:rPr>
        <w:t> </w:t>
      </w:r>
      <w:r>
        <w:rPr>
          <w:spacing w:val="-9"/>
          <w:w w:val="125"/>
        </w:rPr>
        <w:t>(10) </w:t>
      </w:r>
      <w:r>
        <w:rPr>
          <w:w w:val="125"/>
        </w:rPr>
        <w:t>The Revd Ian Kirby</w:t>
      </w:r>
      <w:r>
        <w:rPr>
          <w:spacing w:val="-3"/>
          <w:w w:val="125"/>
        </w:rPr>
        <w:t> </w:t>
      </w:r>
      <w:r>
        <w:rPr>
          <w:spacing w:val="-8"/>
          <w:w w:val="125"/>
        </w:rPr>
        <w:t>(8)</w:t>
      </w:r>
    </w:p>
    <w:p>
      <w:pPr>
        <w:pStyle w:val="BodyText"/>
        <w:spacing w:before="5"/>
        <w:rPr>
          <w:sz w:val="19"/>
        </w:rPr>
      </w:pPr>
    </w:p>
    <w:p>
      <w:pPr>
        <w:pStyle w:val="BodyText"/>
        <w:spacing w:line="242" w:lineRule="exact"/>
        <w:ind w:left="1247"/>
      </w:pPr>
      <w:r>
        <w:rPr>
          <w:w w:val="125"/>
        </w:rPr>
        <w:t>Retiring 2018</w:t>
      </w:r>
    </w:p>
    <w:p>
      <w:pPr>
        <w:pStyle w:val="BodyText"/>
        <w:tabs>
          <w:tab w:pos="5567" w:val="left" w:leader="none"/>
        </w:tabs>
        <w:spacing w:line="235" w:lineRule="auto" w:before="2"/>
        <w:ind w:left="1247" w:right="3732"/>
      </w:pPr>
      <w:r>
        <w:rPr>
          <w:w w:val="120"/>
        </w:rPr>
        <w:t>The Revd Pauline</w:t>
      </w:r>
      <w:r>
        <w:rPr>
          <w:spacing w:val="47"/>
          <w:w w:val="120"/>
        </w:rPr>
        <w:t> </w:t>
      </w:r>
      <w:r>
        <w:rPr>
          <w:w w:val="120"/>
        </w:rPr>
        <w:t>Calderwood</w:t>
      </w:r>
      <w:r>
        <w:rPr>
          <w:spacing w:val="16"/>
          <w:w w:val="120"/>
        </w:rPr>
        <w:t> </w:t>
      </w:r>
      <w:r>
        <w:rPr>
          <w:spacing w:val="-10"/>
          <w:w w:val="120"/>
        </w:rPr>
        <w:t>(4)</w:t>
        <w:tab/>
      </w:r>
      <w:r>
        <w:rPr>
          <w:w w:val="120"/>
        </w:rPr>
        <w:t>The Revd Bill Bowman </w:t>
      </w:r>
      <w:r>
        <w:rPr>
          <w:spacing w:val="-14"/>
          <w:w w:val="120"/>
        </w:rPr>
        <w:t>(11) </w:t>
      </w:r>
      <w:r>
        <w:rPr>
          <w:w w:val="120"/>
        </w:rPr>
        <w:t>Dr Peter</w:t>
      </w:r>
      <w:r>
        <w:rPr>
          <w:spacing w:val="29"/>
          <w:w w:val="120"/>
        </w:rPr>
        <w:t> </w:t>
      </w:r>
      <w:r>
        <w:rPr>
          <w:w w:val="120"/>
        </w:rPr>
        <w:t>Campbell-Smith</w:t>
      </w:r>
      <w:r>
        <w:rPr>
          <w:spacing w:val="15"/>
          <w:w w:val="120"/>
        </w:rPr>
        <w:t> </w:t>
      </w:r>
      <w:r>
        <w:rPr>
          <w:spacing w:val="-14"/>
          <w:w w:val="120"/>
        </w:rPr>
        <w:t>(11)</w:t>
        <w:tab/>
      </w:r>
      <w:r>
        <w:rPr>
          <w:w w:val="120"/>
        </w:rPr>
        <w:t>Mr Roger </w:t>
      </w:r>
      <w:r>
        <w:rPr>
          <w:spacing w:val="-4"/>
          <w:w w:val="120"/>
        </w:rPr>
        <w:t>Tucker</w:t>
      </w:r>
      <w:r>
        <w:rPr>
          <w:spacing w:val="16"/>
          <w:w w:val="120"/>
        </w:rPr>
        <w:t> </w:t>
      </w:r>
      <w:r>
        <w:rPr>
          <w:spacing w:val="-11"/>
          <w:w w:val="120"/>
        </w:rPr>
        <w:t>(1)</w:t>
      </w:r>
    </w:p>
    <w:p>
      <w:pPr>
        <w:pStyle w:val="BodyText"/>
        <w:spacing w:line="242" w:lineRule="exact"/>
        <w:ind w:left="1247"/>
      </w:pPr>
      <w:r>
        <w:rPr>
          <w:w w:val="125"/>
        </w:rPr>
        <w:t>Mrs Wendy Dunnett (9)</w:t>
      </w:r>
    </w:p>
    <w:p>
      <w:pPr>
        <w:pStyle w:val="BodyText"/>
        <w:spacing w:before="4"/>
        <w:rPr>
          <w:sz w:val="19"/>
        </w:rPr>
      </w:pPr>
    </w:p>
    <w:p>
      <w:pPr>
        <w:pStyle w:val="BodyText"/>
        <w:spacing w:line="242" w:lineRule="exact"/>
        <w:ind w:left="1247"/>
      </w:pPr>
      <w:r>
        <w:rPr>
          <w:w w:val="125"/>
        </w:rPr>
        <w:t>Retiring 2019</w:t>
      </w:r>
    </w:p>
    <w:p>
      <w:pPr>
        <w:pStyle w:val="BodyText"/>
        <w:tabs>
          <w:tab w:pos="5567" w:val="left" w:leader="none"/>
        </w:tabs>
        <w:spacing w:line="240" w:lineRule="exact"/>
        <w:ind w:left="1247"/>
      </w:pPr>
      <w:r>
        <w:rPr>
          <w:w w:val="125"/>
        </w:rPr>
        <w:t>The Revd Debbie</w:t>
      </w:r>
      <w:r>
        <w:rPr>
          <w:spacing w:val="-43"/>
          <w:w w:val="125"/>
        </w:rPr>
        <w:t> </w:t>
      </w:r>
      <w:r>
        <w:rPr>
          <w:w w:val="125"/>
        </w:rPr>
        <w:t>Brown**</w:t>
      </w:r>
      <w:r>
        <w:rPr>
          <w:spacing w:val="-14"/>
          <w:w w:val="125"/>
        </w:rPr>
        <w:t> </w:t>
      </w:r>
      <w:r>
        <w:rPr>
          <w:spacing w:val="-8"/>
          <w:w w:val="125"/>
        </w:rPr>
        <w:t>(3)</w:t>
        <w:tab/>
      </w:r>
      <w:r>
        <w:rPr>
          <w:w w:val="125"/>
        </w:rPr>
        <w:t>Mrs Sue Bush**</w:t>
      </w:r>
      <w:r>
        <w:rPr>
          <w:spacing w:val="-5"/>
          <w:w w:val="125"/>
        </w:rPr>
        <w:t> </w:t>
      </w:r>
      <w:r>
        <w:rPr>
          <w:spacing w:val="-11"/>
          <w:w w:val="125"/>
        </w:rPr>
        <w:t>(1)</w:t>
      </w:r>
    </w:p>
    <w:p>
      <w:pPr>
        <w:pStyle w:val="BodyText"/>
        <w:tabs>
          <w:tab w:pos="5567" w:val="left" w:leader="none"/>
        </w:tabs>
        <w:spacing w:line="240" w:lineRule="exact"/>
        <w:ind w:left="1247"/>
      </w:pPr>
      <w:r>
        <w:rPr>
          <w:w w:val="120"/>
        </w:rPr>
        <w:t>Mrs</w:t>
      </w:r>
      <w:r>
        <w:rPr>
          <w:spacing w:val="16"/>
          <w:w w:val="120"/>
        </w:rPr>
        <w:t> </w:t>
      </w:r>
      <w:r>
        <w:rPr>
          <w:spacing w:val="2"/>
          <w:w w:val="120"/>
        </w:rPr>
        <w:t>Mary</w:t>
      </w:r>
      <w:r>
        <w:rPr>
          <w:spacing w:val="16"/>
          <w:w w:val="120"/>
        </w:rPr>
        <w:t> </w:t>
      </w:r>
      <w:r>
        <w:rPr>
          <w:spacing w:val="-3"/>
          <w:w w:val="120"/>
        </w:rPr>
        <w:t>Cummings†(6)</w:t>
        <w:tab/>
      </w:r>
      <w:r>
        <w:rPr>
          <w:w w:val="120"/>
        </w:rPr>
        <w:t>Mr Peter Etwell†</w:t>
      </w:r>
      <w:r>
        <w:rPr>
          <w:spacing w:val="5"/>
          <w:w w:val="120"/>
        </w:rPr>
        <w:t> </w:t>
      </w:r>
      <w:r>
        <w:rPr>
          <w:spacing w:val="-11"/>
          <w:w w:val="120"/>
        </w:rPr>
        <w:t>(1)</w:t>
      </w:r>
    </w:p>
    <w:p>
      <w:pPr>
        <w:pStyle w:val="BodyText"/>
        <w:tabs>
          <w:tab w:pos="5567" w:val="left" w:leader="none"/>
        </w:tabs>
        <w:spacing w:line="240" w:lineRule="exact"/>
        <w:ind w:left="1247"/>
      </w:pPr>
      <w:r>
        <w:rPr>
          <w:w w:val="120"/>
        </w:rPr>
        <w:t>The Revd Peter</w:t>
      </w:r>
      <w:r>
        <w:rPr>
          <w:spacing w:val="-13"/>
          <w:w w:val="120"/>
        </w:rPr>
        <w:t> </w:t>
      </w:r>
      <w:r>
        <w:rPr>
          <w:w w:val="120"/>
        </w:rPr>
        <w:t>Flint</w:t>
      </w:r>
      <w:r>
        <w:rPr>
          <w:spacing w:val="-4"/>
          <w:w w:val="120"/>
        </w:rPr>
        <w:t> </w:t>
      </w:r>
      <w:r>
        <w:rPr>
          <w:spacing w:val="-8"/>
          <w:w w:val="120"/>
        </w:rPr>
        <w:t>**(11)</w:t>
        <w:tab/>
      </w:r>
      <w:r>
        <w:rPr>
          <w:w w:val="120"/>
        </w:rPr>
        <w:t>Mrs Barbara Goom†</w:t>
      </w:r>
      <w:r>
        <w:rPr>
          <w:spacing w:val="7"/>
          <w:w w:val="120"/>
        </w:rPr>
        <w:t> </w:t>
      </w:r>
      <w:r>
        <w:rPr>
          <w:spacing w:val="-8"/>
          <w:w w:val="120"/>
        </w:rPr>
        <w:t>(8)</w:t>
      </w:r>
    </w:p>
    <w:p>
      <w:pPr>
        <w:pStyle w:val="BodyText"/>
        <w:tabs>
          <w:tab w:pos="5567" w:val="left" w:leader="none"/>
        </w:tabs>
        <w:spacing w:line="235" w:lineRule="auto" w:before="2"/>
        <w:ind w:left="1247" w:right="3286"/>
      </w:pPr>
      <w:r>
        <w:rPr>
          <w:w w:val="120"/>
        </w:rPr>
        <w:t>Mr</w:t>
      </w:r>
      <w:r>
        <w:rPr>
          <w:spacing w:val="7"/>
          <w:w w:val="120"/>
        </w:rPr>
        <w:t> </w:t>
      </w:r>
      <w:r>
        <w:rPr>
          <w:w w:val="120"/>
        </w:rPr>
        <w:t>Andrew</w:t>
      </w:r>
      <w:r>
        <w:rPr>
          <w:spacing w:val="7"/>
          <w:w w:val="120"/>
        </w:rPr>
        <w:t> </w:t>
      </w:r>
      <w:r>
        <w:rPr>
          <w:w w:val="120"/>
        </w:rPr>
        <w:t>Harvey†(8)</w:t>
        <w:tab/>
        <w:t>The Revd Naison </w:t>
      </w:r>
      <w:r>
        <w:rPr>
          <w:spacing w:val="-5"/>
          <w:w w:val="120"/>
        </w:rPr>
        <w:t>Hove†(10) </w:t>
      </w:r>
      <w:r>
        <w:rPr>
          <w:w w:val="120"/>
        </w:rPr>
        <w:t>The Revd</w:t>
      </w:r>
      <w:r>
        <w:rPr>
          <w:spacing w:val="-14"/>
          <w:w w:val="120"/>
        </w:rPr>
        <w:t> </w:t>
      </w:r>
      <w:r>
        <w:rPr>
          <w:w w:val="120"/>
        </w:rPr>
        <w:t>Graham</w:t>
      </w:r>
      <w:r>
        <w:rPr>
          <w:spacing w:val="-7"/>
          <w:w w:val="120"/>
        </w:rPr>
        <w:t> </w:t>
      </w:r>
      <w:r>
        <w:rPr>
          <w:w w:val="120"/>
        </w:rPr>
        <w:t>Maskery**(2)</w:t>
        <w:tab/>
        <w:t>The Revd Deborah McVey**(7) The Revd</w:t>
      </w:r>
      <w:r>
        <w:rPr>
          <w:spacing w:val="-2"/>
          <w:w w:val="120"/>
        </w:rPr>
        <w:t> </w:t>
      </w:r>
      <w:r>
        <w:rPr>
          <w:w w:val="120"/>
        </w:rPr>
        <w:t>Sue McCoan**(6)</w:t>
        <w:tab/>
        <w:t>The Revd Sarah Moore</w:t>
      </w:r>
      <w:r>
        <w:rPr>
          <w:spacing w:val="18"/>
          <w:w w:val="120"/>
        </w:rPr>
        <w:t> </w:t>
      </w:r>
      <w:r>
        <w:rPr>
          <w:spacing w:val="-8"/>
          <w:w w:val="120"/>
        </w:rPr>
        <w:t>(2)</w:t>
      </w:r>
    </w:p>
    <w:p>
      <w:pPr>
        <w:pStyle w:val="BodyText"/>
        <w:tabs>
          <w:tab w:pos="5567" w:val="left" w:leader="none"/>
        </w:tabs>
        <w:spacing w:line="235" w:lineRule="auto" w:before="2"/>
        <w:ind w:left="1247" w:right="4422"/>
      </w:pPr>
      <w:r>
        <w:rPr>
          <w:w w:val="120"/>
        </w:rPr>
        <w:t>Mr Mussafar</w:t>
      </w:r>
      <w:r>
        <w:rPr>
          <w:spacing w:val="-21"/>
          <w:w w:val="120"/>
        </w:rPr>
        <w:t> </w:t>
      </w:r>
      <w:r>
        <w:rPr>
          <w:w w:val="120"/>
        </w:rPr>
        <w:t>Nazish</w:t>
      </w:r>
      <w:r>
        <w:rPr>
          <w:spacing w:val="-10"/>
          <w:w w:val="120"/>
        </w:rPr>
        <w:t> </w:t>
      </w:r>
      <w:r>
        <w:rPr>
          <w:spacing w:val="-4"/>
          <w:w w:val="120"/>
        </w:rPr>
        <w:t>**(3)</w:t>
        <w:tab/>
      </w:r>
      <w:r>
        <w:rPr>
          <w:w w:val="120"/>
        </w:rPr>
        <w:t>Mrs Pat Poinen† </w:t>
      </w:r>
      <w:r>
        <w:rPr>
          <w:spacing w:val="-11"/>
          <w:w w:val="120"/>
        </w:rPr>
        <w:t>(1) </w:t>
      </w:r>
      <w:r>
        <w:rPr>
          <w:w w:val="120"/>
        </w:rPr>
        <w:t>The Revd Wendy Swann**</w:t>
      </w:r>
      <w:r>
        <w:rPr>
          <w:spacing w:val="7"/>
          <w:w w:val="120"/>
        </w:rPr>
        <w:t> </w:t>
      </w:r>
      <w:r>
        <w:rPr>
          <w:spacing w:val="-8"/>
          <w:w w:val="120"/>
        </w:rPr>
        <w:t>(9)</w:t>
      </w:r>
    </w:p>
    <w:p>
      <w:pPr>
        <w:pStyle w:val="BodyText"/>
        <w:spacing w:line="242" w:lineRule="exact"/>
        <w:ind w:left="1247"/>
      </w:pPr>
      <w:r>
        <w:rPr>
          <w:w w:val="120"/>
        </w:rPr>
        <w:t>3 vacancies</w:t>
      </w:r>
    </w:p>
    <w:p>
      <w:pPr>
        <w:pStyle w:val="BodyText"/>
        <w:spacing w:before="3"/>
        <w:rPr>
          <w:sz w:val="18"/>
        </w:rPr>
      </w:pPr>
    </w:p>
    <w:p>
      <w:pPr>
        <w:pStyle w:val="Heading9"/>
        <w:numPr>
          <w:ilvl w:val="1"/>
          <w:numId w:val="82"/>
        </w:numPr>
        <w:tabs>
          <w:tab w:pos="1927" w:val="left" w:leader="none"/>
          <w:tab w:pos="1928" w:val="left" w:leader="none"/>
        </w:tabs>
        <w:spacing w:line="261" w:lineRule="exact" w:before="1" w:after="0"/>
        <w:ind w:left="1927" w:right="0" w:hanging="681"/>
        <w:jc w:val="left"/>
      </w:pPr>
      <w:r>
        <w:rPr>
          <w:w w:val="110"/>
        </w:rPr>
        <w:t>Standing panel for the incapacity</w:t>
      </w:r>
      <w:r>
        <w:rPr>
          <w:spacing w:val="-1"/>
          <w:w w:val="110"/>
        </w:rPr>
        <w:t> </w:t>
      </w:r>
      <w:r>
        <w:rPr>
          <w:w w:val="110"/>
        </w:rPr>
        <w:t>procedure</w:t>
      </w:r>
    </w:p>
    <w:p>
      <w:pPr>
        <w:spacing w:line="233" w:lineRule="exact" w:before="0"/>
        <w:ind w:left="1247" w:right="0" w:firstLine="0"/>
        <w:jc w:val="left"/>
        <w:rPr>
          <w:i/>
          <w:sz w:val="20"/>
        </w:rPr>
      </w:pPr>
      <w:r>
        <w:rPr>
          <w:i/>
          <w:w w:val="115"/>
          <w:sz w:val="20"/>
        </w:rPr>
        <w:t>(This panel is normally convened by the member with legal experience)</w:t>
      </w:r>
    </w:p>
    <w:p>
      <w:pPr>
        <w:pStyle w:val="BodyText"/>
        <w:spacing w:line="240" w:lineRule="exact"/>
        <w:ind w:left="1247"/>
      </w:pPr>
      <w:r>
        <w:rPr>
          <w:w w:val="120"/>
        </w:rPr>
        <w:t>Secretary: The Revd Ray Adams [2017]</w:t>
      </w:r>
    </w:p>
    <w:p>
      <w:pPr>
        <w:pStyle w:val="BodyText"/>
        <w:spacing w:line="240" w:lineRule="exact"/>
        <w:ind w:left="1247"/>
      </w:pPr>
      <w:r>
        <w:rPr>
          <w:w w:val="120"/>
        </w:rPr>
        <w:t>The Revd Ruth Whitehead (synod moderator) [2018]</w:t>
      </w:r>
    </w:p>
    <w:p>
      <w:pPr>
        <w:pStyle w:val="BodyText"/>
        <w:spacing w:line="235" w:lineRule="auto" w:before="1"/>
        <w:ind w:left="1247" w:right="3835"/>
      </w:pPr>
      <w:r>
        <w:rPr>
          <w:w w:val="120"/>
        </w:rPr>
        <w:t>The Revd John Marsh (past moderator of General Assembly) [2017] Mr David Nash (legal experience) [2018]</w:t>
      </w:r>
    </w:p>
    <w:p>
      <w:pPr>
        <w:pStyle w:val="BodyText"/>
        <w:spacing w:line="240" w:lineRule="exact"/>
        <w:ind w:left="1247"/>
      </w:pPr>
      <w:r>
        <w:rPr>
          <w:w w:val="125"/>
        </w:rPr>
        <w:t>Dr Ewen Harley (GP) [2018]</w:t>
      </w:r>
    </w:p>
    <w:p>
      <w:pPr>
        <w:pStyle w:val="BodyText"/>
        <w:spacing w:line="242" w:lineRule="exact"/>
        <w:ind w:left="1247"/>
      </w:pPr>
      <w:r>
        <w:rPr>
          <w:w w:val="120"/>
        </w:rPr>
        <w:t>Commission office for the incapacity procedure: Dr David Westwood [2018]</w:t>
      </w:r>
    </w:p>
    <w:p>
      <w:pPr>
        <w:pStyle w:val="BodyText"/>
        <w:spacing w:before="4"/>
        <w:rPr>
          <w:sz w:val="18"/>
        </w:rPr>
      </w:pPr>
    </w:p>
    <w:p>
      <w:pPr>
        <w:pStyle w:val="Heading9"/>
        <w:numPr>
          <w:ilvl w:val="1"/>
          <w:numId w:val="84"/>
        </w:numPr>
        <w:tabs>
          <w:tab w:pos="1927" w:val="left" w:leader="none"/>
          <w:tab w:pos="1928" w:val="left" w:leader="none"/>
        </w:tabs>
        <w:spacing w:line="261" w:lineRule="exact" w:before="0" w:after="0"/>
        <w:ind w:left="1927" w:right="0" w:hanging="681"/>
        <w:jc w:val="left"/>
      </w:pPr>
      <w:r>
        <w:rPr>
          <w:w w:val="110"/>
        </w:rPr>
        <w:t>United Reformed Church</w:t>
      </w:r>
      <w:r>
        <w:rPr>
          <w:spacing w:val="-1"/>
          <w:w w:val="110"/>
        </w:rPr>
        <w:t> </w:t>
      </w:r>
      <w:r>
        <w:rPr>
          <w:w w:val="110"/>
        </w:rPr>
        <w:t>Trust</w:t>
      </w:r>
    </w:p>
    <w:p>
      <w:pPr>
        <w:spacing w:line="235" w:lineRule="auto" w:before="0"/>
        <w:ind w:left="1247" w:right="2004" w:firstLine="0"/>
        <w:jc w:val="left"/>
        <w:rPr>
          <w:i/>
          <w:sz w:val="20"/>
        </w:rPr>
      </w:pPr>
      <w:r>
        <w:rPr>
          <w:i/>
          <w:w w:val="110"/>
          <w:sz w:val="20"/>
        </w:rPr>
        <w:t>(Members normally serve for six years. The directors of the Trust appoint new directors from </w:t>
      </w:r>
      <w:r>
        <w:rPr>
          <w:i/>
          <w:w w:val="110"/>
          <w:sz w:val="20"/>
        </w:rPr>
        <w:t>those appointed as members. The members of the Trust elect the chair from among their own number and appoint a secretary and deputy secretary.)</w:t>
      </w:r>
    </w:p>
    <w:p>
      <w:pPr>
        <w:pStyle w:val="BodyText"/>
        <w:spacing w:line="240" w:lineRule="exact"/>
        <w:ind w:left="1247"/>
      </w:pPr>
      <w:r>
        <w:rPr>
          <w:w w:val="120"/>
        </w:rPr>
        <w:t>Chair: To be elected</w:t>
      </w:r>
    </w:p>
    <w:p>
      <w:pPr>
        <w:pStyle w:val="BodyText"/>
        <w:spacing w:line="235" w:lineRule="auto"/>
        <w:ind w:left="1247" w:right="6841"/>
      </w:pPr>
      <w:r>
        <w:rPr>
          <w:w w:val="120"/>
        </w:rPr>
        <w:t>Secretary: Ms Sandi Hallam-Jones Deputy secretary: Mr Andy Bottomley Members:</w:t>
      </w:r>
    </w:p>
    <w:p>
      <w:pPr>
        <w:tabs>
          <w:tab w:pos="2474" w:val="left" w:leader="none"/>
          <w:tab w:pos="5567" w:val="left" w:leader="none"/>
          <w:tab w:pos="7006" w:val="left" w:leader="none"/>
        </w:tabs>
        <w:spacing w:line="240" w:lineRule="exact" w:before="0"/>
        <w:ind w:left="1247" w:right="0" w:firstLine="0"/>
        <w:jc w:val="left"/>
        <w:rPr>
          <w:i/>
          <w:sz w:val="20"/>
        </w:rPr>
      </w:pPr>
      <w:r>
        <w:rPr>
          <w:i/>
          <w:w w:val="120"/>
          <w:sz w:val="20"/>
        </w:rPr>
        <w:t>Group</w:t>
      </w:r>
      <w:r>
        <w:rPr>
          <w:i/>
          <w:spacing w:val="-12"/>
          <w:w w:val="120"/>
          <w:sz w:val="20"/>
        </w:rPr>
        <w:t> </w:t>
      </w:r>
      <w:r>
        <w:rPr>
          <w:i/>
          <w:w w:val="120"/>
          <w:sz w:val="20"/>
        </w:rPr>
        <w:t>1</w:t>
        <w:tab/>
        <w:t>(Synods</w:t>
      </w:r>
      <w:r>
        <w:rPr>
          <w:i/>
          <w:spacing w:val="-16"/>
          <w:w w:val="120"/>
          <w:sz w:val="20"/>
        </w:rPr>
        <w:t> </w:t>
      </w:r>
      <w:r>
        <w:rPr>
          <w:i/>
          <w:spacing w:val="-4"/>
          <w:w w:val="120"/>
          <w:sz w:val="20"/>
        </w:rPr>
        <w:t>1,2,3,</w:t>
      </w:r>
      <w:r>
        <w:rPr>
          <w:i/>
          <w:spacing w:val="-15"/>
          <w:w w:val="120"/>
          <w:sz w:val="20"/>
        </w:rPr>
        <w:t> </w:t>
      </w:r>
      <w:r>
        <w:rPr>
          <w:i/>
          <w:spacing w:val="-11"/>
          <w:w w:val="120"/>
          <w:sz w:val="20"/>
        </w:rPr>
        <w:t>13)</w:t>
        <w:tab/>
      </w:r>
      <w:r>
        <w:rPr>
          <w:i/>
          <w:w w:val="120"/>
          <w:sz w:val="20"/>
        </w:rPr>
        <w:t>Group</w:t>
      </w:r>
      <w:r>
        <w:rPr>
          <w:i/>
          <w:spacing w:val="-12"/>
          <w:w w:val="120"/>
          <w:sz w:val="20"/>
        </w:rPr>
        <w:t> </w:t>
      </w:r>
      <w:r>
        <w:rPr>
          <w:i/>
          <w:w w:val="120"/>
          <w:sz w:val="20"/>
        </w:rPr>
        <w:t>2</w:t>
        <w:tab/>
      </w:r>
      <w:r>
        <w:rPr>
          <w:i/>
          <w:w w:val="115"/>
          <w:sz w:val="20"/>
        </w:rPr>
        <w:t>(Synods</w:t>
      </w:r>
      <w:r>
        <w:rPr>
          <w:i/>
          <w:spacing w:val="9"/>
          <w:w w:val="115"/>
          <w:sz w:val="20"/>
        </w:rPr>
        <w:t> </w:t>
      </w:r>
      <w:r>
        <w:rPr>
          <w:i/>
          <w:spacing w:val="-7"/>
          <w:w w:val="115"/>
          <w:sz w:val="20"/>
        </w:rPr>
        <w:t>6,8,9,12)</w:t>
      </w:r>
    </w:p>
    <w:p>
      <w:pPr>
        <w:pStyle w:val="BodyText"/>
        <w:tabs>
          <w:tab w:pos="5567" w:val="left" w:leader="none"/>
        </w:tabs>
        <w:spacing w:line="242" w:lineRule="exact"/>
        <w:ind w:left="1247"/>
      </w:pPr>
      <w:r>
        <w:rPr>
          <w:w w:val="125"/>
        </w:rPr>
        <w:t>Mr Andrew Atkinson</w:t>
      </w:r>
      <w:r>
        <w:rPr>
          <w:spacing w:val="-23"/>
          <w:w w:val="125"/>
        </w:rPr>
        <w:t> </w:t>
      </w:r>
      <w:r>
        <w:rPr>
          <w:spacing w:val="-11"/>
          <w:w w:val="125"/>
        </w:rPr>
        <w:t>(1)</w:t>
      </w:r>
      <w:r>
        <w:rPr>
          <w:spacing w:val="-8"/>
          <w:w w:val="125"/>
        </w:rPr>
        <w:t> </w:t>
      </w:r>
      <w:r>
        <w:rPr>
          <w:spacing w:val="-7"/>
          <w:w w:val="125"/>
        </w:rPr>
        <w:t>[2016]</w:t>
        <w:tab/>
      </w:r>
      <w:r>
        <w:rPr>
          <w:w w:val="125"/>
        </w:rPr>
        <w:t>The Revd Dick Gray </w:t>
      </w:r>
      <w:r>
        <w:rPr>
          <w:spacing w:val="-8"/>
          <w:w w:val="125"/>
        </w:rPr>
        <w:t>(8)</w:t>
      </w:r>
      <w:r>
        <w:rPr>
          <w:w w:val="125"/>
        </w:rPr>
        <w:t> </w:t>
      </w:r>
      <w:r>
        <w:rPr>
          <w:spacing w:val="-7"/>
          <w:w w:val="125"/>
        </w:rPr>
        <w:t>[2016]</w:t>
      </w:r>
    </w:p>
    <w:p>
      <w:pPr>
        <w:spacing w:after="0" w:line="242" w:lineRule="exact"/>
        <w:sectPr>
          <w:headerReference w:type="even" r:id="rId341"/>
          <w:footerReference w:type="even" r:id="rId342"/>
          <w:footerReference w:type="default" r:id="rId343"/>
          <w:pgSz w:w="11910" w:h="16840"/>
          <w:pgMar w:header="0" w:footer="647" w:top="0" w:bottom="840" w:left="0" w:right="0"/>
          <w:pgNumType w:start="146"/>
        </w:sectPr>
      </w:pPr>
    </w:p>
    <w:p>
      <w:pPr>
        <w:pStyle w:val="BodyText"/>
      </w:pPr>
    </w:p>
    <w:p>
      <w:pPr>
        <w:pStyle w:val="BodyText"/>
        <w:spacing w:before="7"/>
        <w:rPr>
          <w:sz w:val="21"/>
        </w:rPr>
      </w:pPr>
    </w:p>
    <w:p>
      <w:pPr>
        <w:spacing w:after="0"/>
        <w:rPr>
          <w:sz w:val="21"/>
        </w:rPr>
        <w:sectPr>
          <w:headerReference w:type="default" r:id="rId344"/>
          <w:pgSz w:w="11910" w:h="16840"/>
          <w:pgMar w:header="0" w:footer="647" w:top="0" w:bottom="840" w:left="0" w:right="0"/>
        </w:sectPr>
      </w:pPr>
    </w:p>
    <w:p>
      <w:pPr>
        <w:pStyle w:val="BodyText"/>
        <w:rPr>
          <w:sz w:val="24"/>
        </w:rPr>
      </w:pPr>
    </w:p>
    <w:p>
      <w:pPr>
        <w:pStyle w:val="BodyText"/>
        <w:spacing w:before="6"/>
        <w:rPr>
          <w:sz w:val="28"/>
        </w:rPr>
      </w:pPr>
    </w:p>
    <w:p>
      <w:pPr>
        <w:pStyle w:val="BodyText"/>
        <w:tabs>
          <w:tab w:pos="6105" w:val="left" w:leader="none"/>
        </w:tabs>
        <w:spacing w:line="240" w:lineRule="exact"/>
        <w:ind w:left="1785"/>
      </w:pPr>
      <w:r>
        <w:rPr/>
        <w:pict>
          <v:shape style="position:absolute;margin-left:554.141174pt;margin-top:-9.446594pt;width:25.9pt;height:131.3pt;mso-position-horizontal-relative:page;mso-position-vertical-relative:paragraph;z-index:252047360" type="#_x0000_t202" filled="false" stroked="false">
            <v:textbox inset="0,0,0,0" style="layout-flow:vertical">
              <w:txbxContent>
                <w:p>
                  <w:pPr>
                    <w:spacing w:before="27"/>
                    <w:ind w:left="20" w:right="0" w:firstLine="0"/>
                    <w:jc w:val="left"/>
                    <w:rPr>
                      <w:sz w:val="39"/>
                    </w:rPr>
                  </w:pPr>
                  <w:r>
                    <w:rPr>
                      <w:color w:val="FFFFFF"/>
                      <w:w w:val="120"/>
                      <w:sz w:val="39"/>
                    </w:rPr>
                    <w:t>Nominations</w:t>
                  </w:r>
                </w:p>
              </w:txbxContent>
            </v:textbox>
            <w10:wrap type="none"/>
          </v:shape>
        </w:pict>
      </w:r>
      <w:r>
        <w:rPr>
          <w:w w:val="125"/>
        </w:rPr>
        <w:t>Mr Neil Mackenzie</w:t>
      </w:r>
      <w:r>
        <w:rPr>
          <w:spacing w:val="-22"/>
          <w:w w:val="125"/>
        </w:rPr>
        <w:t> </w:t>
      </w:r>
      <w:r>
        <w:rPr>
          <w:spacing w:val="-8"/>
          <w:w w:val="125"/>
        </w:rPr>
        <w:t>(3)</w:t>
      </w:r>
      <w:r>
        <w:rPr>
          <w:spacing w:val="-7"/>
          <w:w w:val="125"/>
        </w:rPr>
        <w:t> [2016]</w:t>
        <w:tab/>
      </w:r>
      <w:r>
        <w:rPr>
          <w:w w:val="125"/>
        </w:rPr>
        <w:t>Dr Ian Harrison</w:t>
      </w:r>
      <w:r>
        <w:rPr>
          <w:spacing w:val="-27"/>
          <w:w w:val="125"/>
        </w:rPr>
        <w:t> </w:t>
      </w:r>
      <w:r>
        <w:rPr>
          <w:spacing w:val="-10"/>
          <w:w w:val="125"/>
        </w:rPr>
        <w:t>[2017]</w:t>
      </w:r>
    </w:p>
    <w:p>
      <w:pPr>
        <w:pStyle w:val="Heading5"/>
        <w:ind w:left="762"/>
      </w:pPr>
      <w:r>
        <w:rPr/>
        <w:br w:type="column"/>
      </w:r>
      <w:r>
        <w:rPr>
          <w:color w:val="7EAABF"/>
          <w:w w:val="115"/>
        </w:rPr>
        <w:t>Nominations</w:t>
      </w:r>
    </w:p>
    <w:p>
      <w:pPr>
        <w:spacing w:after="0"/>
        <w:sectPr>
          <w:type w:val="continuous"/>
          <w:pgSz w:w="11910" w:h="16840"/>
          <w:pgMar w:top="680" w:bottom="280" w:left="0" w:right="0"/>
          <w:cols w:num="2" w:equalWidth="0">
            <w:col w:w="8288" w:space="40"/>
            <w:col w:w="3582"/>
          </w:cols>
        </w:sectPr>
      </w:pPr>
    </w:p>
    <w:p>
      <w:pPr>
        <w:pStyle w:val="BodyText"/>
        <w:tabs>
          <w:tab w:pos="6105" w:val="left" w:leader="none"/>
        </w:tabs>
        <w:ind w:left="1785"/>
      </w:pPr>
      <w:r>
        <w:rPr/>
        <w:drawing>
          <wp:anchor distT="0" distB="0" distL="0" distR="0" allowOverlap="1" layoutInCell="1" locked="0" behindDoc="0" simplePos="0" relativeHeight="252046336">
            <wp:simplePos x="0" y="0"/>
            <wp:positionH relativeFrom="page">
              <wp:posOffset>6974928</wp:posOffset>
            </wp:positionH>
            <wp:positionV relativeFrom="page">
              <wp:posOffset>0</wp:posOffset>
            </wp:positionV>
            <wp:extent cx="585063" cy="10692003"/>
            <wp:effectExtent l="0" t="0" r="0" b="0"/>
            <wp:wrapNone/>
            <wp:docPr id="273" name="image25.png"/>
            <wp:cNvGraphicFramePr>
              <a:graphicFrameLocks noChangeAspect="1"/>
            </wp:cNvGraphicFramePr>
            <a:graphic>
              <a:graphicData uri="http://schemas.openxmlformats.org/drawingml/2006/picture">
                <pic:pic>
                  <pic:nvPicPr>
                    <pic:cNvPr id="274" name="image25.png"/>
                    <pic:cNvPicPr/>
                  </pic:nvPicPr>
                  <pic:blipFill>
                    <a:blip r:embed="rId192" cstate="print"/>
                    <a:stretch>
                      <a:fillRect/>
                    </a:stretch>
                  </pic:blipFill>
                  <pic:spPr>
                    <a:xfrm>
                      <a:off x="0" y="0"/>
                      <a:ext cx="585063" cy="10692003"/>
                    </a:xfrm>
                    <a:prstGeom prst="rect">
                      <a:avLst/>
                    </a:prstGeom>
                  </pic:spPr>
                </pic:pic>
              </a:graphicData>
            </a:graphic>
          </wp:anchor>
        </w:drawing>
      </w:r>
      <w:r>
        <w:rPr>
          <w:w w:val="120"/>
        </w:rPr>
        <w:t>A further name to</w:t>
      </w:r>
      <w:r>
        <w:rPr>
          <w:spacing w:val="8"/>
          <w:w w:val="120"/>
        </w:rPr>
        <w:t> </w:t>
      </w:r>
      <w:r>
        <w:rPr>
          <w:w w:val="120"/>
        </w:rPr>
        <w:t>be</w:t>
      </w:r>
      <w:r>
        <w:rPr>
          <w:spacing w:val="2"/>
          <w:w w:val="120"/>
        </w:rPr>
        <w:t> </w:t>
      </w:r>
      <w:r>
        <w:rPr>
          <w:w w:val="120"/>
        </w:rPr>
        <w:t>confirmed</w:t>
        <w:tab/>
        <w:t>A further name to be</w:t>
      </w:r>
      <w:r>
        <w:rPr>
          <w:spacing w:val="10"/>
          <w:w w:val="120"/>
        </w:rPr>
        <w:t> </w:t>
      </w:r>
      <w:r>
        <w:rPr>
          <w:w w:val="120"/>
        </w:rPr>
        <w:t>confirmed</w:t>
      </w:r>
    </w:p>
    <w:p>
      <w:pPr>
        <w:pStyle w:val="BodyText"/>
        <w:spacing w:before="4"/>
        <w:rPr>
          <w:sz w:val="19"/>
        </w:rPr>
      </w:pPr>
    </w:p>
    <w:p>
      <w:pPr>
        <w:tabs>
          <w:tab w:pos="2959" w:val="left" w:leader="none"/>
        </w:tabs>
        <w:spacing w:line="242" w:lineRule="exact" w:before="0"/>
        <w:ind w:left="1785" w:right="0" w:firstLine="0"/>
        <w:jc w:val="left"/>
        <w:rPr>
          <w:i/>
          <w:sz w:val="20"/>
        </w:rPr>
      </w:pPr>
      <w:r>
        <w:rPr>
          <w:i/>
          <w:w w:val="115"/>
          <w:sz w:val="20"/>
        </w:rPr>
        <w:t>Group</w:t>
      </w:r>
      <w:r>
        <w:rPr>
          <w:i/>
          <w:spacing w:val="-1"/>
          <w:w w:val="115"/>
          <w:sz w:val="20"/>
        </w:rPr>
        <w:t> </w:t>
      </w:r>
      <w:r>
        <w:rPr>
          <w:i/>
          <w:w w:val="115"/>
          <w:sz w:val="20"/>
        </w:rPr>
        <w:t>3</w:t>
        <w:tab/>
        <w:t>(Synods 4, </w:t>
      </w:r>
      <w:r>
        <w:rPr>
          <w:i/>
          <w:spacing w:val="-10"/>
          <w:w w:val="115"/>
          <w:sz w:val="20"/>
        </w:rPr>
        <w:t>5,7,10 </w:t>
      </w:r>
      <w:r>
        <w:rPr>
          <w:i/>
          <w:w w:val="115"/>
          <w:sz w:val="20"/>
        </w:rPr>
        <w:t>and</w:t>
      </w:r>
      <w:r>
        <w:rPr>
          <w:i/>
          <w:spacing w:val="16"/>
          <w:w w:val="115"/>
          <w:sz w:val="20"/>
        </w:rPr>
        <w:t> </w:t>
      </w:r>
      <w:r>
        <w:rPr>
          <w:i/>
          <w:spacing w:val="-13"/>
          <w:w w:val="115"/>
          <w:sz w:val="20"/>
        </w:rPr>
        <w:t>11)</w:t>
      </w:r>
    </w:p>
    <w:p>
      <w:pPr>
        <w:pStyle w:val="BodyText"/>
        <w:spacing w:line="240" w:lineRule="exact"/>
        <w:ind w:left="1785"/>
      </w:pPr>
      <w:r>
        <w:rPr>
          <w:w w:val="125"/>
        </w:rPr>
        <w:t>Mr Alastair Forsyth (4) [2016]</w:t>
      </w:r>
    </w:p>
    <w:p>
      <w:pPr>
        <w:pStyle w:val="BodyText"/>
        <w:spacing w:line="235" w:lineRule="auto" w:before="2"/>
        <w:ind w:left="1785" w:right="6485"/>
      </w:pPr>
      <w:r>
        <w:rPr>
          <w:w w:val="120"/>
        </w:rPr>
        <w:t>The Revd Michael Davies† </w:t>
      </w:r>
      <w:r>
        <w:rPr>
          <w:spacing w:val="-14"/>
          <w:w w:val="120"/>
        </w:rPr>
        <w:t>(11) </w:t>
      </w:r>
      <w:r>
        <w:rPr>
          <w:spacing w:val="-8"/>
          <w:w w:val="120"/>
        </w:rPr>
        <w:t>[2018] </w:t>
      </w:r>
      <w:r>
        <w:rPr>
          <w:w w:val="120"/>
        </w:rPr>
        <w:t>A further name to be</w:t>
      </w:r>
      <w:r>
        <w:rPr>
          <w:spacing w:val="10"/>
          <w:w w:val="120"/>
        </w:rPr>
        <w:t> </w:t>
      </w:r>
      <w:r>
        <w:rPr>
          <w:w w:val="120"/>
        </w:rPr>
        <w:t>confirmed</w:t>
      </w:r>
    </w:p>
    <w:p>
      <w:pPr>
        <w:pStyle w:val="BodyText"/>
        <w:spacing w:before="5"/>
        <w:rPr>
          <w:sz w:val="19"/>
        </w:rPr>
      </w:pPr>
    </w:p>
    <w:p>
      <w:pPr>
        <w:pStyle w:val="BodyText"/>
        <w:spacing w:line="242" w:lineRule="exact" w:before="1"/>
        <w:ind w:left="1785"/>
      </w:pPr>
      <w:r>
        <w:rPr>
          <w:w w:val="120"/>
        </w:rPr>
        <w:t>FURY appointee: vacant</w:t>
      </w:r>
    </w:p>
    <w:p>
      <w:pPr>
        <w:pStyle w:val="BodyText"/>
        <w:tabs>
          <w:tab w:pos="6105" w:val="left" w:leader="none"/>
        </w:tabs>
        <w:spacing w:line="235" w:lineRule="auto" w:before="1"/>
        <w:ind w:left="1785" w:right="2986"/>
      </w:pPr>
      <w:r>
        <w:rPr>
          <w:w w:val="120"/>
        </w:rPr>
        <w:t>Mission Council</w:t>
      </w:r>
      <w:r>
        <w:rPr>
          <w:spacing w:val="11"/>
          <w:w w:val="120"/>
        </w:rPr>
        <w:t> </w:t>
      </w:r>
      <w:r>
        <w:rPr>
          <w:w w:val="120"/>
        </w:rPr>
        <w:t>nominated</w:t>
      </w:r>
      <w:r>
        <w:rPr>
          <w:spacing w:val="5"/>
          <w:w w:val="120"/>
        </w:rPr>
        <w:t> </w:t>
      </w:r>
      <w:r>
        <w:rPr>
          <w:w w:val="120"/>
        </w:rPr>
        <w:t>members:</w:t>
        <w:tab/>
      </w:r>
      <w:r>
        <w:rPr>
          <w:spacing w:val="-7"/>
          <w:w w:val="120"/>
        </w:rPr>
        <w:t>To </w:t>
      </w:r>
      <w:r>
        <w:rPr>
          <w:w w:val="120"/>
        </w:rPr>
        <w:t>be appointed if necessary </w:t>
      </w:r>
      <w:r>
        <w:rPr>
          <w:spacing w:val="-3"/>
          <w:w w:val="120"/>
        </w:rPr>
        <w:t>[</w:t>
      </w:r>
      <w:r>
        <w:rPr>
          <w:i/>
          <w:spacing w:val="-3"/>
          <w:w w:val="120"/>
        </w:rPr>
        <w:t>ex </w:t>
      </w:r>
      <w:r>
        <w:rPr>
          <w:i/>
          <w:w w:val="120"/>
        </w:rPr>
        <w:t>officio</w:t>
      </w:r>
      <w:r>
        <w:rPr>
          <w:w w:val="120"/>
        </w:rPr>
        <w:t>: Moderators of General Assembly, General</w:t>
      </w:r>
      <w:r>
        <w:rPr>
          <w:spacing w:val="-9"/>
          <w:w w:val="120"/>
        </w:rPr>
        <w:t> </w:t>
      </w:r>
      <w:r>
        <w:rPr>
          <w:w w:val="120"/>
        </w:rPr>
        <w:t>secretary,</w:t>
      </w:r>
    </w:p>
    <w:p>
      <w:pPr>
        <w:pStyle w:val="BodyText"/>
        <w:spacing w:line="240" w:lineRule="exact"/>
        <w:ind w:left="1785"/>
      </w:pPr>
      <w:r>
        <w:rPr>
          <w:w w:val="120"/>
        </w:rPr>
        <w:t>Honorary treasurer, Clerk to General Assembly</w:t>
      </w:r>
    </w:p>
    <w:p>
      <w:pPr>
        <w:spacing w:line="242" w:lineRule="exact" w:before="0"/>
        <w:ind w:left="1785" w:right="0" w:firstLine="0"/>
        <w:jc w:val="left"/>
        <w:rPr>
          <w:sz w:val="20"/>
        </w:rPr>
      </w:pPr>
      <w:r>
        <w:rPr>
          <w:i/>
          <w:w w:val="120"/>
          <w:sz w:val="20"/>
        </w:rPr>
        <w:t>In attendance: </w:t>
      </w:r>
      <w:r>
        <w:rPr>
          <w:w w:val="120"/>
          <w:sz w:val="20"/>
        </w:rPr>
        <w:t>Convener, investment committee]</w:t>
      </w:r>
    </w:p>
    <w:p>
      <w:pPr>
        <w:pStyle w:val="BodyText"/>
        <w:spacing w:before="4"/>
        <w:rPr>
          <w:sz w:val="18"/>
        </w:rPr>
      </w:pPr>
    </w:p>
    <w:p>
      <w:pPr>
        <w:pStyle w:val="Heading9"/>
        <w:numPr>
          <w:ilvl w:val="2"/>
          <w:numId w:val="84"/>
        </w:numPr>
        <w:tabs>
          <w:tab w:pos="2467" w:val="left" w:leader="none"/>
        </w:tabs>
        <w:spacing w:line="261" w:lineRule="exact" w:before="0" w:after="0"/>
        <w:ind w:left="2466" w:right="0" w:hanging="682"/>
        <w:jc w:val="left"/>
      </w:pPr>
      <w:r>
        <w:rPr>
          <w:w w:val="110"/>
        </w:rPr>
        <w:t>Church house management</w:t>
      </w:r>
      <w:r>
        <w:rPr>
          <w:spacing w:val="-1"/>
          <w:w w:val="110"/>
        </w:rPr>
        <w:t> </w:t>
      </w:r>
      <w:r>
        <w:rPr>
          <w:w w:val="110"/>
        </w:rPr>
        <w:t>group</w:t>
      </w:r>
    </w:p>
    <w:p>
      <w:pPr>
        <w:pStyle w:val="BodyText"/>
        <w:tabs>
          <w:tab w:pos="6105" w:val="left" w:leader="none"/>
        </w:tabs>
        <w:spacing w:line="235" w:lineRule="auto"/>
        <w:ind w:left="1785" w:right="3575"/>
      </w:pPr>
      <w:r>
        <w:rPr>
          <w:w w:val="120"/>
        </w:rPr>
        <w:t>Convener: Deputy general secretary administration and Resources Mr</w:t>
      </w:r>
      <w:r>
        <w:rPr>
          <w:spacing w:val="1"/>
          <w:w w:val="120"/>
        </w:rPr>
        <w:t> </w:t>
      </w:r>
      <w:r>
        <w:rPr>
          <w:w w:val="120"/>
        </w:rPr>
        <w:t>Mike</w:t>
      </w:r>
      <w:r>
        <w:rPr>
          <w:spacing w:val="2"/>
          <w:w w:val="120"/>
        </w:rPr>
        <w:t> </w:t>
      </w:r>
      <w:r>
        <w:rPr>
          <w:w w:val="120"/>
        </w:rPr>
        <w:t>Gould</w:t>
        <w:tab/>
        <w:t>Mr Derek</w:t>
      </w:r>
      <w:r>
        <w:rPr>
          <w:spacing w:val="1"/>
          <w:w w:val="120"/>
        </w:rPr>
        <w:t> </w:t>
      </w:r>
      <w:r>
        <w:rPr>
          <w:w w:val="120"/>
        </w:rPr>
        <w:t>Jones</w:t>
      </w:r>
    </w:p>
    <w:p>
      <w:pPr>
        <w:pStyle w:val="BodyText"/>
        <w:tabs>
          <w:tab w:pos="6105" w:val="left" w:leader="none"/>
        </w:tabs>
        <w:spacing w:line="240" w:lineRule="exact"/>
        <w:ind w:left="1785"/>
      </w:pPr>
      <w:r>
        <w:rPr>
          <w:w w:val="120"/>
        </w:rPr>
        <w:t>Mr</w:t>
      </w:r>
      <w:r>
        <w:rPr>
          <w:spacing w:val="8"/>
          <w:w w:val="120"/>
        </w:rPr>
        <w:t> </w:t>
      </w:r>
      <w:r>
        <w:rPr>
          <w:w w:val="120"/>
        </w:rPr>
        <w:t>Doug</w:t>
      </w:r>
      <w:r>
        <w:rPr>
          <w:spacing w:val="8"/>
          <w:w w:val="120"/>
        </w:rPr>
        <w:t> </w:t>
      </w:r>
      <w:r>
        <w:rPr>
          <w:w w:val="120"/>
        </w:rPr>
        <w:t>Maxwell</w:t>
        <w:tab/>
        <w:t>Head of Human</w:t>
      </w:r>
      <w:r>
        <w:rPr>
          <w:spacing w:val="6"/>
          <w:w w:val="120"/>
        </w:rPr>
        <w:t> </w:t>
      </w:r>
      <w:r>
        <w:rPr>
          <w:w w:val="120"/>
        </w:rPr>
        <w:t>Resources</w:t>
      </w:r>
    </w:p>
    <w:p>
      <w:pPr>
        <w:pStyle w:val="BodyText"/>
        <w:tabs>
          <w:tab w:pos="5006" w:val="left" w:leader="none"/>
          <w:tab w:pos="7545" w:val="left" w:leader="none"/>
        </w:tabs>
        <w:spacing w:line="242" w:lineRule="exact"/>
        <w:ind w:left="1785"/>
      </w:pPr>
      <w:r>
        <w:rPr>
          <w:spacing w:val="-3"/>
          <w:w w:val="120"/>
        </w:rPr>
        <w:t>[</w:t>
      </w:r>
      <w:r>
        <w:rPr>
          <w:i/>
          <w:spacing w:val="-3"/>
          <w:w w:val="120"/>
        </w:rPr>
        <w:t>ex </w:t>
      </w:r>
      <w:r>
        <w:rPr>
          <w:i/>
          <w:w w:val="120"/>
        </w:rPr>
        <w:t>officio:</w:t>
      </w:r>
      <w:r>
        <w:rPr>
          <w:i/>
          <w:spacing w:val="-23"/>
          <w:w w:val="120"/>
        </w:rPr>
        <w:t> </w:t>
      </w:r>
      <w:r>
        <w:rPr>
          <w:w w:val="120"/>
        </w:rPr>
        <w:t>General</w:t>
      </w:r>
      <w:r>
        <w:rPr>
          <w:spacing w:val="-10"/>
          <w:w w:val="120"/>
        </w:rPr>
        <w:t> </w:t>
      </w:r>
      <w:r>
        <w:rPr>
          <w:w w:val="120"/>
        </w:rPr>
        <w:t>secretary</w:t>
        <w:tab/>
        <w:t>Chief</w:t>
      </w:r>
      <w:r>
        <w:rPr>
          <w:spacing w:val="-2"/>
          <w:w w:val="120"/>
        </w:rPr>
        <w:t> </w:t>
      </w:r>
      <w:r>
        <w:rPr>
          <w:w w:val="120"/>
        </w:rPr>
        <w:t>finance</w:t>
      </w:r>
      <w:r>
        <w:rPr>
          <w:spacing w:val="-3"/>
          <w:w w:val="120"/>
        </w:rPr>
        <w:t> </w:t>
      </w:r>
      <w:r>
        <w:rPr>
          <w:w w:val="120"/>
        </w:rPr>
        <w:t>officer</w:t>
        <w:tab/>
        <w:t>Director of</w:t>
      </w:r>
      <w:r>
        <w:rPr>
          <w:spacing w:val="5"/>
          <w:w w:val="120"/>
        </w:rPr>
        <w:t> </w:t>
      </w:r>
      <w:r>
        <w:rPr>
          <w:w w:val="120"/>
        </w:rPr>
        <w:t>communications]</w:t>
      </w:r>
    </w:p>
    <w:p>
      <w:pPr>
        <w:pStyle w:val="BodyText"/>
        <w:spacing w:before="10"/>
        <w:rPr>
          <w:sz w:val="17"/>
        </w:rPr>
      </w:pPr>
    </w:p>
    <w:p>
      <w:pPr>
        <w:pStyle w:val="Heading9"/>
        <w:numPr>
          <w:ilvl w:val="2"/>
          <w:numId w:val="84"/>
        </w:numPr>
        <w:tabs>
          <w:tab w:pos="2467" w:val="left" w:leader="none"/>
        </w:tabs>
        <w:spacing w:line="261" w:lineRule="exact" w:before="1" w:after="0"/>
        <w:ind w:left="2466" w:right="0" w:hanging="682"/>
        <w:jc w:val="left"/>
      </w:pPr>
      <w:r>
        <w:rPr>
          <w:w w:val="110"/>
        </w:rPr>
        <w:t>Remuneration</w:t>
      </w:r>
      <w:r>
        <w:rPr>
          <w:spacing w:val="-1"/>
          <w:w w:val="110"/>
        </w:rPr>
        <w:t> </w:t>
      </w:r>
      <w:r>
        <w:rPr>
          <w:w w:val="110"/>
        </w:rPr>
        <w:t>sub-committee</w:t>
      </w:r>
    </w:p>
    <w:p>
      <w:pPr>
        <w:pStyle w:val="BodyText"/>
        <w:spacing w:line="233" w:lineRule="exact"/>
        <w:ind w:left="1785"/>
        <w:rPr>
          <w:i/>
        </w:rPr>
      </w:pPr>
      <w:r>
        <w:rPr>
          <w:w w:val="120"/>
        </w:rPr>
        <w:t>Convener</w:t>
      </w:r>
      <w:r>
        <w:rPr>
          <w:i/>
          <w:w w:val="120"/>
        </w:rPr>
        <w:t>:</w:t>
      </w:r>
    </w:p>
    <w:p>
      <w:pPr>
        <w:pStyle w:val="BodyText"/>
        <w:spacing w:line="240" w:lineRule="exact"/>
        <w:ind w:left="1785"/>
      </w:pPr>
      <w:r>
        <w:rPr>
          <w:w w:val="120"/>
        </w:rPr>
        <w:t>Secretary: Head of human resources</w:t>
      </w:r>
    </w:p>
    <w:p>
      <w:pPr>
        <w:pStyle w:val="BodyText"/>
        <w:tabs>
          <w:tab w:pos="6105" w:val="left" w:leader="none"/>
        </w:tabs>
        <w:spacing w:line="235" w:lineRule="auto" w:before="1"/>
        <w:ind w:left="1785" w:right="3297"/>
      </w:pPr>
      <w:r>
        <w:rPr>
          <w:w w:val="120"/>
        </w:rPr>
        <w:t>Ms Carmila Legarda</w:t>
      </w:r>
      <w:r>
        <w:rPr>
          <w:spacing w:val="24"/>
          <w:w w:val="120"/>
        </w:rPr>
        <w:t> </w:t>
      </w:r>
      <w:r>
        <w:rPr>
          <w:w w:val="120"/>
        </w:rPr>
        <w:t>(Methodist</w:t>
      </w:r>
      <w:r>
        <w:rPr>
          <w:spacing w:val="9"/>
          <w:w w:val="120"/>
        </w:rPr>
        <w:t> </w:t>
      </w:r>
      <w:r>
        <w:rPr>
          <w:spacing w:val="-3"/>
          <w:w w:val="120"/>
        </w:rPr>
        <w:t>HR)</w:t>
        <w:tab/>
      </w:r>
      <w:r>
        <w:rPr>
          <w:w w:val="120"/>
        </w:rPr>
        <w:t>Mr William McVey </w:t>
      </w:r>
      <w:r>
        <w:rPr>
          <w:spacing w:val="-4"/>
          <w:w w:val="120"/>
        </w:rPr>
        <w:t>(elder) </w:t>
      </w:r>
      <w:r>
        <w:rPr>
          <w:w w:val="120"/>
        </w:rPr>
        <w:t>Ms Sara Foyle </w:t>
      </w:r>
      <w:r>
        <w:rPr>
          <w:spacing w:val="-3"/>
          <w:w w:val="120"/>
        </w:rPr>
        <w:t>(Church </w:t>
      </w:r>
      <w:r>
        <w:rPr>
          <w:w w:val="120"/>
        </w:rPr>
        <w:t>House staff</w:t>
      </w:r>
      <w:r>
        <w:rPr>
          <w:spacing w:val="12"/>
          <w:w w:val="120"/>
        </w:rPr>
        <w:t> </w:t>
      </w:r>
      <w:r>
        <w:rPr>
          <w:w w:val="120"/>
        </w:rPr>
        <w:t>representative)</w:t>
      </w:r>
    </w:p>
    <w:p>
      <w:pPr>
        <w:pStyle w:val="BodyText"/>
        <w:tabs>
          <w:tab w:pos="6105" w:val="left" w:leader="none"/>
        </w:tabs>
        <w:spacing w:line="242" w:lineRule="exact"/>
        <w:ind w:left="1785"/>
      </w:pPr>
      <w:r>
        <w:rPr>
          <w:spacing w:val="2"/>
          <w:w w:val="120"/>
        </w:rPr>
        <w:t>Honorary</w:t>
      </w:r>
      <w:r>
        <w:rPr>
          <w:spacing w:val="-6"/>
          <w:w w:val="120"/>
        </w:rPr>
        <w:t> </w:t>
      </w:r>
      <w:r>
        <w:rPr>
          <w:w w:val="120"/>
        </w:rPr>
        <w:t>treasurer</w:t>
        <w:tab/>
        <w:t>Chief finance</w:t>
      </w:r>
      <w:r>
        <w:rPr>
          <w:spacing w:val="3"/>
          <w:w w:val="120"/>
        </w:rPr>
        <w:t> </w:t>
      </w:r>
      <w:r>
        <w:rPr>
          <w:w w:val="120"/>
        </w:rPr>
        <w:t>officer</w:t>
      </w:r>
    </w:p>
    <w:p>
      <w:pPr>
        <w:pStyle w:val="BodyText"/>
        <w:spacing w:before="4"/>
        <w:rPr>
          <w:sz w:val="18"/>
        </w:rPr>
      </w:pPr>
    </w:p>
    <w:p>
      <w:pPr>
        <w:pStyle w:val="Heading9"/>
        <w:numPr>
          <w:ilvl w:val="1"/>
          <w:numId w:val="84"/>
        </w:numPr>
        <w:tabs>
          <w:tab w:pos="2465" w:val="left" w:leader="none"/>
          <w:tab w:pos="2467" w:val="left" w:leader="none"/>
        </w:tabs>
        <w:spacing w:line="261" w:lineRule="exact" w:before="0" w:after="0"/>
        <w:ind w:left="2466" w:right="0" w:hanging="682"/>
        <w:jc w:val="left"/>
      </w:pPr>
      <w:r>
        <w:rPr>
          <w:w w:val="110"/>
        </w:rPr>
        <w:t>The United Reformed Church ministers’ pension trust</w:t>
      </w:r>
      <w:r>
        <w:rPr>
          <w:spacing w:val="-1"/>
          <w:w w:val="110"/>
        </w:rPr>
        <w:t> </w:t>
      </w:r>
      <w:r>
        <w:rPr>
          <w:w w:val="110"/>
        </w:rPr>
        <w:t>Ltd</w:t>
      </w:r>
    </w:p>
    <w:p>
      <w:pPr>
        <w:spacing w:line="235" w:lineRule="auto" w:before="0"/>
        <w:ind w:left="1785" w:right="1484" w:firstLine="0"/>
        <w:jc w:val="left"/>
        <w:rPr>
          <w:i/>
          <w:sz w:val="20"/>
        </w:rPr>
      </w:pPr>
      <w:r>
        <w:rPr>
          <w:i/>
          <w:w w:val="110"/>
          <w:sz w:val="20"/>
        </w:rPr>
        <w:t>(Members normally serve for six years. </w:t>
      </w:r>
      <w:r>
        <w:rPr>
          <w:i/>
          <w:spacing w:val="-3"/>
          <w:w w:val="110"/>
          <w:sz w:val="20"/>
        </w:rPr>
        <w:t>Terms </w:t>
      </w:r>
      <w:r>
        <w:rPr>
          <w:i/>
          <w:w w:val="110"/>
          <w:sz w:val="20"/>
        </w:rPr>
        <w:t>run until the AGM in </w:t>
      </w:r>
      <w:r>
        <w:rPr>
          <w:i/>
          <w:spacing w:val="-3"/>
          <w:w w:val="110"/>
          <w:sz w:val="20"/>
        </w:rPr>
        <w:t>September. </w:t>
      </w:r>
      <w:r>
        <w:rPr>
          <w:i/>
          <w:w w:val="110"/>
          <w:sz w:val="20"/>
        </w:rPr>
        <w:t>The directors of    </w:t>
      </w:r>
      <w:r>
        <w:rPr>
          <w:i/>
          <w:w w:val="110"/>
          <w:sz w:val="20"/>
        </w:rPr>
        <w:t>the </w:t>
      </w:r>
      <w:r>
        <w:rPr>
          <w:i/>
          <w:spacing w:val="-3"/>
          <w:w w:val="110"/>
          <w:sz w:val="20"/>
        </w:rPr>
        <w:t>Trust </w:t>
      </w:r>
      <w:r>
        <w:rPr>
          <w:i/>
          <w:w w:val="110"/>
          <w:sz w:val="20"/>
        </w:rPr>
        <w:t>appoint new directors from those appointed as members. The board members elect the chair</w:t>
      </w:r>
      <w:r>
        <w:rPr>
          <w:i/>
          <w:spacing w:val="6"/>
          <w:w w:val="110"/>
          <w:sz w:val="20"/>
        </w:rPr>
        <w:t> </w:t>
      </w:r>
      <w:r>
        <w:rPr>
          <w:i/>
          <w:w w:val="110"/>
          <w:sz w:val="20"/>
        </w:rPr>
        <w:t>from</w:t>
      </w:r>
      <w:r>
        <w:rPr>
          <w:i/>
          <w:spacing w:val="7"/>
          <w:w w:val="110"/>
          <w:sz w:val="20"/>
        </w:rPr>
        <w:t> </w:t>
      </w:r>
      <w:r>
        <w:rPr>
          <w:i/>
          <w:w w:val="110"/>
          <w:sz w:val="20"/>
        </w:rPr>
        <w:t>among</w:t>
      </w:r>
      <w:r>
        <w:rPr>
          <w:i/>
          <w:spacing w:val="6"/>
          <w:w w:val="110"/>
          <w:sz w:val="20"/>
        </w:rPr>
        <w:t> </w:t>
      </w:r>
      <w:r>
        <w:rPr>
          <w:i/>
          <w:w w:val="110"/>
          <w:sz w:val="20"/>
        </w:rPr>
        <w:t>their</w:t>
      </w:r>
      <w:r>
        <w:rPr>
          <w:i/>
          <w:spacing w:val="7"/>
          <w:w w:val="110"/>
          <w:sz w:val="20"/>
        </w:rPr>
        <w:t> </w:t>
      </w:r>
      <w:r>
        <w:rPr>
          <w:i/>
          <w:w w:val="110"/>
          <w:sz w:val="20"/>
        </w:rPr>
        <w:t>own</w:t>
      </w:r>
      <w:r>
        <w:rPr>
          <w:i/>
          <w:spacing w:val="6"/>
          <w:w w:val="110"/>
          <w:sz w:val="20"/>
        </w:rPr>
        <w:t> </w:t>
      </w:r>
      <w:r>
        <w:rPr>
          <w:i/>
          <w:w w:val="110"/>
          <w:sz w:val="20"/>
        </w:rPr>
        <w:t>number</w:t>
      </w:r>
      <w:r>
        <w:rPr>
          <w:i/>
          <w:spacing w:val="7"/>
          <w:w w:val="110"/>
          <w:sz w:val="20"/>
        </w:rPr>
        <w:t> </w:t>
      </w:r>
      <w:r>
        <w:rPr>
          <w:i/>
          <w:w w:val="110"/>
          <w:sz w:val="20"/>
        </w:rPr>
        <w:t>and</w:t>
      </w:r>
      <w:r>
        <w:rPr>
          <w:i/>
          <w:spacing w:val="6"/>
          <w:w w:val="110"/>
          <w:sz w:val="20"/>
        </w:rPr>
        <w:t> </w:t>
      </w:r>
      <w:r>
        <w:rPr>
          <w:i/>
          <w:w w:val="110"/>
          <w:sz w:val="20"/>
        </w:rPr>
        <w:t>appoint</w:t>
      </w:r>
      <w:r>
        <w:rPr>
          <w:i/>
          <w:spacing w:val="7"/>
          <w:w w:val="110"/>
          <w:sz w:val="20"/>
        </w:rPr>
        <w:t> </w:t>
      </w:r>
      <w:r>
        <w:rPr>
          <w:i/>
          <w:w w:val="110"/>
          <w:sz w:val="20"/>
        </w:rPr>
        <w:t>the</w:t>
      </w:r>
      <w:r>
        <w:rPr>
          <w:i/>
          <w:spacing w:val="6"/>
          <w:w w:val="110"/>
          <w:sz w:val="20"/>
        </w:rPr>
        <w:t> </w:t>
      </w:r>
      <w:r>
        <w:rPr>
          <w:i/>
          <w:w w:val="110"/>
          <w:sz w:val="20"/>
        </w:rPr>
        <w:t>company</w:t>
      </w:r>
      <w:r>
        <w:rPr>
          <w:i/>
          <w:spacing w:val="7"/>
          <w:w w:val="110"/>
          <w:sz w:val="20"/>
        </w:rPr>
        <w:t> </w:t>
      </w:r>
      <w:r>
        <w:rPr>
          <w:i/>
          <w:w w:val="110"/>
          <w:sz w:val="20"/>
        </w:rPr>
        <w:t>secretary.)</w:t>
      </w:r>
    </w:p>
    <w:p>
      <w:pPr>
        <w:pStyle w:val="BodyText"/>
        <w:spacing w:line="235" w:lineRule="auto"/>
        <w:ind w:left="1785" w:right="6836"/>
      </w:pPr>
      <w:r>
        <w:rPr>
          <w:w w:val="120"/>
        </w:rPr>
        <w:t>Chair: Mr Richard Nunn Secretary: Ms Sandi Hallam-Jones Members of</w:t>
      </w:r>
      <w:r>
        <w:rPr>
          <w:spacing w:val="4"/>
          <w:w w:val="120"/>
        </w:rPr>
        <w:t> </w:t>
      </w:r>
      <w:r>
        <w:rPr>
          <w:w w:val="120"/>
        </w:rPr>
        <w:t>URC:</w:t>
      </w:r>
    </w:p>
    <w:p>
      <w:pPr>
        <w:pStyle w:val="BodyText"/>
        <w:spacing w:line="235" w:lineRule="auto"/>
        <w:ind w:left="1785" w:right="6841"/>
      </w:pPr>
      <w:r>
        <w:rPr>
          <w:w w:val="120"/>
        </w:rPr>
        <w:t>The Revd Roger Woodall [2016] Miss Margaret Atkinson [2017] Members of Fund:</w:t>
      </w:r>
    </w:p>
    <w:p>
      <w:pPr>
        <w:pStyle w:val="BodyText"/>
        <w:tabs>
          <w:tab w:pos="6105" w:val="left" w:leader="none"/>
        </w:tabs>
        <w:spacing w:line="235" w:lineRule="auto" w:before="1"/>
        <w:ind w:left="1785" w:right="2653"/>
      </w:pPr>
      <w:r>
        <w:rPr>
          <w:w w:val="120"/>
        </w:rPr>
        <w:t>The Revd David</w:t>
      </w:r>
      <w:r>
        <w:rPr>
          <w:spacing w:val="42"/>
          <w:w w:val="120"/>
        </w:rPr>
        <w:t> </w:t>
      </w:r>
      <w:r>
        <w:rPr>
          <w:w w:val="120"/>
        </w:rPr>
        <w:t>Bedford</w:t>
      </w:r>
      <w:r>
        <w:rPr>
          <w:spacing w:val="14"/>
          <w:w w:val="120"/>
        </w:rPr>
        <w:t> </w:t>
      </w:r>
      <w:r>
        <w:rPr>
          <w:spacing w:val="-9"/>
          <w:w w:val="120"/>
        </w:rPr>
        <w:t>[2013]</w:t>
        <w:tab/>
      </w:r>
      <w:r>
        <w:rPr>
          <w:w w:val="120"/>
        </w:rPr>
        <w:t>The Revd Duncan Wilson </w:t>
      </w:r>
      <w:r>
        <w:rPr>
          <w:spacing w:val="-8"/>
          <w:w w:val="120"/>
        </w:rPr>
        <w:t>[2014] </w:t>
      </w:r>
      <w:r>
        <w:rPr>
          <w:w w:val="120"/>
        </w:rPr>
        <w:t>The Revd Jacky</w:t>
      </w:r>
      <w:r>
        <w:rPr>
          <w:spacing w:val="26"/>
          <w:w w:val="120"/>
        </w:rPr>
        <w:t> </w:t>
      </w:r>
      <w:r>
        <w:rPr>
          <w:w w:val="120"/>
        </w:rPr>
        <w:t>Embrey</w:t>
      </w:r>
      <w:r>
        <w:rPr>
          <w:spacing w:val="9"/>
          <w:w w:val="120"/>
        </w:rPr>
        <w:t> </w:t>
      </w:r>
      <w:r>
        <w:rPr>
          <w:spacing w:val="-8"/>
          <w:w w:val="120"/>
        </w:rPr>
        <w:t>[2014]</w:t>
        <w:tab/>
      </w:r>
      <w:r>
        <w:rPr>
          <w:w w:val="120"/>
        </w:rPr>
        <w:t>The Revd Kate Gartside </w:t>
      </w:r>
      <w:r>
        <w:rPr>
          <w:spacing w:val="-8"/>
          <w:w w:val="120"/>
        </w:rPr>
        <w:t>[2015] </w:t>
      </w:r>
      <w:r>
        <w:rPr>
          <w:spacing w:val="-3"/>
          <w:w w:val="120"/>
        </w:rPr>
        <w:t>[</w:t>
      </w:r>
      <w:r>
        <w:rPr>
          <w:i/>
          <w:spacing w:val="-3"/>
          <w:w w:val="120"/>
        </w:rPr>
        <w:t>ex </w:t>
      </w:r>
      <w:r>
        <w:rPr>
          <w:i/>
          <w:w w:val="120"/>
        </w:rPr>
        <w:t>officio</w:t>
      </w:r>
      <w:r>
        <w:rPr>
          <w:w w:val="120"/>
        </w:rPr>
        <w:t>:</w:t>
      </w:r>
      <w:r>
        <w:rPr>
          <w:spacing w:val="-28"/>
          <w:w w:val="120"/>
        </w:rPr>
        <w:t> </w:t>
      </w:r>
      <w:r>
        <w:rPr>
          <w:spacing w:val="2"/>
          <w:w w:val="120"/>
        </w:rPr>
        <w:t>Honorary</w:t>
      </w:r>
      <w:r>
        <w:rPr>
          <w:spacing w:val="-15"/>
          <w:w w:val="120"/>
        </w:rPr>
        <w:t> </w:t>
      </w:r>
      <w:r>
        <w:rPr>
          <w:w w:val="120"/>
        </w:rPr>
        <w:t>Treasurer</w:t>
        <w:tab/>
      </w:r>
      <w:r>
        <w:rPr>
          <w:spacing w:val="-3"/>
          <w:w w:val="120"/>
        </w:rPr>
        <w:t>Convener, </w:t>
      </w:r>
      <w:r>
        <w:rPr>
          <w:w w:val="120"/>
        </w:rPr>
        <w:t>pensions executive </w:t>
      </w:r>
      <w:r>
        <w:rPr>
          <w:spacing w:val="-3"/>
          <w:w w:val="120"/>
        </w:rPr>
        <w:t>Convener, </w:t>
      </w:r>
      <w:r>
        <w:rPr>
          <w:w w:val="120"/>
        </w:rPr>
        <w:t>maintenance of ministry</w:t>
      </w:r>
      <w:r>
        <w:rPr>
          <w:spacing w:val="12"/>
          <w:w w:val="120"/>
        </w:rPr>
        <w:t> </w:t>
      </w:r>
      <w:r>
        <w:rPr>
          <w:w w:val="120"/>
        </w:rPr>
        <w:t>sub-committee]</w:t>
      </w:r>
    </w:p>
    <w:p>
      <w:pPr>
        <w:spacing w:line="243" w:lineRule="exact" w:before="0"/>
        <w:ind w:left="1785" w:right="0" w:firstLine="0"/>
        <w:jc w:val="left"/>
        <w:rPr>
          <w:sz w:val="20"/>
        </w:rPr>
      </w:pPr>
      <w:r>
        <w:rPr>
          <w:i/>
          <w:w w:val="120"/>
          <w:sz w:val="20"/>
        </w:rPr>
        <w:t>In attendance: </w:t>
      </w:r>
      <w:r>
        <w:rPr>
          <w:w w:val="120"/>
          <w:sz w:val="20"/>
        </w:rPr>
        <w:t>Convener, investment committee</w:t>
      </w:r>
    </w:p>
    <w:p>
      <w:pPr>
        <w:pStyle w:val="BodyText"/>
        <w:rPr>
          <w:sz w:val="19"/>
        </w:rPr>
      </w:pPr>
    </w:p>
    <w:p>
      <w:pPr>
        <w:pStyle w:val="ListParagraph"/>
        <w:numPr>
          <w:ilvl w:val="1"/>
          <w:numId w:val="84"/>
        </w:numPr>
        <w:tabs>
          <w:tab w:pos="2465" w:val="left" w:leader="none"/>
          <w:tab w:pos="2467" w:val="left" w:leader="none"/>
        </w:tabs>
        <w:spacing w:line="230" w:lineRule="auto" w:before="0" w:after="0"/>
        <w:ind w:left="1785" w:right="6937" w:firstLine="0"/>
        <w:jc w:val="left"/>
        <w:rPr>
          <w:sz w:val="20"/>
        </w:rPr>
      </w:pPr>
      <w:r>
        <w:rPr>
          <w:rFonts w:ascii="Stone Sans II ITC Std Bk"/>
          <w:b/>
          <w:w w:val="120"/>
          <w:sz w:val="20"/>
        </w:rPr>
        <w:t>Pensions executive </w:t>
      </w:r>
      <w:r>
        <w:rPr>
          <w:w w:val="120"/>
          <w:sz w:val="20"/>
        </w:rPr>
        <w:t>Convener: Dr Chris Evans </w:t>
      </w:r>
      <w:r>
        <w:rPr>
          <w:spacing w:val="-8"/>
          <w:w w:val="120"/>
          <w:sz w:val="20"/>
        </w:rPr>
        <w:t>[2017] </w:t>
      </w:r>
      <w:r>
        <w:rPr>
          <w:w w:val="120"/>
          <w:sz w:val="20"/>
        </w:rPr>
        <w:t>Secretary: Mr Rob</w:t>
      </w:r>
      <w:r>
        <w:rPr>
          <w:spacing w:val="2"/>
          <w:w w:val="120"/>
          <w:sz w:val="20"/>
        </w:rPr>
        <w:t> </w:t>
      </w:r>
      <w:r>
        <w:rPr>
          <w:w w:val="120"/>
          <w:sz w:val="20"/>
        </w:rPr>
        <w:t>Seaman</w:t>
      </w:r>
    </w:p>
    <w:p>
      <w:pPr>
        <w:pStyle w:val="BodyText"/>
        <w:tabs>
          <w:tab w:pos="6105" w:val="left" w:leader="none"/>
        </w:tabs>
        <w:spacing w:line="235" w:lineRule="auto"/>
        <w:ind w:left="1785" w:right="2753"/>
      </w:pPr>
      <w:r>
        <w:rPr>
          <w:w w:val="120"/>
        </w:rPr>
        <w:t>Members: Mrs Liz </w:t>
      </w:r>
      <w:r>
        <w:rPr>
          <w:spacing w:val="-4"/>
          <w:w w:val="120"/>
        </w:rPr>
        <w:t>Tadd </w:t>
      </w:r>
      <w:r>
        <w:rPr>
          <w:spacing w:val="12"/>
          <w:w w:val="120"/>
        </w:rPr>
        <w:t> </w:t>
      </w:r>
      <w:r>
        <w:rPr>
          <w:spacing w:val="-10"/>
          <w:w w:val="120"/>
        </w:rPr>
        <w:t>(12)</w:t>
      </w:r>
      <w:r>
        <w:rPr>
          <w:spacing w:val="16"/>
          <w:w w:val="120"/>
        </w:rPr>
        <w:t> </w:t>
      </w:r>
      <w:r>
        <w:rPr>
          <w:spacing w:val="-8"/>
          <w:w w:val="120"/>
        </w:rPr>
        <w:t>[2015]</w:t>
        <w:tab/>
      </w:r>
      <w:r>
        <w:rPr>
          <w:w w:val="120"/>
        </w:rPr>
        <w:t>Mr Steven Manders </w:t>
      </w:r>
      <w:r>
        <w:rPr>
          <w:spacing w:val="-12"/>
          <w:w w:val="120"/>
        </w:rPr>
        <w:t>(13) </w:t>
      </w:r>
      <w:r>
        <w:rPr>
          <w:spacing w:val="-7"/>
          <w:w w:val="120"/>
        </w:rPr>
        <w:t>[2016] </w:t>
      </w:r>
      <w:r>
        <w:rPr>
          <w:spacing w:val="-3"/>
          <w:w w:val="120"/>
        </w:rPr>
        <w:t>[</w:t>
      </w:r>
      <w:r>
        <w:rPr>
          <w:i/>
          <w:spacing w:val="-3"/>
          <w:w w:val="120"/>
        </w:rPr>
        <w:t>ex </w:t>
      </w:r>
      <w:r>
        <w:rPr>
          <w:i/>
          <w:w w:val="120"/>
        </w:rPr>
        <w:t>officio</w:t>
      </w:r>
      <w:r>
        <w:rPr>
          <w:w w:val="120"/>
        </w:rPr>
        <w:t>: </w:t>
      </w:r>
      <w:r>
        <w:rPr>
          <w:spacing w:val="-3"/>
          <w:w w:val="120"/>
        </w:rPr>
        <w:t>Convener, </w:t>
      </w:r>
      <w:r>
        <w:rPr>
          <w:w w:val="120"/>
        </w:rPr>
        <w:t>maintenance of ministry</w:t>
      </w:r>
      <w:r>
        <w:rPr>
          <w:spacing w:val="8"/>
          <w:w w:val="120"/>
        </w:rPr>
        <w:t> </w:t>
      </w:r>
      <w:r>
        <w:rPr>
          <w:w w:val="120"/>
        </w:rPr>
        <w:t>sub-committee;</w:t>
      </w:r>
    </w:p>
    <w:p>
      <w:pPr>
        <w:pStyle w:val="BodyText"/>
        <w:tabs>
          <w:tab w:pos="6162" w:val="left" w:leader="none"/>
        </w:tabs>
        <w:spacing w:line="240" w:lineRule="exact"/>
        <w:ind w:left="1785"/>
      </w:pPr>
      <w:r>
        <w:rPr>
          <w:spacing w:val="-3"/>
          <w:w w:val="120"/>
        </w:rPr>
        <w:t>Convener,</w:t>
      </w:r>
      <w:r>
        <w:rPr>
          <w:spacing w:val="7"/>
          <w:w w:val="120"/>
        </w:rPr>
        <w:t> </w:t>
      </w:r>
      <w:r>
        <w:rPr>
          <w:w w:val="120"/>
        </w:rPr>
        <w:t>investment</w:t>
      </w:r>
      <w:r>
        <w:rPr>
          <w:spacing w:val="7"/>
          <w:w w:val="120"/>
        </w:rPr>
        <w:t> </w:t>
      </w:r>
      <w:r>
        <w:rPr>
          <w:w w:val="120"/>
        </w:rPr>
        <w:t>committee,</w:t>
        <w:tab/>
      </w:r>
      <w:r>
        <w:rPr>
          <w:spacing w:val="2"/>
          <w:w w:val="120"/>
        </w:rPr>
        <w:t>Honorary </w:t>
      </w:r>
      <w:r>
        <w:rPr>
          <w:w w:val="120"/>
        </w:rPr>
        <w:t>treasurer]</w:t>
      </w:r>
    </w:p>
    <w:p>
      <w:pPr>
        <w:spacing w:line="235" w:lineRule="auto" w:before="2"/>
        <w:ind w:left="1785" w:right="1352" w:firstLine="0"/>
        <w:jc w:val="left"/>
        <w:rPr>
          <w:i/>
          <w:sz w:val="20"/>
        </w:rPr>
      </w:pPr>
      <w:r>
        <w:rPr>
          <w:i/>
          <w:w w:val="110"/>
          <w:sz w:val="20"/>
        </w:rPr>
        <w:t>(The pensions executive reports to the United Reformed Church Ministers’ Pensions Trust Board, </w:t>
      </w:r>
      <w:r>
        <w:rPr>
          <w:i/>
          <w:w w:val="110"/>
          <w:sz w:val="20"/>
        </w:rPr>
        <w:t>the maintenance of ministry sub-committee and to the finance committee.)</w:t>
      </w:r>
    </w:p>
    <w:p>
      <w:pPr>
        <w:pStyle w:val="BodyText"/>
        <w:spacing w:before="1"/>
        <w:rPr>
          <w:i/>
          <w:sz w:val="19"/>
        </w:rPr>
      </w:pPr>
    </w:p>
    <w:p>
      <w:pPr>
        <w:pStyle w:val="ListParagraph"/>
        <w:numPr>
          <w:ilvl w:val="1"/>
          <w:numId w:val="84"/>
        </w:numPr>
        <w:tabs>
          <w:tab w:pos="2465" w:val="left" w:leader="none"/>
          <w:tab w:pos="2467" w:val="left" w:leader="none"/>
        </w:tabs>
        <w:spacing w:line="230" w:lineRule="auto" w:before="0" w:after="0"/>
        <w:ind w:left="1785" w:right="6725" w:firstLine="0"/>
        <w:jc w:val="left"/>
        <w:rPr>
          <w:sz w:val="20"/>
        </w:rPr>
      </w:pPr>
      <w:r>
        <w:rPr>
          <w:rFonts w:ascii="Stone Sans II ITC Std Bk"/>
          <w:b/>
          <w:w w:val="115"/>
          <w:sz w:val="20"/>
        </w:rPr>
        <w:t>Investment committee </w:t>
      </w:r>
      <w:r>
        <w:rPr>
          <w:w w:val="115"/>
          <w:sz w:val="20"/>
        </w:rPr>
        <w:t>Convener: Mr David Martin </w:t>
      </w:r>
      <w:r>
        <w:rPr>
          <w:spacing w:val="-8"/>
          <w:w w:val="115"/>
          <w:sz w:val="20"/>
        </w:rPr>
        <w:t>[2018] </w:t>
      </w:r>
      <w:r>
        <w:rPr>
          <w:w w:val="115"/>
          <w:sz w:val="20"/>
        </w:rPr>
        <w:t>Secretary: Ms Sandi</w:t>
      </w:r>
      <w:r>
        <w:rPr>
          <w:spacing w:val="-27"/>
          <w:w w:val="115"/>
          <w:sz w:val="20"/>
        </w:rPr>
        <w:t> </w:t>
      </w:r>
      <w:r>
        <w:rPr>
          <w:w w:val="115"/>
          <w:sz w:val="20"/>
        </w:rPr>
        <w:t>Hallam-Jones</w:t>
      </w:r>
    </w:p>
    <w:p>
      <w:pPr>
        <w:pStyle w:val="BodyText"/>
        <w:tabs>
          <w:tab w:pos="6105" w:val="left" w:leader="none"/>
        </w:tabs>
        <w:spacing w:line="238" w:lineRule="exact"/>
        <w:ind w:left="1785"/>
        <w:jc w:val="both"/>
      </w:pPr>
      <w:r>
        <w:rPr>
          <w:w w:val="120"/>
        </w:rPr>
        <w:t>Members: Mr Andrew</w:t>
      </w:r>
      <w:r>
        <w:rPr>
          <w:spacing w:val="14"/>
          <w:w w:val="120"/>
        </w:rPr>
        <w:t> </w:t>
      </w:r>
      <w:r>
        <w:rPr>
          <w:w w:val="120"/>
        </w:rPr>
        <w:t>Perkins</w:t>
      </w:r>
      <w:r>
        <w:rPr>
          <w:spacing w:val="4"/>
          <w:w w:val="120"/>
        </w:rPr>
        <w:t> </w:t>
      </w:r>
      <w:r>
        <w:rPr>
          <w:spacing w:val="-8"/>
          <w:w w:val="120"/>
        </w:rPr>
        <w:t>[2017]</w:t>
        <w:tab/>
      </w:r>
      <w:r>
        <w:rPr>
          <w:w w:val="120"/>
        </w:rPr>
        <w:t>Mr Brian Hosier</w:t>
      </w:r>
      <w:r>
        <w:rPr>
          <w:spacing w:val="8"/>
          <w:w w:val="120"/>
        </w:rPr>
        <w:t> </w:t>
      </w:r>
      <w:r>
        <w:rPr>
          <w:spacing w:val="-8"/>
          <w:w w:val="120"/>
        </w:rPr>
        <w:t>[2015]</w:t>
      </w:r>
    </w:p>
    <w:p>
      <w:pPr>
        <w:pStyle w:val="BodyText"/>
        <w:tabs>
          <w:tab w:pos="6105" w:val="left" w:leader="none"/>
        </w:tabs>
        <w:spacing w:line="235" w:lineRule="auto" w:before="2"/>
        <w:ind w:left="1785" w:right="2863"/>
        <w:jc w:val="both"/>
      </w:pPr>
      <w:r>
        <w:rPr>
          <w:w w:val="120"/>
        </w:rPr>
        <w:t>The Revd Dick</w:t>
      </w:r>
      <w:r>
        <w:rPr>
          <w:spacing w:val="42"/>
          <w:w w:val="120"/>
        </w:rPr>
        <w:t> </w:t>
      </w:r>
      <w:r>
        <w:rPr>
          <w:w w:val="120"/>
        </w:rPr>
        <w:t>Gray</w:t>
      </w:r>
      <w:r>
        <w:rPr>
          <w:spacing w:val="14"/>
          <w:w w:val="120"/>
        </w:rPr>
        <w:t> </w:t>
      </w:r>
      <w:r>
        <w:rPr>
          <w:spacing w:val="-7"/>
          <w:w w:val="120"/>
        </w:rPr>
        <w:t>[2016]</w:t>
        <w:tab/>
      </w:r>
      <w:r>
        <w:rPr>
          <w:w w:val="120"/>
        </w:rPr>
        <w:t>The Revd Julian Macro </w:t>
      </w:r>
      <w:r>
        <w:rPr>
          <w:spacing w:val="-7"/>
          <w:w w:val="120"/>
        </w:rPr>
        <w:t>[2016] </w:t>
      </w:r>
      <w:r>
        <w:rPr>
          <w:spacing w:val="-3"/>
          <w:w w:val="120"/>
        </w:rPr>
        <w:t>[</w:t>
      </w:r>
      <w:r>
        <w:rPr>
          <w:i/>
          <w:spacing w:val="-3"/>
          <w:w w:val="120"/>
        </w:rPr>
        <w:t>ex </w:t>
      </w:r>
      <w:r>
        <w:rPr>
          <w:i/>
          <w:w w:val="120"/>
        </w:rPr>
        <w:t>officio:</w:t>
      </w:r>
      <w:r>
        <w:rPr>
          <w:i/>
          <w:spacing w:val="-31"/>
          <w:w w:val="120"/>
        </w:rPr>
        <w:t> </w:t>
      </w:r>
      <w:r>
        <w:rPr>
          <w:spacing w:val="2"/>
          <w:w w:val="120"/>
        </w:rPr>
        <w:t>Honorary</w:t>
      </w:r>
      <w:r>
        <w:rPr>
          <w:spacing w:val="-15"/>
          <w:w w:val="120"/>
        </w:rPr>
        <w:t> </w:t>
      </w:r>
      <w:r>
        <w:rPr>
          <w:w w:val="120"/>
        </w:rPr>
        <w:t>treasurer</w:t>
        <w:tab/>
      </w:r>
      <w:r>
        <w:rPr>
          <w:spacing w:val="-3"/>
          <w:w w:val="120"/>
        </w:rPr>
        <w:t>Convener, </w:t>
      </w:r>
      <w:r>
        <w:rPr>
          <w:w w:val="120"/>
        </w:rPr>
        <w:t>pensions executive Chair of United Reformed Church trust or another</w:t>
      </w:r>
      <w:r>
        <w:rPr>
          <w:spacing w:val="20"/>
          <w:w w:val="120"/>
        </w:rPr>
        <w:t> </w:t>
      </w:r>
      <w:r>
        <w:rPr>
          <w:w w:val="120"/>
        </w:rPr>
        <w:t>director</w:t>
      </w:r>
    </w:p>
    <w:p>
      <w:pPr>
        <w:pStyle w:val="BodyText"/>
        <w:spacing w:line="235" w:lineRule="auto" w:before="2"/>
        <w:ind w:left="1785" w:right="2485"/>
        <w:jc w:val="both"/>
      </w:pPr>
      <w:r>
        <w:rPr>
          <w:w w:val="120"/>
        </w:rPr>
        <w:t>Chair of United Reformed Church ministers’ pension Trust or another director Treasurer, Westminster College] </w:t>
      </w:r>
      <w:r>
        <w:rPr>
          <w:i/>
          <w:w w:val="120"/>
        </w:rPr>
        <w:t>In attendance: </w:t>
      </w:r>
      <w:r>
        <w:rPr>
          <w:w w:val="120"/>
        </w:rPr>
        <w:t>Chief finance officer</w:t>
      </w:r>
    </w:p>
    <w:p>
      <w:pPr>
        <w:spacing w:after="0" w:line="235" w:lineRule="auto"/>
        <w:jc w:val="both"/>
        <w:sectPr>
          <w:type w:val="continuous"/>
          <w:pgSz w:w="11910" w:h="16840"/>
          <w:pgMar w:top="680" w:bottom="280" w:left="0" w:right="0"/>
        </w:sectPr>
      </w:pPr>
    </w:p>
    <w:p>
      <w:pPr>
        <w:pStyle w:val="BodyText"/>
      </w:pPr>
      <w:r>
        <w:rPr/>
        <w:drawing>
          <wp:anchor distT="0" distB="0" distL="0" distR="0" allowOverlap="1" layoutInCell="1" locked="0" behindDoc="0" simplePos="0" relativeHeight="252048384">
            <wp:simplePos x="0" y="0"/>
            <wp:positionH relativeFrom="page">
              <wp:posOffset>0</wp:posOffset>
            </wp:positionH>
            <wp:positionV relativeFrom="page">
              <wp:posOffset>0</wp:posOffset>
            </wp:positionV>
            <wp:extent cx="594067" cy="10692003"/>
            <wp:effectExtent l="0" t="0" r="0" b="0"/>
            <wp:wrapNone/>
            <wp:docPr id="275" name="image28.png"/>
            <wp:cNvGraphicFramePr>
              <a:graphicFrameLocks noChangeAspect="1"/>
            </wp:cNvGraphicFramePr>
            <a:graphic>
              <a:graphicData uri="http://schemas.openxmlformats.org/drawingml/2006/picture">
                <pic:pic>
                  <pic:nvPicPr>
                    <pic:cNvPr id="276" name="image28.png"/>
                    <pic:cNvPicPr/>
                  </pic:nvPicPr>
                  <pic:blipFill>
                    <a:blip r:embed="rId198"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shape style="position:absolute;margin-left:20.519100pt;margin-top:22.593945pt;width:25.9pt;height:131.3pt;mso-position-horizontal-relative:page;mso-position-vertical-relative:paragraph;z-index:252049408" type="#_x0000_t202" filled="false" stroked="false">
            <v:textbox inset="0,0,0,0" style="layout-flow:vertical">
              <w:txbxContent>
                <w:p>
                  <w:pPr>
                    <w:spacing w:before="27"/>
                    <w:ind w:left="20" w:right="0" w:firstLine="0"/>
                    <w:jc w:val="left"/>
                    <w:rPr>
                      <w:sz w:val="39"/>
                    </w:rPr>
                  </w:pPr>
                  <w:r>
                    <w:rPr>
                      <w:color w:val="FFFFFF"/>
                      <w:w w:val="120"/>
                      <w:sz w:val="39"/>
                    </w:rPr>
                    <w:t>Nominations</w:t>
                  </w:r>
                </w:p>
              </w:txbxContent>
            </v:textbox>
            <w10:wrap type="none"/>
          </v:shape>
        </w:pict>
      </w:r>
      <w:r>
        <w:rPr>
          <w:color w:val="7EAABF"/>
          <w:w w:val="115"/>
        </w:rPr>
        <w:t>Nominations</w:t>
      </w:r>
    </w:p>
    <w:p>
      <w:pPr>
        <w:pStyle w:val="ListParagraph"/>
        <w:numPr>
          <w:ilvl w:val="0"/>
          <w:numId w:val="82"/>
        </w:numPr>
        <w:tabs>
          <w:tab w:pos="1927" w:val="left" w:leader="none"/>
          <w:tab w:pos="1928" w:val="left" w:leader="none"/>
        </w:tabs>
        <w:spacing w:line="240" w:lineRule="auto" w:before="215" w:after="0"/>
        <w:ind w:left="1927" w:right="0" w:hanging="681"/>
        <w:jc w:val="left"/>
        <w:rPr>
          <w:rFonts w:ascii="Stone Sans II ITC Std Bk"/>
          <w:b/>
          <w:sz w:val="29"/>
        </w:rPr>
      </w:pPr>
      <w:r>
        <w:rPr>
          <w:rFonts w:ascii="Stone Sans II ITC Std Bk"/>
          <w:b/>
          <w:spacing w:val="3"/>
          <w:w w:val="110"/>
          <w:sz w:val="29"/>
        </w:rPr>
        <w:t>Representatives </w:t>
      </w:r>
      <w:r>
        <w:rPr>
          <w:rFonts w:ascii="Stone Sans II ITC Std Bk"/>
          <w:b/>
          <w:w w:val="110"/>
          <w:sz w:val="29"/>
        </w:rPr>
        <w:t>to </w:t>
      </w:r>
      <w:r>
        <w:rPr>
          <w:rFonts w:ascii="Stone Sans II ITC Std Bk"/>
          <w:b/>
          <w:spacing w:val="3"/>
          <w:w w:val="110"/>
          <w:sz w:val="29"/>
        </w:rPr>
        <w:t>meetings </w:t>
      </w:r>
      <w:r>
        <w:rPr>
          <w:rFonts w:ascii="Stone Sans II ITC Std Bk"/>
          <w:b/>
          <w:w w:val="110"/>
          <w:sz w:val="29"/>
        </w:rPr>
        <w:t>of </w:t>
      </w:r>
      <w:r>
        <w:rPr>
          <w:rFonts w:ascii="Stone Sans II ITC Std Bk"/>
          <w:b/>
          <w:spacing w:val="2"/>
          <w:w w:val="110"/>
          <w:sz w:val="29"/>
        </w:rPr>
        <w:t>sister</w:t>
      </w:r>
      <w:r>
        <w:rPr>
          <w:rFonts w:ascii="Stone Sans II ITC Std Bk"/>
          <w:b/>
          <w:spacing w:val="63"/>
          <w:w w:val="110"/>
          <w:sz w:val="29"/>
        </w:rPr>
        <w:t> </w:t>
      </w:r>
      <w:r>
        <w:rPr>
          <w:rFonts w:ascii="Stone Sans II ITC Std Bk"/>
          <w:b/>
          <w:spacing w:val="3"/>
          <w:w w:val="110"/>
          <w:sz w:val="29"/>
        </w:rPr>
        <w:t>churches</w:t>
      </w:r>
    </w:p>
    <w:p>
      <w:pPr>
        <w:pStyle w:val="ListParagraph"/>
        <w:numPr>
          <w:ilvl w:val="1"/>
          <w:numId w:val="82"/>
        </w:numPr>
        <w:tabs>
          <w:tab w:pos="1927" w:val="left" w:leader="none"/>
          <w:tab w:pos="1928" w:val="left" w:leader="none"/>
        </w:tabs>
        <w:spacing w:line="255" w:lineRule="exact" w:before="53" w:after="0"/>
        <w:ind w:left="1927" w:right="0" w:hanging="681"/>
        <w:jc w:val="left"/>
        <w:rPr>
          <w:rFonts w:ascii="Stone Sans II ITC Std Bk"/>
          <w:sz w:val="20"/>
        </w:rPr>
      </w:pPr>
      <w:r>
        <w:rPr>
          <w:w w:val="120"/>
          <w:sz w:val="20"/>
        </w:rPr>
        <w:t>Presbyterian Church in</w:t>
      </w:r>
      <w:r>
        <w:rPr>
          <w:spacing w:val="6"/>
          <w:w w:val="120"/>
          <w:sz w:val="20"/>
        </w:rPr>
        <w:t> </w:t>
      </w:r>
      <w:r>
        <w:rPr>
          <w:w w:val="120"/>
          <w:sz w:val="20"/>
        </w:rPr>
        <w:t>Ireland</w:t>
      </w:r>
    </w:p>
    <w:p>
      <w:pPr>
        <w:pStyle w:val="ListParagraph"/>
        <w:numPr>
          <w:ilvl w:val="1"/>
          <w:numId w:val="82"/>
        </w:numPr>
        <w:tabs>
          <w:tab w:pos="1927" w:val="left" w:leader="none"/>
          <w:tab w:pos="1928" w:val="left" w:leader="none"/>
          <w:tab w:pos="6287" w:val="left" w:leader="none"/>
        </w:tabs>
        <w:spacing w:line="240" w:lineRule="exact" w:before="0" w:after="0"/>
        <w:ind w:left="1927" w:right="0" w:hanging="681"/>
        <w:jc w:val="left"/>
        <w:rPr>
          <w:rFonts w:ascii="Stone Sans II ITC Std Bk"/>
          <w:sz w:val="20"/>
        </w:rPr>
      </w:pPr>
      <w:r>
        <w:rPr>
          <w:w w:val="120"/>
          <w:sz w:val="20"/>
        </w:rPr>
        <w:t>General Synod of Church</w:t>
      </w:r>
      <w:r>
        <w:rPr>
          <w:spacing w:val="52"/>
          <w:w w:val="120"/>
          <w:sz w:val="20"/>
        </w:rPr>
        <w:t> </w:t>
      </w:r>
      <w:r>
        <w:rPr>
          <w:w w:val="120"/>
          <w:sz w:val="20"/>
        </w:rPr>
        <w:t>of</w:t>
      </w:r>
      <w:r>
        <w:rPr>
          <w:spacing w:val="14"/>
          <w:w w:val="120"/>
          <w:sz w:val="20"/>
        </w:rPr>
        <w:t> </w:t>
      </w:r>
      <w:r>
        <w:rPr>
          <w:w w:val="120"/>
          <w:sz w:val="20"/>
        </w:rPr>
        <w:t>England</w:t>
        <w:tab/>
        <w:t>The Revd Graham Maskery</w:t>
      </w:r>
      <w:r>
        <w:rPr>
          <w:spacing w:val="10"/>
          <w:w w:val="120"/>
          <w:sz w:val="20"/>
        </w:rPr>
        <w:t> </w:t>
      </w:r>
      <w:r>
        <w:rPr>
          <w:spacing w:val="-7"/>
          <w:w w:val="120"/>
          <w:sz w:val="20"/>
        </w:rPr>
        <w:t>[2016]</w:t>
      </w:r>
    </w:p>
    <w:p>
      <w:pPr>
        <w:pStyle w:val="ListParagraph"/>
        <w:numPr>
          <w:ilvl w:val="1"/>
          <w:numId w:val="82"/>
        </w:numPr>
        <w:tabs>
          <w:tab w:pos="1927" w:val="left" w:leader="none"/>
          <w:tab w:pos="1928" w:val="left" w:leader="none"/>
          <w:tab w:pos="6286" w:val="left" w:leader="none"/>
        </w:tabs>
        <w:spacing w:line="240" w:lineRule="exact" w:before="0" w:after="0"/>
        <w:ind w:left="1927" w:right="0" w:hanging="681"/>
        <w:jc w:val="left"/>
        <w:rPr>
          <w:rFonts w:ascii="Stone Sans II ITC Std Bk"/>
          <w:sz w:val="20"/>
        </w:rPr>
      </w:pPr>
      <w:r>
        <w:rPr>
          <w:w w:val="120"/>
          <w:sz w:val="20"/>
        </w:rPr>
        <w:t>Methodist</w:t>
      </w:r>
      <w:r>
        <w:rPr>
          <w:spacing w:val="2"/>
          <w:w w:val="120"/>
          <w:sz w:val="20"/>
        </w:rPr>
        <w:t> </w:t>
      </w:r>
      <w:r>
        <w:rPr>
          <w:w w:val="120"/>
          <w:sz w:val="20"/>
        </w:rPr>
        <w:t>Conference</w:t>
        <w:tab/>
        <w:t>Secretary for Ecumenical</w:t>
      </w:r>
      <w:r>
        <w:rPr>
          <w:spacing w:val="5"/>
          <w:w w:val="120"/>
          <w:sz w:val="20"/>
        </w:rPr>
        <w:t> </w:t>
      </w:r>
      <w:r>
        <w:rPr>
          <w:w w:val="120"/>
          <w:sz w:val="20"/>
        </w:rPr>
        <w:t>Relations</w:t>
      </w:r>
    </w:p>
    <w:p>
      <w:pPr>
        <w:pStyle w:val="ListParagraph"/>
        <w:numPr>
          <w:ilvl w:val="1"/>
          <w:numId w:val="82"/>
        </w:numPr>
        <w:tabs>
          <w:tab w:pos="1927" w:val="left" w:leader="none"/>
          <w:tab w:pos="1928" w:val="left" w:leader="none"/>
          <w:tab w:pos="6287" w:val="left" w:leader="none"/>
        </w:tabs>
        <w:spacing w:line="240" w:lineRule="exact" w:before="0" w:after="0"/>
        <w:ind w:left="1927" w:right="0" w:hanging="681"/>
        <w:jc w:val="left"/>
        <w:rPr>
          <w:rFonts w:ascii="Stone Sans II ITC Std Bk"/>
          <w:sz w:val="20"/>
        </w:rPr>
      </w:pPr>
      <w:r>
        <w:rPr>
          <w:w w:val="120"/>
          <w:sz w:val="20"/>
        </w:rPr>
        <w:t>Congregational</w:t>
      </w:r>
      <w:r>
        <w:rPr>
          <w:spacing w:val="30"/>
          <w:w w:val="120"/>
          <w:sz w:val="20"/>
        </w:rPr>
        <w:t> </w:t>
      </w:r>
      <w:r>
        <w:rPr>
          <w:w w:val="120"/>
          <w:sz w:val="20"/>
        </w:rPr>
        <w:t>Federation</w:t>
        <w:tab/>
        <w:t>Secretary for Ecumenical</w:t>
      </w:r>
      <w:r>
        <w:rPr>
          <w:spacing w:val="4"/>
          <w:w w:val="120"/>
          <w:sz w:val="20"/>
        </w:rPr>
        <w:t> </w:t>
      </w:r>
      <w:r>
        <w:rPr>
          <w:w w:val="120"/>
          <w:sz w:val="20"/>
        </w:rPr>
        <w:t>Relations</w:t>
      </w:r>
    </w:p>
    <w:p>
      <w:pPr>
        <w:pStyle w:val="ListParagraph"/>
        <w:numPr>
          <w:ilvl w:val="1"/>
          <w:numId w:val="82"/>
        </w:numPr>
        <w:tabs>
          <w:tab w:pos="1927" w:val="left" w:leader="none"/>
          <w:tab w:pos="1928" w:val="left" w:leader="none"/>
        </w:tabs>
        <w:spacing w:line="246" w:lineRule="exact" w:before="0" w:after="0"/>
        <w:ind w:left="1927" w:right="0" w:hanging="681"/>
        <w:jc w:val="left"/>
        <w:rPr>
          <w:rFonts w:ascii="Stone Sans II ITC Std Bk"/>
          <w:sz w:val="20"/>
        </w:rPr>
      </w:pPr>
      <w:r>
        <w:rPr>
          <w:w w:val="120"/>
          <w:sz w:val="20"/>
        </w:rPr>
        <w:t>General Assembly of Church of Scotland </w:t>
      </w:r>
      <w:r>
        <w:rPr>
          <w:spacing w:val="-4"/>
          <w:w w:val="120"/>
          <w:sz w:val="20"/>
        </w:rPr>
        <w:t>[note</w:t>
      </w:r>
      <w:r>
        <w:rPr>
          <w:spacing w:val="18"/>
          <w:w w:val="120"/>
          <w:sz w:val="20"/>
        </w:rPr>
        <w:t> </w:t>
      </w:r>
      <w:r>
        <w:rPr>
          <w:w w:val="120"/>
          <w:sz w:val="20"/>
        </w:rPr>
        <w:t>7]</w:t>
      </w:r>
    </w:p>
    <w:p>
      <w:pPr>
        <w:pStyle w:val="BodyText"/>
        <w:spacing w:line="235" w:lineRule="auto"/>
        <w:ind w:left="6287" w:right="2412" w:hanging="1"/>
      </w:pPr>
      <w:r>
        <w:rPr>
          <w:w w:val="120"/>
        </w:rPr>
        <w:t>Mr John Ellis, Revd Nigel Uden, The Revd Mitchell Bunting</w:t>
      </w:r>
    </w:p>
    <w:p>
      <w:pPr>
        <w:pStyle w:val="ListParagraph"/>
        <w:numPr>
          <w:ilvl w:val="1"/>
          <w:numId w:val="82"/>
        </w:numPr>
        <w:tabs>
          <w:tab w:pos="1927" w:val="left" w:leader="none"/>
          <w:tab w:pos="1928" w:val="left" w:leader="none"/>
          <w:tab w:pos="6287" w:val="left" w:leader="none"/>
        </w:tabs>
        <w:spacing w:line="240" w:lineRule="exact" w:before="0" w:after="0"/>
        <w:ind w:left="1927" w:right="0" w:hanging="681"/>
        <w:jc w:val="left"/>
        <w:rPr>
          <w:rFonts w:ascii="Stone Sans II ITC Std Bk"/>
          <w:sz w:val="20"/>
        </w:rPr>
      </w:pPr>
      <w:r>
        <w:rPr>
          <w:w w:val="120"/>
          <w:sz w:val="20"/>
        </w:rPr>
        <w:t>United Free Church of Scotland</w:t>
      </w:r>
      <w:r>
        <w:rPr>
          <w:spacing w:val="45"/>
          <w:w w:val="120"/>
          <w:sz w:val="20"/>
        </w:rPr>
        <w:t> </w:t>
      </w:r>
      <w:r>
        <w:rPr>
          <w:spacing w:val="-4"/>
          <w:w w:val="120"/>
          <w:sz w:val="20"/>
        </w:rPr>
        <w:t>[note</w:t>
      </w:r>
      <w:r>
        <w:rPr>
          <w:spacing w:val="9"/>
          <w:w w:val="120"/>
          <w:sz w:val="20"/>
        </w:rPr>
        <w:t> </w:t>
      </w:r>
      <w:r>
        <w:rPr>
          <w:w w:val="120"/>
          <w:sz w:val="20"/>
        </w:rPr>
        <w:t>7]</w:t>
        <w:tab/>
        <w:t>The Revd Mitchell</w:t>
      </w:r>
      <w:r>
        <w:rPr>
          <w:spacing w:val="7"/>
          <w:w w:val="120"/>
          <w:sz w:val="20"/>
        </w:rPr>
        <w:t> </w:t>
      </w:r>
      <w:r>
        <w:rPr>
          <w:w w:val="120"/>
          <w:sz w:val="20"/>
        </w:rPr>
        <w:t>Bunting</w:t>
      </w:r>
    </w:p>
    <w:p>
      <w:pPr>
        <w:pStyle w:val="ListParagraph"/>
        <w:numPr>
          <w:ilvl w:val="1"/>
          <w:numId w:val="82"/>
        </w:numPr>
        <w:tabs>
          <w:tab w:pos="1927" w:val="left" w:leader="none"/>
          <w:tab w:pos="1928" w:val="left" w:leader="none"/>
        </w:tabs>
        <w:spacing w:line="246" w:lineRule="exact" w:before="0" w:after="0"/>
        <w:ind w:left="1927" w:right="0" w:hanging="681"/>
        <w:jc w:val="left"/>
        <w:rPr>
          <w:rFonts w:ascii="Stone Sans II ITC Std Bk"/>
          <w:sz w:val="20"/>
        </w:rPr>
      </w:pPr>
      <w:r>
        <w:rPr>
          <w:w w:val="125"/>
          <w:sz w:val="20"/>
        </w:rPr>
        <w:t>Scottish Assembly of the Congregational Federation </w:t>
      </w:r>
      <w:r>
        <w:rPr>
          <w:spacing w:val="-4"/>
          <w:w w:val="125"/>
          <w:sz w:val="20"/>
        </w:rPr>
        <w:t>[note</w:t>
      </w:r>
      <w:r>
        <w:rPr>
          <w:spacing w:val="-16"/>
          <w:w w:val="125"/>
          <w:sz w:val="20"/>
        </w:rPr>
        <w:t> </w:t>
      </w:r>
      <w:r>
        <w:rPr>
          <w:w w:val="125"/>
          <w:sz w:val="20"/>
        </w:rPr>
        <w:t>7]</w:t>
      </w:r>
    </w:p>
    <w:p>
      <w:pPr>
        <w:pStyle w:val="BodyText"/>
        <w:spacing w:line="227" w:lineRule="exact"/>
        <w:ind w:left="6287"/>
      </w:pPr>
      <w:r>
        <w:rPr>
          <w:w w:val="120"/>
        </w:rPr>
        <w:t>The Revd Mitchell Bunting</w:t>
      </w:r>
    </w:p>
    <w:p>
      <w:pPr>
        <w:pStyle w:val="ListParagraph"/>
        <w:numPr>
          <w:ilvl w:val="1"/>
          <w:numId w:val="82"/>
        </w:numPr>
        <w:tabs>
          <w:tab w:pos="1927" w:val="left" w:leader="none"/>
          <w:tab w:pos="1928" w:val="left" w:leader="none"/>
          <w:tab w:pos="6287" w:val="left" w:leader="none"/>
        </w:tabs>
        <w:spacing w:line="247" w:lineRule="exact" w:before="0" w:after="0"/>
        <w:ind w:left="1927" w:right="0" w:hanging="681"/>
        <w:jc w:val="left"/>
        <w:rPr>
          <w:rFonts w:ascii="Stone Sans II ITC Std Bk"/>
          <w:sz w:val="20"/>
        </w:rPr>
      </w:pPr>
      <w:r>
        <w:rPr>
          <w:w w:val="120"/>
          <w:sz w:val="20"/>
        </w:rPr>
        <w:t>Scottish Episcopal Church</w:t>
      </w:r>
      <w:r>
        <w:rPr>
          <w:spacing w:val="48"/>
          <w:w w:val="120"/>
          <w:sz w:val="20"/>
        </w:rPr>
        <w:t> </w:t>
      </w:r>
      <w:r>
        <w:rPr>
          <w:spacing w:val="-4"/>
          <w:w w:val="120"/>
          <w:sz w:val="20"/>
        </w:rPr>
        <w:t>[note</w:t>
      </w:r>
      <w:r>
        <w:rPr>
          <w:spacing w:val="17"/>
          <w:w w:val="120"/>
          <w:sz w:val="20"/>
        </w:rPr>
        <w:t> </w:t>
      </w:r>
      <w:r>
        <w:rPr>
          <w:w w:val="120"/>
          <w:sz w:val="20"/>
        </w:rPr>
        <w:t>7]</w:t>
        <w:tab/>
        <w:t>The Revd John</w:t>
      </w:r>
      <w:r>
        <w:rPr>
          <w:spacing w:val="6"/>
          <w:w w:val="120"/>
          <w:sz w:val="20"/>
        </w:rPr>
        <w:t> </w:t>
      </w:r>
      <w:r>
        <w:rPr>
          <w:w w:val="120"/>
          <w:sz w:val="20"/>
        </w:rPr>
        <w:t>Humphreys</w:t>
      </w:r>
    </w:p>
    <w:p>
      <w:pPr>
        <w:pStyle w:val="ListParagraph"/>
        <w:numPr>
          <w:ilvl w:val="1"/>
          <w:numId w:val="82"/>
        </w:numPr>
        <w:tabs>
          <w:tab w:pos="1927" w:val="left" w:leader="none"/>
          <w:tab w:pos="1928" w:val="left" w:leader="none"/>
          <w:tab w:pos="6287" w:val="left" w:leader="none"/>
        </w:tabs>
        <w:spacing w:line="240" w:lineRule="exact" w:before="0" w:after="0"/>
        <w:ind w:left="1927" w:right="0" w:hanging="681"/>
        <w:jc w:val="left"/>
        <w:rPr>
          <w:rFonts w:ascii="Stone Sans II ITC Std Bk"/>
          <w:sz w:val="20"/>
        </w:rPr>
      </w:pPr>
      <w:r>
        <w:rPr>
          <w:w w:val="120"/>
          <w:sz w:val="20"/>
        </w:rPr>
        <w:t>Methodist Church in Scotland </w:t>
      </w:r>
      <w:r>
        <w:rPr>
          <w:spacing w:val="1"/>
          <w:w w:val="120"/>
          <w:sz w:val="20"/>
        </w:rPr>
        <w:t> </w:t>
      </w:r>
      <w:r>
        <w:rPr>
          <w:spacing w:val="-4"/>
          <w:w w:val="120"/>
          <w:sz w:val="20"/>
        </w:rPr>
        <w:t>[note</w:t>
      </w:r>
      <w:r>
        <w:rPr>
          <w:spacing w:val="14"/>
          <w:w w:val="120"/>
          <w:sz w:val="20"/>
        </w:rPr>
        <w:t> </w:t>
      </w:r>
      <w:r>
        <w:rPr>
          <w:w w:val="120"/>
          <w:sz w:val="20"/>
        </w:rPr>
        <w:t>7]</w:t>
        <w:tab/>
      </w:r>
      <w:r>
        <w:rPr>
          <w:spacing w:val="-7"/>
          <w:w w:val="120"/>
          <w:sz w:val="20"/>
        </w:rPr>
        <w:t>To </w:t>
      </w:r>
      <w:r>
        <w:rPr>
          <w:w w:val="120"/>
          <w:sz w:val="20"/>
        </w:rPr>
        <w:t>be</w:t>
      </w:r>
      <w:r>
        <w:rPr>
          <w:spacing w:val="11"/>
          <w:w w:val="120"/>
          <w:sz w:val="20"/>
        </w:rPr>
        <w:t> </w:t>
      </w:r>
      <w:r>
        <w:rPr>
          <w:w w:val="120"/>
          <w:sz w:val="20"/>
        </w:rPr>
        <w:t>arranged</w:t>
      </w:r>
    </w:p>
    <w:p>
      <w:pPr>
        <w:pStyle w:val="ListParagraph"/>
        <w:numPr>
          <w:ilvl w:val="1"/>
          <w:numId w:val="82"/>
        </w:numPr>
        <w:tabs>
          <w:tab w:pos="1927" w:val="left" w:leader="none"/>
          <w:tab w:pos="1928" w:val="left" w:leader="none"/>
          <w:tab w:pos="6287" w:val="left" w:leader="none"/>
        </w:tabs>
        <w:spacing w:line="240" w:lineRule="exact" w:before="0" w:after="0"/>
        <w:ind w:left="1927" w:right="0" w:hanging="681"/>
        <w:jc w:val="left"/>
        <w:rPr>
          <w:rFonts w:ascii="Stone Sans II ITC Std Bk"/>
          <w:sz w:val="20"/>
        </w:rPr>
      </w:pPr>
      <w:r>
        <w:rPr>
          <w:w w:val="120"/>
          <w:sz w:val="20"/>
        </w:rPr>
        <w:t>Baptist Union of Scotland</w:t>
      </w:r>
      <w:r>
        <w:rPr>
          <w:spacing w:val="29"/>
          <w:w w:val="120"/>
          <w:sz w:val="20"/>
        </w:rPr>
        <w:t> </w:t>
      </w:r>
      <w:r>
        <w:rPr>
          <w:spacing w:val="-4"/>
          <w:w w:val="120"/>
          <w:sz w:val="20"/>
        </w:rPr>
        <w:t>[note</w:t>
      </w:r>
      <w:r>
        <w:rPr>
          <w:spacing w:val="8"/>
          <w:w w:val="120"/>
          <w:sz w:val="20"/>
        </w:rPr>
        <w:t> </w:t>
      </w:r>
      <w:r>
        <w:rPr>
          <w:w w:val="120"/>
          <w:sz w:val="20"/>
        </w:rPr>
        <w:t>7]</w:t>
        <w:tab/>
      </w:r>
      <w:r>
        <w:rPr>
          <w:spacing w:val="-7"/>
          <w:w w:val="120"/>
          <w:sz w:val="20"/>
        </w:rPr>
        <w:t>To </w:t>
      </w:r>
      <w:r>
        <w:rPr>
          <w:w w:val="120"/>
          <w:sz w:val="20"/>
        </w:rPr>
        <w:t>be</w:t>
      </w:r>
      <w:r>
        <w:rPr>
          <w:spacing w:val="12"/>
          <w:w w:val="120"/>
          <w:sz w:val="20"/>
        </w:rPr>
        <w:t> </w:t>
      </w:r>
      <w:r>
        <w:rPr>
          <w:w w:val="120"/>
          <w:sz w:val="20"/>
        </w:rPr>
        <w:t>arranged</w:t>
      </w:r>
    </w:p>
    <w:p>
      <w:pPr>
        <w:pStyle w:val="ListParagraph"/>
        <w:numPr>
          <w:ilvl w:val="1"/>
          <w:numId w:val="82"/>
        </w:numPr>
        <w:tabs>
          <w:tab w:pos="1927" w:val="left" w:leader="none"/>
          <w:tab w:pos="1928" w:val="left" w:leader="none"/>
          <w:tab w:pos="6287" w:val="left" w:leader="none"/>
        </w:tabs>
        <w:spacing w:line="240" w:lineRule="exact" w:before="0" w:after="0"/>
        <w:ind w:left="1927" w:right="0" w:hanging="681"/>
        <w:jc w:val="left"/>
        <w:rPr>
          <w:rFonts w:ascii="Stone Sans II ITC Std Bk"/>
          <w:sz w:val="20"/>
        </w:rPr>
      </w:pPr>
      <w:r>
        <w:rPr>
          <w:w w:val="120"/>
          <w:sz w:val="20"/>
        </w:rPr>
        <w:t>Presbyterian Church of</w:t>
      </w:r>
      <w:r>
        <w:rPr>
          <w:spacing w:val="10"/>
          <w:w w:val="120"/>
          <w:sz w:val="20"/>
        </w:rPr>
        <w:t> </w:t>
      </w:r>
      <w:r>
        <w:rPr>
          <w:w w:val="120"/>
          <w:sz w:val="20"/>
        </w:rPr>
        <w:t>Wales</w:t>
      </w:r>
      <w:r>
        <w:rPr>
          <w:spacing w:val="3"/>
          <w:w w:val="120"/>
          <w:sz w:val="20"/>
        </w:rPr>
        <w:t> </w:t>
      </w:r>
      <w:r>
        <w:rPr>
          <w:spacing w:val="-4"/>
          <w:w w:val="120"/>
          <w:sz w:val="20"/>
        </w:rPr>
        <w:t>[note7]</w:t>
        <w:tab/>
      </w:r>
      <w:r>
        <w:rPr>
          <w:w w:val="120"/>
          <w:sz w:val="20"/>
        </w:rPr>
        <w:t>2</w:t>
      </w:r>
      <w:r>
        <w:rPr>
          <w:spacing w:val="2"/>
          <w:w w:val="120"/>
          <w:sz w:val="20"/>
        </w:rPr>
        <w:t> </w:t>
      </w:r>
      <w:r>
        <w:rPr>
          <w:w w:val="120"/>
          <w:sz w:val="20"/>
        </w:rPr>
        <w:t>vacancies</w:t>
      </w:r>
    </w:p>
    <w:p>
      <w:pPr>
        <w:pStyle w:val="ListParagraph"/>
        <w:numPr>
          <w:ilvl w:val="1"/>
          <w:numId w:val="82"/>
        </w:numPr>
        <w:tabs>
          <w:tab w:pos="1927" w:val="left" w:leader="none"/>
          <w:tab w:pos="1928" w:val="left" w:leader="none"/>
          <w:tab w:pos="6287" w:val="left" w:leader="none"/>
        </w:tabs>
        <w:spacing w:line="240" w:lineRule="exact" w:before="0" w:after="0"/>
        <w:ind w:left="1927" w:right="0" w:hanging="681"/>
        <w:jc w:val="left"/>
        <w:rPr>
          <w:rFonts w:ascii="Stone Sans II ITC Std Bk"/>
          <w:sz w:val="20"/>
        </w:rPr>
      </w:pPr>
      <w:r>
        <w:rPr>
          <w:w w:val="120"/>
          <w:sz w:val="20"/>
        </w:rPr>
        <w:t>Union of Welsh Independents</w:t>
      </w:r>
      <w:r>
        <w:rPr>
          <w:spacing w:val="33"/>
          <w:w w:val="120"/>
          <w:sz w:val="20"/>
        </w:rPr>
        <w:t> </w:t>
      </w:r>
      <w:r>
        <w:rPr>
          <w:spacing w:val="-4"/>
          <w:w w:val="120"/>
          <w:sz w:val="20"/>
        </w:rPr>
        <w:t>[note</w:t>
      </w:r>
      <w:r>
        <w:rPr>
          <w:spacing w:val="8"/>
          <w:w w:val="120"/>
          <w:sz w:val="20"/>
        </w:rPr>
        <w:t> </w:t>
      </w:r>
      <w:r>
        <w:rPr>
          <w:w w:val="120"/>
          <w:sz w:val="20"/>
        </w:rPr>
        <w:t>7]</w:t>
        <w:tab/>
        <w:t>2</w:t>
      </w:r>
      <w:r>
        <w:rPr>
          <w:spacing w:val="2"/>
          <w:w w:val="120"/>
          <w:sz w:val="20"/>
        </w:rPr>
        <w:t> </w:t>
      </w:r>
      <w:r>
        <w:rPr>
          <w:w w:val="120"/>
          <w:sz w:val="20"/>
        </w:rPr>
        <w:t>vacancies</w:t>
      </w:r>
    </w:p>
    <w:p>
      <w:pPr>
        <w:pStyle w:val="ListParagraph"/>
        <w:numPr>
          <w:ilvl w:val="1"/>
          <w:numId w:val="82"/>
        </w:numPr>
        <w:tabs>
          <w:tab w:pos="1927" w:val="left" w:leader="none"/>
          <w:tab w:pos="1928" w:val="left" w:leader="none"/>
        </w:tabs>
        <w:spacing w:line="240" w:lineRule="exact" w:before="0" w:after="0"/>
        <w:ind w:left="1927" w:right="0" w:hanging="681"/>
        <w:jc w:val="left"/>
        <w:rPr>
          <w:rFonts w:ascii="Stone Sans II ITC Std Bk"/>
          <w:sz w:val="20"/>
        </w:rPr>
      </w:pPr>
      <w:r>
        <w:rPr>
          <w:w w:val="120"/>
          <w:sz w:val="20"/>
        </w:rPr>
        <w:t>Covenanted</w:t>
      </w:r>
      <w:r>
        <w:rPr>
          <w:spacing w:val="1"/>
          <w:w w:val="120"/>
          <w:sz w:val="20"/>
        </w:rPr>
        <w:t> </w:t>
      </w:r>
      <w:r>
        <w:rPr>
          <w:w w:val="120"/>
          <w:sz w:val="20"/>
        </w:rPr>
        <w:t>Baptists</w:t>
      </w:r>
    </w:p>
    <w:p>
      <w:pPr>
        <w:pStyle w:val="ListParagraph"/>
        <w:numPr>
          <w:ilvl w:val="1"/>
          <w:numId w:val="82"/>
        </w:numPr>
        <w:tabs>
          <w:tab w:pos="1927" w:val="left" w:leader="none"/>
          <w:tab w:pos="1928" w:val="left" w:leader="none"/>
        </w:tabs>
        <w:spacing w:line="240" w:lineRule="exact" w:before="0" w:after="0"/>
        <w:ind w:left="1927" w:right="0" w:hanging="681"/>
        <w:jc w:val="left"/>
        <w:rPr>
          <w:rFonts w:ascii="Stone Sans II ITC Std Bk"/>
          <w:sz w:val="20"/>
        </w:rPr>
      </w:pPr>
      <w:r>
        <w:rPr>
          <w:w w:val="125"/>
          <w:sz w:val="20"/>
        </w:rPr>
        <w:t>Church in Wales Governing Board </w:t>
      </w:r>
      <w:r>
        <w:rPr>
          <w:spacing w:val="-4"/>
          <w:w w:val="125"/>
          <w:sz w:val="20"/>
        </w:rPr>
        <w:t>[note</w:t>
      </w:r>
      <w:r>
        <w:rPr>
          <w:spacing w:val="-7"/>
          <w:w w:val="125"/>
          <w:sz w:val="20"/>
        </w:rPr>
        <w:t> </w:t>
      </w:r>
      <w:r>
        <w:rPr>
          <w:w w:val="125"/>
          <w:sz w:val="20"/>
        </w:rPr>
        <w:t>7]</w:t>
      </w:r>
    </w:p>
    <w:p>
      <w:pPr>
        <w:pStyle w:val="ListParagraph"/>
        <w:numPr>
          <w:ilvl w:val="1"/>
          <w:numId w:val="82"/>
        </w:numPr>
        <w:tabs>
          <w:tab w:pos="1927" w:val="left" w:leader="none"/>
          <w:tab w:pos="1928" w:val="left" w:leader="none"/>
          <w:tab w:pos="6287" w:val="left" w:leader="none"/>
        </w:tabs>
        <w:spacing w:line="255" w:lineRule="exact" w:before="0" w:after="0"/>
        <w:ind w:left="1927" w:right="0" w:hanging="681"/>
        <w:jc w:val="left"/>
        <w:rPr>
          <w:rFonts w:ascii="Stone Sans II ITC Std Bk"/>
          <w:sz w:val="20"/>
        </w:rPr>
      </w:pPr>
      <w:r>
        <w:rPr>
          <w:w w:val="120"/>
          <w:sz w:val="20"/>
        </w:rPr>
        <w:t>Provincial Synod of the</w:t>
      </w:r>
      <w:r>
        <w:rPr>
          <w:spacing w:val="17"/>
          <w:w w:val="120"/>
          <w:sz w:val="20"/>
        </w:rPr>
        <w:t> </w:t>
      </w:r>
      <w:r>
        <w:rPr>
          <w:w w:val="120"/>
          <w:sz w:val="20"/>
        </w:rPr>
        <w:t>Moravian</w:t>
      </w:r>
      <w:r>
        <w:rPr>
          <w:spacing w:val="4"/>
          <w:w w:val="120"/>
          <w:sz w:val="20"/>
        </w:rPr>
        <w:t> </w:t>
      </w:r>
      <w:r>
        <w:rPr>
          <w:w w:val="120"/>
          <w:sz w:val="20"/>
        </w:rPr>
        <w:t>Church</w:t>
        <w:tab/>
      </w:r>
      <w:r>
        <w:rPr>
          <w:spacing w:val="-7"/>
          <w:w w:val="120"/>
          <w:sz w:val="20"/>
        </w:rPr>
        <w:t>To </w:t>
      </w:r>
      <w:r>
        <w:rPr>
          <w:w w:val="120"/>
          <w:sz w:val="20"/>
        </w:rPr>
        <w:t>be</w:t>
      </w:r>
      <w:r>
        <w:rPr>
          <w:spacing w:val="13"/>
          <w:w w:val="120"/>
          <w:sz w:val="20"/>
        </w:rPr>
        <w:t> </w:t>
      </w:r>
      <w:r>
        <w:rPr>
          <w:w w:val="120"/>
          <w:sz w:val="20"/>
        </w:rPr>
        <w:t>decided</w:t>
      </w:r>
    </w:p>
    <w:p>
      <w:pPr>
        <w:pStyle w:val="Heading4"/>
        <w:numPr>
          <w:ilvl w:val="0"/>
          <w:numId w:val="82"/>
        </w:numPr>
        <w:tabs>
          <w:tab w:pos="1927" w:val="left" w:leader="none"/>
          <w:tab w:pos="1928" w:val="left" w:leader="none"/>
        </w:tabs>
        <w:spacing w:line="240" w:lineRule="auto" w:before="193" w:after="0"/>
        <w:ind w:left="1927" w:right="0" w:hanging="681"/>
        <w:jc w:val="left"/>
      </w:pPr>
      <w:r>
        <w:rPr>
          <w:spacing w:val="3"/>
          <w:w w:val="110"/>
        </w:rPr>
        <w:t>Representatives </w:t>
      </w:r>
      <w:r>
        <w:rPr>
          <w:spacing w:val="2"/>
          <w:w w:val="110"/>
        </w:rPr>
        <w:t>on </w:t>
      </w:r>
      <w:r>
        <w:rPr>
          <w:spacing w:val="3"/>
          <w:w w:val="110"/>
        </w:rPr>
        <w:t>ecumenical church</w:t>
      </w:r>
      <w:r>
        <w:rPr>
          <w:spacing w:val="46"/>
          <w:w w:val="110"/>
        </w:rPr>
        <w:t> </w:t>
      </w:r>
      <w:r>
        <w:rPr>
          <w:spacing w:val="4"/>
          <w:w w:val="110"/>
        </w:rPr>
        <w:t>bodies</w:t>
      </w:r>
    </w:p>
    <w:p>
      <w:pPr>
        <w:pStyle w:val="BodyText"/>
        <w:spacing w:line="235" w:lineRule="auto" w:before="69"/>
        <w:ind w:left="1247" w:right="2004"/>
      </w:pPr>
      <w:r>
        <w:rPr>
          <w:w w:val="120"/>
        </w:rPr>
        <w:t>The following have been nominated as URC representatives at the major gatherings of the ecumenical bodies listed.</w:t>
      </w:r>
    </w:p>
    <w:p>
      <w:pPr>
        <w:pStyle w:val="BodyText"/>
        <w:spacing w:before="5"/>
        <w:rPr>
          <w:sz w:val="18"/>
        </w:rPr>
      </w:pPr>
    </w:p>
    <w:p>
      <w:pPr>
        <w:pStyle w:val="Heading9"/>
        <w:numPr>
          <w:ilvl w:val="1"/>
          <w:numId w:val="82"/>
        </w:numPr>
        <w:tabs>
          <w:tab w:pos="1927" w:val="left" w:leader="none"/>
          <w:tab w:pos="1928" w:val="left" w:leader="none"/>
        </w:tabs>
        <w:spacing w:line="261" w:lineRule="exact" w:before="1" w:after="0"/>
        <w:ind w:left="1927" w:right="0" w:hanging="681"/>
        <w:jc w:val="left"/>
      </w:pPr>
      <w:r>
        <w:rPr>
          <w:w w:val="110"/>
        </w:rPr>
        <w:t>Council for World Mission (CWM) from</w:t>
      </w:r>
      <w:r>
        <w:rPr>
          <w:spacing w:val="-2"/>
          <w:w w:val="110"/>
        </w:rPr>
        <w:t> </w:t>
      </w:r>
      <w:r>
        <w:rPr>
          <w:w w:val="110"/>
        </w:rPr>
        <w:t>Assembly</w:t>
      </w:r>
    </w:p>
    <w:p>
      <w:pPr>
        <w:pStyle w:val="BodyText"/>
        <w:tabs>
          <w:tab w:pos="5567" w:val="left" w:leader="none"/>
        </w:tabs>
        <w:spacing w:line="233" w:lineRule="exact"/>
        <w:ind w:left="1247"/>
      </w:pPr>
      <w:r>
        <w:rPr>
          <w:w w:val="120"/>
        </w:rPr>
        <w:t>The Revd</w:t>
      </w:r>
      <w:r>
        <w:rPr>
          <w:spacing w:val="21"/>
          <w:w w:val="120"/>
        </w:rPr>
        <w:t> </w:t>
      </w:r>
      <w:r>
        <w:rPr>
          <w:w w:val="120"/>
        </w:rPr>
        <w:t>David</w:t>
      </w:r>
      <w:r>
        <w:rPr>
          <w:spacing w:val="11"/>
          <w:w w:val="120"/>
        </w:rPr>
        <w:t> </w:t>
      </w:r>
      <w:r>
        <w:rPr>
          <w:w w:val="120"/>
        </w:rPr>
        <w:t>Coleman</w:t>
        <w:tab/>
        <w:t>Mrs Zadie</w:t>
      </w:r>
      <w:r>
        <w:rPr>
          <w:spacing w:val="4"/>
          <w:w w:val="120"/>
        </w:rPr>
        <w:t> </w:t>
      </w:r>
      <w:r>
        <w:rPr>
          <w:w w:val="120"/>
        </w:rPr>
        <w:t>Orr</w:t>
      </w:r>
    </w:p>
    <w:p>
      <w:pPr>
        <w:pStyle w:val="BodyText"/>
        <w:tabs>
          <w:tab w:pos="5567" w:val="left" w:leader="none"/>
        </w:tabs>
        <w:spacing w:line="235" w:lineRule="auto" w:before="1"/>
        <w:ind w:left="1247" w:right="2807"/>
      </w:pPr>
      <w:r>
        <w:rPr>
          <w:w w:val="120"/>
        </w:rPr>
        <w:t>Mr</w:t>
      </w:r>
      <w:r>
        <w:rPr>
          <w:spacing w:val="2"/>
          <w:w w:val="120"/>
        </w:rPr>
        <w:t> </w:t>
      </w:r>
      <w:r>
        <w:rPr>
          <w:w w:val="120"/>
        </w:rPr>
        <w:t>Philip</w:t>
      </w:r>
      <w:r>
        <w:rPr>
          <w:spacing w:val="2"/>
          <w:w w:val="120"/>
        </w:rPr>
        <w:t> </w:t>
      </w:r>
      <w:r>
        <w:rPr>
          <w:w w:val="120"/>
        </w:rPr>
        <w:t>Timson</w:t>
        <w:tab/>
        <w:t>Secretary for world church relations Secretary for</w:t>
      </w:r>
      <w:r>
        <w:rPr>
          <w:spacing w:val="3"/>
          <w:w w:val="120"/>
        </w:rPr>
        <w:t> </w:t>
      </w:r>
      <w:r>
        <w:rPr>
          <w:w w:val="120"/>
        </w:rPr>
        <w:t>mission</w:t>
      </w:r>
    </w:p>
    <w:p>
      <w:pPr>
        <w:pStyle w:val="BodyText"/>
        <w:spacing w:before="5"/>
        <w:rPr>
          <w:sz w:val="18"/>
        </w:rPr>
      </w:pPr>
    </w:p>
    <w:p>
      <w:pPr>
        <w:pStyle w:val="Heading9"/>
        <w:numPr>
          <w:ilvl w:val="2"/>
          <w:numId w:val="82"/>
        </w:numPr>
        <w:tabs>
          <w:tab w:pos="1928" w:val="left" w:leader="none"/>
        </w:tabs>
        <w:spacing w:line="261" w:lineRule="exact" w:before="1" w:after="0"/>
        <w:ind w:left="1927" w:right="0" w:hanging="681"/>
        <w:jc w:val="left"/>
      </w:pPr>
      <w:r>
        <w:rPr>
          <w:spacing w:val="4"/>
          <w:w w:val="110"/>
        </w:rPr>
        <w:t>CWM </w:t>
      </w:r>
      <w:r>
        <w:rPr>
          <w:w w:val="110"/>
        </w:rPr>
        <w:t>European region</w:t>
      </w:r>
      <w:r>
        <w:rPr>
          <w:spacing w:val="-5"/>
          <w:w w:val="110"/>
        </w:rPr>
        <w:t> </w:t>
      </w:r>
      <w:r>
        <w:rPr>
          <w:w w:val="110"/>
        </w:rPr>
        <w:t>meeting</w:t>
      </w:r>
    </w:p>
    <w:p>
      <w:pPr>
        <w:pStyle w:val="BodyText"/>
        <w:tabs>
          <w:tab w:pos="5567" w:val="left" w:leader="none"/>
        </w:tabs>
        <w:spacing w:line="233" w:lineRule="exact"/>
        <w:ind w:left="1247"/>
      </w:pPr>
      <w:r>
        <w:rPr>
          <w:w w:val="120"/>
        </w:rPr>
        <w:t>The Revd</w:t>
      </w:r>
      <w:r>
        <w:rPr>
          <w:spacing w:val="21"/>
          <w:w w:val="120"/>
        </w:rPr>
        <w:t> </w:t>
      </w:r>
      <w:r>
        <w:rPr>
          <w:w w:val="120"/>
        </w:rPr>
        <w:t>David</w:t>
      </w:r>
      <w:r>
        <w:rPr>
          <w:spacing w:val="11"/>
          <w:w w:val="120"/>
        </w:rPr>
        <w:t> </w:t>
      </w:r>
      <w:r>
        <w:rPr>
          <w:w w:val="120"/>
        </w:rPr>
        <w:t>Coleman</w:t>
        <w:tab/>
        <w:t>Mrs Zadie</w:t>
      </w:r>
      <w:r>
        <w:rPr>
          <w:spacing w:val="4"/>
          <w:w w:val="120"/>
        </w:rPr>
        <w:t> </w:t>
      </w:r>
      <w:r>
        <w:rPr>
          <w:w w:val="120"/>
        </w:rPr>
        <w:t>Orr</w:t>
      </w:r>
    </w:p>
    <w:p>
      <w:pPr>
        <w:pStyle w:val="BodyText"/>
        <w:tabs>
          <w:tab w:pos="5567" w:val="left" w:leader="none"/>
        </w:tabs>
        <w:spacing w:line="235" w:lineRule="auto" w:before="1"/>
        <w:ind w:left="1247" w:right="2807"/>
      </w:pPr>
      <w:r>
        <w:rPr>
          <w:w w:val="120"/>
        </w:rPr>
        <w:t>Mr</w:t>
      </w:r>
      <w:r>
        <w:rPr>
          <w:spacing w:val="2"/>
          <w:w w:val="120"/>
        </w:rPr>
        <w:t> </w:t>
      </w:r>
      <w:r>
        <w:rPr>
          <w:w w:val="120"/>
        </w:rPr>
        <w:t>Philip</w:t>
      </w:r>
      <w:r>
        <w:rPr>
          <w:spacing w:val="2"/>
          <w:w w:val="120"/>
        </w:rPr>
        <w:t> </w:t>
      </w:r>
      <w:r>
        <w:rPr>
          <w:w w:val="120"/>
        </w:rPr>
        <w:t>Timson</w:t>
        <w:tab/>
        <w:t>Secretary for world church relations Secretary for</w:t>
      </w:r>
      <w:r>
        <w:rPr>
          <w:spacing w:val="3"/>
          <w:w w:val="120"/>
        </w:rPr>
        <w:t> </w:t>
      </w:r>
      <w:r>
        <w:rPr>
          <w:w w:val="120"/>
        </w:rPr>
        <w:t>mission</w:t>
      </w:r>
    </w:p>
    <w:p>
      <w:pPr>
        <w:pStyle w:val="BodyText"/>
        <w:spacing w:before="6"/>
        <w:rPr>
          <w:sz w:val="18"/>
        </w:rPr>
      </w:pPr>
    </w:p>
    <w:p>
      <w:pPr>
        <w:pStyle w:val="Heading9"/>
        <w:numPr>
          <w:ilvl w:val="1"/>
          <w:numId w:val="82"/>
        </w:numPr>
        <w:tabs>
          <w:tab w:pos="1927" w:val="left" w:leader="none"/>
          <w:tab w:pos="1928" w:val="left" w:leader="none"/>
        </w:tabs>
        <w:spacing w:line="261" w:lineRule="exact" w:before="0" w:after="0"/>
        <w:ind w:left="1927" w:right="0" w:hanging="681"/>
        <w:jc w:val="left"/>
      </w:pPr>
      <w:r>
        <w:rPr>
          <w:w w:val="110"/>
        </w:rPr>
        <w:t>World Communion of Reformed Churches (WCRC) General Council</w:t>
      </w:r>
    </w:p>
    <w:p>
      <w:pPr>
        <w:pStyle w:val="BodyText"/>
        <w:tabs>
          <w:tab w:pos="5567" w:val="left" w:leader="none"/>
        </w:tabs>
        <w:spacing w:line="233" w:lineRule="exact"/>
        <w:ind w:left="1247"/>
      </w:pPr>
      <w:r>
        <w:rPr>
          <w:w w:val="120"/>
        </w:rPr>
        <w:t>The Revd Dr</w:t>
      </w:r>
      <w:r>
        <w:rPr>
          <w:spacing w:val="15"/>
          <w:w w:val="120"/>
        </w:rPr>
        <w:t> </w:t>
      </w:r>
      <w:r>
        <w:rPr>
          <w:w w:val="120"/>
        </w:rPr>
        <w:t>Sarah</w:t>
      </w:r>
      <w:r>
        <w:rPr>
          <w:spacing w:val="5"/>
          <w:w w:val="120"/>
        </w:rPr>
        <w:t> </w:t>
      </w:r>
      <w:r>
        <w:rPr>
          <w:w w:val="120"/>
        </w:rPr>
        <w:t>Hall</w:t>
        <w:tab/>
        <w:t>Ms Emma</w:t>
      </w:r>
      <w:r>
        <w:rPr>
          <w:spacing w:val="4"/>
          <w:w w:val="120"/>
        </w:rPr>
        <w:t> </w:t>
      </w:r>
      <w:r>
        <w:rPr>
          <w:w w:val="120"/>
        </w:rPr>
        <w:t>Pugh</w:t>
      </w:r>
    </w:p>
    <w:p>
      <w:pPr>
        <w:pStyle w:val="BodyText"/>
        <w:tabs>
          <w:tab w:pos="5567" w:val="left" w:leader="none"/>
        </w:tabs>
        <w:spacing w:line="235" w:lineRule="auto" w:before="2"/>
        <w:ind w:left="1247" w:right="2807"/>
      </w:pPr>
      <w:r>
        <w:rPr>
          <w:w w:val="120"/>
        </w:rPr>
        <w:t>The Revd Dr</w:t>
      </w:r>
      <w:r>
        <w:rPr>
          <w:spacing w:val="32"/>
          <w:w w:val="120"/>
        </w:rPr>
        <w:t> </w:t>
      </w:r>
      <w:r>
        <w:rPr>
          <w:w w:val="120"/>
        </w:rPr>
        <w:t>David</w:t>
      </w:r>
      <w:r>
        <w:rPr>
          <w:spacing w:val="11"/>
          <w:w w:val="120"/>
        </w:rPr>
        <w:t> </w:t>
      </w:r>
      <w:r>
        <w:rPr>
          <w:w w:val="120"/>
        </w:rPr>
        <w:t>Pickering</w:t>
        <w:tab/>
        <w:t>Secretary for world church relations General</w:t>
      </w:r>
      <w:r>
        <w:rPr>
          <w:spacing w:val="1"/>
          <w:w w:val="120"/>
        </w:rPr>
        <w:t> </w:t>
      </w:r>
      <w:r>
        <w:rPr>
          <w:w w:val="120"/>
        </w:rPr>
        <w:t>secretary</w:t>
      </w:r>
    </w:p>
    <w:p>
      <w:pPr>
        <w:pStyle w:val="BodyText"/>
        <w:spacing w:before="5"/>
        <w:rPr>
          <w:sz w:val="18"/>
        </w:rPr>
      </w:pPr>
    </w:p>
    <w:p>
      <w:pPr>
        <w:pStyle w:val="Heading9"/>
        <w:numPr>
          <w:ilvl w:val="1"/>
          <w:numId w:val="85"/>
        </w:numPr>
        <w:tabs>
          <w:tab w:pos="1927" w:val="left" w:leader="none"/>
          <w:tab w:pos="1928" w:val="left" w:leader="none"/>
        </w:tabs>
        <w:spacing w:line="261" w:lineRule="exact" w:before="0" w:after="0"/>
        <w:ind w:left="1927" w:right="0" w:hanging="681"/>
        <w:jc w:val="left"/>
      </w:pPr>
      <w:r>
        <w:rPr>
          <w:w w:val="110"/>
        </w:rPr>
        <w:t>Conference of European Churches</w:t>
      </w:r>
      <w:r>
        <w:rPr>
          <w:spacing w:val="-1"/>
          <w:w w:val="110"/>
        </w:rPr>
        <w:t> </w:t>
      </w:r>
      <w:r>
        <w:rPr>
          <w:w w:val="110"/>
        </w:rPr>
        <w:t>Assembly</w:t>
      </w:r>
    </w:p>
    <w:p>
      <w:pPr>
        <w:pStyle w:val="BodyText"/>
        <w:spacing w:line="235" w:lineRule="exact"/>
        <w:ind w:left="1247"/>
      </w:pPr>
      <w:r>
        <w:rPr>
          <w:w w:val="120"/>
        </w:rPr>
        <w:t>Secretary for ecumenical relations</w:t>
      </w:r>
    </w:p>
    <w:p>
      <w:pPr>
        <w:pStyle w:val="BodyText"/>
        <w:spacing w:before="3"/>
        <w:rPr>
          <w:sz w:val="18"/>
        </w:rPr>
      </w:pPr>
    </w:p>
    <w:p>
      <w:pPr>
        <w:pStyle w:val="Heading9"/>
        <w:numPr>
          <w:ilvl w:val="1"/>
          <w:numId w:val="85"/>
        </w:numPr>
        <w:tabs>
          <w:tab w:pos="1927" w:val="left" w:leader="none"/>
          <w:tab w:pos="1928" w:val="left" w:leader="none"/>
        </w:tabs>
        <w:spacing w:line="261" w:lineRule="exact" w:before="0" w:after="0"/>
        <w:ind w:left="1927" w:right="0" w:hanging="681"/>
        <w:jc w:val="left"/>
      </w:pPr>
      <w:r>
        <w:rPr>
          <w:w w:val="110"/>
        </w:rPr>
        <w:t>The Disciples Ecumenical Consultative</w:t>
      </w:r>
      <w:r>
        <w:rPr>
          <w:spacing w:val="-1"/>
          <w:w w:val="110"/>
        </w:rPr>
        <w:t> </w:t>
      </w:r>
      <w:r>
        <w:rPr>
          <w:w w:val="110"/>
        </w:rPr>
        <w:t>Council</w:t>
      </w:r>
    </w:p>
    <w:p>
      <w:pPr>
        <w:pStyle w:val="BodyText"/>
        <w:tabs>
          <w:tab w:pos="5567" w:val="left" w:leader="none"/>
        </w:tabs>
        <w:spacing w:line="235" w:lineRule="auto"/>
        <w:ind w:left="1247" w:right="2721"/>
      </w:pPr>
      <w:r>
        <w:rPr>
          <w:w w:val="120"/>
        </w:rPr>
        <w:t>The Revd</w:t>
      </w:r>
      <w:r>
        <w:rPr>
          <w:spacing w:val="-1"/>
          <w:w w:val="120"/>
        </w:rPr>
        <w:t> </w:t>
      </w:r>
      <w:r>
        <w:rPr>
          <w:w w:val="120"/>
        </w:rPr>
        <w:t>Rowena</w:t>
      </w:r>
      <w:r>
        <w:rPr>
          <w:spacing w:val="-1"/>
          <w:w w:val="120"/>
        </w:rPr>
        <w:t> </w:t>
      </w:r>
      <w:r>
        <w:rPr>
          <w:w w:val="120"/>
        </w:rPr>
        <w:t>Francis</w:t>
        <w:tab/>
        <w:t>The Revd Professor David Thompson Secretary for world church</w:t>
      </w:r>
      <w:r>
        <w:rPr>
          <w:spacing w:val="7"/>
          <w:w w:val="120"/>
        </w:rPr>
        <w:t> </w:t>
      </w:r>
      <w:r>
        <w:rPr>
          <w:w w:val="120"/>
        </w:rPr>
        <w:t>relations</w:t>
      </w:r>
    </w:p>
    <w:p>
      <w:pPr>
        <w:pStyle w:val="BodyText"/>
        <w:spacing w:before="1"/>
        <w:rPr>
          <w:sz w:val="18"/>
        </w:rPr>
      </w:pPr>
    </w:p>
    <w:p>
      <w:pPr>
        <w:pStyle w:val="Heading9"/>
        <w:numPr>
          <w:ilvl w:val="1"/>
          <w:numId w:val="85"/>
        </w:numPr>
        <w:tabs>
          <w:tab w:pos="1927" w:val="left" w:leader="none"/>
          <w:tab w:pos="1928" w:val="left" w:leader="none"/>
        </w:tabs>
        <w:spacing w:line="261" w:lineRule="exact" w:before="0" w:after="0"/>
        <w:ind w:left="1927" w:right="0" w:hanging="681"/>
        <w:jc w:val="left"/>
      </w:pPr>
      <w:r>
        <w:rPr>
          <w:w w:val="110"/>
        </w:rPr>
        <w:t>Churches Together in Britain and Ireland (CTBI) Church leaders’</w:t>
      </w:r>
      <w:r>
        <w:rPr>
          <w:spacing w:val="-2"/>
          <w:w w:val="110"/>
        </w:rPr>
        <w:t> </w:t>
      </w:r>
      <w:r>
        <w:rPr>
          <w:w w:val="110"/>
        </w:rPr>
        <w:t>meeting</w:t>
      </w:r>
    </w:p>
    <w:p>
      <w:pPr>
        <w:pStyle w:val="BodyText"/>
        <w:spacing w:line="235" w:lineRule="exact"/>
        <w:ind w:left="1247"/>
      </w:pPr>
      <w:r>
        <w:rPr>
          <w:w w:val="120"/>
        </w:rPr>
        <w:t>General secretary</w:t>
      </w:r>
    </w:p>
    <w:p>
      <w:pPr>
        <w:pStyle w:val="BodyText"/>
        <w:spacing w:before="3"/>
        <w:rPr>
          <w:sz w:val="18"/>
        </w:rPr>
      </w:pPr>
    </w:p>
    <w:p>
      <w:pPr>
        <w:pStyle w:val="Heading9"/>
        <w:numPr>
          <w:ilvl w:val="2"/>
          <w:numId w:val="85"/>
        </w:numPr>
        <w:tabs>
          <w:tab w:pos="1928" w:val="left" w:leader="none"/>
        </w:tabs>
        <w:spacing w:line="261" w:lineRule="exact" w:before="0" w:after="0"/>
        <w:ind w:left="1927" w:right="0" w:hanging="681"/>
        <w:jc w:val="left"/>
      </w:pPr>
      <w:r>
        <w:rPr>
          <w:spacing w:val="3"/>
          <w:w w:val="110"/>
        </w:rPr>
        <w:t>CTBI </w:t>
      </w:r>
      <w:r>
        <w:rPr>
          <w:w w:val="110"/>
        </w:rPr>
        <w:t>senior representatives’</w:t>
      </w:r>
      <w:r>
        <w:rPr>
          <w:spacing w:val="-4"/>
          <w:w w:val="110"/>
        </w:rPr>
        <w:t> </w:t>
      </w:r>
      <w:r>
        <w:rPr>
          <w:w w:val="110"/>
        </w:rPr>
        <w:t>forum</w:t>
      </w:r>
    </w:p>
    <w:p>
      <w:pPr>
        <w:pStyle w:val="BodyText"/>
        <w:tabs>
          <w:tab w:pos="4847" w:val="left" w:leader="none"/>
        </w:tabs>
        <w:spacing w:line="235" w:lineRule="exact"/>
        <w:ind w:left="1247"/>
      </w:pPr>
      <w:r>
        <w:rPr>
          <w:w w:val="120"/>
        </w:rPr>
        <w:t>General</w:t>
      </w:r>
      <w:r>
        <w:rPr>
          <w:spacing w:val="1"/>
          <w:w w:val="120"/>
        </w:rPr>
        <w:t> </w:t>
      </w:r>
      <w:r>
        <w:rPr>
          <w:w w:val="120"/>
        </w:rPr>
        <w:t>secretary</w:t>
        <w:tab/>
        <w:t>Secretary for ecumenical</w:t>
      </w:r>
      <w:r>
        <w:rPr>
          <w:spacing w:val="6"/>
          <w:w w:val="120"/>
        </w:rPr>
        <w:t> </w:t>
      </w:r>
      <w:r>
        <w:rPr>
          <w:w w:val="120"/>
        </w:rPr>
        <w:t>relations</w:t>
      </w:r>
    </w:p>
    <w:p>
      <w:pPr>
        <w:pStyle w:val="BodyText"/>
        <w:spacing w:before="4"/>
        <w:rPr>
          <w:sz w:val="18"/>
        </w:rPr>
      </w:pPr>
    </w:p>
    <w:p>
      <w:pPr>
        <w:pStyle w:val="Heading9"/>
        <w:numPr>
          <w:ilvl w:val="2"/>
          <w:numId w:val="85"/>
        </w:numPr>
        <w:tabs>
          <w:tab w:pos="1928" w:val="left" w:leader="none"/>
        </w:tabs>
        <w:spacing w:line="261" w:lineRule="exact" w:before="0" w:after="0"/>
        <w:ind w:left="1927" w:right="0" w:hanging="681"/>
        <w:jc w:val="left"/>
      </w:pPr>
      <w:r>
        <w:rPr>
          <w:spacing w:val="3"/>
          <w:w w:val="110"/>
        </w:rPr>
        <w:t>CTBI </w:t>
      </w:r>
      <w:r>
        <w:rPr>
          <w:w w:val="110"/>
        </w:rPr>
        <w:t>environmental issues</w:t>
      </w:r>
      <w:r>
        <w:rPr>
          <w:spacing w:val="-4"/>
          <w:w w:val="110"/>
        </w:rPr>
        <w:t> </w:t>
      </w:r>
      <w:r>
        <w:rPr>
          <w:w w:val="110"/>
        </w:rPr>
        <w:t>network</w:t>
      </w:r>
    </w:p>
    <w:p>
      <w:pPr>
        <w:pStyle w:val="BodyText"/>
        <w:tabs>
          <w:tab w:pos="4847" w:val="left" w:leader="none"/>
        </w:tabs>
        <w:spacing w:line="235" w:lineRule="exact"/>
        <w:ind w:left="1247"/>
      </w:pPr>
      <w:r>
        <w:rPr>
          <w:w w:val="120"/>
        </w:rPr>
        <w:t>The Revd Dr</w:t>
      </w:r>
      <w:r>
        <w:rPr>
          <w:spacing w:val="32"/>
          <w:w w:val="120"/>
        </w:rPr>
        <w:t> </w:t>
      </w:r>
      <w:r>
        <w:rPr>
          <w:w w:val="120"/>
        </w:rPr>
        <w:t>David</w:t>
      </w:r>
      <w:r>
        <w:rPr>
          <w:spacing w:val="11"/>
          <w:w w:val="120"/>
        </w:rPr>
        <w:t> </w:t>
      </w:r>
      <w:r>
        <w:rPr>
          <w:w w:val="120"/>
        </w:rPr>
        <w:t>Pickering</w:t>
        <w:tab/>
        <w:t>The Revd Mike</w:t>
      </w:r>
      <w:r>
        <w:rPr>
          <w:spacing w:val="6"/>
          <w:w w:val="120"/>
        </w:rPr>
        <w:t> </w:t>
      </w:r>
      <w:r>
        <w:rPr>
          <w:w w:val="120"/>
        </w:rPr>
        <w:t>Shrubsole</w:t>
      </w:r>
    </w:p>
    <w:p>
      <w:pPr>
        <w:pStyle w:val="BodyText"/>
        <w:spacing w:before="3"/>
        <w:rPr>
          <w:sz w:val="18"/>
        </w:rPr>
      </w:pPr>
    </w:p>
    <w:p>
      <w:pPr>
        <w:pStyle w:val="Heading9"/>
        <w:numPr>
          <w:ilvl w:val="2"/>
          <w:numId w:val="85"/>
        </w:numPr>
        <w:tabs>
          <w:tab w:pos="1928" w:val="left" w:leader="none"/>
        </w:tabs>
        <w:spacing w:line="261" w:lineRule="exact" w:before="0" w:after="0"/>
        <w:ind w:left="1927" w:right="0" w:hanging="681"/>
        <w:jc w:val="left"/>
      </w:pPr>
      <w:r>
        <w:rPr>
          <w:spacing w:val="3"/>
          <w:w w:val="110"/>
        </w:rPr>
        <w:t>CTBI </w:t>
      </w:r>
      <w:r>
        <w:rPr>
          <w:w w:val="110"/>
        </w:rPr>
        <w:t>church and public issues</w:t>
      </w:r>
      <w:r>
        <w:rPr>
          <w:spacing w:val="8"/>
          <w:w w:val="110"/>
        </w:rPr>
        <w:t> </w:t>
      </w:r>
      <w:r>
        <w:rPr>
          <w:w w:val="110"/>
        </w:rPr>
        <w:t>network</w:t>
      </w:r>
    </w:p>
    <w:p>
      <w:pPr>
        <w:pStyle w:val="BodyText"/>
        <w:tabs>
          <w:tab w:pos="4847" w:val="left" w:leader="none"/>
        </w:tabs>
        <w:spacing w:line="235" w:lineRule="exact"/>
        <w:ind w:left="1247"/>
      </w:pPr>
      <w:r>
        <w:rPr>
          <w:w w:val="120"/>
        </w:rPr>
        <w:t>Ms</w:t>
      </w:r>
      <w:r>
        <w:rPr>
          <w:spacing w:val="-4"/>
          <w:w w:val="120"/>
        </w:rPr>
        <w:t> </w:t>
      </w:r>
      <w:r>
        <w:rPr>
          <w:w w:val="120"/>
        </w:rPr>
        <w:t>Marie</w:t>
      </w:r>
      <w:r>
        <w:rPr>
          <w:spacing w:val="-3"/>
          <w:w w:val="120"/>
        </w:rPr>
        <w:t> </w:t>
      </w:r>
      <w:r>
        <w:rPr>
          <w:w w:val="120"/>
        </w:rPr>
        <w:t>Trubic</w:t>
        <w:tab/>
        <w:t>Secretary for church and</w:t>
      </w:r>
      <w:r>
        <w:rPr>
          <w:spacing w:val="21"/>
          <w:w w:val="120"/>
        </w:rPr>
        <w:t> </w:t>
      </w:r>
      <w:r>
        <w:rPr>
          <w:w w:val="120"/>
        </w:rPr>
        <w:t>society</w:t>
      </w:r>
    </w:p>
    <w:p>
      <w:pPr>
        <w:spacing w:after="0" w:line="235" w:lineRule="exact"/>
        <w:sectPr>
          <w:headerReference w:type="even" r:id="rId345"/>
          <w:footerReference w:type="even" r:id="rId346"/>
          <w:footerReference w:type="default" r:id="rId347"/>
          <w:pgSz w:w="11910" w:h="16840"/>
          <w:pgMar w:header="0" w:footer="647" w:top="0" w:bottom="840" w:left="0" w:right="0"/>
          <w:pgNumType w:start="148"/>
        </w:sectPr>
      </w:pPr>
    </w:p>
    <w:p>
      <w:pPr>
        <w:pStyle w:val="BodyText"/>
      </w:pPr>
      <w:r>
        <w:rPr/>
        <w:drawing>
          <wp:anchor distT="0" distB="0" distL="0" distR="0" allowOverlap="1" layoutInCell="1" locked="0" behindDoc="0" simplePos="0" relativeHeight="252050432">
            <wp:simplePos x="0" y="0"/>
            <wp:positionH relativeFrom="page">
              <wp:posOffset>6974928</wp:posOffset>
            </wp:positionH>
            <wp:positionV relativeFrom="page">
              <wp:posOffset>0</wp:posOffset>
            </wp:positionV>
            <wp:extent cx="585063" cy="10692003"/>
            <wp:effectExtent l="0" t="0" r="0" b="0"/>
            <wp:wrapNone/>
            <wp:docPr id="277" name="image25.png"/>
            <wp:cNvGraphicFramePr>
              <a:graphicFrameLocks noChangeAspect="1"/>
            </wp:cNvGraphicFramePr>
            <a:graphic>
              <a:graphicData uri="http://schemas.openxmlformats.org/drawingml/2006/picture">
                <pic:pic>
                  <pic:nvPicPr>
                    <pic:cNvPr id="278" name="image25.png"/>
                    <pic:cNvPicPr/>
                  </pic:nvPicPr>
                  <pic:blipFill>
                    <a:blip r:embed="rId192"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131.3pt;mso-position-horizontal-relative:page;mso-position-vertical-relative:paragraph;z-index:252051456" type="#_x0000_t202" filled="false" stroked="false">
            <v:textbox inset="0,0,0,0" style="layout-flow:vertical">
              <w:txbxContent>
                <w:p>
                  <w:pPr>
                    <w:spacing w:before="27"/>
                    <w:ind w:left="20" w:right="0" w:firstLine="0"/>
                    <w:jc w:val="left"/>
                    <w:rPr>
                      <w:sz w:val="39"/>
                    </w:rPr>
                  </w:pPr>
                  <w:r>
                    <w:rPr>
                      <w:color w:val="FFFFFF"/>
                      <w:w w:val="120"/>
                      <w:sz w:val="39"/>
                    </w:rPr>
                    <w:t>Nominations</w:t>
                  </w:r>
                </w:p>
              </w:txbxContent>
            </v:textbox>
            <w10:wrap type="none"/>
          </v:shape>
        </w:pict>
      </w:r>
      <w:r>
        <w:rPr>
          <w:color w:val="7EAABF"/>
          <w:w w:val="115"/>
          <w:sz w:val="26"/>
        </w:rPr>
        <w:t>Nominations</w:t>
      </w:r>
    </w:p>
    <w:p>
      <w:pPr>
        <w:pStyle w:val="Heading9"/>
        <w:numPr>
          <w:ilvl w:val="2"/>
          <w:numId w:val="85"/>
        </w:numPr>
        <w:tabs>
          <w:tab w:pos="2665" w:val="left" w:leader="none"/>
        </w:tabs>
        <w:spacing w:line="261" w:lineRule="exact" w:before="205" w:after="0"/>
        <w:ind w:left="2664" w:right="0" w:hanging="681"/>
        <w:jc w:val="left"/>
      </w:pPr>
      <w:r>
        <w:rPr>
          <w:spacing w:val="3"/>
          <w:w w:val="110"/>
        </w:rPr>
        <w:t>CTBI </w:t>
      </w:r>
      <w:r>
        <w:rPr>
          <w:w w:val="110"/>
        </w:rPr>
        <w:t>churches’ criminal justice</w:t>
      </w:r>
      <w:r>
        <w:rPr>
          <w:spacing w:val="-4"/>
          <w:w w:val="110"/>
        </w:rPr>
        <w:t> </w:t>
      </w:r>
      <w:r>
        <w:rPr>
          <w:w w:val="110"/>
        </w:rPr>
        <w:t>forum</w:t>
      </w:r>
    </w:p>
    <w:p>
      <w:pPr>
        <w:pStyle w:val="BodyText"/>
        <w:spacing w:line="235" w:lineRule="exact"/>
        <w:ind w:left="1984"/>
      </w:pPr>
      <w:r>
        <w:rPr>
          <w:w w:val="115"/>
        </w:rPr>
        <w:t>Mrs Wilma Frew</w:t>
      </w:r>
    </w:p>
    <w:p>
      <w:pPr>
        <w:pStyle w:val="BodyText"/>
        <w:spacing w:before="4"/>
        <w:rPr>
          <w:sz w:val="18"/>
        </w:rPr>
      </w:pPr>
    </w:p>
    <w:p>
      <w:pPr>
        <w:pStyle w:val="Heading9"/>
        <w:numPr>
          <w:ilvl w:val="2"/>
          <w:numId w:val="85"/>
        </w:numPr>
        <w:tabs>
          <w:tab w:pos="2665" w:val="left" w:leader="none"/>
        </w:tabs>
        <w:spacing w:line="261" w:lineRule="exact" w:before="0" w:after="0"/>
        <w:ind w:left="2664" w:right="0" w:hanging="681"/>
        <w:jc w:val="left"/>
      </w:pPr>
      <w:r>
        <w:rPr>
          <w:spacing w:val="3"/>
          <w:w w:val="110"/>
        </w:rPr>
        <w:t>CTBI </w:t>
      </w:r>
      <w:r>
        <w:rPr>
          <w:w w:val="110"/>
        </w:rPr>
        <w:t>stewardship</w:t>
      </w:r>
      <w:r>
        <w:rPr>
          <w:spacing w:val="-4"/>
          <w:w w:val="110"/>
        </w:rPr>
        <w:t> </w:t>
      </w:r>
      <w:r>
        <w:rPr>
          <w:w w:val="110"/>
        </w:rPr>
        <w:t>network</w:t>
      </w:r>
    </w:p>
    <w:p>
      <w:pPr>
        <w:pStyle w:val="BodyText"/>
        <w:spacing w:line="235" w:lineRule="exact"/>
        <w:ind w:left="1984"/>
      </w:pPr>
      <w:r>
        <w:rPr>
          <w:w w:val="120"/>
        </w:rPr>
        <w:t>Mrs Faith Paulding</w:t>
      </w:r>
    </w:p>
    <w:p>
      <w:pPr>
        <w:pStyle w:val="BodyText"/>
        <w:spacing w:before="3"/>
        <w:rPr>
          <w:sz w:val="18"/>
        </w:rPr>
      </w:pPr>
    </w:p>
    <w:p>
      <w:pPr>
        <w:pStyle w:val="Heading9"/>
        <w:numPr>
          <w:ilvl w:val="2"/>
          <w:numId w:val="85"/>
        </w:numPr>
        <w:tabs>
          <w:tab w:pos="2665" w:val="left" w:leader="none"/>
        </w:tabs>
        <w:spacing w:line="261" w:lineRule="exact" w:before="0" w:after="0"/>
        <w:ind w:left="2664" w:right="0" w:hanging="681"/>
        <w:jc w:val="left"/>
      </w:pPr>
      <w:r>
        <w:rPr>
          <w:spacing w:val="3"/>
          <w:w w:val="110"/>
        </w:rPr>
        <w:t>CTBI </w:t>
      </w:r>
      <w:r>
        <w:rPr>
          <w:w w:val="110"/>
        </w:rPr>
        <w:t>churches’ international students’</w:t>
      </w:r>
      <w:r>
        <w:rPr>
          <w:spacing w:val="-4"/>
          <w:w w:val="110"/>
        </w:rPr>
        <w:t> </w:t>
      </w:r>
      <w:r>
        <w:rPr>
          <w:w w:val="110"/>
        </w:rPr>
        <w:t>network</w:t>
      </w:r>
    </w:p>
    <w:p>
      <w:pPr>
        <w:pStyle w:val="BodyText"/>
        <w:spacing w:line="235" w:lineRule="exact"/>
        <w:ind w:left="1984"/>
      </w:pPr>
      <w:r>
        <w:rPr>
          <w:w w:val="120"/>
        </w:rPr>
        <w:t>Ms Eleri Evans [2014]</w:t>
      </w:r>
    </w:p>
    <w:p>
      <w:pPr>
        <w:pStyle w:val="BodyText"/>
        <w:spacing w:before="9"/>
        <w:rPr>
          <w:sz w:val="10"/>
        </w:rPr>
      </w:pPr>
    </w:p>
    <w:p>
      <w:pPr>
        <w:pStyle w:val="Heading9"/>
        <w:numPr>
          <w:ilvl w:val="2"/>
          <w:numId w:val="85"/>
        </w:numPr>
        <w:tabs>
          <w:tab w:pos="2665" w:val="left" w:leader="none"/>
        </w:tabs>
        <w:spacing w:line="261" w:lineRule="exact" w:before="93" w:after="0"/>
        <w:ind w:left="2664" w:right="0" w:hanging="681"/>
        <w:jc w:val="left"/>
      </w:pPr>
      <w:r>
        <w:rPr>
          <w:spacing w:val="3"/>
          <w:w w:val="110"/>
        </w:rPr>
        <w:t>CTBI </w:t>
      </w:r>
      <w:r>
        <w:rPr>
          <w:w w:val="110"/>
        </w:rPr>
        <w:t>consultative group on ministry amongst children</w:t>
      </w:r>
      <w:r>
        <w:rPr>
          <w:spacing w:val="-3"/>
          <w:w w:val="110"/>
        </w:rPr>
        <w:t> </w:t>
      </w:r>
      <w:r>
        <w:rPr>
          <w:spacing w:val="-5"/>
          <w:w w:val="110"/>
        </w:rPr>
        <w:t>(cgmc)</w:t>
      </w:r>
    </w:p>
    <w:p>
      <w:pPr>
        <w:pStyle w:val="BodyText"/>
        <w:spacing w:line="235" w:lineRule="exact"/>
        <w:ind w:left="1984"/>
      </w:pPr>
      <w:r>
        <w:rPr>
          <w:w w:val="115"/>
        </w:rPr>
        <w:t>Mrs Karen Morrison</w:t>
      </w:r>
    </w:p>
    <w:p>
      <w:pPr>
        <w:pStyle w:val="BodyText"/>
        <w:spacing w:before="3"/>
        <w:rPr>
          <w:sz w:val="18"/>
        </w:rPr>
      </w:pPr>
    </w:p>
    <w:p>
      <w:pPr>
        <w:pStyle w:val="Heading9"/>
        <w:numPr>
          <w:ilvl w:val="2"/>
          <w:numId w:val="85"/>
        </w:numPr>
        <w:tabs>
          <w:tab w:pos="2665" w:val="left" w:leader="none"/>
        </w:tabs>
        <w:spacing w:line="261" w:lineRule="exact" w:before="0" w:after="0"/>
        <w:ind w:left="2664" w:right="0" w:hanging="681"/>
        <w:jc w:val="left"/>
      </w:pPr>
      <w:r>
        <w:rPr>
          <w:spacing w:val="3"/>
          <w:w w:val="110"/>
        </w:rPr>
        <w:t>CTBI </w:t>
      </w:r>
      <w:r>
        <w:rPr>
          <w:w w:val="110"/>
        </w:rPr>
        <w:t>inter-religious</w:t>
      </w:r>
      <w:r>
        <w:rPr>
          <w:spacing w:val="-4"/>
          <w:w w:val="110"/>
        </w:rPr>
        <w:t> </w:t>
      </w:r>
      <w:r>
        <w:rPr>
          <w:w w:val="110"/>
        </w:rPr>
        <w:t>network</w:t>
      </w:r>
    </w:p>
    <w:p>
      <w:pPr>
        <w:pStyle w:val="BodyText"/>
        <w:spacing w:line="235" w:lineRule="exact"/>
        <w:ind w:left="1984"/>
      </w:pPr>
      <w:r>
        <w:rPr>
          <w:w w:val="120"/>
        </w:rPr>
        <w:t>Secretary for ecumenical relations</w:t>
      </w:r>
    </w:p>
    <w:p>
      <w:pPr>
        <w:pStyle w:val="BodyText"/>
        <w:spacing w:before="3"/>
        <w:rPr>
          <w:sz w:val="18"/>
        </w:rPr>
      </w:pPr>
    </w:p>
    <w:p>
      <w:pPr>
        <w:pStyle w:val="Heading9"/>
        <w:numPr>
          <w:ilvl w:val="2"/>
          <w:numId w:val="85"/>
        </w:numPr>
        <w:tabs>
          <w:tab w:pos="2665" w:val="left" w:leader="none"/>
        </w:tabs>
        <w:spacing w:line="261" w:lineRule="exact" w:before="1" w:after="0"/>
        <w:ind w:left="2664" w:right="0" w:hanging="681"/>
        <w:jc w:val="left"/>
      </w:pPr>
      <w:r>
        <w:rPr>
          <w:spacing w:val="3"/>
          <w:w w:val="110"/>
        </w:rPr>
        <w:t>CTBI </w:t>
      </w:r>
      <w:r>
        <w:rPr>
          <w:w w:val="110"/>
        </w:rPr>
        <w:t>racial justice</w:t>
      </w:r>
      <w:r>
        <w:rPr>
          <w:spacing w:val="-4"/>
          <w:w w:val="110"/>
        </w:rPr>
        <w:t> </w:t>
      </w:r>
      <w:r>
        <w:rPr>
          <w:w w:val="110"/>
        </w:rPr>
        <w:t>network</w:t>
      </w:r>
    </w:p>
    <w:p>
      <w:pPr>
        <w:pStyle w:val="BodyText"/>
        <w:spacing w:line="235" w:lineRule="exact"/>
        <w:ind w:left="1984"/>
      </w:pPr>
      <w:r>
        <w:rPr>
          <w:w w:val="120"/>
        </w:rPr>
        <w:t>Secretary for racial justice and multicultural ministry</w:t>
      </w:r>
    </w:p>
    <w:p>
      <w:pPr>
        <w:pStyle w:val="BodyText"/>
        <w:spacing w:before="3"/>
        <w:rPr>
          <w:sz w:val="18"/>
        </w:rPr>
      </w:pPr>
    </w:p>
    <w:p>
      <w:pPr>
        <w:pStyle w:val="Heading9"/>
        <w:numPr>
          <w:ilvl w:val="2"/>
          <w:numId w:val="85"/>
        </w:numPr>
        <w:tabs>
          <w:tab w:pos="2665" w:val="left" w:leader="none"/>
        </w:tabs>
        <w:spacing w:line="261" w:lineRule="exact" w:before="0" w:after="0"/>
        <w:ind w:left="2664" w:right="0" w:hanging="681"/>
        <w:jc w:val="left"/>
      </w:pPr>
      <w:r>
        <w:rPr>
          <w:spacing w:val="3"/>
          <w:w w:val="110"/>
        </w:rPr>
        <w:t>CTBI </w:t>
      </w:r>
      <w:r>
        <w:rPr>
          <w:w w:val="110"/>
        </w:rPr>
        <w:t>churches’ network for</w:t>
      </w:r>
      <w:r>
        <w:rPr>
          <w:spacing w:val="-4"/>
          <w:w w:val="110"/>
        </w:rPr>
        <w:t> </w:t>
      </w:r>
      <w:r>
        <w:rPr>
          <w:w w:val="110"/>
        </w:rPr>
        <w:t>mission</w:t>
      </w:r>
    </w:p>
    <w:p>
      <w:pPr>
        <w:pStyle w:val="BodyText"/>
        <w:spacing w:line="235" w:lineRule="exact"/>
        <w:ind w:left="1984"/>
      </w:pPr>
      <w:r>
        <w:rPr>
          <w:w w:val="115"/>
        </w:rPr>
        <w:t>Secretary for mission</w:t>
      </w:r>
    </w:p>
    <w:p>
      <w:pPr>
        <w:pStyle w:val="BodyText"/>
        <w:spacing w:before="4"/>
        <w:rPr>
          <w:sz w:val="18"/>
        </w:rPr>
      </w:pPr>
    </w:p>
    <w:p>
      <w:pPr>
        <w:pStyle w:val="Heading9"/>
        <w:numPr>
          <w:ilvl w:val="2"/>
          <w:numId w:val="85"/>
        </w:numPr>
        <w:tabs>
          <w:tab w:pos="2665" w:val="left" w:leader="none"/>
        </w:tabs>
        <w:spacing w:line="261" w:lineRule="exact" w:before="0" w:after="0"/>
        <w:ind w:left="2664" w:right="0" w:hanging="681"/>
        <w:jc w:val="left"/>
      </w:pPr>
      <w:r>
        <w:rPr>
          <w:spacing w:val="3"/>
          <w:w w:val="110"/>
        </w:rPr>
        <w:t>CTBI </w:t>
      </w:r>
      <w:r>
        <w:rPr>
          <w:w w:val="110"/>
        </w:rPr>
        <w:t>China</w:t>
      </w:r>
      <w:r>
        <w:rPr>
          <w:spacing w:val="-4"/>
          <w:w w:val="110"/>
        </w:rPr>
        <w:t> </w:t>
      </w:r>
      <w:r>
        <w:rPr>
          <w:w w:val="110"/>
        </w:rPr>
        <w:t>forum</w:t>
      </w:r>
    </w:p>
    <w:p>
      <w:pPr>
        <w:pStyle w:val="BodyText"/>
        <w:spacing w:line="235" w:lineRule="exact"/>
        <w:ind w:left="1984"/>
      </w:pPr>
      <w:r>
        <w:rPr>
          <w:w w:val="120"/>
        </w:rPr>
        <w:t>The Revd John Scott</w:t>
      </w:r>
    </w:p>
    <w:p>
      <w:pPr>
        <w:pStyle w:val="BodyText"/>
        <w:spacing w:before="3"/>
        <w:rPr>
          <w:sz w:val="18"/>
        </w:rPr>
      </w:pPr>
    </w:p>
    <w:p>
      <w:pPr>
        <w:pStyle w:val="Heading9"/>
        <w:numPr>
          <w:ilvl w:val="1"/>
          <w:numId w:val="85"/>
        </w:numPr>
        <w:tabs>
          <w:tab w:pos="2664" w:val="left" w:leader="none"/>
          <w:tab w:pos="2665" w:val="left" w:leader="none"/>
        </w:tabs>
        <w:spacing w:line="261" w:lineRule="exact" w:before="0" w:after="0"/>
        <w:ind w:left="2664" w:right="0" w:hanging="681"/>
        <w:jc w:val="left"/>
        <w:rPr>
          <w:color w:val="002060"/>
        </w:rPr>
      </w:pPr>
      <w:r>
        <w:rPr>
          <w:w w:val="110"/>
        </w:rPr>
        <w:t>Churches Together in England (CTE)</w:t>
      </w:r>
      <w:r>
        <w:rPr>
          <w:spacing w:val="-2"/>
          <w:w w:val="110"/>
        </w:rPr>
        <w:t> </w:t>
      </w:r>
      <w:r>
        <w:rPr>
          <w:w w:val="110"/>
        </w:rPr>
        <w:t>forum</w:t>
      </w:r>
    </w:p>
    <w:p>
      <w:pPr>
        <w:pStyle w:val="BodyText"/>
        <w:tabs>
          <w:tab w:pos="5584" w:val="left" w:leader="none"/>
        </w:tabs>
        <w:spacing w:line="235" w:lineRule="exact"/>
        <w:ind w:left="1984"/>
      </w:pPr>
      <w:r>
        <w:rPr>
          <w:w w:val="120"/>
        </w:rPr>
        <w:t>General</w:t>
      </w:r>
      <w:r>
        <w:rPr>
          <w:spacing w:val="1"/>
          <w:w w:val="120"/>
        </w:rPr>
        <w:t> </w:t>
      </w:r>
      <w:r>
        <w:rPr>
          <w:w w:val="120"/>
        </w:rPr>
        <w:t>secretary</w:t>
        <w:tab/>
        <w:t>Secretary for ecumenical</w:t>
      </w:r>
      <w:r>
        <w:rPr>
          <w:spacing w:val="6"/>
          <w:w w:val="120"/>
        </w:rPr>
        <w:t> </w:t>
      </w:r>
      <w:r>
        <w:rPr>
          <w:w w:val="120"/>
        </w:rPr>
        <w:t>relations</w:t>
      </w:r>
    </w:p>
    <w:p>
      <w:pPr>
        <w:pStyle w:val="BodyText"/>
        <w:spacing w:before="4"/>
        <w:rPr>
          <w:sz w:val="18"/>
        </w:rPr>
      </w:pPr>
    </w:p>
    <w:p>
      <w:pPr>
        <w:pStyle w:val="Heading9"/>
        <w:numPr>
          <w:ilvl w:val="2"/>
          <w:numId w:val="85"/>
        </w:numPr>
        <w:tabs>
          <w:tab w:pos="2665" w:val="left" w:leader="none"/>
        </w:tabs>
        <w:spacing w:line="261" w:lineRule="exact" w:before="0" w:after="0"/>
        <w:ind w:left="2664" w:right="0" w:hanging="681"/>
        <w:jc w:val="left"/>
      </w:pPr>
      <w:r>
        <w:rPr>
          <w:spacing w:val="4"/>
          <w:w w:val="110"/>
        </w:rPr>
        <w:t>CTE </w:t>
      </w:r>
      <w:r>
        <w:rPr>
          <w:w w:val="110"/>
        </w:rPr>
        <w:t>enabling</w:t>
      </w:r>
      <w:r>
        <w:rPr>
          <w:spacing w:val="-5"/>
          <w:w w:val="110"/>
        </w:rPr>
        <w:t> </w:t>
      </w:r>
      <w:r>
        <w:rPr>
          <w:w w:val="110"/>
        </w:rPr>
        <w:t>group</w:t>
      </w:r>
    </w:p>
    <w:p>
      <w:pPr>
        <w:pStyle w:val="BodyText"/>
        <w:spacing w:line="235" w:lineRule="exact"/>
        <w:ind w:left="1984"/>
      </w:pPr>
      <w:r>
        <w:rPr>
          <w:w w:val="120"/>
        </w:rPr>
        <w:t>Secretary for ecumenical relations</w:t>
      </w:r>
    </w:p>
    <w:p>
      <w:pPr>
        <w:pStyle w:val="BodyText"/>
        <w:spacing w:before="3"/>
        <w:rPr>
          <w:sz w:val="18"/>
        </w:rPr>
      </w:pPr>
    </w:p>
    <w:p>
      <w:pPr>
        <w:pStyle w:val="Heading9"/>
        <w:numPr>
          <w:ilvl w:val="2"/>
          <w:numId w:val="85"/>
        </w:numPr>
        <w:tabs>
          <w:tab w:pos="2665" w:val="left" w:leader="none"/>
        </w:tabs>
        <w:spacing w:line="261" w:lineRule="exact" w:before="0" w:after="0"/>
        <w:ind w:left="2664" w:right="0" w:hanging="681"/>
        <w:jc w:val="left"/>
      </w:pPr>
      <w:r>
        <w:rPr>
          <w:spacing w:val="4"/>
          <w:w w:val="110"/>
        </w:rPr>
        <w:t>CTE </w:t>
      </w:r>
      <w:r>
        <w:rPr>
          <w:w w:val="110"/>
        </w:rPr>
        <w:t>coordinating group for local</w:t>
      </w:r>
      <w:r>
        <w:rPr>
          <w:spacing w:val="-5"/>
          <w:w w:val="110"/>
        </w:rPr>
        <w:t> </w:t>
      </w:r>
      <w:r>
        <w:rPr>
          <w:w w:val="110"/>
        </w:rPr>
        <w:t>unity</w:t>
      </w:r>
    </w:p>
    <w:p>
      <w:pPr>
        <w:pStyle w:val="BodyText"/>
        <w:tabs>
          <w:tab w:pos="5584" w:val="left" w:leader="none"/>
        </w:tabs>
        <w:spacing w:line="235" w:lineRule="exact"/>
        <w:ind w:left="1984"/>
      </w:pPr>
      <w:r>
        <w:rPr>
          <w:w w:val="120"/>
        </w:rPr>
        <w:t>The Revd</w:t>
      </w:r>
      <w:r>
        <w:rPr>
          <w:spacing w:val="2"/>
          <w:w w:val="120"/>
        </w:rPr>
        <w:t> </w:t>
      </w:r>
      <w:r>
        <w:rPr>
          <w:w w:val="120"/>
        </w:rPr>
        <w:t>Kevin</w:t>
      </w:r>
      <w:r>
        <w:rPr>
          <w:spacing w:val="1"/>
          <w:w w:val="120"/>
        </w:rPr>
        <w:t> </w:t>
      </w:r>
      <w:r>
        <w:rPr>
          <w:w w:val="120"/>
        </w:rPr>
        <w:t>Watson</w:t>
        <w:tab/>
        <w:t>Secretary for ecumenical</w:t>
      </w:r>
      <w:r>
        <w:rPr>
          <w:spacing w:val="5"/>
          <w:w w:val="120"/>
        </w:rPr>
        <w:t> </w:t>
      </w:r>
      <w:r>
        <w:rPr>
          <w:w w:val="120"/>
        </w:rPr>
        <w:t>relations</w:t>
      </w:r>
    </w:p>
    <w:p>
      <w:pPr>
        <w:pStyle w:val="BodyText"/>
        <w:spacing w:before="4"/>
        <w:rPr>
          <w:sz w:val="18"/>
        </w:rPr>
      </w:pPr>
    </w:p>
    <w:p>
      <w:pPr>
        <w:pStyle w:val="Heading9"/>
        <w:numPr>
          <w:ilvl w:val="2"/>
          <w:numId w:val="85"/>
        </w:numPr>
        <w:tabs>
          <w:tab w:pos="2665" w:val="left" w:leader="none"/>
        </w:tabs>
        <w:spacing w:line="261" w:lineRule="exact" w:before="0" w:after="0"/>
        <w:ind w:left="2664" w:right="0" w:hanging="681"/>
        <w:jc w:val="left"/>
      </w:pPr>
      <w:r>
        <w:rPr>
          <w:spacing w:val="4"/>
          <w:w w:val="110"/>
        </w:rPr>
        <w:t>CTE </w:t>
      </w:r>
      <w:r>
        <w:rPr>
          <w:w w:val="110"/>
        </w:rPr>
        <w:t>Churches Together for</w:t>
      </w:r>
      <w:r>
        <w:rPr>
          <w:spacing w:val="-9"/>
          <w:w w:val="110"/>
        </w:rPr>
        <w:t> </w:t>
      </w:r>
      <w:r>
        <w:rPr>
          <w:w w:val="110"/>
        </w:rPr>
        <w:t>healing</w:t>
      </w:r>
    </w:p>
    <w:p>
      <w:pPr>
        <w:pStyle w:val="BodyText"/>
        <w:tabs>
          <w:tab w:pos="5584" w:val="left" w:leader="none"/>
        </w:tabs>
        <w:spacing w:line="235" w:lineRule="exact"/>
        <w:ind w:left="1984"/>
      </w:pPr>
      <w:r>
        <w:rPr>
          <w:w w:val="120"/>
        </w:rPr>
        <w:t>The Revd</w:t>
      </w:r>
      <w:r>
        <w:rPr>
          <w:spacing w:val="12"/>
          <w:w w:val="120"/>
        </w:rPr>
        <w:t> </w:t>
      </w:r>
      <w:r>
        <w:rPr>
          <w:w w:val="120"/>
        </w:rPr>
        <w:t>Deborah</w:t>
      </w:r>
      <w:r>
        <w:rPr>
          <w:spacing w:val="6"/>
          <w:w w:val="120"/>
        </w:rPr>
        <w:t> </w:t>
      </w:r>
      <w:r>
        <w:rPr>
          <w:w w:val="120"/>
        </w:rPr>
        <w:t>McVey</w:t>
        <w:tab/>
        <w:t>The Revd Vivien</w:t>
      </w:r>
      <w:r>
        <w:rPr>
          <w:spacing w:val="44"/>
          <w:w w:val="120"/>
        </w:rPr>
        <w:t> </w:t>
      </w:r>
      <w:r>
        <w:rPr>
          <w:w w:val="120"/>
        </w:rPr>
        <w:t>Henderson</w:t>
      </w:r>
    </w:p>
    <w:p>
      <w:pPr>
        <w:pStyle w:val="BodyText"/>
        <w:spacing w:before="3"/>
        <w:rPr>
          <w:sz w:val="18"/>
        </w:rPr>
      </w:pPr>
    </w:p>
    <w:p>
      <w:pPr>
        <w:pStyle w:val="Heading9"/>
        <w:numPr>
          <w:ilvl w:val="2"/>
          <w:numId w:val="85"/>
        </w:numPr>
        <w:tabs>
          <w:tab w:pos="2665" w:val="left" w:leader="none"/>
        </w:tabs>
        <w:spacing w:line="261" w:lineRule="exact" w:before="1" w:after="0"/>
        <w:ind w:left="2664" w:right="0" w:hanging="681"/>
        <w:jc w:val="left"/>
      </w:pPr>
      <w:r>
        <w:rPr>
          <w:spacing w:val="4"/>
          <w:w w:val="110"/>
        </w:rPr>
        <w:t>CTE </w:t>
      </w:r>
      <w:r>
        <w:rPr>
          <w:w w:val="110"/>
        </w:rPr>
        <w:t>churches’ joint education policy</w:t>
      </w:r>
      <w:r>
        <w:rPr>
          <w:spacing w:val="-5"/>
          <w:w w:val="110"/>
        </w:rPr>
        <w:t> </w:t>
      </w:r>
      <w:r>
        <w:rPr>
          <w:w w:val="110"/>
        </w:rPr>
        <w:t>committee</w:t>
      </w:r>
    </w:p>
    <w:p>
      <w:pPr>
        <w:pStyle w:val="BodyText"/>
        <w:spacing w:line="235" w:lineRule="exact"/>
        <w:ind w:left="1984"/>
      </w:pPr>
      <w:r>
        <w:rPr>
          <w:w w:val="120"/>
        </w:rPr>
        <w:t>Mr Graham Handscomb</w:t>
      </w:r>
    </w:p>
    <w:p>
      <w:pPr>
        <w:pStyle w:val="BodyText"/>
        <w:spacing w:before="3"/>
        <w:rPr>
          <w:sz w:val="18"/>
        </w:rPr>
      </w:pPr>
    </w:p>
    <w:p>
      <w:pPr>
        <w:pStyle w:val="Heading9"/>
        <w:numPr>
          <w:ilvl w:val="2"/>
          <w:numId w:val="85"/>
        </w:numPr>
        <w:tabs>
          <w:tab w:pos="2665" w:val="left" w:leader="none"/>
        </w:tabs>
        <w:spacing w:line="261" w:lineRule="exact" w:before="0" w:after="0"/>
        <w:ind w:left="2664" w:right="0" w:hanging="681"/>
        <w:jc w:val="left"/>
      </w:pPr>
      <w:r>
        <w:rPr>
          <w:spacing w:val="4"/>
          <w:w w:val="110"/>
        </w:rPr>
        <w:t>CTE </w:t>
      </w:r>
      <w:r>
        <w:rPr>
          <w:w w:val="110"/>
        </w:rPr>
        <w:t>churches’ theology and unity</w:t>
      </w:r>
      <w:r>
        <w:rPr>
          <w:spacing w:val="-5"/>
          <w:w w:val="110"/>
        </w:rPr>
        <w:t> </w:t>
      </w:r>
      <w:r>
        <w:rPr>
          <w:w w:val="110"/>
        </w:rPr>
        <w:t>group</w:t>
      </w:r>
    </w:p>
    <w:p>
      <w:pPr>
        <w:pStyle w:val="BodyText"/>
        <w:spacing w:line="235" w:lineRule="exact"/>
        <w:ind w:left="1984"/>
      </w:pPr>
      <w:r>
        <w:rPr>
          <w:w w:val="120"/>
        </w:rPr>
        <w:t>Secretary for ecumenical relations</w:t>
      </w:r>
    </w:p>
    <w:p>
      <w:pPr>
        <w:pStyle w:val="BodyText"/>
        <w:spacing w:before="4"/>
        <w:rPr>
          <w:sz w:val="18"/>
        </w:rPr>
      </w:pPr>
    </w:p>
    <w:p>
      <w:pPr>
        <w:pStyle w:val="Heading9"/>
        <w:numPr>
          <w:ilvl w:val="2"/>
          <w:numId w:val="85"/>
        </w:numPr>
        <w:tabs>
          <w:tab w:pos="2665" w:val="left" w:leader="none"/>
        </w:tabs>
        <w:spacing w:line="261" w:lineRule="exact" w:before="0" w:after="0"/>
        <w:ind w:left="2664" w:right="0" w:hanging="681"/>
        <w:jc w:val="left"/>
      </w:pPr>
      <w:r>
        <w:rPr>
          <w:spacing w:val="4"/>
          <w:w w:val="110"/>
        </w:rPr>
        <w:t>CTE </w:t>
      </w:r>
      <w:r>
        <w:rPr>
          <w:w w:val="110"/>
        </w:rPr>
        <w:t>group for</w:t>
      </w:r>
      <w:r>
        <w:rPr>
          <w:spacing w:val="-5"/>
          <w:w w:val="110"/>
        </w:rPr>
        <w:t> </w:t>
      </w:r>
      <w:r>
        <w:rPr>
          <w:w w:val="110"/>
        </w:rPr>
        <w:t>evangelisation</w:t>
      </w:r>
    </w:p>
    <w:p>
      <w:pPr>
        <w:pStyle w:val="BodyText"/>
        <w:spacing w:line="235" w:lineRule="exact"/>
        <w:ind w:left="1984"/>
      </w:pPr>
      <w:r>
        <w:rPr>
          <w:w w:val="115"/>
        </w:rPr>
        <w:t>Secretary for mission</w:t>
      </w:r>
    </w:p>
    <w:p>
      <w:pPr>
        <w:pStyle w:val="BodyText"/>
        <w:spacing w:before="3"/>
        <w:rPr>
          <w:sz w:val="18"/>
        </w:rPr>
      </w:pPr>
    </w:p>
    <w:p>
      <w:pPr>
        <w:pStyle w:val="Heading9"/>
        <w:numPr>
          <w:ilvl w:val="2"/>
          <w:numId w:val="85"/>
        </w:numPr>
        <w:tabs>
          <w:tab w:pos="2665" w:val="left" w:leader="none"/>
        </w:tabs>
        <w:spacing w:line="261" w:lineRule="exact" w:before="0" w:after="0"/>
        <w:ind w:left="2664" w:right="0" w:hanging="681"/>
        <w:jc w:val="left"/>
      </w:pPr>
      <w:r>
        <w:rPr>
          <w:spacing w:val="4"/>
          <w:w w:val="110"/>
        </w:rPr>
        <w:t>CTE </w:t>
      </w:r>
      <w:r>
        <w:rPr>
          <w:w w:val="110"/>
        </w:rPr>
        <w:t>spirituality coordinating</w:t>
      </w:r>
      <w:r>
        <w:rPr>
          <w:spacing w:val="-5"/>
          <w:w w:val="110"/>
        </w:rPr>
        <w:t> </w:t>
      </w:r>
      <w:r>
        <w:rPr>
          <w:w w:val="110"/>
        </w:rPr>
        <w:t>group</w:t>
      </w:r>
    </w:p>
    <w:p>
      <w:pPr>
        <w:pStyle w:val="BodyText"/>
        <w:spacing w:line="235" w:lineRule="exact"/>
        <w:ind w:left="1984"/>
      </w:pPr>
      <w:r>
        <w:rPr>
          <w:w w:val="120"/>
        </w:rPr>
        <w:t>The Revd Sue Henderson</w:t>
      </w:r>
    </w:p>
    <w:p>
      <w:pPr>
        <w:pStyle w:val="BodyText"/>
        <w:spacing w:before="4"/>
        <w:rPr>
          <w:sz w:val="18"/>
        </w:rPr>
      </w:pPr>
    </w:p>
    <w:p>
      <w:pPr>
        <w:pStyle w:val="Heading9"/>
        <w:numPr>
          <w:ilvl w:val="2"/>
          <w:numId w:val="85"/>
        </w:numPr>
        <w:tabs>
          <w:tab w:pos="2665" w:val="left" w:leader="none"/>
        </w:tabs>
        <w:spacing w:line="261" w:lineRule="exact" w:before="0" w:after="0"/>
        <w:ind w:left="2664" w:right="0" w:hanging="681"/>
        <w:jc w:val="left"/>
      </w:pPr>
      <w:r>
        <w:rPr>
          <w:spacing w:val="4"/>
          <w:w w:val="110"/>
        </w:rPr>
        <w:t>CTE </w:t>
      </w:r>
      <w:r>
        <w:rPr>
          <w:w w:val="110"/>
        </w:rPr>
        <w:t>churches’ rural</w:t>
      </w:r>
      <w:r>
        <w:rPr>
          <w:spacing w:val="-5"/>
          <w:w w:val="110"/>
        </w:rPr>
        <w:t> </w:t>
      </w:r>
      <w:r>
        <w:rPr>
          <w:w w:val="110"/>
        </w:rPr>
        <w:t>group</w:t>
      </w:r>
    </w:p>
    <w:p>
      <w:pPr>
        <w:pStyle w:val="BodyText"/>
        <w:spacing w:line="235" w:lineRule="exact"/>
        <w:ind w:left="1984"/>
      </w:pPr>
      <w:r>
        <w:rPr>
          <w:w w:val="120"/>
        </w:rPr>
        <w:t>The Revd David Herbert</w:t>
      </w:r>
    </w:p>
    <w:p>
      <w:pPr>
        <w:pStyle w:val="BodyText"/>
        <w:spacing w:before="3"/>
        <w:rPr>
          <w:sz w:val="18"/>
        </w:rPr>
      </w:pPr>
    </w:p>
    <w:p>
      <w:pPr>
        <w:pStyle w:val="Heading9"/>
        <w:numPr>
          <w:ilvl w:val="2"/>
          <w:numId w:val="85"/>
        </w:numPr>
        <w:tabs>
          <w:tab w:pos="2665" w:val="left" w:leader="none"/>
        </w:tabs>
        <w:spacing w:line="261" w:lineRule="exact" w:before="0" w:after="0"/>
        <w:ind w:left="2664" w:right="0" w:hanging="681"/>
        <w:jc w:val="left"/>
      </w:pPr>
      <w:r>
        <w:rPr>
          <w:spacing w:val="4"/>
          <w:w w:val="110"/>
        </w:rPr>
        <w:t>CTE </w:t>
      </w:r>
      <w:r>
        <w:rPr>
          <w:w w:val="110"/>
        </w:rPr>
        <w:t>minority ethnic affairs</w:t>
      </w:r>
      <w:r>
        <w:rPr>
          <w:spacing w:val="-5"/>
          <w:w w:val="110"/>
        </w:rPr>
        <w:t> </w:t>
      </w:r>
      <w:r>
        <w:rPr>
          <w:w w:val="110"/>
        </w:rPr>
        <w:t>group</w:t>
      </w:r>
    </w:p>
    <w:p>
      <w:pPr>
        <w:pStyle w:val="BodyText"/>
        <w:spacing w:line="235" w:lineRule="exact"/>
        <w:ind w:left="1984"/>
      </w:pPr>
      <w:r>
        <w:rPr>
          <w:w w:val="120"/>
        </w:rPr>
        <w:t>Secretary for racial justice and multicultural ministry</w:t>
      </w:r>
    </w:p>
    <w:p>
      <w:pPr>
        <w:pStyle w:val="BodyText"/>
        <w:spacing w:before="4"/>
        <w:rPr>
          <w:sz w:val="18"/>
        </w:rPr>
      </w:pPr>
    </w:p>
    <w:p>
      <w:pPr>
        <w:pStyle w:val="Heading9"/>
        <w:numPr>
          <w:ilvl w:val="1"/>
          <w:numId w:val="85"/>
        </w:numPr>
        <w:tabs>
          <w:tab w:pos="2664" w:val="left" w:leader="none"/>
          <w:tab w:pos="2665" w:val="left" w:leader="none"/>
        </w:tabs>
        <w:spacing w:line="261" w:lineRule="exact" w:before="0" w:after="0"/>
        <w:ind w:left="2664" w:right="0" w:hanging="681"/>
        <w:jc w:val="left"/>
      </w:pPr>
      <w:r>
        <w:rPr>
          <w:w w:val="110"/>
        </w:rPr>
        <w:t>Action of Churches Together in Scotland (ACTS) members</w:t>
      </w:r>
      <w:r>
        <w:rPr>
          <w:spacing w:val="-1"/>
          <w:w w:val="110"/>
        </w:rPr>
        <w:t> </w:t>
      </w:r>
      <w:r>
        <w:rPr>
          <w:w w:val="110"/>
        </w:rPr>
        <w:t>meeting</w:t>
      </w:r>
    </w:p>
    <w:p>
      <w:pPr>
        <w:pStyle w:val="BodyText"/>
        <w:spacing w:line="233" w:lineRule="exact"/>
        <w:ind w:left="1984"/>
      </w:pPr>
      <w:r>
        <w:rPr>
          <w:w w:val="120"/>
        </w:rPr>
        <w:t>[see note 7]</w:t>
      </w:r>
    </w:p>
    <w:p>
      <w:pPr>
        <w:pStyle w:val="BodyText"/>
        <w:tabs>
          <w:tab w:pos="5584" w:val="left" w:leader="none"/>
        </w:tabs>
        <w:spacing w:line="242" w:lineRule="exact"/>
        <w:ind w:left="1984"/>
      </w:pPr>
      <w:r>
        <w:rPr>
          <w:w w:val="120"/>
        </w:rPr>
        <w:t>The Revd</w:t>
      </w:r>
      <w:r>
        <w:rPr>
          <w:spacing w:val="10"/>
          <w:w w:val="120"/>
        </w:rPr>
        <w:t> </w:t>
      </w:r>
      <w:r>
        <w:rPr>
          <w:w w:val="120"/>
        </w:rPr>
        <w:t>John</w:t>
      </w:r>
      <w:r>
        <w:rPr>
          <w:spacing w:val="5"/>
          <w:w w:val="120"/>
        </w:rPr>
        <w:t> </w:t>
      </w:r>
      <w:r>
        <w:rPr>
          <w:w w:val="120"/>
        </w:rPr>
        <w:t>Humphreys</w:t>
        <w:tab/>
        <w:t>The Revd Mitchell Bunting/Mrs Kathleen</w:t>
      </w:r>
      <w:r>
        <w:rPr>
          <w:spacing w:val="9"/>
          <w:w w:val="120"/>
        </w:rPr>
        <w:t> </w:t>
      </w:r>
      <w:r>
        <w:rPr>
          <w:w w:val="120"/>
        </w:rPr>
        <w:t>Ziffo</w:t>
      </w:r>
    </w:p>
    <w:p>
      <w:pPr>
        <w:pStyle w:val="BodyText"/>
        <w:spacing w:before="5"/>
        <w:rPr>
          <w:sz w:val="19"/>
        </w:rPr>
      </w:pPr>
    </w:p>
    <w:p>
      <w:pPr>
        <w:pStyle w:val="ListParagraph"/>
        <w:numPr>
          <w:ilvl w:val="1"/>
          <w:numId w:val="85"/>
        </w:numPr>
        <w:tabs>
          <w:tab w:pos="2664" w:val="left" w:leader="none"/>
          <w:tab w:pos="2665" w:val="left" w:leader="none"/>
          <w:tab w:pos="5584" w:val="left" w:leader="none"/>
        </w:tabs>
        <w:spacing w:line="223" w:lineRule="auto" w:before="1" w:after="0"/>
        <w:ind w:left="1984" w:right="3716" w:firstLine="0"/>
        <w:jc w:val="left"/>
        <w:rPr>
          <w:rFonts w:ascii="Stone Sans II ITC Std Bk"/>
          <w:sz w:val="20"/>
        </w:rPr>
      </w:pPr>
      <w:r>
        <w:rPr>
          <w:rFonts w:ascii="Stone Sans II ITC Std Bk"/>
          <w:b/>
          <w:w w:val="115"/>
          <w:sz w:val="20"/>
        </w:rPr>
        <w:t>National sponsoring body for Scotland </w:t>
      </w:r>
      <w:r>
        <w:rPr>
          <w:spacing w:val="-4"/>
          <w:w w:val="115"/>
          <w:sz w:val="20"/>
        </w:rPr>
        <w:t>[see </w:t>
      </w:r>
      <w:r>
        <w:rPr>
          <w:w w:val="115"/>
          <w:sz w:val="20"/>
        </w:rPr>
        <w:t>note 7] The  Revd</w:t>
      </w:r>
      <w:r>
        <w:rPr>
          <w:spacing w:val="30"/>
          <w:w w:val="115"/>
          <w:sz w:val="20"/>
        </w:rPr>
        <w:t> </w:t>
      </w:r>
      <w:r>
        <w:rPr>
          <w:w w:val="115"/>
          <w:sz w:val="20"/>
        </w:rPr>
        <w:t>John</w:t>
      </w:r>
      <w:r>
        <w:rPr>
          <w:spacing w:val="41"/>
          <w:w w:val="115"/>
          <w:sz w:val="20"/>
        </w:rPr>
        <w:t> </w:t>
      </w:r>
      <w:r>
        <w:rPr>
          <w:w w:val="115"/>
          <w:sz w:val="20"/>
        </w:rPr>
        <w:t>Humphreys</w:t>
        <w:tab/>
        <w:t>The Revd Mitchell</w:t>
      </w:r>
      <w:r>
        <w:rPr>
          <w:spacing w:val="20"/>
          <w:w w:val="115"/>
          <w:sz w:val="20"/>
        </w:rPr>
        <w:t> </w:t>
      </w:r>
      <w:r>
        <w:rPr>
          <w:w w:val="115"/>
          <w:sz w:val="20"/>
        </w:rPr>
        <w:t>Bunting</w:t>
      </w:r>
    </w:p>
    <w:p>
      <w:pPr>
        <w:spacing w:after="0" w:line="223" w:lineRule="auto"/>
        <w:jc w:val="left"/>
        <w:rPr>
          <w:rFonts w:ascii="Stone Sans II ITC Std Bk"/>
          <w:sz w:val="20"/>
        </w:rPr>
        <w:sectPr>
          <w:headerReference w:type="default" r:id="rId348"/>
          <w:pgSz w:w="11910" w:h="16840"/>
          <w:pgMar w:header="0" w:footer="647" w:top="0" w:bottom="840" w:left="0" w:right="0"/>
        </w:sectPr>
      </w:pPr>
    </w:p>
    <w:p>
      <w:pPr>
        <w:pStyle w:val="BodyText"/>
      </w:pPr>
      <w:r>
        <w:rPr/>
        <w:drawing>
          <wp:anchor distT="0" distB="0" distL="0" distR="0" allowOverlap="1" layoutInCell="1" locked="0" behindDoc="0" simplePos="0" relativeHeight="252052480">
            <wp:simplePos x="0" y="0"/>
            <wp:positionH relativeFrom="page">
              <wp:posOffset>0</wp:posOffset>
            </wp:positionH>
            <wp:positionV relativeFrom="page">
              <wp:posOffset>0</wp:posOffset>
            </wp:positionV>
            <wp:extent cx="594067" cy="10692003"/>
            <wp:effectExtent l="0" t="0" r="0" b="0"/>
            <wp:wrapNone/>
            <wp:docPr id="279" name="image28.png"/>
            <wp:cNvGraphicFramePr>
              <a:graphicFrameLocks noChangeAspect="1"/>
            </wp:cNvGraphicFramePr>
            <a:graphic>
              <a:graphicData uri="http://schemas.openxmlformats.org/drawingml/2006/picture">
                <pic:pic>
                  <pic:nvPicPr>
                    <pic:cNvPr id="280" name="image28.png"/>
                    <pic:cNvPicPr/>
                  </pic:nvPicPr>
                  <pic:blipFill>
                    <a:blip r:embed="rId198"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shape style="position:absolute;margin-left:20.519100pt;margin-top:22.593945pt;width:25.9pt;height:131.3pt;mso-position-horizontal-relative:page;mso-position-vertical-relative:paragraph;z-index:252053504" type="#_x0000_t202" filled="false" stroked="false">
            <v:textbox inset="0,0,0,0" style="layout-flow:vertical">
              <w:txbxContent>
                <w:p>
                  <w:pPr>
                    <w:spacing w:before="27"/>
                    <w:ind w:left="20" w:right="0" w:firstLine="0"/>
                    <w:jc w:val="left"/>
                    <w:rPr>
                      <w:sz w:val="39"/>
                    </w:rPr>
                  </w:pPr>
                  <w:r>
                    <w:rPr>
                      <w:color w:val="FFFFFF"/>
                      <w:w w:val="120"/>
                      <w:sz w:val="39"/>
                    </w:rPr>
                    <w:t>Nominations</w:t>
                  </w:r>
                </w:p>
              </w:txbxContent>
            </v:textbox>
            <w10:wrap type="none"/>
          </v:shape>
        </w:pict>
      </w:r>
      <w:r>
        <w:rPr>
          <w:color w:val="7EAABF"/>
          <w:w w:val="115"/>
        </w:rPr>
        <w:t>Nominations</w:t>
      </w:r>
    </w:p>
    <w:p>
      <w:pPr>
        <w:pStyle w:val="ListParagraph"/>
        <w:numPr>
          <w:ilvl w:val="1"/>
          <w:numId w:val="85"/>
        </w:numPr>
        <w:tabs>
          <w:tab w:pos="1927" w:val="left" w:leader="none"/>
          <w:tab w:pos="1928" w:val="left" w:leader="none"/>
        </w:tabs>
        <w:spacing w:line="223" w:lineRule="auto" w:before="219" w:after="0"/>
        <w:ind w:left="1247" w:right="4766" w:firstLine="0"/>
        <w:jc w:val="left"/>
        <w:rPr>
          <w:rFonts w:ascii="Stone Sans II ITC Std Bk"/>
          <w:sz w:val="20"/>
        </w:rPr>
      </w:pPr>
      <w:r>
        <w:rPr>
          <w:rFonts w:ascii="Stone Sans II ITC Std Bk"/>
          <w:b/>
          <w:w w:val="115"/>
          <w:sz w:val="20"/>
        </w:rPr>
        <w:t>Churches</w:t>
      </w:r>
      <w:r>
        <w:rPr>
          <w:rFonts w:ascii="Stone Sans II ITC Std Bk"/>
          <w:b/>
          <w:spacing w:val="-18"/>
          <w:w w:val="115"/>
          <w:sz w:val="20"/>
        </w:rPr>
        <w:t> </w:t>
      </w:r>
      <w:r>
        <w:rPr>
          <w:rFonts w:ascii="Stone Sans II ITC Std Bk"/>
          <w:b/>
          <w:w w:val="115"/>
          <w:sz w:val="20"/>
        </w:rPr>
        <w:t>Together</w:t>
      </w:r>
      <w:r>
        <w:rPr>
          <w:rFonts w:ascii="Stone Sans II ITC Std Bk"/>
          <w:b/>
          <w:spacing w:val="-18"/>
          <w:w w:val="115"/>
          <w:sz w:val="20"/>
        </w:rPr>
        <w:t> </w:t>
      </w:r>
      <w:r>
        <w:rPr>
          <w:rFonts w:ascii="Stone Sans II ITC Std Bk"/>
          <w:b/>
          <w:w w:val="115"/>
          <w:sz w:val="20"/>
        </w:rPr>
        <w:t>in</w:t>
      </w:r>
      <w:r>
        <w:rPr>
          <w:rFonts w:ascii="Stone Sans II ITC Std Bk"/>
          <w:b/>
          <w:spacing w:val="-18"/>
          <w:w w:val="115"/>
          <w:sz w:val="20"/>
        </w:rPr>
        <w:t> </w:t>
      </w:r>
      <w:r>
        <w:rPr>
          <w:rFonts w:ascii="Stone Sans II ITC Std Bk"/>
          <w:b/>
          <w:w w:val="115"/>
          <w:sz w:val="20"/>
        </w:rPr>
        <w:t>Wales</w:t>
      </w:r>
      <w:r>
        <w:rPr>
          <w:rFonts w:ascii="Stone Sans II ITC Std Bk"/>
          <w:b/>
          <w:spacing w:val="-18"/>
          <w:w w:val="115"/>
          <w:sz w:val="20"/>
        </w:rPr>
        <w:t> </w:t>
      </w:r>
      <w:r>
        <w:rPr>
          <w:rFonts w:ascii="Stone Sans II ITC Std Bk"/>
          <w:b/>
          <w:w w:val="115"/>
          <w:sz w:val="20"/>
        </w:rPr>
        <w:t>(CYTUN)</w:t>
      </w:r>
      <w:r>
        <w:rPr>
          <w:rFonts w:ascii="Stone Sans II ITC Std Bk"/>
          <w:b/>
          <w:spacing w:val="-17"/>
          <w:w w:val="115"/>
          <w:sz w:val="20"/>
        </w:rPr>
        <w:t> </w:t>
      </w:r>
      <w:r>
        <w:rPr>
          <w:spacing w:val="-4"/>
          <w:w w:val="115"/>
          <w:sz w:val="20"/>
        </w:rPr>
        <w:t>[see</w:t>
      </w:r>
      <w:r>
        <w:rPr>
          <w:spacing w:val="-10"/>
          <w:w w:val="115"/>
          <w:sz w:val="20"/>
        </w:rPr>
        <w:t> </w:t>
      </w:r>
      <w:r>
        <w:rPr>
          <w:w w:val="115"/>
          <w:sz w:val="20"/>
        </w:rPr>
        <w:t>note</w:t>
      </w:r>
      <w:r>
        <w:rPr>
          <w:spacing w:val="-11"/>
          <w:w w:val="115"/>
          <w:sz w:val="20"/>
        </w:rPr>
        <w:t> </w:t>
      </w:r>
      <w:r>
        <w:rPr>
          <w:w w:val="115"/>
          <w:sz w:val="20"/>
        </w:rPr>
        <w:t>7] The Revd Gethin</w:t>
      </w:r>
      <w:r>
        <w:rPr>
          <w:spacing w:val="16"/>
          <w:w w:val="115"/>
          <w:sz w:val="20"/>
        </w:rPr>
        <w:t> </w:t>
      </w:r>
      <w:r>
        <w:rPr>
          <w:w w:val="115"/>
          <w:sz w:val="20"/>
        </w:rPr>
        <w:t>Rhys</w:t>
      </w:r>
    </w:p>
    <w:p>
      <w:pPr>
        <w:pStyle w:val="BodyText"/>
        <w:spacing w:before="10"/>
        <w:rPr>
          <w:sz w:val="19"/>
        </w:rPr>
      </w:pPr>
    </w:p>
    <w:p>
      <w:pPr>
        <w:pStyle w:val="ListParagraph"/>
        <w:numPr>
          <w:ilvl w:val="1"/>
          <w:numId w:val="85"/>
        </w:numPr>
        <w:tabs>
          <w:tab w:pos="1927" w:val="left" w:leader="none"/>
          <w:tab w:pos="1928" w:val="left" w:leader="none"/>
        </w:tabs>
        <w:spacing w:line="223" w:lineRule="auto" w:before="0" w:after="0"/>
        <w:ind w:left="1247" w:right="4790" w:firstLine="0"/>
        <w:jc w:val="left"/>
        <w:rPr>
          <w:rFonts w:ascii="Stone Sans II ITC Std Bk"/>
          <w:sz w:val="20"/>
        </w:rPr>
      </w:pPr>
      <w:r>
        <w:rPr>
          <w:rFonts w:ascii="Stone Sans II ITC Std Bk"/>
          <w:b/>
          <w:w w:val="115"/>
          <w:sz w:val="20"/>
        </w:rPr>
        <w:t>Commission</w:t>
      </w:r>
      <w:r>
        <w:rPr>
          <w:rFonts w:ascii="Stone Sans II ITC Std Bk"/>
          <w:b/>
          <w:spacing w:val="-23"/>
          <w:w w:val="115"/>
          <w:sz w:val="20"/>
        </w:rPr>
        <w:t> </w:t>
      </w:r>
      <w:r>
        <w:rPr>
          <w:rFonts w:ascii="Stone Sans II ITC Std Bk"/>
          <w:b/>
          <w:w w:val="115"/>
          <w:sz w:val="20"/>
        </w:rPr>
        <w:t>of</w:t>
      </w:r>
      <w:r>
        <w:rPr>
          <w:rFonts w:ascii="Stone Sans II ITC Std Bk"/>
          <w:b/>
          <w:spacing w:val="-22"/>
          <w:w w:val="115"/>
          <w:sz w:val="20"/>
        </w:rPr>
        <w:t> </w:t>
      </w:r>
      <w:r>
        <w:rPr>
          <w:rFonts w:ascii="Stone Sans II ITC Std Bk"/>
          <w:b/>
          <w:w w:val="115"/>
          <w:sz w:val="20"/>
        </w:rPr>
        <w:t>Covenanted</w:t>
      </w:r>
      <w:r>
        <w:rPr>
          <w:rFonts w:ascii="Stone Sans II ITC Std Bk"/>
          <w:b/>
          <w:spacing w:val="-22"/>
          <w:w w:val="115"/>
          <w:sz w:val="20"/>
        </w:rPr>
        <w:t> </w:t>
      </w:r>
      <w:r>
        <w:rPr>
          <w:rFonts w:ascii="Stone Sans II ITC Std Bk"/>
          <w:b/>
          <w:w w:val="115"/>
          <w:sz w:val="20"/>
        </w:rPr>
        <w:t>Churches</w:t>
      </w:r>
      <w:r>
        <w:rPr>
          <w:rFonts w:ascii="Stone Sans II ITC Std Bk"/>
          <w:b/>
          <w:spacing w:val="-22"/>
          <w:w w:val="115"/>
          <w:sz w:val="20"/>
        </w:rPr>
        <w:t> </w:t>
      </w:r>
      <w:r>
        <w:rPr>
          <w:spacing w:val="-4"/>
          <w:w w:val="115"/>
          <w:sz w:val="20"/>
        </w:rPr>
        <w:t>[see</w:t>
      </w:r>
      <w:r>
        <w:rPr>
          <w:spacing w:val="-15"/>
          <w:w w:val="115"/>
          <w:sz w:val="20"/>
        </w:rPr>
        <w:t> </w:t>
      </w:r>
      <w:r>
        <w:rPr>
          <w:w w:val="115"/>
          <w:sz w:val="20"/>
        </w:rPr>
        <w:t>note</w:t>
      </w:r>
      <w:r>
        <w:rPr>
          <w:spacing w:val="-14"/>
          <w:w w:val="115"/>
          <w:sz w:val="20"/>
        </w:rPr>
        <w:t> </w:t>
      </w:r>
      <w:r>
        <w:rPr>
          <w:w w:val="115"/>
          <w:sz w:val="20"/>
        </w:rPr>
        <w:t>7] 2</w:t>
      </w:r>
      <w:r>
        <w:rPr>
          <w:spacing w:val="4"/>
          <w:w w:val="115"/>
          <w:sz w:val="20"/>
        </w:rPr>
        <w:t> </w:t>
      </w:r>
      <w:r>
        <w:rPr>
          <w:w w:val="115"/>
          <w:sz w:val="20"/>
        </w:rPr>
        <w:t>vacancies</w:t>
      </w:r>
    </w:p>
    <w:p>
      <w:pPr>
        <w:pStyle w:val="BodyText"/>
        <w:spacing w:before="7"/>
        <w:rPr>
          <w:sz w:val="18"/>
        </w:rPr>
      </w:pPr>
    </w:p>
    <w:p>
      <w:pPr>
        <w:pStyle w:val="Heading9"/>
        <w:numPr>
          <w:ilvl w:val="1"/>
          <w:numId w:val="86"/>
        </w:numPr>
        <w:tabs>
          <w:tab w:pos="1927" w:val="left" w:leader="none"/>
          <w:tab w:pos="1928" w:val="left" w:leader="none"/>
        </w:tabs>
        <w:spacing w:line="261" w:lineRule="exact" w:before="0" w:after="0"/>
        <w:ind w:left="1927" w:right="0" w:hanging="681"/>
        <w:jc w:val="left"/>
      </w:pPr>
      <w:r>
        <w:rPr>
          <w:w w:val="110"/>
        </w:rPr>
        <w:t>Free Church education</w:t>
      </w:r>
      <w:r>
        <w:rPr>
          <w:spacing w:val="-1"/>
          <w:w w:val="110"/>
        </w:rPr>
        <w:t> </w:t>
      </w:r>
      <w:r>
        <w:rPr>
          <w:w w:val="110"/>
        </w:rPr>
        <w:t>committee</w:t>
      </w:r>
    </w:p>
    <w:p>
      <w:pPr>
        <w:pStyle w:val="BodyText"/>
        <w:tabs>
          <w:tab w:pos="4847" w:val="left" w:leader="none"/>
        </w:tabs>
        <w:spacing w:line="235" w:lineRule="exact"/>
        <w:ind w:left="1247"/>
      </w:pPr>
      <w:r>
        <w:rPr>
          <w:w w:val="120"/>
        </w:rPr>
        <w:t>Mr</w:t>
      </w:r>
      <w:r>
        <w:rPr>
          <w:spacing w:val="5"/>
          <w:w w:val="120"/>
        </w:rPr>
        <w:t> </w:t>
      </w:r>
      <w:r>
        <w:rPr>
          <w:w w:val="120"/>
        </w:rPr>
        <w:t>Graham</w:t>
      </w:r>
      <w:r>
        <w:rPr>
          <w:spacing w:val="6"/>
          <w:w w:val="120"/>
        </w:rPr>
        <w:t> </w:t>
      </w:r>
      <w:r>
        <w:rPr>
          <w:w w:val="120"/>
        </w:rPr>
        <w:t>Handscomb</w:t>
        <w:tab/>
        <w:t>Mrs Gillian</w:t>
      </w:r>
      <w:r>
        <w:rPr>
          <w:spacing w:val="4"/>
          <w:w w:val="120"/>
        </w:rPr>
        <w:t> </w:t>
      </w:r>
      <w:r>
        <w:rPr>
          <w:w w:val="120"/>
        </w:rPr>
        <w:t>Kingston</w:t>
      </w:r>
    </w:p>
    <w:p>
      <w:pPr>
        <w:pStyle w:val="BodyText"/>
        <w:spacing w:before="4"/>
        <w:rPr>
          <w:sz w:val="18"/>
        </w:rPr>
      </w:pPr>
    </w:p>
    <w:p>
      <w:pPr>
        <w:pStyle w:val="Heading9"/>
        <w:numPr>
          <w:ilvl w:val="1"/>
          <w:numId w:val="86"/>
        </w:numPr>
        <w:tabs>
          <w:tab w:pos="1927" w:val="left" w:leader="none"/>
          <w:tab w:pos="1928" w:val="left" w:leader="none"/>
        </w:tabs>
        <w:spacing w:line="261" w:lineRule="exact" w:before="0" w:after="0"/>
        <w:ind w:left="1927" w:right="0" w:hanging="681"/>
        <w:jc w:val="left"/>
      </w:pPr>
      <w:r>
        <w:rPr>
          <w:w w:val="110"/>
        </w:rPr>
        <w:t>European Churches’ environmental</w:t>
      </w:r>
      <w:r>
        <w:rPr>
          <w:spacing w:val="-1"/>
          <w:w w:val="110"/>
        </w:rPr>
        <w:t> </w:t>
      </w:r>
      <w:r>
        <w:rPr>
          <w:w w:val="110"/>
        </w:rPr>
        <w:t>network</w:t>
      </w:r>
    </w:p>
    <w:p>
      <w:pPr>
        <w:pStyle w:val="BodyText"/>
        <w:spacing w:line="235" w:lineRule="exact"/>
        <w:ind w:left="1247"/>
      </w:pPr>
      <w:r>
        <w:rPr>
          <w:w w:val="115"/>
        </w:rPr>
        <w:t>Mr Charles Jolly</w:t>
      </w:r>
    </w:p>
    <w:p>
      <w:pPr>
        <w:pStyle w:val="BodyText"/>
        <w:spacing w:before="3"/>
        <w:rPr>
          <w:sz w:val="18"/>
        </w:rPr>
      </w:pPr>
    </w:p>
    <w:p>
      <w:pPr>
        <w:pStyle w:val="Heading9"/>
        <w:numPr>
          <w:ilvl w:val="1"/>
          <w:numId w:val="86"/>
        </w:numPr>
        <w:tabs>
          <w:tab w:pos="1927" w:val="left" w:leader="none"/>
          <w:tab w:pos="1928" w:val="left" w:leader="none"/>
        </w:tabs>
        <w:spacing w:line="261" w:lineRule="exact" w:before="1" w:after="0"/>
        <w:ind w:left="1927" w:right="0" w:hanging="681"/>
        <w:jc w:val="left"/>
      </w:pPr>
      <w:r>
        <w:rPr>
          <w:w w:val="110"/>
        </w:rPr>
        <w:t>Churches’ refugee</w:t>
      </w:r>
      <w:r>
        <w:rPr>
          <w:spacing w:val="-1"/>
          <w:w w:val="110"/>
        </w:rPr>
        <w:t> </w:t>
      </w:r>
      <w:r>
        <w:rPr>
          <w:w w:val="110"/>
        </w:rPr>
        <w:t>network</w:t>
      </w:r>
    </w:p>
    <w:p>
      <w:pPr>
        <w:pStyle w:val="BodyText"/>
        <w:spacing w:line="235" w:lineRule="exact"/>
        <w:ind w:left="1247"/>
      </w:pPr>
      <w:r>
        <w:rPr>
          <w:w w:val="120"/>
        </w:rPr>
        <w:t>The Revd Fleur Houston</w:t>
      </w:r>
    </w:p>
    <w:p>
      <w:pPr>
        <w:pStyle w:val="BodyText"/>
        <w:spacing w:before="3"/>
        <w:rPr>
          <w:sz w:val="18"/>
        </w:rPr>
      </w:pPr>
    </w:p>
    <w:p>
      <w:pPr>
        <w:pStyle w:val="Heading9"/>
        <w:numPr>
          <w:ilvl w:val="1"/>
          <w:numId w:val="86"/>
        </w:numPr>
        <w:tabs>
          <w:tab w:pos="1927" w:val="left" w:leader="none"/>
          <w:tab w:pos="1928" w:val="left" w:leader="none"/>
        </w:tabs>
        <w:spacing w:line="261" w:lineRule="exact" w:before="0" w:after="0"/>
        <w:ind w:left="1927" w:right="0" w:hanging="681"/>
        <w:jc w:val="left"/>
      </w:pPr>
      <w:r>
        <w:rPr>
          <w:w w:val="110"/>
        </w:rPr>
        <w:t>Churches’ committee on funerals and</w:t>
      </w:r>
      <w:r>
        <w:rPr>
          <w:spacing w:val="-1"/>
          <w:w w:val="110"/>
        </w:rPr>
        <w:t> </w:t>
      </w:r>
      <w:r>
        <w:rPr>
          <w:w w:val="110"/>
        </w:rPr>
        <w:t>crematoria</w:t>
      </w:r>
    </w:p>
    <w:p>
      <w:pPr>
        <w:pStyle w:val="BodyText"/>
        <w:tabs>
          <w:tab w:pos="5567" w:val="left" w:leader="none"/>
        </w:tabs>
        <w:spacing w:line="235" w:lineRule="exact"/>
        <w:ind w:left="1247"/>
      </w:pPr>
      <w:r>
        <w:rPr>
          <w:w w:val="120"/>
        </w:rPr>
        <w:t>The Revd</w:t>
      </w:r>
      <w:r>
        <w:rPr>
          <w:spacing w:val="8"/>
          <w:w w:val="120"/>
        </w:rPr>
        <w:t> </w:t>
      </w:r>
      <w:r>
        <w:rPr>
          <w:w w:val="120"/>
        </w:rPr>
        <w:t>Sally</w:t>
      </w:r>
      <w:r>
        <w:rPr>
          <w:spacing w:val="5"/>
          <w:w w:val="120"/>
        </w:rPr>
        <w:t> </w:t>
      </w:r>
      <w:r>
        <w:rPr>
          <w:w w:val="120"/>
        </w:rPr>
        <w:t>Thomas</w:t>
        <w:tab/>
        <w:t>The Revd Kate</w:t>
      </w:r>
      <w:r>
        <w:rPr>
          <w:spacing w:val="6"/>
          <w:w w:val="120"/>
        </w:rPr>
        <w:t> </w:t>
      </w:r>
      <w:r>
        <w:rPr>
          <w:w w:val="120"/>
        </w:rPr>
        <w:t>Hackett</w:t>
      </w:r>
    </w:p>
    <w:p>
      <w:pPr>
        <w:pStyle w:val="BodyText"/>
        <w:spacing w:before="4"/>
        <w:rPr>
          <w:sz w:val="18"/>
        </w:rPr>
      </w:pPr>
    </w:p>
    <w:p>
      <w:pPr>
        <w:pStyle w:val="Heading9"/>
        <w:numPr>
          <w:ilvl w:val="1"/>
          <w:numId w:val="86"/>
        </w:numPr>
        <w:tabs>
          <w:tab w:pos="1927" w:val="left" w:leader="none"/>
          <w:tab w:pos="1928" w:val="left" w:leader="none"/>
        </w:tabs>
        <w:spacing w:line="261" w:lineRule="exact" w:before="0" w:after="0"/>
        <w:ind w:left="1927" w:right="0" w:hanging="681"/>
        <w:jc w:val="left"/>
      </w:pPr>
      <w:r>
        <w:rPr>
          <w:w w:val="110"/>
        </w:rPr>
        <w:t>Churches’ agency for</w:t>
      </w:r>
      <w:r>
        <w:rPr>
          <w:spacing w:val="-1"/>
          <w:w w:val="110"/>
        </w:rPr>
        <w:t> </w:t>
      </w:r>
      <w:r>
        <w:rPr>
          <w:w w:val="110"/>
        </w:rPr>
        <w:t>safeguarding</w:t>
      </w:r>
    </w:p>
    <w:p>
      <w:pPr>
        <w:pStyle w:val="BodyText"/>
        <w:spacing w:line="235" w:lineRule="exact"/>
        <w:ind w:left="1247"/>
      </w:pPr>
      <w:r>
        <w:rPr>
          <w:w w:val="120"/>
        </w:rPr>
        <w:t>Safeguarding officer</w:t>
      </w:r>
    </w:p>
    <w:p>
      <w:pPr>
        <w:pStyle w:val="BodyText"/>
        <w:spacing w:before="3"/>
        <w:rPr>
          <w:sz w:val="18"/>
        </w:rPr>
      </w:pPr>
    </w:p>
    <w:p>
      <w:pPr>
        <w:pStyle w:val="Heading9"/>
        <w:numPr>
          <w:ilvl w:val="1"/>
          <w:numId w:val="86"/>
        </w:numPr>
        <w:tabs>
          <w:tab w:pos="1927" w:val="left" w:leader="none"/>
          <w:tab w:pos="1928" w:val="left" w:leader="none"/>
        </w:tabs>
        <w:spacing w:line="261" w:lineRule="exact" w:before="0" w:after="0"/>
        <w:ind w:left="1927" w:right="0" w:hanging="681"/>
        <w:jc w:val="left"/>
      </w:pPr>
      <w:r>
        <w:rPr>
          <w:w w:val="110"/>
        </w:rPr>
        <w:t>Churches’ forum for</w:t>
      </w:r>
      <w:r>
        <w:rPr>
          <w:spacing w:val="-1"/>
          <w:w w:val="110"/>
        </w:rPr>
        <w:t> </w:t>
      </w:r>
      <w:r>
        <w:rPr>
          <w:w w:val="110"/>
        </w:rPr>
        <w:t>safeguarding</w:t>
      </w:r>
    </w:p>
    <w:p>
      <w:pPr>
        <w:pStyle w:val="BodyText"/>
        <w:spacing w:line="235" w:lineRule="exact"/>
        <w:ind w:left="1247"/>
      </w:pPr>
      <w:r>
        <w:rPr>
          <w:w w:val="120"/>
        </w:rPr>
        <w:t>Safeguarding officer</w:t>
      </w:r>
    </w:p>
    <w:p>
      <w:pPr>
        <w:pStyle w:val="BodyText"/>
        <w:spacing w:before="4"/>
        <w:rPr>
          <w:sz w:val="18"/>
        </w:rPr>
      </w:pPr>
    </w:p>
    <w:p>
      <w:pPr>
        <w:pStyle w:val="Heading9"/>
        <w:numPr>
          <w:ilvl w:val="1"/>
          <w:numId w:val="86"/>
        </w:numPr>
        <w:tabs>
          <w:tab w:pos="1928" w:val="left" w:leader="none"/>
        </w:tabs>
        <w:spacing w:line="261" w:lineRule="exact" w:before="0" w:after="0"/>
        <w:ind w:left="1927" w:right="0" w:hanging="681"/>
        <w:jc w:val="left"/>
      </w:pPr>
      <w:r>
        <w:rPr>
          <w:w w:val="110"/>
        </w:rPr>
        <w:t>Churches’ network for</w:t>
      </w:r>
      <w:r>
        <w:rPr>
          <w:spacing w:val="-1"/>
          <w:w w:val="110"/>
        </w:rPr>
        <w:t> </w:t>
      </w:r>
      <w:r>
        <w:rPr>
          <w:w w:val="110"/>
        </w:rPr>
        <w:t>non-violence</w:t>
      </w:r>
    </w:p>
    <w:p>
      <w:pPr>
        <w:pStyle w:val="BodyText"/>
        <w:spacing w:line="235" w:lineRule="exact"/>
        <w:ind w:left="1247"/>
      </w:pPr>
      <w:r>
        <w:rPr>
          <w:w w:val="120"/>
        </w:rPr>
        <w:t>Head of children’s and youth work</w:t>
      </w:r>
    </w:p>
    <w:p>
      <w:pPr>
        <w:pStyle w:val="BodyText"/>
        <w:spacing w:before="8"/>
        <w:rPr>
          <w:sz w:val="21"/>
        </w:rPr>
      </w:pPr>
    </w:p>
    <w:p>
      <w:pPr>
        <w:pStyle w:val="Heading4"/>
        <w:numPr>
          <w:ilvl w:val="0"/>
          <w:numId w:val="82"/>
        </w:numPr>
        <w:tabs>
          <w:tab w:pos="1927" w:val="left" w:leader="none"/>
          <w:tab w:pos="1928" w:val="left" w:leader="none"/>
        </w:tabs>
        <w:spacing w:line="196" w:lineRule="auto" w:before="0" w:after="0"/>
        <w:ind w:left="1927" w:right="3540" w:hanging="681"/>
        <w:jc w:val="left"/>
      </w:pPr>
      <w:r>
        <w:rPr>
          <w:spacing w:val="3"/>
          <w:w w:val="110"/>
        </w:rPr>
        <w:t>Representatives </w:t>
      </w:r>
      <w:r>
        <w:rPr>
          <w:spacing w:val="2"/>
          <w:w w:val="110"/>
        </w:rPr>
        <w:t>on </w:t>
      </w:r>
      <w:r>
        <w:rPr>
          <w:spacing w:val="4"/>
          <w:w w:val="110"/>
        </w:rPr>
        <w:t>formal bi-lateral </w:t>
      </w:r>
      <w:r>
        <w:rPr>
          <w:spacing w:val="3"/>
          <w:w w:val="110"/>
        </w:rPr>
        <w:t>and </w:t>
      </w:r>
      <w:r>
        <w:rPr>
          <w:spacing w:val="4"/>
          <w:w w:val="110"/>
        </w:rPr>
        <w:t>multi-lateral</w:t>
      </w:r>
      <w:r>
        <w:rPr>
          <w:spacing w:val="13"/>
          <w:w w:val="110"/>
        </w:rPr>
        <w:t> </w:t>
      </w:r>
      <w:r>
        <w:rPr>
          <w:spacing w:val="3"/>
          <w:w w:val="110"/>
        </w:rPr>
        <w:t>committees</w:t>
      </w:r>
    </w:p>
    <w:p>
      <w:pPr>
        <w:pStyle w:val="Heading9"/>
        <w:numPr>
          <w:ilvl w:val="1"/>
          <w:numId w:val="82"/>
        </w:numPr>
        <w:tabs>
          <w:tab w:pos="1927" w:val="left" w:leader="none"/>
          <w:tab w:pos="1928" w:val="left" w:leader="none"/>
        </w:tabs>
        <w:spacing w:line="261" w:lineRule="exact" w:before="69" w:after="0"/>
        <w:ind w:left="1927" w:right="0" w:hanging="681"/>
        <w:jc w:val="left"/>
      </w:pPr>
      <w:r>
        <w:rPr>
          <w:w w:val="110"/>
        </w:rPr>
        <w:t>Methodist/United Reformed Church liaison</w:t>
      </w:r>
      <w:r>
        <w:rPr>
          <w:spacing w:val="-1"/>
          <w:w w:val="110"/>
        </w:rPr>
        <w:t> </w:t>
      </w:r>
      <w:r>
        <w:rPr>
          <w:w w:val="110"/>
        </w:rPr>
        <w:t>group</w:t>
      </w:r>
    </w:p>
    <w:p>
      <w:pPr>
        <w:pStyle w:val="BodyText"/>
        <w:spacing w:line="233" w:lineRule="exact"/>
        <w:ind w:left="1247"/>
      </w:pPr>
      <w:r>
        <w:rPr>
          <w:w w:val="120"/>
        </w:rPr>
        <w:t>Co-convener: The Revd Kevin Watson (synod moderator)</w:t>
      </w:r>
    </w:p>
    <w:p>
      <w:pPr>
        <w:pStyle w:val="BodyText"/>
        <w:tabs>
          <w:tab w:pos="4127" w:val="left" w:leader="none"/>
          <w:tab w:pos="7007" w:val="left" w:leader="none"/>
        </w:tabs>
        <w:spacing w:line="235" w:lineRule="auto" w:before="2"/>
        <w:ind w:left="1247" w:right="2646"/>
      </w:pPr>
      <w:r>
        <w:rPr>
          <w:w w:val="120"/>
        </w:rPr>
        <w:t>The Revd</w:t>
      </w:r>
      <w:r>
        <w:rPr>
          <w:spacing w:val="18"/>
          <w:w w:val="120"/>
        </w:rPr>
        <w:t> </w:t>
      </w:r>
      <w:r>
        <w:rPr>
          <w:w w:val="120"/>
        </w:rPr>
        <w:t>Kay</w:t>
      </w:r>
      <w:r>
        <w:rPr>
          <w:spacing w:val="9"/>
          <w:w w:val="120"/>
        </w:rPr>
        <w:t> </w:t>
      </w:r>
      <w:r>
        <w:rPr>
          <w:w w:val="120"/>
        </w:rPr>
        <w:t>Alberg</w:t>
        <w:tab/>
        <w:t>The Revd</w:t>
      </w:r>
      <w:r>
        <w:rPr>
          <w:spacing w:val="5"/>
          <w:w w:val="120"/>
        </w:rPr>
        <w:t> </w:t>
      </w:r>
      <w:r>
        <w:rPr>
          <w:w w:val="120"/>
        </w:rPr>
        <w:t>Roy</w:t>
      </w:r>
      <w:r>
        <w:rPr>
          <w:spacing w:val="2"/>
          <w:w w:val="120"/>
        </w:rPr>
        <w:t> </w:t>
      </w:r>
      <w:r>
        <w:rPr>
          <w:w w:val="120"/>
        </w:rPr>
        <w:t>Fowler</w:t>
        <w:tab/>
        <w:t>The Revd Sally Thomas Secretary for ecumenical</w:t>
      </w:r>
      <w:r>
        <w:rPr>
          <w:spacing w:val="5"/>
          <w:w w:val="120"/>
        </w:rPr>
        <w:t> </w:t>
      </w:r>
      <w:r>
        <w:rPr>
          <w:w w:val="120"/>
        </w:rPr>
        <w:t>relations</w:t>
      </w:r>
    </w:p>
    <w:p>
      <w:pPr>
        <w:pStyle w:val="BodyText"/>
        <w:spacing w:before="3"/>
      </w:pPr>
    </w:p>
    <w:p>
      <w:pPr>
        <w:pStyle w:val="Heading9"/>
        <w:numPr>
          <w:ilvl w:val="1"/>
          <w:numId w:val="82"/>
        </w:numPr>
        <w:tabs>
          <w:tab w:pos="1927" w:val="left" w:leader="none"/>
          <w:tab w:pos="1928" w:val="left" w:leader="none"/>
        </w:tabs>
        <w:spacing w:line="213" w:lineRule="auto" w:before="0" w:after="0"/>
        <w:ind w:left="1927" w:right="3126" w:hanging="681"/>
        <w:jc w:val="left"/>
      </w:pPr>
      <w:r>
        <w:rPr>
          <w:w w:val="110"/>
        </w:rPr>
        <w:t>Roman Catholic – United Reformed Church bilateral dialogue in England and</w:t>
      </w:r>
      <w:r>
        <w:rPr>
          <w:spacing w:val="-1"/>
          <w:w w:val="110"/>
        </w:rPr>
        <w:t> </w:t>
      </w:r>
      <w:r>
        <w:rPr>
          <w:w w:val="110"/>
        </w:rPr>
        <w:t>Wales</w:t>
      </w:r>
    </w:p>
    <w:p>
      <w:pPr>
        <w:pStyle w:val="BodyText"/>
        <w:tabs>
          <w:tab w:pos="5567" w:val="left" w:leader="none"/>
        </w:tabs>
        <w:spacing w:line="235" w:lineRule="auto"/>
        <w:ind w:left="1247" w:right="3637"/>
      </w:pPr>
      <w:r>
        <w:rPr>
          <w:w w:val="120"/>
        </w:rPr>
        <w:t>The Revd Prof</w:t>
      </w:r>
      <w:r>
        <w:rPr>
          <w:spacing w:val="22"/>
          <w:w w:val="120"/>
        </w:rPr>
        <w:t> </w:t>
      </w:r>
      <w:r>
        <w:rPr>
          <w:w w:val="120"/>
        </w:rPr>
        <w:t>David</w:t>
      </w:r>
      <w:r>
        <w:rPr>
          <w:spacing w:val="8"/>
          <w:w w:val="120"/>
        </w:rPr>
        <w:t> </w:t>
      </w:r>
      <w:r>
        <w:rPr>
          <w:w w:val="120"/>
        </w:rPr>
        <w:t>Thompson</w:t>
        <w:tab/>
        <w:t>The Revd Dr John Bradbury The Revd Dr</w:t>
      </w:r>
      <w:r>
        <w:rPr>
          <w:spacing w:val="15"/>
          <w:w w:val="120"/>
        </w:rPr>
        <w:t> </w:t>
      </w:r>
      <w:r>
        <w:rPr>
          <w:w w:val="120"/>
        </w:rPr>
        <w:t>Sarah</w:t>
      </w:r>
      <w:r>
        <w:rPr>
          <w:spacing w:val="5"/>
          <w:w w:val="120"/>
        </w:rPr>
        <w:t> </w:t>
      </w:r>
      <w:r>
        <w:rPr>
          <w:w w:val="120"/>
        </w:rPr>
        <w:t>Hall</w:t>
        <w:tab/>
        <w:t>Mrs Ann</w:t>
      </w:r>
      <w:r>
        <w:rPr>
          <w:spacing w:val="1"/>
          <w:w w:val="120"/>
        </w:rPr>
        <w:t> </w:t>
      </w:r>
      <w:r>
        <w:rPr>
          <w:w w:val="120"/>
        </w:rPr>
        <w:t>Shillaker</w:t>
      </w:r>
    </w:p>
    <w:p>
      <w:pPr>
        <w:pStyle w:val="BodyText"/>
        <w:tabs>
          <w:tab w:pos="5567" w:val="left" w:leader="none"/>
        </w:tabs>
        <w:spacing w:line="242" w:lineRule="exact"/>
        <w:ind w:left="1247"/>
      </w:pPr>
      <w:r>
        <w:rPr>
          <w:w w:val="120"/>
        </w:rPr>
        <w:t>The Revd</w:t>
      </w:r>
      <w:r>
        <w:rPr>
          <w:spacing w:val="13"/>
          <w:w w:val="120"/>
        </w:rPr>
        <w:t> </w:t>
      </w:r>
      <w:r>
        <w:rPr>
          <w:w w:val="120"/>
        </w:rPr>
        <w:t>Lindsay</w:t>
      </w:r>
      <w:r>
        <w:rPr>
          <w:spacing w:val="7"/>
          <w:w w:val="120"/>
        </w:rPr>
        <w:t> </w:t>
      </w:r>
      <w:r>
        <w:rPr>
          <w:w w:val="120"/>
        </w:rPr>
        <w:t>Sanderson</w:t>
        <w:tab/>
        <w:t>Staff</w:t>
      </w:r>
      <w:r>
        <w:rPr>
          <w:spacing w:val="1"/>
          <w:w w:val="120"/>
        </w:rPr>
        <w:t> </w:t>
      </w:r>
      <w:r>
        <w:rPr>
          <w:w w:val="120"/>
        </w:rPr>
        <w:t>Secretary</w:t>
      </w:r>
    </w:p>
    <w:p>
      <w:pPr>
        <w:pStyle w:val="BodyText"/>
        <w:spacing w:before="9"/>
        <w:rPr>
          <w:sz w:val="17"/>
        </w:rPr>
      </w:pPr>
    </w:p>
    <w:p>
      <w:pPr>
        <w:pStyle w:val="Heading9"/>
        <w:numPr>
          <w:ilvl w:val="1"/>
          <w:numId w:val="82"/>
        </w:numPr>
        <w:tabs>
          <w:tab w:pos="1927" w:val="left" w:leader="none"/>
          <w:tab w:pos="1928" w:val="left" w:leader="none"/>
        </w:tabs>
        <w:spacing w:line="261" w:lineRule="exact" w:before="0" w:after="0"/>
        <w:ind w:left="1927" w:right="0" w:hanging="681"/>
        <w:jc w:val="left"/>
      </w:pPr>
      <w:r>
        <w:rPr>
          <w:w w:val="110"/>
        </w:rPr>
        <w:t>Church of England/United Church/Church of England bilateral</w:t>
      </w:r>
      <w:r>
        <w:rPr>
          <w:spacing w:val="-4"/>
          <w:w w:val="110"/>
        </w:rPr>
        <w:t> </w:t>
      </w:r>
      <w:r>
        <w:rPr>
          <w:w w:val="110"/>
        </w:rPr>
        <w:t>dialogue</w:t>
      </w:r>
    </w:p>
    <w:p>
      <w:pPr>
        <w:pStyle w:val="BodyText"/>
        <w:tabs>
          <w:tab w:pos="5567" w:val="left" w:leader="none"/>
        </w:tabs>
        <w:spacing w:line="233" w:lineRule="exact"/>
        <w:ind w:left="1247"/>
      </w:pPr>
      <w:r>
        <w:rPr>
          <w:w w:val="120"/>
        </w:rPr>
        <w:t>The Revd</w:t>
      </w:r>
      <w:r>
        <w:rPr>
          <w:spacing w:val="6"/>
          <w:w w:val="120"/>
        </w:rPr>
        <w:t> </w:t>
      </w:r>
      <w:r>
        <w:rPr>
          <w:w w:val="120"/>
        </w:rPr>
        <w:t>Nicola</w:t>
      </w:r>
      <w:r>
        <w:rPr>
          <w:spacing w:val="3"/>
          <w:w w:val="120"/>
        </w:rPr>
        <w:t> </w:t>
      </w:r>
      <w:r>
        <w:rPr>
          <w:w w:val="120"/>
        </w:rPr>
        <w:t>Furley-Smith</w:t>
        <w:tab/>
        <w:t>The Revd Elizabeth</w:t>
      </w:r>
      <w:r>
        <w:rPr>
          <w:spacing w:val="6"/>
          <w:w w:val="120"/>
        </w:rPr>
        <w:t> </w:t>
      </w:r>
      <w:r>
        <w:rPr>
          <w:w w:val="120"/>
        </w:rPr>
        <w:t>Welch</w:t>
      </w:r>
    </w:p>
    <w:p>
      <w:pPr>
        <w:pStyle w:val="BodyText"/>
        <w:tabs>
          <w:tab w:pos="5567" w:val="left" w:leader="none"/>
        </w:tabs>
        <w:spacing w:line="242" w:lineRule="exact"/>
        <w:ind w:left="1247"/>
      </w:pPr>
      <w:r>
        <w:rPr>
          <w:w w:val="120"/>
        </w:rPr>
        <w:t>The Revd</w:t>
      </w:r>
      <w:r>
        <w:rPr>
          <w:spacing w:val="7"/>
          <w:w w:val="120"/>
        </w:rPr>
        <w:t> </w:t>
      </w:r>
      <w:r>
        <w:rPr>
          <w:spacing w:val="-7"/>
          <w:w w:val="120"/>
        </w:rPr>
        <w:t>Tm</w:t>
      </w:r>
      <w:r>
        <w:rPr>
          <w:spacing w:val="4"/>
          <w:w w:val="120"/>
        </w:rPr>
        <w:t> </w:t>
      </w:r>
      <w:r>
        <w:rPr>
          <w:w w:val="120"/>
        </w:rPr>
        <w:t>Meadows</w:t>
        <w:tab/>
        <w:t>The Revd Dr Julian</w:t>
      </w:r>
      <w:r>
        <w:rPr>
          <w:spacing w:val="8"/>
          <w:w w:val="120"/>
        </w:rPr>
        <w:t> </w:t>
      </w:r>
      <w:r>
        <w:rPr>
          <w:w w:val="120"/>
        </w:rPr>
        <w:t>Templeton</w:t>
      </w:r>
    </w:p>
    <w:p>
      <w:pPr>
        <w:pStyle w:val="BodyText"/>
        <w:spacing w:before="1"/>
      </w:pPr>
    </w:p>
    <w:p>
      <w:pPr>
        <w:pStyle w:val="Heading9"/>
        <w:numPr>
          <w:ilvl w:val="1"/>
          <w:numId w:val="82"/>
        </w:numPr>
        <w:tabs>
          <w:tab w:pos="1927" w:val="left" w:leader="none"/>
          <w:tab w:pos="1928" w:val="left" w:leader="none"/>
        </w:tabs>
        <w:spacing w:line="213" w:lineRule="auto" w:before="0" w:after="0"/>
        <w:ind w:left="1927" w:right="2537" w:hanging="681"/>
        <w:jc w:val="left"/>
      </w:pPr>
      <w:r>
        <w:rPr>
          <w:spacing w:val="2"/>
          <w:w w:val="110"/>
        </w:rPr>
        <w:t>EMU </w:t>
      </w:r>
      <w:r>
        <w:rPr>
          <w:w w:val="110"/>
        </w:rPr>
        <w:t>Partnership (Scottish Episcopal Church, the Methodist Church in Scotland and the United Reformed Church Synod of</w:t>
      </w:r>
      <w:r>
        <w:rPr>
          <w:spacing w:val="-1"/>
          <w:w w:val="110"/>
        </w:rPr>
        <w:t> </w:t>
      </w:r>
      <w:r>
        <w:rPr>
          <w:w w:val="110"/>
        </w:rPr>
        <w:t>Scotland)</w:t>
      </w:r>
    </w:p>
    <w:p>
      <w:pPr>
        <w:pStyle w:val="BodyText"/>
        <w:tabs>
          <w:tab w:pos="5567" w:val="left" w:leader="none"/>
        </w:tabs>
        <w:spacing w:line="231" w:lineRule="exact"/>
        <w:ind w:left="1247"/>
      </w:pPr>
      <w:r>
        <w:rPr>
          <w:w w:val="120"/>
        </w:rPr>
        <w:t>The Revd</w:t>
      </w:r>
      <w:r>
        <w:rPr>
          <w:spacing w:val="10"/>
          <w:w w:val="120"/>
        </w:rPr>
        <w:t> </w:t>
      </w:r>
      <w:r>
        <w:rPr>
          <w:w w:val="120"/>
        </w:rPr>
        <w:t>John</w:t>
      </w:r>
      <w:r>
        <w:rPr>
          <w:spacing w:val="5"/>
          <w:w w:val="120"/>
        </w:rPr>
        <w:t> </w:t>
      </w:r>
      <w:r>
        <w:rPr>
          <w:w w:val="120"/>
        </w:rPr>
        <w:t>Humphreys</w:t>
        <w:tab/>
        <w:t>Mr John</w:t>
      </w:r>
      <w:r>
        <w:rPr>
          <w:spacing w:val="4"/>
          <w:w w:val="120"/>
        </w:rPr>
        <w:t> </w:t>
      </w:r>
      <w:r>
        <w:rPr>
          <w:w w:val="120"/>
        </w:rPr>
        <w:t>Collings</w:t>
      </w:r>
    </w:p>
    <w:p>
      <w:pPr>
        <w:pStyle w:val="BodyText"/>
        <w:tabs>
          <w:tab w:pos="5567" w:val="left" w:leader="none"/>
        </w:tabs>
        <w:spacing w:line="242" w:lineRule="exact"/>
        <w:ind w:left="1247"/>
      </w:pPr>
      <w:r>
        <w:rPr>
          <w:w w:val="120"/>
        </w:rPr>
        <w:t>The Revd Zam</w:t>
      </w:r>
      <w:r>
        <w:rPr>
          <w:spacing w:val="1"/>
          <w:w w:val="120"/>
        </w:rPr>
        <w:t> </w:t>
      </w:r>
      <w:r>
        <w:rPr>
          <w:w w:val="120"/>
        </w:rPr>
        <w:t>Walker</w:t>
        <w:tab/>
        <w:t>The Revd Mitchell</w:t>
      </w:r>
      <w:r>
        <w:rPr>
          <w:spacing w:val="7"/>
          <w:w w:val="120"/>
        </w:rPr>
        <w:t> </w:t>
      </w:r>
      <w:r>
        <w:rPr>
          <w:w w:val="120"/>
        </w:rPr>
        <w:t>Bunting.</w:t>
      </w:r>
    </w:p>
    <w:p>
      <w:pPr>
        <w:pStyle w:val="BodyText"/>
        <w:spacing w:before="1"/>
      </w:pPr>
    </w:p>
    <w:p>
      <w:pPr>
        <w:pStyle w:val="Heading9"/>
        <w:numPr>
          <w:ilvl w:val="1"/>
          <w:numId w:val="82"/>
        </w:numPr>
        <w:tabs>
          <w:tab w:pos="1927" w:val="left" w:leader="none"/>
          <w:tab w:pos="1928" w:val="left" w:leader="none"/>
        </w:tabs>
        <w:spacing w:line="213" w:lineRule="auto" w:before="1" w:after="0"/>
        <w:ind w:left="1927" w:right="2157" w:hanging="681"/>
        <w:jc w:val="left"/>
      </w:pPr>
      <w:r>
        <w:rPr>
          <w:w w:val="110"/>
        </w:rPr>
        <w:t>Conversations between the Community of Protestant Churches in Europe and the Anglican</w:t>
      </w:r>
      <w:r>
        <w:rPr>
          <w:spacing w:val="-1"/>
          <w:w w:val="110"/>
        </w:rPr>
        <w:t> </w:t>
      </w:r>
      <w:r>
        <w:rPr>
          <w:w w:val="110"/>
        </w:rPr>
        <w:t>Communion</w:t>
      </w:r>
    </w:p>
    <w:p>
      <w:pPr>
        <w:pStyle w:val="BodyText"/>
        <w:spacing w:line="233" w:lineRule="exact"/>
        <w:ind w:left="1247"/>
      </w:pPr>
      <w:r>
        <w:rPr>
          <w:w w:val="120"/>
        </w:rPr>
        <w:t>The Revd Dr Julian Templeton</w:t>
      </w:r>
    </w:p>
    <w:p>
      <w:pPr>
        <w:pStyle w:val="BodyText"/>
        <w:spacing w:before="8"/>
        <w:rPr>
          <w:sz w:val="21"/>
        </w:rPr>
      </w:pPr>
    </w:p>
    <w:p>
      <w:pPr>
        <w:pStyle w:val="Heading4"/>
        <w:numPr>
          <w:ilvl w:val="0"/>
          <w:numId w:val="82"/>
        </w:numPr>
        <w:tabs>
          <w:tab w:pos="1927" w:val="left" w:leader="none"/>
          <w:tab w:pos="1928" w:val="left" w:leader="none"/>
        </w:tabs>
        <w:spacing w:line="196" w:lineRule="auto" w:before="0" w:after="0"/>
        <w:ind w:left="1927" w:right="3664" w:hanging="681"/>
        <w:jc w:val="left"/>
      </w:pPr>
      <w:r>
        <w:rPr>
          <w:spacing w:val="3"/>
          <w:w w:val="110"/>
        </w:rPr>
        <w:t>Representatives </w:t>
      </w:r>
      <w:r>
        <w:rPr>
          <w:spacing w:val="2"/>
          <w:w w:val="110"/>
        </w:rPr>
        <w:t>on </w:t>
      </w:r>
      <w:r>
        <w:rPr>
          <w:spacing w:val="3"/>
          <w:w w:val="110"/>
        </w:rPr>
        <w:t>governing </w:t>
      </w:r>
      <w:r>
        <w:rPr>
          <w:spacing w:val="4"/>
          <w:w w:val="110"/>
        </w:rPr>
        <w:t>bodies </w:t>
      </w:r>
      <w:r>
        <w:rPr>
          <w:w w:val="110"/>
        </w:rPr>
        <w:t>of </w:t>
      </w:r>
      <w:r>
        <w:rPr>
          <w:spacing w:val="4"/>
          <w:w w:val="110"/>
        </w:rPr>
        <w:t>theological colleges,</w:t>
      </w:r>
      <w:r>
        <w:rPr>
          <w:spacing w:val="22"/>
          <w:w w:val="110"/>
        </w:rPr>
        <w:t> </w:t>
      </w:r>
      <w:r>
        <w:rPr>
          <w:w w:val="110"/>
        </w:rPr>
        <w:t>etc</w:t>
      </w:r>
    </w:p>
    <w:p>
      <w:pPr>
        <w:pStyle w:val="Heading9"/>
        <w:numPr>
          <w:ilvl w:val="1"/>
          <w:numId w:val="82"/>
        </w:numPr>
        <w:tabs>
          <w:tab w:pos="1927" w:val="left" w:leader="none"/>
          <w:tab w:pos="1928" w:val="left" w:leader="none"/>
        </w:tabs>
        <w:spacing w:line="261" w:lineRule="exact" w:before="69" w:after="0"/>
        <w:ind w:left="1927" w:right="0" w:hanging="681"/>
        <w:jc w:val="left"/>
      </w:pPr>
      <w:r>
        <w:rPr>
          <w:w w:val="110"/>
        </w:rPr>
        <w:t>Northern</w:t>
      </w:r>
      <w:r>
        <w:rPr>
          <w:spacing w:val="-1"/>
          <w:w w:val="110"/>
        </w:rPr>
        <w:t> </w:t>
      </w:r>
      <w:r>
        <w:rPr>
          <w:w w:val="110"/>
        </w:rPr>
        <w:t>College</w:t>
      </w:r>
    </w:p>
    <w:p>
      <w:pPr>
        <w:pStyle w:val="BodyText"/>
        <w:tabs>
          <w:tab w:pos="5567" w:val="left" w:leader="none"/>
        </w:tabs>
        <w:spacing w:line="235" w:lineRule="auto"/>
        <w:ind w:left="1247" w:right="3140"/>
      </w:pPr>
      <w:r>
        <w:rPr>
          <w:w w:val="120"/>
        </w:rPr>
        <w:t>Miss Margaret</w:t>
      </w:r>
      <w:r>
        <w:rPr>
          <w:spacing w:val="6"/>
          <w:w w:val="120"/>
        </w:rPr>
        <w:t> </w:t>
      </w:r>
      <w:r>
        <w:rPr>
          <w:w w:val="120"/>
        </w:rPr>
        <w:t>Atkinson</w:t>
      </w:r>
      <w:r>
        <w:rPr>
          <w:spacing w:val="4"/>
          <w:w w:val="120"/>
        </w:rPr>
        <w:t> </w:t>
      </w:r>
      <w:r>
        <w:rPr>
          <w:spacing w:val="-8"/>
          <w:w w:val="120"/>
        </w:rPr>
        <w:t>[2015]</w:t>
        <w:tab/>
      </w:r>
      <w:r>
        <w:rPr>
          <w:w w:val="120"/>
        </w:rPr>
        <w:t>The Revd Dr </w:t>
      </w:r>
      <w:r>
        <w:rPr>
          <w:spacing w:val="2"/>
          <w:w w:val="120"/>
        </w:rPr>
        <w:t>Robert </w:t>
      </w:r>
      <w:r>
        <w:rPr>
          <w:w w:val="120"/>
        </w:rPr>
        <w:t>Pope </w:t>
      </w:r>
      <w:r>
        <w:rPr>
          <w:spacing w:val="-8"/>
          <w:w w:val="120"/>
        </w:rPr>
        <w:t>[2015] </w:t>
      </w:r>
      <w:r>
        <w:rPr>
          <w:w w:val="120"/>
        </w:rPr>
        <w:t>The Revd David</w:t>
      </w:r>
      <w:r>
        <w:rPr>
          <w:spacing w:val="31"/>
          <w:w w:val="120"/>
        </w:rPr>
        <w:t> </w:t>
      </w:r>
      <w:r>
        <w:rPr>
          <w:w w:val="120"/>
        </w:rPr>
        <w:t>Jenkins</w:t>
      </w:r>
      <w:r>
        <w:rPr>
          <w:spacing w:val="10"/>
          <w:w w:val="120"/>
        </w:rPr>
        <w:t> </w:t>
      </w:r>
      <w:r>
        <w:rPr>
          <w:spacing w:val="-8"/>
          <w:w w:val="120"/>
        </w:rPr>
        <w:t>[2017]</w:t>
        <w:tab/>
      </w:r>
      <w:r>
        <w:rPr>
          <w:w w:val="120"/>
        </w:rPr>
        <w:t>Mrs Sheila Davies</w:t>
      </w:r>
      <w:r>
        <w:rPr>
          <w:spacing w:val="11"/>
          <w:w w:val="120"/>
        </w:rPr>
        <w:t> </w:t>
      </w:r>
      <w:r>
        <w:rPr>
          <w:spacing w:val="-8"/>
          <w:w w:val="120"/>
        </w:rPr>
        <w:t>[2017]</w:t>
      </w:r>
    </w:p>
    <w:p>
      <w:pPr>
        <w:pStyle w:val="BodyText"/>
        <w:tabs>
          <w:tab w:pos="5567" w:val="left" w:leader="none"/>
        </w:tabs>
        <w:spacing w:line="242" w:lineRule="exact"/>
        <w:ind w:left="1247"/>
      </w:pPr>
      <w:r>
        <w:rPr>
          <w:w w:val="120"/>
        </w:rPr>
        <w:t>Mr Steve</w:t>
      </w:r>
      <w:r>
        <w:rPr>
          <w:spacing w:val="13"/>
          <w:w w:val="120"/>
        </w:rPr>
        <w:t> </w:t>
      </w:r>
      <w:r>
        <w:rPr>
          <w:w w:val="120"/>
        </w:rPr>
        <w:t>Wood</w:t>
      </w:r>
      <w:r>
        <w:rPr>
          <w:spacing w:val="7"/>
          <w:w w:val="120"/>
        </w:rPr>
        <w:t> </w:t>
      </w:r>
      <w:r>
        <w:rPr>
          <w:spacing w:val="-8"/>
          <w:w w:val="120"/>
        </w:rPr>
        <w:t>[2017]</w:t>
        <w:tab/>
      </w:r>
      <w:r>
        <w:rPr>
          <w:w w:val="120"/>
        </w:rPr>
        <w:t>Secretary for education and</w:t>
      </w:r>
      <w:r>
        <w:rPr>
          <w:spacing w:val="10"/>
          <w:w w:val="120"/>
        </w:rPr>
        <w:t> </w:t>
      </w:r>
      <w:r>
        <w:rPr>
          <w:w w:val="120"/>
        </w:rPr>
        <w:t>learning</w:t>
      </w:r>
    </w:p>
    <w:p>
      <w:pPr>
        <w:spacing w:after="0" w:line="242" w:lineRule="exact"/>
        <w:sectPr>
          <w:headerReference w:type="even" r:id="rId349"/>
          <w:footerReference w:type="even" r:id="rId350"/>
          <w:footerReference w:type="default" r:id="rId351"/>
          <w:pgSz w:w="11910" w:h="16840"/>
          <w:pgMar w:header="0" w:footer="647" w:top="0" w:bottom="840" w:left="0" w:right="0"/>
        </w:sectPr>
      </w:pPr>
    </w:p>
    <w:p>
      <w:pPr>
        <w:pStyle w:val="BodyText"/>
      </w:pPr>
      <w:r>
        <w:rPr/>
        <w:drawing>
          <wp:anchor distT="0" distB="0" distL="0" distR="0" allowOverlap="1" layoutInCell="1" locked="0" behindDoc="0" simplePos="0" relativeHeight="252054528">
            <wp:simplePos x="0" y="0"/>
            <wp:positionH relativeFrom="page">
              <wp:posOffset>6974928</wp:posOffset>
            </wp:positionH>
            <wp:positionV relativeFrom="page">
              <wp:posOffset>0</wp:posOffset>
            </wp:positionV>
            <wp:extent cx="585063" cy="10692003"/>
            <wp:effectExtent l="0" t="0" r="0" b="0"/>
            <wp:wrapNone/>
            <wp:docPr id="281" name="image25.png"/>
            <wp:cNvGraphicFramePr>
              <a:graphicFrameLocks noChangeAspect="1"/>
            </wp:cNvGraphicFramePr>
            <a:graphic>
              <a:graphicData uri="http://schemas.openxmlformats.org/drawingml/2006/picture">
                <pic:pic>
                  <pic:nvPicPr>
                    <pic:cNvPr id="282" name="image25.png"/>
                    <pic:cNvPicPr/>
                  </pic:nvPicPr>
                  <pic:blipFill>
                    <a:blip r:embed="rId192"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131.3pt;mso-position-horizontal-relative:page;mso-position-vertical-relative:paragraph;z-index:252055552" type="#_x0000_t202" filled="false" stroked="false">
            <v:textbox inset="0,0,0,0" style="layout-flow:vertical">
              <w:txbxContent>
                <w:p>
                  <w:pPr>
                    <w:spacing w:before="27"/>
                    <w:ind w:left="20" w:right="0" w:firstLine="0"/>
                    <w:jc w:val="left"/>
                    <w:rPr>
                      <w:sz w:val="39"/>
                    </w:rPr>
                  </w:pPr>
                  <w:r>
                    <w:rPr>
                      <w:color w:val="FFFFFF"/>
                      <w:w w:val="120"/>
                      <w:sz w:val="39"/>
                    </w:rPr>
                    <w:t>Nominations</w:t>
                  </w:r>
                </w:p>
              </w:txbxContent>
            </v:textbox>
            <w10:wrap type="none"/>
          </v:shape>
        </w:pict>
      </w:r>
      <w:r>
        <w:rPr>
          <w:color w:val="7EAABF"/>
          <w:w w:val="115"/>
          <w:sz w:val="26"/>
        </w:rPr>
        <w:t>Nominations</w:t>
      </w:r>
    </w:p>
    <w:p>
      <w:pPr>
        <w:pStyle w:val="Heading9"/>
        <w:numPr>
          <w:ilvl w:val="2"/>
          <w:numId w:val="82"/>
        </w:numPr>
        <w:tabs>
          <w:tab w:pos="2665" w:val="left" w:leader="none"/>
        </w:tabs>
        <w:spacing w:line="261" w:lineRule="exact" w:before="205" w:after="0"/>
        <w:ind w:left="2664" w:right="0" w:hanging="681"/>
        <w:jc w:val="left"/>
      </w:pPr>
      <w:r>
        <w:rPr>
          <w:w w:val="110"/>
        </w:rPr>
        <w:t>Luther King House Educational</w:t>
      </w:r>
      <w:r>
        <w:rPr>
          <w:spacing w:val="-1"/>
          <w:w w:val="110"/>
        </w:rPr>
        <w:t> </w:t>
      </w:r>
      <w:r>
        <w:rPr>
          <w:w w:val="110"/>
        </w:rPr>
        <w:t>Trust</w:t>
      </w:r>
    </w:p>
    <w:p>
      <w:pPr>
        <w:pStyle w:val="BodyText"/>
        <w:spacing w:line="235" w:lineRule="exact"/>
        <w:ind w:left="1984"/>
      </w:pPr>
      <w:r>
        <w:rPr>
          <w:w w:val="120"/>
        </w:rPr>
        <w:t>Secretary for education and learning</w:t>
      </w:r>
    </w:p>
    <w:p>
      <w:pPr>
        <w:pStyle w:val="BodyText"/>
        <w:spacing w:before="4"/>
        <w:rPr>
          <w:sz w:val="18"/>
        </w:rPr>
      </w:pPr>
    </w:p>
    <w:p>
      <w:pPr>
        <w:pStyle w:val="Heading9"/>
        <w:numPr>
          <w:ilvl w:val="1"/>
          <w:numId w:val="82"/>
        </w:numPr>
        <w:tabs>
          <w:tab w:pos="2664" w:val="left" w:leader="none"/>
          <w:tab w:pos="2665" w:val="left" w:leader="none"/>
        </w:tabs>
        <w:spacing w:line="261" w:lineRule="exact" w:before="0" w:after="0"/>
        <w:ind w:left="2664" w:right="0" w:hanging="681"/>
        <w:jc w:val="left"/>
      </w:pPr>
      <w:r>
        <w:rPr>
          <w:w w:val="110"/>
        </w:rPr>
        <w:t>Westminster College: board of</w:t>
      </w:r>
      <w:r>
        <w:rPr>
          <w:spacing w:val="-2"/>
          <w:w w:val="110"/>
        </w:rPr>
        <w:t> </w:t>
      </w:r>
      <w:r>
        <w:rPr>
          <w:w w:val="110"/>
        </w:rPr>
        <w:t>governors</w:t>
      </w:r>
    </w:p>
    <w:p>
      <w:pPr>
        <w:pStyle w:val="BodyText"/>
        <w:spacing w:line="235" w:lineRule="auto"/>
        <w:ind w:left="1984" w:right="5691"/>
      </w:pPr>
      <w:r>
        <w:rPr>
          <w:w w:val="120"/>
        </w:rPr>
        <w:t>Convener: The Revd Nigel Uden [2018] Clerk: Mr Chris Wright [2018]</w:t>
      </w:r>
    </w:p>
    <w:p>
      <w:pPr>
        <w:pStyle w:val="BodyText"/>
        <w:spacing w:line="235" w:lineRule="auto"/>
        <w:ind w:left="1984" w:right="3769"/>
      </w:pPr>
      <w:r>
        <w:rPr>
          <w:w w:val="120"/>
        </w:rPr>
        <w:t>Honorary College Treasurer: Mr Anthony Williams [2016] Members:</w:t>
      </w:r>
    </w:p>
    <w:p>
      <w:pPr>
        <w:pStyle w:val="BodyText"/>
        <w:tabs>
          <w:tab w:pos="6304" w:val="left" w:leader="none"/>
        </w:tabs>
        <w:spacing w:line="235" w:lineRule="auto"/>
        <w:ind w:left="1984" w:right="2915"/>
      </w:pPr>
      <w:r>
        <w:rPr>
          <w:w w:val="120"/>
        </w:rPr>
        <w:t>Dr Jean</w:t>
      </w:r>
      <w:r>
        <w:rPr>
          <w:spacing w:val="13"/>
          <w:w w:val="120"/>
        </w:rPr>
        <w:t> </w:t>
      </w:r>
      <w:r>
        <w:rPr>
          <w:w w:val="120"/>
        </w:rPr>
        <w:t>Stevenson</w:t>
      </w:r>
      <w:r>
        <w:rPr>
          <w:spacing w:val="6"/>
          <w:w w:val="120"/>
        </w:rPr>
        <w:t> </w:t>
      </w:r>
      <w:r>
        <w:rPr>
          <w:spacing w:val="-8"/>
          <w:w w:val="120"/>
        </w:rPr>
        <w:t>[2018]</w:t>
        <w:tab/>
      </w:r>
      <w:r>
        <w:rPr>
          <w:w w:val="120"/>
        </w:rPr>
        <w:t>The Revd Craig Muir </w:t>
      </w:r>
      <w:r>
        <w:rPr>
          <w:spacing w:val="-8"/>
          <w:w w:val="120"/>
        </w:rPr>
        <w:t>[2015] </w:t>
      </w:r>
      <w:r>
        <w:rPr>
          <w:w w:val="120"/>
        </w:rPr>
        <w:t>The Revd Nigel </w:t>
      </w:r>
      <w:r>
        <w:rPr>
          <w:spacing w:val="2"/>
          <w:w w:val="120"/>
        </w:rPr>
        <w:t> </w:t>
      </w:r>
      <w:r>
        <w:rPr>
          <w:w w:val="120"/>
        </w:rPr>
        <w:t>Appleton</w:t>
      </w:r>
      <w:r>
        <w:rPr>
          <w:spacing w:val="19"/>
          <w:w w:val="120"/>
        </w:rPr>
        <w:t> </w:t>
      </w:r>
      <w:r>
        <w:rPr>
          <w:spacing w:val="-8"/>
          <w:w w:val="120"/>
        </w:rPr>
        <w:t>[2015]</w:t>
        <w:tab/>
      </w:r>
      <w:r>
        <w:rPr>
          <w:w w:val="120"/>
        </w:rPr>
        <w:t>Mr Brian Long MBE </w:t>
      </w:r>
      <w:r>
        <w:rPr>
          <w:spacing w:val="-7"/>
          <w:w w:val="120"/>
        </w:rPr>
        <w:t>[2016] </w:t>
      </w:r>
      <w:r>
        <w:rPr>
          <w:w w:val="120"/>
        </w:rPr>
        <w:t>The Revd Kristin </w:t>
      </w:r>
      <w:r>
        <w:rPr>
          <w:spacing w:val="2"/>
          <w:w w:val="120"/>
        </w:rPr>
        <w:t>Ofstad</w:t>
      </w:r>
      <w:r>
        <w:rPr>
          <w:spacing w:val="10"/>
          <w:w w:val="120"/>
        </w:rPr>
        <w:t> </w:t>
      </w:r>
      <w:r>
        <w:rPr>
          <w:spacing w:val="-7"/>
          <w:w w:val="120"/>
        </w:rPr>
        <w:t>[2016]</w:t>
      </w:r>
    </w:p>
    <w:p>
      <w:pPr>
        <w:pStyle w:val="BodyText"/>
        <w:spacing w:line="238" w:lineRule="exact"/>
        <w:ind w:left="1984"/>
      </w:pPr>
      <w:r>
        <w:rPr>
          <w:w w:val="125"/>
        </w:rPr>
        <w:t>The Revd Canon Andrew Norman [2018] (Cambridge Theological Federation)</w:t>
      </w:r>
    </w:p>
    <w:p>
      <w:pPr>
        <w:pStyle w:val="BodyText"/>
        <w:spacing w:line="240" w:lineRule="exact"/>
        <w:ind w:left="1984"/>
      </w:pPr>
      <w:r>
        <w:rPr>
          <w:w w:val="120"/>
        </w:rPr>
        <w:t>Secretary for education and learning</w:t>
      </w:r>
    </w:p>
    <w:p>
      <w:pPr>
        <w:pStyle w:val="BodyText"/>
        <w:spacing w:line="242" w:lineRule="exact"/>
        <w:ind w:left="1984"/>
      </w:pPr>
      <w:r>
        <w:rPr>
          <w:w w:val="120"/>
        </w:rPr>
        <w:t>(together with other governors appointed by other bodies)</w:t>
      </w:r>
    </w:p>
    <w:p>
      <w:pPr>
        <w:pStyle w:val="BodyText"/>
        <w:spacing w:before="3"/>
        <w:rPr>
          <w:sz w:val="18"/>
        </w:rPr>
      </w:pPr>
    </w:p>
    <w:p>
      <w:pPr>
        <w:pStyle w:val="Heading9"/>
        <w:numPr>
          <w:ilvl w:val="2"/>
          <w:numId w:val="82"/>
        </w:numPr>
        <w:tabs>
          <w:tab w:pos="2665" w:val="left" w:leader="none"/>
        </w:tabs>
        <w:spacing w:line="261" w:lineRule="exact" w:before="0" w:after="0"/>
        <w:ind w:left="2664" w:right="0" w:hanging="681"/>
        <w:jc w:val="left"/>
      </w:pPr>
      <w:r>
        <w:rPr>
          <w:w w:val="110"/>
        </w:rPr>
        <w:t>Cheshunt</w:t>
      </w:r>
      <w:r>
        <w:rPr>
          <w:spacing w:val="-1"/>
          <w:w w:val="110"/>
        </w:rPr>
        <w:t> </w:t>
      </w:r>
      <w:r>
        <w:rPr>
          <w:w w:val="110"/>
        </w:rPr>
        <w:t>Foundation</w:t>
      </w:r>
    </w:p>
    <w:p>
      <w:pPr>
        <w:pStyle w:val="BodyText"/>
        <w:tabs>
          <w:tab w:pos="6304" w:val="left" w:leader="none"/>
        </w:tabs>
        <w:spacing w:line="235" w:lineRule="exact"/>
        <w:ind w:left="1984"/>
      </w:pPr>
      <w:r>
        <w:rPr>
          <w:w w:val="125"/>
        </w:rPr>
        <w:t>Mr Guy</w:t>
      </w:r>
      <w:r>
        <w:rPr>
          <w:spacing w:val="-27"/>
          <w:w w:val="125"/>
        </w:rPr>
        <w:t> </w:t>
      </w:r>
      <w:r>
        <w:rPr>
          <w:spacing w:val="2"/>
          <w:w w:val="125"/>
        </w:rPr>
        <w:t>Morfett</w:t>
      </w:r>
      <w:r>
        <w:rPr>
          <w:spacing w:val="-13"/>
          <w:w w:val="125"/>
        </w:rPr>
        <w:t> </w:t>
      </w:r>
      <w:r>
        <w:rPr>
          <w:spacing w:val="-7"/>
          <w:w w:val="125"/>
        </w:rPr>
        <w:t>[2016]</w:t>
        <w:tab/>
      </w:r>
      <w:r>
        <w:rPr>
          <w:w w:val="125"/>
        </w:rPr>
        <w:t>The Revd Craig Muir</w:t>
      </w:r>
      <w:r>
        <w:rPr>
          <w:spacing w:val="-3"/>
          <w:w w:val="125"/>
        </w:rPr>
        <w:t> </w:t>
      </w:r>
      <w:r>
        <w:rPr>
          <w:spacing w:val="-8"/>
          <w:w w:val="125"/>
        </w:rPr>
        <w:t>[2017]</w:t>
      </w:r>
    </w:p>
    <w:p>
      <w:pPr>
        <w:pStyle w:val="BodyText"/>
        <w:spacing w:before="4"/>
        <w:rPr>
          <w:sz w:val="18"/>
        </w:rPr>
      </w:pPr>
    </w:p>
    <w:p>
      <w:pPr>
        <w:pStyle w:val="Heading9"/>
        <w:numPr>
          <w:ilvl w:val="2"/>
          <w:numId w:val="82"/>
        </w:numPr>
        <w:tabs>
          <w:tab w:pos="2665" w:val="left" w:leader="none"/>
        </w:tabs>
        <w:spacing w:line="261" w:lineRule="exact" w:before="0" w:after="0"/>
        <w:ind w:left="2664" w:right="0" w:hanging="681"/>
        <w:jc w:val="left"/>
      </w:pPr>
      <w:r>
        <w:rPr>
          <w:w w:val="110"/>
        </w:rPr>
        <w:t>Cambridge Theological</w:t>
      </w:r>
      <w:r>
        <w:rPr>
          <w:spacing w:val="-1"/>
          <w:w w:val="110"/>
        </w:rPr>
        <w:t> </w:t>
      </w:r>
      <w:r>
        <w:rPr>
          <w:w w:val="110"/>
        </w:rPr>
        <w:t>Federation</w:t>
      </w:r>
    </w:p>
    <w:p>
      <w:pPr>
        <w:pStyle w:val="BodyText"/>
        <w:spacing w:line="235" w:lineRule="exact"/>
        <w:ind w:left="1984"/>
      </w:pPr>
      <w:r>
        <w:rPr>
          <w:w w:val="120"/>
        </w:rPr>
        <w:t>Convener, Westminster College governors</w:t>
      </w:r>
    </w:p>
    <w:p>
      <w:pPr>
        <w:pStyle w:val="BodyText"/>
        <w:spacing w:before="8"/>
        <w:rPr>
          <w:sz w:val="21"/>
        </w:rPr>
      </w:pPr>
    </w:p>
    <w:p>
      <w:pPr>
        <w:pStyle w:val="Heading4"/>
        <w:numPr>
          <w:ilvl w:val="0"/>
          <w:numId w:val="82"/>
        </w:numPr>
        <w:tabs>
          <w:tab w:pos="2664" w:val="left" w:leader="none"/>
          <w:tab w:pos="2665" w:val="left" w:leader="none"/>
        </w:tabs>
        <w:spacing w:line="196" w:lineRule="auto" w:before="0" w:after="0"/>
        <w:ind w:left="2664" w:right="1371" w:hanging="681"/>
        <w:jc w:val="left"/>
      </w:pPr>
      <w:r>
        <w:rPr>
          <w:spacing w:val="4"/>
          <w:w w:val="110"/>
        </w:rPr>
        <w:t>Governors </w:t>
      </w:r>
      <w:r>
        <w:rPr>
          <w:w w:val="110"/>
        </w:rPr>
        <w:t>of </w:t>
      </w:r>
      <w:r>
        <w:rPr>
          <w:spacing w:val="4"/>
          <w:w w:val="110"/>
        </w:rPr>
        <w:t>colleges </w:t>
      </w:r>
      <w:r>
        <w:rPr>
          <w:spacing w:val="3"/>
          <w:w w:val="110"/>
        </w:rPr>
        <w:t>and </w:t>
      </w:r>
      <w:r>
        <w:rPr>
          <w:spacing w:val="4"/>
          <w:w w:val="110"/>
        </w:rPr>
        <w:t>schools </w:t>
      </w:r>
      <w:r>
        <w:rPr>
          <w:spacing w:val="2"/>
          <w:w w:val="110"/>
        </w:rPr>
        <w:t>with </w:t>
      </w:r>
      <w:r>
        <w:rPr>
          <w:spacing w:val="3"/>
          <w:w w:val="110"/>
        </w:rPr>
        <w:t>which </w:t>
      </w:r>
      <w:r>
        <w:rPr>
          <w:spacing w:val="2"/>
          <w:w w:val="110"/>
        </w:rPr>
        <w:t>the </w:t>
      </w:r>
      <w:r>
        <w:rPr>
          <w:spacing w:val="3"/>
          <w:w w:val="110"/>
        </w:rPr>
        <w:t>United </w:t>
      </w:r>
      <w:r>
        <w:rPr>
          <w:spacing w:val="4"/>
          <w:w w:val="110"/>
        </w:rPr>
        <w:t>Reformed </w:t>
      </w:r>
      <w:r>
        <w:rPr>
          <w:spacing w:val="3"/>
          <w:w w:val="110"/>
        </w:rPr>
        <w:t>Church </w:t>
      </w:r>
      <w:r>
        <w:rPr>
          <w:w w:val="110"/>
        </w:rPr>
        <w:t>is</w:t>
      </w:r>
      <w:r>
        <w:rPr>
          <w:spacing w:val="44"/>
          <w:w w:val="110"/>
        </w:rPr>
        <w:t> </w:t>
      </w:r>
      <w:r>
        <w:rPr>
          <w:spacing w:val="3"/>
          <w:w w:val="110"/>
        </w:rPr>
        <w:t>associated</w:t>
      </w:r>
    </w:p>
    <w:p>
      <w:pPr>
        <w:pStyle w:val="ListParagraph"/>
        <w:numPr>
          <w:ilvl w:val="1"/>
          <w:numId w:val="82"/>
        </w:numPr>
        <w:tabs>
          <w:tab w:pos="2664" w:val="left" w:leader="none"/>
          <w:tab w:pos="2665" w:val="left" w:leader="none"/>
          <w:tab w:pos="6304" w:val="left" w:leader="none"/>
        </w:tabs>
        <w:spacing w:line="240" w:lineRule="auto" w:before="69" w:after="0"/>
        <w:ind w:left="2664" w:right="0" w:hanging="681"/>
        <w:jc w:val="left"/>
        <w:rPr>
          <w:rFonts w:ascii="Stone Sans II ITC Std Bk"/>
          <w:sz w:val="20"/>
        </w:rPr>
      </w:pPr>
      <w:r>
        <w:rPr>
          <w:rFonts w:ascii="Stone Sans II ITC Std Bk"/>
          <w:b/>
          <w:w w:val="115"/>
          <w:sz w:val="20"/>
        </w:rPr>
        <w:t>Caterham</w:t>
      </w:r>
      <w:r>
        <w:rPr>
          <w:rFonts w:ascii="Stone Sans II ITC Std Bk"/>
          <w:b/>
          <w:spacing w:val="-26"/>
          <w:w w:val="115"/>
          <w:sz w:val="20"/>
        </w:rPr>
        <w:t> </w:t>
      </w:r>
      <w:r>
        <w:rPr>
          <w:rFonts w:ascii="Stone Sans II ITC Std Bk"/>
          <w:b/>
          <w:w w:val="115"/>
          <w:sz w:val="20"/>
        </w:rPr>
        <w:t>School</w:t>
        <w:tab/>
      </w:r>
      <w:r>
        <w:rPr>
          <w:w w:val="120"/>
          <w:sz w:val="20"/>
        </w:rPr>
        <w:t>The Revd Nicola Furley-Smith</w:t>
      </w:r>
      <w:r>
        <w:rPr>
          <w:spacing w:val="13"/>
          <w:w w:val="120"/>
          <w:sz w:val="20"/>
        </w:rPr>
        <w:t> </w:t>
      </w:r>
      <w:r>
        <w:rPr>
          <w:spacing w:val="-8"/>
          <w:w w:val="120"/>
          <w:sz w:val="20"/>
        </w:rPr>
        <w:t>[2015]</w:t>
      </w:r>
    </w:p>
    <w:p>
      <w:pPr>
        <w:pStyle w:val="ListParagraph"/>
        <w:numPr>
          <w:ilvl w:val="1"/>
          <w:numId w:val="82"/>
        </w:numPr>
        <w:tabs>
          <w:tab w:pos="2664" w:val="left" w:leader="none"/>
          <w:tab w:pos="2665" w:val="left" w:leader="none"/>
          <w:tab w:pos="6304" w:val="left" w:leader="none"/>
        </w:tabs>
        <w:spacing w:line="240" w:lineRule="auto" w:before="210" w:after="0"/>
        <w:ind w:left="2664" w:right="0" w:hanging="681"/>
        <w:jc w:val="left"/>
        <w:rPr>
          <w:rFonts w:ascii="Stone Sans II ITC Std Bk"/>
          <w:sz w:val="20"/>
        </w:rPr>
      </w:pPr>
      <w:r>
        <w:rPr>
          <w:rFonts w:ascii="Stone Sans II ITC Std Bk"/>
          <w:b/>
          <w:w w:val="115"/>
          <w:sz w:val="20"/>
        </w:rPr>
        <w:t>Eltham</w:t>
      </w:r>
      <w:r>
        <w:rPr>
          <w:rFonts w:ascii="Stone Sans II ITC Std Bk"/>
          <w:b/>
          <w:spacing w:val="-23"/>
          <w:w w:val="115"/>
          <w:sz w:val="20"/>
        </w:rPr>
        <w:t> </w:t>
      </w:r>
      <w:r>
        <w:rPr>
          <w:rFonts w:ascii="Stone Sans II ITC Std Bk"/>
          <w:b/>
          <w:w w:val="115"/>
          <w:sz w:val="20"/>
        </w:rPr>
        <w:t>College</w:t>
        <w:tab/>
      </w:r>
      <w:r>
        <w:rPr>
          <w:w w:val="120"/>
          <w:sz w:val="20"/>
        </w:rPr>
        <w:t>The Revd Terry Sparks</w:t>
      </w:r>
      <w:r>
        <w:rPr>
          <w:spacing w:val="12"/>
          <w:w w:val="120"/>
          <w:sz w:val="20"/>
        </w:rPr>
        <w:t> </w:t>
      </w:r>
      <w:r>
        <w:rPr>
          <w:spacing w:val="-8"/>
          <w:w w:val="120"/>
          <w:sz w:val="20"/>
        </w:rPr>
        <w:t>[2015]</w:t>
      </w:r>
    </w:p>
    <w:p>
      <w:pPr>
        <w:pStyle w:val="ListParagraph"/>
        <w:numPr>
          <w:ilvl w:val="1"/>
          <w:numId w:val="82"/>
        </w:numPr>
        <w:tabs>
          <w:tab w:pos="2664" w:val="left" w:leader="none"/>
          <w:tab w:pos="2665" w:val="left" w:leader="none"/>
          <w:tab w:pos="6304" w:val="left" w:leader="none"/>
        </w:tabs>
        <w:spacing w:line="240" w:lineRule="auto" w:before="209" w:after="0"/>
        <w:ind w:left="2664" w:right="0" w:hanging="681"/>
        <w:jc w:val="left"/>
        <w:rPr>
          <w:rFonts w:ascii="Stone Sans II ITC Std Bk"/>
          <w:sz w:val="20"/>
        </w:rPr>
      </w:pPr>
      <w:r>
        <w:rPr>
          <w:rFonts w:ascii="Stone Sans II ITC Std Bk"/>
          <w:b/>
          <w:w w:val="115"/>
          <w:sz w:val="20"/>
        </w:rPr>
        <w:t>Walthamstow</w:t>
      </w:r>
      <w:r>
        <w:rPr>
          <w:rFonts w:ascii="Stone Sans II ITC Std Bk"/>
          <w:b/>
          <w:spacing w:val="-31"/>
          <w:w w:val="115"/>
          <w:sz w:val="20"/>
        </w:rPr>
        <w:t> </w:t>
      </w:r>
      <w:r>
        <w:rPr>
          <w:rFonts w:ascii="Stone Sans II ITC Std Bk"/>
          <w:b/>
          <w:w w:val="115"/>
          <w:sz w:val="20"/>
        </w:rPr>
        <w:t>Hall</w:t>
        <w:tab/>
      </w:r>
      <w:r>
        <w:rPr>
          <w:w w:val="115"/>
          <w:sz w:val="20"/>
        </w:rPr>
        <w:t>Mrs Isabel Heald</w:t>
      </w:r>
      <w:r>
        <w:rPr>
          <w:spacing w:val="19"/>
          <w:w w:val="115"/>
          <w:sz w:val="20"/>
        </w:rPr>
        <w:t> </w:t>
      </w:r>
      <w:r>
        <w:rPr>
          <w:spacing w:val="-8"/>
          <w:w w:val="115"/>
          <w:sz w:val="20"/>
        </w:rPr>
        <w:t>[2015]</w:t>
      </w:r>
    </w:p>
    <w:p>
      <w:pPr>
        <w:pStyle w:val="Heading9"/>
        <w:numPr>
          <w:ilvl w:val="1"/>
          <w:numId w:val="82"/>
        </w:numPr>
        <w:tabs>
          <w:tab w:pos="2664" w:val="left" w:leader="none"/>
          <w:tab w:pos="2665" w:val="left" w:leader="none"/>
        </w:tabs>
        <w:spacing w:line="261" w:lineRule="exact" w:before="210" w:after="0"/>
        <w:ind w:left="2664" w:right="0" w:hanging="681"/>
        <w:jc w:val="left"/>
      </w:pPr>
      <w:r>
        <w:rPr>
          <w:w w:val="110"/>
        </w:rPr>
        <w:t>Milton Mount</w:t>
      </w:r>
      <w:r>
        <w:rPr>
          <w:spacing w:val="-1"/>
          <w:w w:val="110"/>
        </w:rPr>
        <w:t> </w:t>
      </w:r>
      <w:r>
        <w:rPr>
          <w:w w:val="110"/>
        </w:rPr>
        <w:t>Foundation</w:t>
      </w:r>
    </w:p>
    <w:p>
      <w:pPr>
        <w:pStyle w:val="BodyText"/>
        <w:tabs>
          <w:tab w:pos="6304" w:val="left" w:leader="none"/>
        </w:tabs>
        <w:spacing w:line="235" w:lineRule="auto"/>
        <w:ind w:left="1984" w:right="2561"/>
      </w:pPr>
      <w:r>
        <w:rPr>
          <w:w w:val="125"/>
        </w:rPr>
        <w:t>Ms Hilary</w:t>
      </w:r>
      <w:r>
        <w:rPr>
          <w:spacing w:val="-24"/>
          <w:w w:val="125"/>
        </w:rPr>
        <w:t> </w:t>
      </w:r>
      <w:r>
        <w:rPr>
          <w:w w:val="125"/>
        </w:rPr>
        <w:t>Miles</w:t>
      </w:r>
      <w:r>
        <w:rPr>
          <w:spacing w:val="-11"/>
          <w:w w:val="125"/>
        </w:rPr>
        <w:t> </w:t>
      </w:r>
      <w:r>
        <w:rPr>
          <w:spacing w:val="-7"/>
          <w:w w:val="125"/>
        </w:rPr>
        <w:t>[2016]</w:t>
        <w:tab/>
      </w:r>
      <w:r>
        <w:rPr>
          <w:w w:val="125"/>
        </w:rPr>
        <w:t>The Revd Val Towler† </w:t>
      </w:r>
      <w:r>
        <w:rPr>
          <w:spacing w:val="-8"/>
          <w:w w:val="125"/>
        </w:rPr>
        <w:t>[2018] </w:t>
      </w:r>
      <w:r>
        <w:rPr>
          <w:w w:val="125"/>
        </w:rPr>
        <w:t>The Revd Derek</w:t>
      </w:r>
      <w:r>
        <w:rPr>
          <w:spacing w:val="-22"/>
          <w:w w:val="125"/>
        </w:rPr>
        <w:t> </w:t>
      </w:r>
      <w:r>
        <w:rPr>
          <w:w w:val="125"/>
        </w:rPr>
        <w:t>Lindfield†</w:t>
      </w:r>
      <w:r>
        <w:rPr>
          <w:spacing w:val="-7"/>
          <w:w w:val="125"/>
        </w:rPr>
        <w:t> </w:t>
      </w:r>
      <w:r>
        <w:rPr>
          <w:spacing w:val="-8"/>
          <w:w w:val="125"/>
        </w:rPr>
        <w:t>[2018]</w:t>
        <w:tab/>
      </w:r>
      <w:r>
        <w:rPr>
          <w:w w:val="125"/>
        </w:rPr>
        <w:t>The</w:t>
      </w:r>
      <w:r>
        <w:rPr>
          <w:spacing w:val="-24"/>
          <w:w w:val="125"/>
        </w:rPr>
        <w:t> </w:t>
      </w:r>
      <w:r>
        <w:rPr>
          <w:w w:val="125"/>
        </w:rPr>
        <w:t>Revd</w:t>
      </w:r>
      <w:r>
        <w:rPr>
          <w:spacing w:val="-23"/>
          <w:w w:val="125"/>
        </w:rPr>
        <w:t> </w:t>
      </w:r>
      <w:r>
        <w:rPr>
          <w:w w:val="125"/>
        </w:rPr>
        <w:t>Richard</w:t>
      </w:r>
      <w:r>
        <w:rPr>
          <w:spacing w:val="-23"/>
          <w:w w:val="125"/>
        </w:rPr>
        <w:t> </w:t>
      </w:r>
      <w:r>
        <w:rPr>
          <w:spacing w:val="-5"/>
          <w:w w:val="125"/>
        </w:rPr>
        <w:t>Wells†[2018] </w:t>
      </w:r>
      <w:r>
        <w:rPr>
          <w:w w:val="125"/>
        </w:rPr>
        <w:t>The Revd Kevin Swaine</w:t>
      </w:r>
      <w:r>
        <w:rPr>
          <w:spacing w:val="-5"/>
          <w:w w:val="125"/>
        </w:rPr>
        <w:t> </w:t>
      </w:r>
      <w:r>
        <w:rPr>
          <w:spacing w:val="-7"/>
          <w:w w:val="125"/>
        </w:rPr>
        <w:t>[2016]</w:t>
      </w:r>
    </w:p>
    <w:p>
      <w:pPr>
        <w:pStyle w:val="BodyText"/>
        <w:spacing w:before="1"/>
        <w:rPr>
          <w:sz w:val="18"/>
        </w:rPr>
      </w:pPr>
    </w:p>
    <w:p>
      <w:pPr>
        <w:pStyle w:val="Heading9"/>
        <w:numPr>
          <w:ilvl w:val="1"/>
          <w:numId w:val="82"/>
        </w:numPr>
        <w:tabs>
          <w:tab w:pos="2664" w:val="left" w:leader="none"/>
          <w:tab w:pos="2665" w:val="left" w:leader="none"/>
        </w:tabs>
        <w:spacing w:line="261" w:lineRule="exact" w:before="0" w:after="0"/>
        <w:ind w:left="2664" w:right="0" w:hanging="681"/>
        <w:jc w:val="left"/>
      </w:pPr>
      <w:r>
        <w:rPr>
          <w:w w:val="110"/>
        </w:rPr>
        <w:t>Silcoates</w:t>
      </w:r>
      <w:r>
        <w:rPr>
          <w:spacing w:val="-1"/>
          <w:w w:val="110"/>
        </w:rPr>
        <w:t> </w:t>
      </w:r>
      <w:r>
        <w:rPr>
          <w:w w:val="110"/>
        </w:rPr>
        <w:t>School</w:t>
      </w:r>
    </w:p>
    <w:p>
      <w:pPr>
        <w:pStyle w:val="BodyText"/>
        <w:tabs>
          <w:tab w:pos="6304" w:val="left" w:leader="none"/>
        </w:tabs>
        <w:spacing w:line="235" w:lineRule="auto"/>
        <w:ind w:left="1984" w:right="2653"/>
      </w:pPr>
      <w:r>
        <w:rPr>
          <w:w w:val="120"/>
        </w:rPr>
        <w:t>Dr Moira</w:t>
      </w:r>
      <w:r>
        <w:rPr>
          <w:spacing w:val="29"/>
          <w:w w:val="120"/>
        </w:rPr>
        <w:t> </w:t>
      </w:r>
      <w:r>
        <w:rPr>
          <w:w w:val="120"/>
        </w:rPr>
        <w:t>Gallagher</w:t>
      </w:r>
      <w:r>
        <w:rPr>
          <w:spacing w:val="14"/>
          <w:w w:val="120"/>
        </w:rPr>
        <w:t> </w:t>
      </w:r>
      <w:r>
        <w:rPr>
          <w:spacing w:val="-8"/>
          <w:w w:val="120"/>
        </w:rPr>
        <w:t>[2017]</w:t>
        <w:tab/>
      </w:r>
      <w:r>
        <w:rPr>
          <w:w w:val="120"/>
        </w:rPr>
        <w:t>The Revd Dr Janet Lees </w:t>
      </w:r>
      <w:r>
        <w:rPr>
          <w:spacing w:val="-8"/>
          <w:w w:val="120"/>
        </w:rPr>
        <w:t>[2017] </w:t>
      </w:r>
      <w:r>
        <w:rPr>
          <w:w w:val="120"/>
        </w:rPr>
        <w:t>The Revd Steven</w:t>
      </w:r>
      <w:r>
        <w:rPr>
          <w:spacing w:val="32"/>
          <w:w w:val="120"/>
        </w:rPr>
        <w:t> </w:t>
      </w:r>
      <w:r>
        <w:rPr>
          <w:w w:val="120"/>
        </w:rPr>
        <w:t>Knapton</w:t>
      </w:r>
      <w:r>
        <w:rPr>
          <w:spacing w:val="11"/>
          <w:w w:val="120"/>
        </w:rPr>
        <w:t> </w:t>
      </w:r>
      <w:r>
        <w:rPr>
          <w:spacing w:val="-8"/>
          <w:w w:val="120"/>
        </w:rPr>
        <w:t>[2014]</w:t>
        <w:tab/>
      </w:r>
      <w:r>
        <w:rPr>
          <w:w w:val="120"/>
        </w:rPr>
        <w:t>Mrs Sue Lee</w:t>
      </w:r>
      <w:r>
        <w:rPr>
          <w:spacing w:val="11"/>
          <w:w w:val="120"/>
        </w:rPr>
        <w:t> </w:t>
      </w:r>
      <w:r>
        <w:rPr>
          <w:spacing w:val="-8"/>
          <w:w w:val="120"/>
        </w:rPr>
        <w:t>[2015]</w:t>
      </w:r>
    </w:p>
    <w:p>
      <w:pPr>
        <w:pStyle w:val="BodyText"/>
        <w:spacing w:line="242" w:lineRule="exact"/>
        <w:ind w:left="1984"/>
      </w:pPr>
      <w:r>
        <w:rPr>
          <w:w w:val="120"/>
        </w:rPr>
        <w:t>Mrs Tessa Henry-Robinson [2015]</w:t>
      </w:r>
    </w:p>
    <w:p>
      <w:pPr>
        <w:pStyle w:val="BodyText"/>
        <w:spacing w:before="10"/>
        <w:rPr>
          <w:sz w:val="17"/>
        </w:rPr>
      </w:pPr>
    </w:p>
    <w:p>
      <w:pPr>
        <w:pStyle w:val="ListParagraph"/>
        <w:numPr>
          <w:ilvl w:val="1"/>
          <w:numId w:val="82"/>
        </w:numPr>
        <w:tabs>
          <w:tab w:pos="2664" w:val="left" w:leader="none"/>
          <w:tab w:pos="2665" w:val="left" w:leader="none"/>
          <w:tab w:pos="6304" w:val="left" w:leader="none"/>
        </w:tabs>
        <w:spacing w:line="240" w:lineRule="auto" w:before="1" w:after="0"/>
        <w:ind w:left="2664" w:right="0" w:hanging="681"/>
        <w:jc w:val="left"/>
        <w:rPr>
          <w:rFonts w:ascii="Stone Sans II ITC Std Bk"/>
          <w:sz w:val="20"/>
        </w:rPr>
      </w:pPr>
      <w:r>
        <w:rPr>
          <w:rFonts w:ascii="Stone Sans II ITC Std Bk"/>
          <w:b/>
          <w:spacing w:val="-3"/>
          <w:w w:val="115"/>
          <w:sz w:val="20"/>
        </w:rPr>
        <w:t>Taunton</w:t>
      </w:r>
      <w:r>
        <w:rPr>
          <w:rFonts w:ascii="Stone Sans II ITC Std Bk"/>
          <w:b/>
          <w:spacing w:val="-22"/>
          <w:w w:val="115"/>
          <w:sz w:val="20"/>
        </w:rPr>
        <w:t> </w:t>
      </w:r>
      <w:r>
        <w:rPr>
          <w:rFonts w:ascii="Stone Sans II ITC Std Bk"/>
          <w:b/>
          <w:w w:val="115"/>
          <w:sz w:val="20"/>
        </w:rPr>
        <w:t>School</w:t>
        <w:tab/>
      </w:r>
      <w:r>
        <w:rPr>
          <w:w w:val="120"/>
          <w:sz w:val="20"/>
        </w:rPr>
        <w:t>The Revd Ruth</w:t>
      </w:r>
      <w:r>
        <w:rPr>
          <w:spacing w:val="5"/>
          <w:w w:val="120"/>
          <w:sz w:val="20"/>
        </w:rPr>
        <w:t> </w:t>
      </w:r>
      <w:r>
        <w:rPr>
          <w:w w:val="120"/>
          <w:sz w:val="20"/>
        </w:rPr>
        <w:t>Whitehead</w:t>
      </w:r>
    </w:p>
    <w:p>
      <w:pPr>
        <w:pStyle w:val="ListParagraph"/>
        <w:numPr>
          <w:ilvl w:val="1"/>
          <w:numId w:val="82"/>
        </w:numPr>
        <w:tabs>
          <w:tab w:pos="2664" w:val="left" w:leader="none"/>
          <w:tab w:pos="2665" w:val="left" w:leader="none"/>
          <w:tab w:pos="6304" w:val="left" w:leader="none"/>
        </w:tabs>
        <w:spacing w:line="240" w:lineRule="auto" w:before="209" w:after="0"/>
        <w:ind w:left="2664" w:right="0" w:hanging="681"/>
        <w:jc w:val="left"/>
        <w:rPr>
          <w:rFonts w:ascii="Stone Sans II ITC Std Bk"/>
          <w:sz w:val="20"/>
        </w:rPr>
      </w:pPr>
      <w:r>
        <w:rPr>
          <w:rFonts w:ascii="Stone Sans II ITC Std Bk"/>
          <w:b/>
          <w:w w:val="115"/>
          <w:sz w:val="20"/>
        </w:rPr>
        <w:t>Bishops</w:t>
      </w:r>
      <w:r>
        <w:rPr>
          <w:rFonts w:ascii="Stone Sans II ITC Std Bk"/>
          <w:b/>
          <w:spacing w:val="-27"/>
          <w:w w:val="115"/>
          <w:sz w:val="20"/>
        </w:rPr>
        <w:t> </w:t>
      </w:r>
      <w:r>
        <w:rPr>
          <w:rFonts w:ascii="Stone Sans II ITC Std Bk"/>
          <w:b/>
          <w:w w:val="115"/>
          <w:sz w:val="20"/>
        </w:rPr>
        <w:t>Stortford</w:t>
      </w:r>
      <w:r>
        <w:rPr>
          <w:rFonts w:ascii="Stone Sans II ITC Std Bk"/>
          <w:b/>
          <w:spacing w:val="-26"/>
          <w:w w:val="115"/>
          <w:sz w:val="20"/>
        </w:rPr>
        <w:t> </w:t>
      </w:r>
      <w:r>
        <w:rPr>
          <w:rFonts w:ascii="Stone Sans II ITC Std Bk"/>
          <w:b/>
          <w:w w:val="115"/>
          <w:sz w:val="20"/>
        </w:rPr>
        <w:t>College</w:t>
        <w:tab/>
      </w:r>
      <w:r>
        <w:rPr>
          <w:w w:val="115"/>
          <w:sz w:val="20"/>
        </w:rPr>
        <w:t>Mr Anthony Trigg</w:t>
      </w:r>
      <w:r>
        <w:rPr>
          <w:spacing w:val="21"/>
          <w:w w:val="115"/>
          <w:sz w:val="20"/>
        </w:rPr>
        <w:t> </w:t>
      </w:r>
      <w:r>
        <w:rPr>
          <w:spacing w:val="-8"/>
          <w:w w:val="115"/>
          <w:sz w:val="20"/>
        </w:rPr>
        <w:t>[2015]</w:t>
      </w:r>
    </w:p>
    <w:p>
      <w:pPr>
        <w:pStyle w:val="BodyText"/>
        <w:spacing w:before="11"/>
        <w:rPr>
          <w:sz w:val="35"/>
        </w:rPr>
      </w:pPr>
    </w:p>
    <w:p>
      <w:pPr>
        <w:pStyle w:val="Heading4"/>
        <w:numPr>
          <w:ilvl w:val="0"/>
          <w:numId w:val="82"/>
        </w:numPr>
        <w:tabs>
          <w:tab w:pos="2665" w:val="left" w:leader="none"/>
        </w:tabs>
        <w:spacing w:line="240" w:lineRule="auto" w:before="0" w:after="0"/>
        <w:ind w:left="2664" w:right="0" w:hanging="681"/>
        <w:jc w:val="left"/>
      </w:pPr>
      <w:r>
        <w:rPr>
          <w:spacing w:val="3"/>
          <w:w w:val="110"/>
        </w:rPr>
        <w:t>Miscellaneous</w:t>
      </w:r>
    </w:p>
    <w:p>
      <w:pPr>
        <w:pStyle w:val="BodyText"/>
        <w:spacing w:line="235" w:lineRule="auto" w:before="69"/>
        <w:ind w:left="1984" w:right="1301"/>
      </w:pPr>
      <w:r>
        <w:rPr>
          <w:w w:val="120"/>
        </w:rPr>
        <w:t>The United Reformed Church is represented on a variety of other national organisations and committees as follows:</w:t>
      </w:r>
    </w:p>
    <w:p>
      <w:pPr>
        <w:pStyle w:val="BodyText"/>
        <w:spacing w:before="5"/>
        <w:rPr>
          <w:sz w:val="18"/>
        </w:rPr>
      </w:pPr>
    </w:p>
    <w:p>
      <w:pPr>
        <w:pStyle w:val="Heading9"/>
        <w:numPr>
          <w:ilvl w:val="1"/>
          <w:numId w:val="82"/>
        </w:numPr>
        <w:tabs>
          <w:tab w:pos="2664" w:val="left" w:leader="none"/>
          <w:tab w:pos="2665" w:val="left" w:leader="none"/>
        </w:tabs>
        <w:spacing w:line="261" w:lineRule="exact" w:before="1" w:after="0"/>
        <w:ind w:left="2664" w:right="0" w:hanging="681"/>
        <w:jc w:val="left"/>
      </w:pPr>
      <w:r>
        <w:rPr>
          <w:w w:val="110"/>
        </w:rPr>
        <w:t>Arthur Rank</w:t>
      </w:r>
      <w:r>
        <w:rPr>
          <w:spacing w:val="-1"/>
          <w:w w:val="110"/>
        </w:rPr>
        <w:t> </w:t>
      </w:r>
      <w:r>
        <w:rPr>
          <w:w w:val="110"/>
        </w:rPr>
        <w:t>Centre</w:t>
      </w:r>
    </w:p>
    <w:p>
      <w:pPr>
        <w:pStyle w:val="BodyText"/>
        <w:spacing w:line="235" w:lineRule="exact"/>
        <w:ind w:left="1984"/>
      </w:pPr>
      <w:r>
        <w:rPr>
          <w:w w:val="120"/>
        </w:rPr>
        <w:t>The Revd Elizabeth Caswell [2014]</w:t>
      </w:r>
    </w:p>
    <w:p>
      <w:pPr>
        <w:pStyle w:val="BodyText"/>
        <w:spacing w:before="3"/>
        <w:rPr>
          <w:sz w:val="18"/>
        </w:rPr>
      </w:pPr>
    </w:p>
    <w:p>
      <w:pPr>
        <w:pStyle w:val="Heading9"/>
        <w:numPr>
          <w:ilvl w:val="1"/>
          <w:numId w:val="82"/>
        </w:numPr>
        <w:tabs>
          <w:tab w:pos="2665" w:val="left" w:leader="none"/>
        </w:tabs>
        <w:spacing w:line="261" w:lineRule="exact" w:before="0" w:after="0"/>
        <w:ind w:left="2664" w:right="0" w:hanging="681"/>
        <w:jc w:val="left"/>
      </w:pPr>
      <w:r>
        <w:rPr>
          <w:w w:val="110"/>
        </w:rPr>
        <w:t>Churches legislation advisory</w:t>
      </w:r>
      <w:r>
        <w:rPr>
          <w:spacing w:val="-1"/>
          <w:w w:val="110"/>
        </w:rPr>
        <w:t> </w:t>
      </w:r>
      <w:r>
        <w:rPr>
          <w:w w:val="110"/>
        </w:rPr>
        <w:t>service</w:t>
      </w:r>
    </w:p>
    <w:p>
      <w:pPr>
        <w:pStyle w:val="BodyText"/>
        <w:tabs>
          <w:tab w:pos="4144" w:val="left" w:leader="none"/>
          <w:tab w:pos="6304" w:val="left" w:leader="none"/>
        </w:tabs>
        <w:spacing w:line="235" w:lineRule="exact"/>
        <w:ind w:left="1984"/>
      </w:pPr>
      <w:r>
        <w:rPr>
          <w:w w:val="120"/>
        </w:rPr>
        <w:t>Mrs</w:t>
      </w:r>
      <w:r>
        <w:rPr>
          <w:spacing w:val="3"/>
          <w:w w:val="120"/>
        </w:rPr>
        <w:t> </w:t>
      </w:r>
      <w:r>
        <w:rPr>
          <w:w w:val="120"/>
        </w:rPr>
        <w:t>Sheila</w:t>
      </w:r>
      <w:r>
        <w:rPr>
          <w:spacing w:val="3"/>
          <w:w w:val="120"/>
        </w:rPr>
        <w:t> </w:t>
      </w:r>
      <w:r>
        <w:rPr>
          <w:w w:val="120"/>
        </w:rPr>
        <w:t>Duncan</w:t>
        <w:tab/>
        <w:t>General</w:t>
      </w:r>
      <w:r>
        <w:rPr>
          <w:spacing w:val="2"/>
          <w:w w:val="120"/>
        </w:rPr>
        <w:t> </w:t>
      </w:r>
      <w:r>
        <w:rPr>
          <w:w w:val="120"/>
        </w:rPr>
        <w:t>secretary</w:t>
        <w:tab/>
        <w:t>Deputy general</w:t>
      </w:r>
      <w:r>
        <w:rPr>
          <w:spacing w:val="5"/>
          <w:w w:val="120"/>
        </w:rPr>
        <w:t> </w:t>
      </w:r>
      <w:r>
        <w:rPr>
          <w:w w:val="120"/>
        </w:rPr>
        <w:t>secretary</w:t>
      </w:r>
    </w:p>
    <w:p>
      <w:pPr>
        <w:pStyle w:val="BodyText"/>
        <w:spacing w:before="4"/>
        <w:rPr>
          <w:sz w:val="18"/>
        </w:rPr>
      </w:pPr>
    </w:p>
    <w:p>
      <w:pPr>
        <w:pStyle w:val="Heading9"/>
        <w:numPr>
          <w:ilvl w:val="1"/>
          <w:numId w:val="82"/>
        </w:numPr>
        <w:tabs>
          <w:tab w:pos="2664" w:val="left" w:leader="none"/>
          <w:tab w:pos="2665" w:val="left" w:leader="none"/>
        </w:tabs>
        <w:spacing w:line="261" w:lineRule="exact" w:before="0" w:after="0"/>
        <w:ind w:left="2664" w:right="0" w:hanging="681"/>
        <w:jc w:val="left"/>
      </w:pPr>
      <w:r>
        <w:rPr>
          <w:w w:val="110"/>
        </w:rPr>
        <w:t>Congregational fund</w:t>
      </w:r>
      <w:r>
        <w:rPr>
          <w:spacing w:val="-1"/>
          <w:w w:val="110"/>
        </w:rPr>
        <w:t> </w:t>
      </w:r>
      <w:r>
        <w:rPr>
          <w:w w:val="110"/>
        </w:rPr>
        <w:t>board</w:t>
      </w:r>
    </w:p>
    <w:p>
      <w:pPr>
        <w:pStyle w:val="BodyText"/>
        <w:tabs>
          <w:tab w:pos="6304" w:val="left" w:leader="none"/>
        </w:tabs>
        <w:spacing w:line="233" w:lineRule="exact"/>
        <w:ind w:left="1984"/>
      </w:pPr>
      <w:r>
        <w:rPr>
          <w:w w:val="120"/>
        </w:rPr>
        <w:t>Mr Anthony</w:t>
      </w:r>
      <w:r>
        <w:rPr>
          <w:spacing w:val="18"/>
          <w:w w:val="120"/>
        </w:rPr>
        <w:t> </w:t>
      </w:r>
      <w:r>
        <w:rPr>
          <w:w w:val="120"/>
        </w:rPr>
        <w:t>Bayley†</w:t>
      </w:r>
      <w:r>
        <w:rPr>
          <w:spacing w:val="9"/>
          <w:w w:val="120"/>
        </w:rPr>
        <w:t> </w:t>
      </w:r>
      <w:r>
        <w:rPr>
          <w:spacing w:val="-8"/>
          <w:w w:val="120"/>
        </w:rPr>
        <w:t>[2018]</w:t>
        <w:tab/>
      </w:r>
      <w:r>
        <w:rPr>
          <w:w w:val="120"/>
        </w:rPr>
        <w:t>The Revd Geoffrey Roper†</w:t>
      </w:r>
      <w:r>
        <w:rPr>
          <w:spacing w:val="13"/>
          <w:w w:val="120"/>
        </w:rPr>
        <w:t> </w:t>
      </w:r>
      <w:r>
        <w:rPr>
          <w:spacing w:val="-8"/>
          <w:w w:val="120"/>
        </w:rPr>
        <w:t>[2018]</w:t>
      </w:r>
    </w:p>
    <w:p>
      <w:pPr>
        <w:pStyle w:val="BodyText"/>
        <w:tabs>
          <w:tab w:pos="6304" w:val="left" w:leader="none"/>
        </w:tabs>
        <w:spacing w:line="235" w:lineRule="auto" w:before="2"/>
        <w:ind w:left="1984" w:right="3334"/>
      </w:pPr>
      <w:r>
        <w:rPr>
          <w:w w:val="120"/>
        </w:rPr>
        <w:t>The Revd Eric</w:t>
      </w:r>
      <w:r>
        <w:rPr>
          <w:spacing w:val="35"/>
          <w:w w:val="120"/>
        </w:rPr>
        <w:t> </w:t>
      </w:r>
      <w:r>
        <w:rPr>
          <w:w w:val="120"/>
        </w:rPr>
        <w:t>Allen</w:t>
      </w:r>
      <w:r>
        <w:rPr>
          <w:spacing w:val="11"/>
          <w:w w:val="120"/>
        </w:rPr>
        <w:t> </w:t>
      </w:r>
      <w:r>
        <w:rPr>
          <w:spacing w:val="-8"/>
          <w:w w:val="120"/>
        </w:rPr>
        <w:t>[2015]</w:t>
        <w:tab/>
      </w:r>
      <w:r>
        <w:rPr>
          <w:w w:val="120"/>
        </w:rPr>
        <w:t>Mrs Jackie Haws </w:t>
      </w:r>
      <w:r>
        <w:rPr>
          <w:spacing w:val="-8"/>
          <w:w w:val="120"/>
        </w:rPr>
        <w:t>[2017] </w:t>
      </w:r>
      <w:r>
        <w:rPr>
          <w:w w:val="120"/>
        </w:rPr>
        <w:t>The Revd Kate Hackett</w:t>
      </w:r>
      <w:r>
        <w:rPr>
          <w:spacing w:val="10"/>
          <w:w w:val="120"/>
        </w:rPr>
        <w:t> </w:t>
      </w:r>
      <w:r>
        <w:rPr>
          <w:spacing w:val="-8"/>
          <w:w w:val="120"/>
        </w:rPr>
        <w:t>[2015]</w:t>
      </w:r>
    </w:p>
    <w:p>
      <w:pPr>
        <w:spacing w:after="0" w:line="235" w:lineRule="auto"/>
        <w:sectPr>
          <w:headerReference w:type="default" r:id="rId352"/>
          <w:pgSz w:w="11910" w:h="16840"/>
          <w:pgMar w:header="0" w:footer="647" w:top="0" w:bottom="840" w:left="0" w:right="0"/>
        </w:sectPr>
      </w:pPr>
    </w:p>
    <w:p>
      <w:pPr>
        <w:pStyle w:val="BodyText"/>
      </w:pPr>
      <w:r>
        <w:rPr/>
        <w:drawing>
          <wp:anchor distT="0" distB="0" distL="0" distR="0" allowOverlap="1" layoutInCell="1" locked="0" behindDoc="0" simplePos="0" relativeHeight="252056576">
            <wp:simplePos x="0" y="0"/>
            <wp:positionH relativeFrom="page">
              <wp:posOffset>0</wp:posOffset>
            </wp:positionH>
            <wp:positionV relativeFrom="page">
              <wp:posOffset>0</wp:posOffset>
            </wp:positionV>
            <wp:extent cx="594067" cy="10692003"/>
            <wp:effectExtent l="0" t="0" r="0" b="0"/>
            <wp:wrapNone/>
            <wp:docPr id="283" name="image28.png"/>
            <wp:cNvGraphicFramePr>
              <a:graphicFrameLocks noChangeAspect="1"/>
            </wp:cNvGraphicFramePr>
            <a:graphic>
              <a:graphicData uri="http://schemas.openxmlformats.org/drawingml/2006/picture">
                <pic:pic>
                  <pic:nvPicPr>
                    <pic:cNvPr id="284" name="image28.png"/>
                    <pic:cNvPicPr/>
                  </pic:nvPicPr>
                  <pic:blipFill>
                    <a:blip r:embed="rId198"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spacing w:before="106"/>
        <w:ind w:left="1247" w:right="0" w:firstLine="0"/>
        <w:jc w:val="left"/>
        <w:rPr>
          <w:sz w:val="26"/>
        </w:rPr>
      </w:pPr>
      <w:r>
        <w:rPr/>
        <w:pict>
          <v:shape style="position:absolute;margin-left:20.519100pt;margin-top:22.593945pt;width:25.9pt;height:131.3pt;mso-position-horizontal-relative:page;mso-position-vertical-relative:paragraph;z-index:252057600" type="#_x0000_t202" filled="false" stroked="false">
            <v:textbox inset="0,0,0,0" style="layout-flow:vertical">
              <w:txbxContent>
                <w:p>
                  <w:pPr>
                    <w:spacing w:before="27"/>
                    <w:ind w:left="20" w:right="0" w:firstLine="0"/>
                    <w:jc w:val="left"/>
                    <w:rPr>
                      <w:sz w:val="39"/>
                    </w:rPr>
                  </w:pPr>
                  <w:r>
                    <w:rPr>
                      <w:color w:val="FFFFFF"/>
                      <w:w w:val="120"/>
                      <w:sz w:val="39"/>
                    </w:rPr>
                    <w:t>Nominations</w:t>
                  </w:r>
                </w:p>
              </w:txbxContent>
            </v:textbox>
            <w10:wrap type="none"/>
          </v:shape>
        </w:pict>
      </w:r>
      <w:r>
        <w:rPr>
          <w:color w:val="7EAABF"/>
          <w:w w:val="115"/>
          <w:sz w:val="26"/>
        </w:rPr>
        <w:t>Nominations</w:t>
      </w:r>
    </w:p>
    <w:p>
      <w:pPr>
        <w:pStyle w:val="Heading9"/>
        <w:numPr>
          <w:ilvl w:val="1"/>
          <w:numId w:val="82"/>
        </w:numPr>
        <w:tabs>
          <w:tab w:pos="1927" w:val="left" w:leader="none"/>
          <w:tab w:pos="1928" w:val="left" w:leader="none"/>
        </w:tabs>
        <w:spacing w:line="261" w:lineRule="exact" w:before="205" w:after="0"/>
        <w:ind w:left="1927" w:right="0" w:hanging="681"/>
        <w:jc w:val="left"/>
      </w:pPr>
      <w:r>
        <w:rPr>
          <w:w w:val="110"/>
        </w:rPr>
        <w:t>Congregational Memorial Hall</w:t>
      </w:r>
      <w:r>
        <w:rPr>
          <w:spacing w:val="-1"/>
          <w:w w:val="110"/>
        </w:rPr>
        <w:t> </w:t>
      </w:r>
      <w:r>
        <w:rPr>
          <w:w w:val="110"/>
        </w:rPr>
        <w:t>trust</w:t>
      </w:r>
    </w:p>
    <w:p>
      <w:pPr>
        <w:pStyle w:val="BodyText"/>
        <w:tabs>
          <w:tab w:pos="5567" w:val="left" w:leader="none"/>
        </w:tabs>
        <w:spacing w:line="235" w:lineRule="auto"/>
        <w:ind w:left="1247" w:right="3080"/>
      </w:pPr>
      <w:r>
        <w:rPr>
          <w:w w:val="120"/>
        </w:rPr>
        <w:t>The Revd Derek</w:t>
      </w:r>
      <w:r>
        <w:rPr>
          <w:spacing w:val="23"/>
          <w:w w:val="120"/>
        </w:rPr>
        <w:t> </w:t>
      </w:r>
      <w:r>
        <w:rPr>
          <w:w w:val="120"/>
        </w:rPr>
        <w:t>Wales</w:t>
      </w:r>
      <w:r>
        <w:rPr>
          <w:spacing w:val="8"/>
          <w:w w:val="120"/>
        </w:rPr>
        <w:t> </w:t>
      </w:r>
      <w:r>
        <w:rPr>
          <w:spacing w:val="-8"/>
          <w:w w:val="120"/>
        </w:rPr>
        <w:t>[2017]</w:t>
        <w:tab/>
      </w:r>
      <w:r>
        <w:rPr>
          <w:w w:val="120"/>
        </w:rPr>
        <w:t>Mrs Margaret Thompson† </w:t>
      </w:r>
      <w:r>
        <w:rPr>
          <w:spacing w:val="-8"/>
          <w:w w:val="120"/>
        </w:rPr>
        <w:t>[2018] </w:t>
      </w:r>
      <w:r>
        <w:rPr>
          <w:w w:val="120"/>
        </w:rPr>
        <w:t>Mr Hartley</w:t>
      </w:r>
      <w:r>
        <w:rPr>
          <w:spacing w:val="28"/>
          <w:w w:val="120"/>
        </w:rPr>
        <w:t> </w:t>
      </w:r>
      <w:r>
        <w:rPr>
          <w:w w:val="120"/>
        </w:rPr>
        <w:t>Oldham</w:t>
      </w:r>
      <w:r>
        <w:rPr>
          <w:spacing w:val="15"/>
          <w:w w:val="120"/>
        </w:rPr>
        <w:t> </w:t>
      </w:r>
      <w:r>
        <w:rPr>
          <w:spacing w:val="-8"/>
          <w:w w:val="120"/>
        </w:rPr>
        <w:t>[2015]</w:t>
        <w:tab/>
      </w:r>
      <w:r>
        <w:rPr>
          <w:w w:val="120"/>
        </w:rPr>
        <w:t>Mr Graham Stacy</w:t>
      </w:r>
      <w:r>
        <w:rPr>
          <w:spacing w:val="13"/>
          <w:w w:val="120"/>
        </w:rPr>
        <w:t> </w:t>
      </w:r>
      <w:r>
        <w:rPr>
          <w:spacing w:val="-8"/>
          <w:w w:val="120"/>
        </w:rPr>
        <w:t>[2015]</w:t>
      </w:r>
    </w:p>
    <w:p>
      <w:pPr>
        <w:pStyle w:val="BodyText"/>
        <w:tabs>
          <w:tab w:pos="5567" w:val="left" w:leader="none"/>
        </w:tabs>
        <w:spacing w:line="242" w:lineRule="exact"/>
        <w:ind w:left="1247"/>
      </w:pPr>
      <w:r>
        <w:rPr>
          <w:w w:val="120"/>
        </w:rPr>
        <w:t>Dr John</w:t>
      </w:r>
      <w:r>
        <w:rPr>
          <w:spacing w:val="30"/>
          <w:w w:val="120"/>
        </w:rPr>
        <w:t> </w:t>
      </w:r>
      <w:r>
        <w:rPr>
          <w:w w:val="120"/>
        </w:rPr>
        <w:t>Thompson</w:t>
      </w:r>
      <w:r>
        <w:rPr>
          <w:spacing w:val="15"/>
          <w:w w:val="120"/>
        </w:rPr>
        <w:t> </w:t>
      </w:r>
      <w:r>
        <w:rPr>
          <w:spacing w:val="-7"/>
          <w:w w:val="120"/>
        </w:rPr>
        <w:t>[2016]</w:t>
        <w:tab/>
      </w:r>
      <w:r>
        <w:rPr>
          <w:w w:val="120"/>
        </w:rPr>
        <w:t>Dr Brian Woodhall</w:t>
      </w:r>
      <w:r>
        <w:rPr>
          <w:spacing w:val="7"/>
          <w:w w:val="120"/>
        </w:rPr>
        <w:t> </w:t>
      </w:r>
      <w:r>
        <w:rPr>
          <w:spacing w:val="-7"/>
          <w:w w:val="120"/>
        </w:rPr>
        <w:t>[2016]</w:t>
      </w:r>
    </w:p>
    <w:p>
      <w:pPr>
        <w:pStyle w:val="BodyText"/>
        <w:spacing w:before="11"/>
        <w:rPr>
          <w:sz w:val="17"/>
        </w:rPr>
      </w:pPr>
    </w:p>
    <w:p>
      <w:pPr>
        <w:pStyle w:val="Heading9"/>
        <w:numPr>
          <w:ilvl w:val="1"/>
          <w:numId w:val="82"/>
        </w:numPr>
        <w:tabs>
          <w:tab w:pos="1928" w:val="left" w:leader="none"/>
        </w:tabs>
        <w:spacing w:line="261" w:lineRule="exact" w:before="0" w:after="0"/>
        <w:ind w:left="1927" w:right="0" w:hanging="681"/>
        <w:jc w:val="left"/>
      </w:pPr>
      <w:r>
        <w:rPr>
          <w:w w:val="110"/>
        </w:rPr>
        <w:t>Discipleship and witness board of</w:t>
      </w:r>
      <w:r>
        <w:rPr>
          <w:spacing w:val="-1"/>
          <w:w w:val="110"/>
        </w:rPr>
        <w:t> </w:t>
      </w:r>
      <w:r>
        <w:rPr>
          <w:w w:val="110"/>
        </w:rPr>
        <w:t>trustees</w:t>
      </w:r>
    </w:p>
    <w:p>
      <w:pPr>
        <w:pStyle w:val="BodyText"/>
        <w:spacing w:line="235" w:lineRule="exact"/>
        <w:ind w:left="1247"/>
      </w:pPr>
      <w:r>
        <w:rPr>
          <w:w w:val="120"/>
        </w:rPr>
        <w:t>Mrs Patricia Hubbard [from before 1999]</w:t>
      </w:r>
    </w:p>
    <w:p>
      <w:pPr>
        <w:pStyle w:val="BodyText"/>
        <w:spacing w:before="3"/>
        <w:rPr>
          <w:sz w:val="18"/>
        </w:rPr>
      </w:pPr>
    </w:p>
    <w:p>
      <w:pPr>
        <w:pStyle w:val="Heading9"/>
        <w:numPr>
          <w:ilvl w:val="2"/>
          <w:numId w:val="82"/>
        </w:numPr>
        <w:tabs>
          <w:tab w:pos="1972" w:val="left" w:leader="none"/>
        </w:tabs>
        <w:spacing w:line="261" w:lineRule="exact" w:before="0" w:after="0"/>
        <w:ind w:left="1971" w:right="0" w:hanging="725"/>
        <w:jc w:val="left"/>
      </w:pPr>
      <w:r>
        <w:rPr>
          <w:w w:val="110"/>
        </w:rPr>
        <w:t>Publications development</w:t>
      </w:r>
      <w:r>
        <w:rPr>
          <w:spacing w:val="-1"/>
          <w:w w:val="110"/>
        </w:rPr>
        <w:t> </w:t>
      </w:r>
      <w:r>
        <w:rPr>
          <w:w w:val="110"/>
        </w:rPr>
        <w:t>group</w:t>
      </w:r>
    </w:p>
    <w:p>
      <w:pPr>
        <w:pStyle w:val="BodyText"/>
        <w:spacing w:line="235" w:lineRule="exact"/>
        <w:ind w:left="1247"/>
      </w:pPr>
      <w:r>
        <w:rPr>
          <w:w w:val="120"/>
        </w:rPr>
        <w:t>Vacancy</w:t>
      </w:r>
    </w:p>
    <w:p>
      <w:pPr>
        <w:pStyle w:val="BodyText"/>
        <w:spacing w:before="4"/>
        <w:rPr>
          <w:sz w:val="18"/>
        </w:rPr>
      </w:pPr>
    </w:p>
    <w:p>
      <w:pPr>
        <w:pStyle w:val="Heading9"/>
        <w:numPr>
          <w:ilvl w:val="1"/>
          <w:numId w:val="82"/>
        </w:numPr>
        <w:tabs>
          <w:tab w:pos="1927" w:val="left" w:leader="none"/>
          <w:tab w:pos="1928" w:val="left" w:leader="none"/>
        </w:tabs>
        <w:spacing w:line="261" w:lineRule="exact" w:before="0" w:after="0"/>
        <w:ind w:left="1927" w:right="0" w:hanging="681"/>
        <w:jc w:val="left"/>
      </w:pPr>
      <w:r>
        <w:rPr>
          <w:w w:val="110"/>
        </w:rPr>
        <w:t>English Heritage’s places of worship</w:t>
      </w:r>
      <w:r>
        <w:rPr>
          <w:spacing w:val="-2"/>
          <w:w w:val="110"/>
        </w:rPr>
        <w:t> </w:t>
      </w:r>
      <w:r>
        <w:rPr>
          <w:w w:val="110"/>
        </w:rPr>
        <w:t>forum</w:t>
      </w:r>
    </w:p>
    <w:p>
      <w:pPr>
        <w:pStyle w:val="BodyText"/>
        <w:spacing w:line="235" w:lineRule="exact"/>
        <w:ind w:left="1247"/>
      </w:pPr>
      <w:r>
        <w:rPr>
          <w:w w:val="120"/>
        </w:rPr>
        <w:t>Mr Peter West (convener of the listed buildings advisory group)</w:t>
      </w:r>
    </w:p>
    <w:p>
      <w:pPr>
        <w:pStyle w:val="BodyText"/>
        <w:spacing w:before="3"/>
        <w:rPr>
          <w:sz w:val="18"/>
        </w:rPr>
      </w:pPr>
    </w:p>
    <w:p>
      <w:pPr>
        <w:pStyle w:val="Heading9"/>
        <w:numPr>
          <w:ilvl w:val="1"/>
          <w:numId w:val="82"/>
        </w:numPr>
        <w:tabs>
          <w:tab w:pos="1927" w:val="left" w:leader="none"/>
          <w:tab w:pos="1928" w:val="left" w:leader="none"/>
        </w:tabs>
        <w:spacing w:line="261" w:lineRule="exact" w:before="1" w:after="0"/>
        <w:ind w:left="1927" w:right="0" w:hanging="681"/>
        <w:jc w:val="left"/>
      </w:pPr>
      <w:r>
        <w:rPr>
          <w:w w:val="110"/>
        </w:rPr>
        <w:t>Lord Wharton’s</w:t>
      </w:r>
      <w:r>
        <w:rPr>
          <w:spacing w:val="-1"/>
          <w:w w:val="110"/>
        </w:rPr>
        <w:t> </w:t>
      </w:r>
      <w:r>
        <w:rPr>
          <w:w w:val="110"/>
        </w:rPr>
        <w:t>charity</w:t>
      </w:r>
    </w:p>
    <w:p>
      <w:pPr>
        <w:pStyle w:val="BodyText"/>
        <w:spacing w:line="235" w:lineRule="exact"/>
        <w:ind w:left="1247"/>
      </w:pPr>
      <w:r>
        <w:rPr>
          <w:w w:val="120"/>
        </w:rPr>
        <w:t>The Revd Derek Lindfield [2017]</w:t>
      </w:r>
    </w:p>
    <w:p>
      <w:pPr>
        <w:pStyle w:val="BodyText"/>
        <w:spacing w:before="3"/>
        <w:rPr>
          <w:sz w:val="18"/>
        </w:rPr>
      </w:pPr>
    </w:p>
    <w:p>
      <w:pPr>
        <w:pStyle w:val="Heading9"/>
        <w:numPr>
          <w:ilvl w:val="1"/>
          <w:numId w:val="82"/>
        </w:numPr>
        <w:tabs>
          <w:tab w:pos="1927" w:val="left" w:leader="none"/>
          <w:tab w:pos="1928" w:val="left" w:leader="none"/>
        </w:tabs>
        <w:spacing w:line="261" w:lineRule="exact" w:before="0" w:after="0"/>
        <w:ind w:left="1927" w:right="0" w:hanging="681"/>
        <w:jc w:val="left"/>
      </w:pPr>
      <w:r>
        <w:rPr>
          <w:w w:val="110"/>
        </w:rPr>
        <w:t>Methodist faith and order</w:t>
      </w:r>
      <w:r>
        <w:rPr>
          <w:spacing w:val="-1"/>
          <w:w w:val="110"/>
        </w:rPr>
        <w:t> </w:t>
      </w:r>
      <w:r>
        <w:rPr>
          <w:w w:val="110"/>
        </w:rPr>
        <w:t>committee</w:t>
      </w:r>
    </w:p>
    <w:p>
      <w:pPr>
        <w:pStyle w:val="BodyText"/>
        <w:spacing w:line="235" w:lineRule="exact"/>
        <w:ind w:left="1247"/>
      </w:pPr>
      <w:r>
        <w:rPr>
          <w:w w:val="125"/>
        </w:rPr>
        <w:t>Dr Augur Pearce [2017]</w:t>
      </w:r>
    </w:p>
    <w:p>
      <w:pPr>
        <w:pStyle w:val="BodyText"/>
        <w:spacing w:before="3"/>
        <w:rPr>
          <w:sz w:val="18"/>
        </w:rPr>
      </w:pPr>
    </w:p>
    <w:p>
      <w:pPr>
        <w:pStyle w:val="Heading9"/>
        <w:numPr>
          <w:ilvl w:val="1"/>
          <w:numId w:val="82"/>
        </w:numPr>
        <w:tabs>
          <w:tab w:pos="1927" w:val="left" w:leader="none"/>
          <w:tab w:pos="1928" w:val="left" w:leader="none"/>
        </w:tabs>
        <w:spacing w:line="261" w:lineRule="exact" w:before="1" w:after="0"/>
        <w:ind w:left="1927" w:right="0" w:hanging="681"/>
        <w:jc w:val="left"/>
      </w:pPr>
      <w:r>
        <w:rPr>
          <w:w w:val="110"/>
        </w:rPr>
        <w:t>Retired ministers’ and widows’</w:t>
      </w:r>
      <w:r>
        <w:rPr>
          <w:spacing w:val="-2"/>
          <w:w w:val="110"/>
        </w:rPr>
        <w:t> </w:t>
      </w:r>
      <w:r>
        <w:rPr>
          <w:w w:val="110"/>
        </w:rPr>
        <w:t>fund</w:t>
      </w:r>
    </w:p>
    <w:p>
      <w:pPr>
        <w:pStyle w:val="BodyText"/>
        <w:tabs>
          <w:tab w:pos="5567" w:val="left" w:leader="none"/>
        </w:tabs>
        <w:spacing w:line="235" w:lineRule="auto"/>
        <w:ind w:left="1247" w:right="2895"/>
      </w:pPr>
      <w:r>
        <w:rPr>
          <w:w w:val="120"/>
        </w:rPr>
        <w:t>Mr Ken Meekison [from</w:t>
      </w:r>
      <w:r>
        <w:rPr>
          <w:spacing w:val="9"/>
          <w:w w:val="120"/>
        </w:rPr>
        <w:t> </w:t>
      </w:r>
      <w:r>
        <w:rPr>
          <w:w w:val="120"/>
        </w:rPr>
        <w:t>before</w:t>
      </w:r>
      <w:r>
        <w:rPr>
          <w:spacing w:val="2"/>
          <w:w w:val="120"/>
        </w:rPr>
        <w:t> </w:t>
      </w:r>
      <w:r>
        <w:rPr>
          <w:spacing w:val="-5"/>
          <w:w w:val="120"/>
        </w:rPr>
        <w:t>1999]</w:t>
        <w:tab/>
      </w:r>
      <w:r>
        <w:rPr>
          <w:w w:val="120"/>
        </w:rPr>
        <w:t>The Revd Julian Macro [from 2004] Mr Anthony Bayley [from</w:t>
      </w:r>
      <w:r>
        <w:rPr>
          <w:spacing w:val="8"/>
          <w:w w:val="120"/>
        </w:rPr>
        <w:t> </w:t>
      </w:r>
      <w:r>
        <w:rPr>
          <w:spacing w:val="-8"/>
          <w:w w:val="120"/>
        </w:rPr>
        <w:t>2014]</w:t>
      </w:r>
    </w:p>
    <w:p>
      <w:pPr>
        <w:pStyle w:val="BodyText"/>
        <w:rPr>
          <w:sz w:val="18"/>
        </w:rPr>
      </w:pPr>
    </w:p>
    <w:p>
      <w:pPr>
        <w:pStyle w:val="Heading9"/>
        <w:numPr>
          <w:ilvl w:val="1"/>
          <w:numId w:val="82"/>
        </w:numPr>
        <w:tabs>
          <w:tab w:pos="1928" w:val="left" w:leader="none"/>
        </w:tabs>
        <w:spacing w:line="261" w:lineRule="exact" w:before="0" w:after="0"/>
        <w:ind w:left="1927" w:right="0" w:hanging="681"/>
        <w:jc w:val="left"/>
      </w:pPr>
      <w:r>
        <w:rPr>
          <w:w w:val="110"/>
        </w:rPr>
        <w:t>Samuel Robinson’s</w:t>
      </w:r>
      <w:r>
        <w:rPr>
          <w:spacing w:val="-1"/>
          <w:w w:val="110"/>
        </w:rPr>
        <w:t> </w:t>
      </w:r>
      <w:r>
        <w:rPr>
          <w:w w:val="110"/>
        </w:rPr>
        <w:t>charities</w:t>
      </w:r>
    </w:p>
    <w:p>
      <w:pPr>
        <w:pStyle w:val="BodyText"/>
        <w:spacing w:line="235" w:lineRule="exact"/>
        <w:ind w:left="1247"/>
      </w:pPr>
      <w:r>
        <w:rPr>
          <w:w w:val="120"/>
        </w:rPr>
        <w:t>Mr Tony Alderman [from 2004]</w:t>
      </w:r>
    </w:p>
    <w:p>
      <w:pPr>
        <w:pStyle w:val="BodyText"/>
        <w:spacing w:before="3"/>
        <w:rPr>
          <w:sz w:val="18"/>
        </w:rPr>
      </w:pPr>
    </w:p>
    <w:p>
      <w:pPr>
        <w:pStyle w:val="Heading9"/>
        <w:numPr>
          <w:ilvl w:val="1"/>
          <w:numId w:val="82"/>
        </w:numPr>
        <w:tabs>
          <w:tab w:pos="1928" w:val="left" w:leader="none"/>
        </w:tabs>
        <w:spacing w:line="261" w:lineRule="exact" w:before="1" w:after="0"/>
        <w:ind w:left="1927" w:right="0" w:hanging="681"/>
        <w:jc w:val="left"/>
      </w:pPr>
      <w:r>
        <w:rPr>
          <w:w w:val="110"/>
        </w:rPr>
        <w:t>Scout association – URC faith</w:t>
      </w:r>
      <w:r>
        <w:rPr>
          <w:spacing w:val="-1"/>
          <w:w w:val="110"/>
        </w:rPr>
        <w:t> </w:t>
      </w:r>
      <w:r>
        <w:rPr>
          <w:w w:val="110"/>
        </w:rPr>
        <w:t>adviser</w:t>
      </w:r>
    </w:p>
    <w:p>
      <w:pPr>
        <w:pStyle w:val="BodyText"/>
        <w:spacing w:line="235" w:lineRule="exact"/>
        <w:ind w:left="1247"/>
      </w:pPr>
      <w:r>
        <w:rPr>
          <w:w w:val="120"/>
        </w:rPr>
        <w:t>The Revd David Marshall-Jones</w:t>
      </w:r>
    </w:p>
    <w:p>
      <w:pPr>
        <w:pStyle w:val="BodyText"/>
        <w:spacing w:before="3"/>
        <w:rPr>
          <w:sz w:val="18"/>
        </w:rPr>
      </w:pPr>
    </w:p>
    <w:p>
      <w:pPr>
        <w:pStyle w:val="Heading9"/>
        <w:numPr>
          <w:ilvl w:val="1"/>
          <w:numId w:val="82"/>
        </w:numPr>
        <w:tabs>
          <w:tab w:pos="1928" w:val="left" w:leader="none"/>
        </w:tabs>
        <w:spacing w:line="261" w:lineRule="exact" w:before="0" w:after="0"/>
        <w:ind w:left="1927" w:right="0" w:hanging="681"/>
        <w:jc w:val="left"/>
      </w:pPr>
      <w:r>
        <w:rPr>
          <w:w w:val="110"/>
        </w:rPr>
        <w:t>United Reformed Church history society</w:t>
      </w:r>
      <w:r>
        <w:rPr>
          <w:spacing w:val="-1"/>
          <w:w w:val="110"/>
        </w:rPr>
        <w:t> </w:t>
      </w:r>
      <w:r>
        <w:rPr>
          <w:w w:val="110"/>
        </w:rPr>
        <w:t>council</w:t>
      </w:r>
    </w:p>
    <w:p>
      <w:pPr>
        <w:pStyle w:val="BodyText"/>
        <w:tabs>
          <w:tab w:pos="5567" w:val="left" w:leader="none"/>
        </w:tabs>
        <w:spacing w:line="233" w:lineRule="exact"/>
        <w:ind w:left="1247"/>
      </w:pPr>
      <w:r>
        <w:rPr>
          <w:w w:val="120"/>
        </w:rPr>
        <w:t>The Revd Dr</w:t>
      </w:r>
      <w:r>
        <w:rPr>
          <w:spacing w:val="29"/>
          <w:w w:val="120"/>
        </w:rPr>
        <w:t> </w:t>
      </w:r>
      <w:r>
        <w:rPr>
          <w:w w:val="120"/>
        </w:rPr>
        <w:t>Kirsty</w:t>
      </w:r>
      <w:r>
        <w:rPr>
          <w:spacing w:val="10"/>
          <w:w w:val="120"/>
        </w:rPr>
        <w:t> </w:t>
      </w:r>
      <w:r>
        <w:rPr>
          <w:w w:val="120"/>
        </w:rPr>
        <w:t>Thorpe</w:t>
        <w:tab/>
        <w:t>The Revd Prof David</w:t>
      </w:r>
      <w:r>
        <w:rPr>
          <w:spacing w:val="10"/>
          <w:w w:val="120"/>
        </w:rPr>
        <w:t> </w:t>
      </w:r>
      <w:r>
        <w:rPr>
          <w:w w:val="120"/>
        </w:rPr>
        <w:t>Thompson</w:t>
      </w:r>
    </w:p>
    <w:p>
      <w:pPr>
        <w:pStyle w:val="BodyText"/>
        <w:tabs>
          <w:tab w:pos="5567" w:val="left" w:leader="none"/>
        </w:tabs>
        <w:spacing w:line="242" w:lineRule="exact"/>
        <w:ind w:left="1247"/>
      </w:pPr>
      <w:r>
        <w:rPr>
          <w:w w:val="120"/>
        </w:rPr>
        <w:t>Dr</w:t>
      </w:r>
      <w:r>
        <w:rPr>
          <w:spacing w:val="10"/>
          <w:w w:val="120"/>
        </w:rPr>
        <w:t> </w:t>
      </w:r>
      <w:r>
        <w:rPr>
          <w:w w:val="120"/>
        </w:rPr>
        <w:t>David</w:t>
      </w:r>
      <w:r>
        <w:rPr>
          <w:spacing w:val="11"/>
          <w:w w:val="120"/>
        </w:rPr>
        <w:t> </w:t>
      </w:r>
      <w:r>
        <w:rPr>
          <w:w w:val="120"/>
        </w:rPr>
        <w:t>Robinson</w:t>
        <w:tab/>
        <w:t>The Revd Dr Michael</w:t>
      </w:r>
      <w:r>
        <w:rPr>
          <w:spacing w:val="8"/>
          <w:w w:val="120"/>
        </w:rPr>
        <w:t> </w:t>
      </w:r>
      <w:r>
        <w:rPr>
          <w:w w:val="120"/>
        </w:rPr>
        <w:t>Jagessar</w:t>
      </w:r>
    </w:p>
    <w:p>
      <w:pPr>
        <w:pStyle w:val="BodyText"/>
        <w:spacing w:before="3"/>
        <w:rPr>
          <w:sz w:val="18"/>
        </w:rPr>
      </w:pPr>
    </w:p>
    <w:p>
      <w:pPr>
        <w:pStyle w:val="Heading9"/>
        <w:numPr>
          <w:ilvl w:val="1"/>
          <w:numId w:val="82"/>
        </w:numPr>
        <w:tabs>
          <w:tab w:pos="1928" w:val="left" w:leader="none"/>
        </w:tabs>
        <w:spacing w:line="261" w:lineRule="exact" w:before="1" w:after="0"/>
        <w:ind w:left="1927" w:right="0" w:hanging="681"/>
        <w:jc w:val="left"/>
      </w:pPr>
      <w:r>
        <w:rPr>
          <w:w w:val="110"/>
        </w:rPr>
        <w:t>United Reformed Church Guide and Scout active support</w:t>
      </w:r>
      <w:r>
        <w:rPr>
          <w:spacing w:val="1"/>
          <w:w w:val="110"/>
        </w:rPr>
        <w:t> </w:t>
      </w:r>
      <w:r>
        <w:rPr>
          <w:w w:val="110"/>
        </w:rPr>
        <w:t>unit</w:t>
      </w:r>
    </w:p>
    <w:p>
      <w:pPr>
        <w:pStyle w:val="BodyText"/>
        <w:spacing w:line="235" w:lineRule="exact"/>
        <w:ind w:left="1247"/>
      </w:pPr>
      <w:r>
        <w:rPr>
          <w:w w:val="120"/>
        </w:rPr>
        <w:t>The Revd David Marshall-Jones</w:t>
      </w:r>
    </w:p>
    <w:p>
      <w:pPr>
        <w:pStyle w:val="BodyText"/>
        <w:spacing w:before="3"/>
        <w:rPr>
          <w:sz w:val="18"/>
        </w:rPr>
      </w:pPr>
    </w:p>
    <w:p>
      <w:pPr>
        <w:pStyle w:val="Heading9"/>
        <w:numPr>
          <w:ilvl w:val="1"/>
          <w:numId w:val="82"/>
        </w:numPr>
        <w:tabs>
          <w:tab w:pos="1928" w:val="left" w:leader="none"/>
        </w:tabs>
        <w:spacing w:line="261" w:lineRule="exact" w:before="0" w:after="0"/>
        <w:ind w:left="1927" w:right="0" w:hanging="681"/>
        <w:jc w:val="left"/>
      </w:pPr>
      <w:r>
        <w:rPr>
          <w:w w:val="110"/>
        </w:rPr>
        <w:t>Westhill endowment</w:t>
      </w:r>
      <w:r>
        <w:rPr>
          <w:spacing w:val="-1"/>
          <w:w w:val="110"/>
        </w:rPr>
        <w:t> </w:t>
      </w:r>
      <w:r>
        <w:rPr>
          <w:w w:val="110"/>
        </w:rPr>
        <w:t>fund</w:t>
      </w:r>
    </w:p>
    <w:p>
      <w:pPr>
        <w:pStyle w:val="BodyText"/>
        <w:tabs>
          <w:tab w:pos="5567" w:val="left" w:leader="none"/>
        </w:tabs>
        <w:spacing w:line="235" w:lineRule="auto"/>
        <w:ind w:left="1247" w:right="3334"/>
      </w:pPr>
      <w:r>
        <w:rPr>
          <w:w w:val="120"/>
        </w:rPr>
        <w:t>Mr</w:t>
      </w:r>
      <w:r>
        <w:rPr>
          <w:spacing w:val="9"/>
          <w:w w:val="120"/>
        </w:rPr>
        <w:t> </w:t>
      </w:r>
      <w:r>
        <w:rPr>
          <w:w w:val="120"/>
        </w:rPr>
        <w:t>Howard</w:t>
      </w:r>
      <w:r>
        <w:rPr>
          <w:spacing w:val="9"/>
          <w:w w:val="120"/>
        </w:rPr>
        <w:t> </w:t>
      </w:r>
      <w:r>
        <w:rPr>
          <w:w w:val="120"/>
        </w:rPr>
        <w:t>Bridge,</w:t>
        <w:tab/>
        <w:t>The Revd Dr Stephen Orchard, The Revd Elizabeth Welch</w:t>
      </w:r>
      <w:r>
        <w:rPr>
          <w:spacing w:val="10"/>
          <w:w w:val="120"/>
        </w:rPr>
        <w:t> </w:t>
      </w:r>
      <w:r>
        <w:rPr>
          <w:w w:val="120"/>
        </w:rPr>
        <w:t>(co-opted)</w:t>
      </w:r>
    </w:p>
    <w:p>
      <w:pPr>
        <w:spacing w:after="0" w:line="235" w:lineRule="auto"/>
        <w:sectPr>
          <w:headerReference w:type="even" r:id="rId353"/>
          <w:footerReference w:type="even" r:id="rId354"/>
          <w:pgSz w:w="11910" w:h="16840"/>
          <w:pgMar w:header="0" w:footer="647" w:top="0" w:bottom="840" w:left="0" w:right="0"/>
          <w:pgNumType w:start="152"/>
        </w:sectPr>
      </w:pPr>
    </w:p>
    <w:p>
      <w:pPr>
        <w:pStyle w:val="BodyText"/>
      </w:pPr>
      <w:r>
        <w:rPr/>
        <w:pict>
          <v:rect style="position:absolute;margin-left:1.417pt;margin-top:.000015pt;width:547.79pt;height:841.89pt;mso-position-horizontal-relative:page;mso-position-vertical-relative:page;z-index:-267217920" filled="true" fillcolor="#d4e9f7" stroked="false">
            <v:fill type="solid"/>
            <w10:wrap type="none"/>
          </v:rect>
        </w:pict>
      </w:r>
      <w:r>
        <w:rPr/>
        <w:pict>
          <v:group style="position:absolute;margin-left:0pt;margin-top:.000015pt;width:595.3pt;height:841.9pt;mso-position-horizontal-relative:page;mso-position-vertical-relative:page;z-index:-267216896" coordorigin="0,0" coordsize="11906,16838">
            <v:shape style="position:absolute;left:10984;top:0;width:922;height:16838" type="#_x0000_t75" stroked="false">
              <v:imagedata r:id="rId357" o:title=""/>
            </v:shape>
            <v:shape style="position:absolute;left:0;top:0;width:11906;height:16838" type="#_x0000_t75" stroked="false">
              <v:imagedata r:id="rId193" o:title=""/>
            </v:shape>
            <v:shape style="position:absolute;left:6344;top:94;width:4768;height:6045" type="#_x0000_t75" stroked="false">
              <v:imagedata r:id="rId358" o:title=""/>
            </v:shape>
            <w10:wrap type="none"/>
          </v:group>
        </w:pict>
      </w:r>
      <w:r>
        <w:rPr/>
        <w:pict>
          <v:shape style="position:absolute;margin-left:554.141174pt;margin-top:48.890015pt;width:25.9pt;height:219.15pt;mso-position-horizontal-relative:page;mso-position-vertical-relative:page;z-index:252060672" type="#_x0000_t202" filled="false" stroked="false">
            <v:textbox inset="0,0,0,0" style="layout-flow:vertical">
              <w:txbxContent>
                <w:p>
                  <w:pPr>
                    <w:spacing w:before="27"/>
                    <w:ind w:left="20" w:right="0" w:firstLine="0"/>
                    <w:jc w:val="left"/>
                    <w:rPr>
                      <w:sz w:val="39"/>
                    </w:rPr>
                  </w:pPr>
                  <w:r>
                    <w:rPr>
                      <w:color w:val="FFFFFF"/>
                      <w:w w:val="120"/>
                      <w:sz w:val="39"/>
                    </w:rPr>
                    <w:t>Retrospective reports</w:t>
                  </w:r>
                </w:p>
              </w:txbxContent>
            </v:textbox>
            <w10:wrap type="none"/>
          </v:shape>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Heading1"/>
        <w:spacing w:line="206" w:lineRule="auto"/>
        <w:ind w:right="3284"/>
        <w:rPr>
          <w:b/>
        </w:rPr>
      </w:pPr>
      <w:bookmarkStart w:name="_bookmark25" w:id="29"/>
      <w:bookmarkEnd w:id="29"/>
      <w:r>
        <w:rPr>
          <w:b w:val="0"/>
        </w:rPr>
      </w:r>
      <w:r>
        <w:rPr>
          <w:b/>
          <w:w w:val="110"/>
        </w:rPr>
        <w:t>Retrospective reports</w:t>
      </w:r>
    </w:p>
    <w:sdt>
      <w:sdtPr>
        <w:docPartObj>
          <w:docPartGallery w:val="Table of Contents"/>
          <w:docPartUnique/>
        </w:docPartObj>
      </w:sdtPr>
      <w:sdtEndPr/>
      <w:sdtContent>
        <w:p>
          <w:pPr>
            <w:pStyle w:val="TOC1"/>
            <w:tabs>
              <w:tab w:pos="9323" w:val="right" w:leader="none"/>
            </w:tabs>
            <w:spacing w:before="587"/>
            <w:rPr>
              <w:b/>
            </w:rPr>
          </w:pPr>
          <w:r>
            <w:rPr>
              <w:b/>
              <w:w w:val="110"/>
            </w:rPr>
            <w:t>Assembly arrangements</w:t>
            <w:tab/>
          </w:r>
          <w:r>
            <w:rPr>
              <w:b/>
              <w:spacing w:val="-6"/>
              <w:w w:val="110"/>
            </w:rPr>
            <w:t>154</w:t>
          </w:r>
        </w:p>
        <w:p>
          <w:pPr>
            <w:pStyle w:val="TOC1"/>
            <w:tabs>
              <w:tab w:pos="9323" w:val="right" w:leader="none"/>
            </w:tabs>
            <w:rPr>
              <w:b/>
            </w:rPr>
          </w:pPr>
          <w:hyperlink w:history="true" w:anchor="_TOC_250010">
            <w:r>
              <w:rPr>
                <w:b/>
                <w:spacing w:val="-3"/>
                <w:w w:val="110"/>
              </w:rPr>
              <w:t>Children’s </w:t>
            </w:r>
            <w:r>
              <w:rPr>
                <w:b/>
                <w:w w:val="110"/>
              </w:rPr>
              <w:t>and</w:t>
            </w:r>
            <w:r>
              <w:rPr>
                <w:b/>
                <w:spacing w:val="2"/>
                <w:w w:val="110"/>
              </w:rPr>
              <w:t> </w:t>
            </w:r>
            <w:r>
              <w:rPr>
                <w:b/>
                <w:w w:val="110"/>
              </w:rPr>
              <w:t>youth work</w:t>
              <w:tab/>
            </w:r>
            <w:r>
              <w:rPr>
                <w:b/>
                <w:spacing w:val="-8"/>
                <w:w w:val="110"/>
              </w:rPr>
              <w:t>155</w:t>
            </w:r>
          </w:hyperlink>
        </w:p>
        <w:p>
          <w:pPr>
            <w:pStyle w:val="TOC1"/>
            <w:tabs>
              <w:tab w:pos="9323" w:val="right" w:leader="none"/>
            </w:tabs>
            <w:spacing w:before="10"/>
            <w:rPr>
              <w:b/>
            </w:rPr>
          </w:pPr>
          <w:hyperlink w:history="true" w:anchor="_TOC_250009">
            <w:r>
              <w:rPr>
                <w:b/>
                <w:w w:val="110"/>
              </w:rPr>
              <w:t>Communications</w:t>
            </w:r>
            <w:r>
              <w:rPr>
                <w:b/>
                <w:spacing w:val="-1"/>
                <w:w w:val="110"/>
              </w:rPr>
              <w:t> </w:t>
            </w:r>
            <w:r>
              <w:rPr>
                <w:b/>
                <w:w w:val="110"/>
              </w:rPr>
              <w:t>and editorial</w:t>
              <w:tab/>
            </w:r>
            <w:r>
              <w:rPr>
                <w:b/>
                <w:spacing w:val="-9"/>
                <w:w w:val="110"/>
              </w:rPr>
              <w:t>157</w:t>
            </w:r>
          </w:hyperlink>
        </w:p>
        <w:p>
          <w:pPr>
            <w:pStyle w:val="TOC1"/>
            <w:tabs>
              <w:tab w:pos="9323" w:val="right" w:leader="none"/>
            </w:tabs>
            <w:spacing w:before="10"/>
            <w:rPr>
              <w:b/>
            </w:rPr>
          </w:pPr>
          <w:hyperlink w:history="true" w:anchor="_TOC_250008">
            <w:r>
              <w:rPr>
                <w:b/>
                <w:w w:val="110"/>
              </w:rPr>
              <w:t>Education</w:t>
            </w:r>
            <w:r>
              <w:rPr>
                <w:b/>
                <w:spacing w:val="-1"/>
                <w:w w:val="110"/>
              </w:rPr>
              <w:t> </w:t>
            </w:r>
            <w:r>
              <w:rPr>
                <w:b/>
                <w:w w:val="110"/>
              </w:rPr>
              <w:t>and learning</w:t>
              <w:tab/>
            </w:r>
            <w:r>
              <w:rPr>
                <w:b/>
                <w:spacing w:val="-4"/>
                <w:w w:val="110"/>
              </w:rPr>
              <w:t>160</w:t>
            </w:r>
          </w:hyperlink>
        </w:p>
        <w:p>
          <w:pPr>
            <w:pStyle w:val="TOC2"/>
            <w:tabs>
              <w:tab w:pos="9323" w:val="right" w:leader="none"/>
            </w:tabs>
            <w:spacing w:before="9"/>
            <w:rPr>
              <w:b/>
            </w:rPr>
          </w:pPr>
          <w:r>
            <w:rPr>
              <w:b/>
              <w:w w:val="110"/>
            </w:rPr>
            <w:t>Statistics of students</w:t>
          </w:r>
          <w:r>
            <w:rPr>
              <w:b/>
              <w:spacing w:val="-1"/>
              <w:w w:val="110"/>
            </w:rPr>
            <w:t> </w:t>
          </w:r>
          <w:r>
            <w:rPr>
              <w:b/>
              <w:w w:val="110"/>
            </w:rPr>
            <w:t>in</w:t>
          </w:r>
          <w:r>
            <w:rPr>
              <w:b/>
              <w:spacing w:val="-1"/>
              <w:w w:val="110"/>
            </w:rPr>
            <w:t> </w:t>
          </w:r>
          <w:r>
            <w:rPr>
              <w:b/>
              <w:w w:val="110"/>
            </w:rPr>
            <w:t>EM1</w:t>
            <w:tab/>
          </w:r>
          <w:r>
            <w:rPr>
              <w:b/>
              <w:spacing w:val="-9"/>
              <w:w w:val="110"/>
            </w:rPr>
            <w:t>170</w:t>
          </w:r>
        </w:p>
        <w:p>
          <w:pPr>
            <w:pStyle w:val="TOC2"/>
            <w:tabs>
              <w:tab w:pos="9323" w:val="right" w:leader="none"/>
            </w:tabs>
            <w:rPr>
              <w:b/>
            </w:rPr>
          </w:pPr>
          <w:hyperlink w:history="true" w:anchor="_TOC_250007">
            <w:r>
              <w:rPr>
                <w:b/>
                <w:w w:val="110"/>
              </w:rPr>
              <w:t>Students sent</w:t>
            </w:r>
            <w:r>
              <w:rPr>
                <w:b/>
                <w:spacing w:val="-1"/>
                <w:w w:val="110"/>
              </w:rPr>
              <w:t> </w:t>
            </w:r>
            <w:r>
              <w:rPr>
                <w:b/>
                <w:w w:val="110"/>
              </w:rPr>
              <w:t>by synod</w:t>
              <w:tab/>
            </w:r>
            <w:r>
              <w:rPr>
                <w:b/>
                <w:spacing w:val="-9"/>
                <w:w w:val="110"/>
              </w:rPr>
              <w:t>171</w:t>
            </w:r>
          </w:hyperlink>
        </w:p>
        <w:p>
          <w:pPr>
            <w:pStyle w:val="TOC1"/>
            <w:tabs>
              <w:tab w:pos="9323" w:val="right" w:leader="none"/>
            </w:tabs>
            <w:rPr>
              <w:b/>
            </w:rPr>
          </w:pPr>
          <w:hyperlink w:history="true" w:anchor="_TOC_250006">
            <w:r>
              <w:rPr>
                <w:b/>
                <w:w w:val="110"/>
              </w:rPr>
              <w:t>Equalities</w:t>
              <w:tab/>
            </w:r>
            <w:r>
              <w:rPr>
                <w:b/>
                <w:spacing w:val="-8"/>
                <w:w w:val="110"/>
              </w:rPr>
              <w:t>173</w:t>
            </w:r>
          </w:hyperlink>
        </w:p>
        <w:p>
          <w:pPr>
            <w:pStyle w:val="TOC1"/>
            <w:tabs>
              <w:tab w:pos="9323" w:val="right" w:leader="none"/>
            </w:tabs>
            <w:spacing w:before="10"/>
            <w:rPr>
              <w:b/>
            </w:rPr>
          </w:pPr>
          <w:hyperlink w:history="true" w:anchor="_TOC_250005">
            <w:r>
              <w:rPr>
                <w:b/>
                <w:w w:val="110"/>
              </w:rPr>
              <w:t>Faith</w:t>
            </w:r>
            <w:r>
              <w:rPr>
                <w:b/>
                <w:spacing w:val="-1"/>
                <w:w w:val="110"/>
              </w:rPr>
              <w:t> </w:t>
            </w:r>
            <w:r>
              <w:rPr>
                <w:b/>
                <w:w w:val="110"/>
              </w:rPr>
              <w:t>and order</w:t>
              <w:tab/>
            </w:r>
            <w:r>
              <w:rPr>
                <w:b/>
                <w:spacing w:val="-12"/>
                <w:w w:val="110"/>
              </w:rPr>
              <w:t>175</w:t>
            </w:r>
          </w:hyperlink>
        </w:p>
        <w:p>
          <w:pPr>
            <w:pStyle w:val="TOC1"/>
            <w:tabs>
              <w:tab w:pos="9323" w:val="right" w:leader="none"/>
            </w:tabs>
            <w:spacing w:before="10"/>
            <w:rPr>
              <w:b/>
            </w:rPr>
          </w:pPr>
          <w:hyperlink w:history="true" w:anchor="_TOC_250004">
            <w:r>
              <w:rPr>
                <w:b/>
                <w:w w:val="110"/>
              </w:rPr>
              <w:t>Finance</w:t>
              <w:tab/>
            </w:r>
            <w:r>
              <w:rPr>
                <w:b/>
                <w:spacing w:val="-9"/>
                <w:w w:val="110"/>
              </w:rPr>
              <w:t>179</w:t>
            </w:r>
          </w:hyperlink>
        </w:p>
        <w:p>
          <w:pPr>
            <w:pStyle w:val="TOC1"/>
            <w:tabs>
              <w:tab w:pos="9323" w:val="right" w:leader="none"/>
            </w:tabs>
            <w:rPr>
              <w:b/>
            </w:rPr>
          </w:pPr>
          <w:hyperlink w:history="true" w:anchor="_TOC_250003">
            <w:r>
              <w:rPr>
                <w:b/>
                <w:w w:val="110"/>
              </w:rPr>
              <w:t>Ministries</w:t>
              <w:tab/>
            </w:r>
            <w:r>
              <w:rPr>
                <w:b/>
                <w:spacing w:val="-7"/>
                <w:w w:val="110"/>
              </w:rPr>
              <w:t>181</w:t>
            </w:r>
          </w:hyperlink>
        </w:p>
        <w:p>
          <w:pPr>
            <w:pStyle w:val="TOC2"/>
            <w:tabs>
              <w:tab w:pos="9323" w:val="right" w:leader="none"/>
            </w:tabs>
            <w:rPr>
              <w:b/>
            </w:rPr>
          </w:pPr>
          <w:r>
            <w:rPr>
              <w:b/>
              <w:w w:val="110"/>
            </w:rPr>
            <w:t>Accreditation</w:t>
            <w:tab/>
          </w:r>
          <w:r>
            <w:rPr>
              <w:b/>
              <w:spacing w:val="-3"/>
              <w:w w:val="110"/>
            </w:rPr>
            <w:t>184</w:t>
          </w:r>
        </w:p>
        <w:p>
          <w:pPr>
            <w:pStyle w:val="TOC2"/>
            <w:tabs>
              <w:tab w:pos="9323" w:val="right" w:leader="none"/>
            </w:tabs>
            <w:spacing w:before="9"/>
            <w:rPr>
              <w:b/>
            </w:rPr>
          </w:pPr>
          <w:r>
            <w:rPr>
              <w:b/>
              <w:w w:val="110"/>
            </w:rPr>
            <w:t>Church related community</w:t>
          </w:r>
          <w:r>
            <w:rPr>
              <w:b/>
              <w:spacing w:val="-3"/>
              <w:w w:val="110"/>
            </w:rPr>
            <w:t> </w:t>
          </w:r>
          <w:r>
            <w:rPr>
              <w:b/>
              <w:w w:val="110"/>
            </w:rPr>
            <w:t>work programme</w:t>
            <w:tab/>
          </w:r>
          <w:r>
            <w:rPr>
              <w:b/>
              <w:spacing w:val="-4"/>
              <w:w w:val="110"/>
            </w:rPr>
            <w:t>186</w:t>
          </w:r>
        </w:p>
        <w:p>
          <w:pPr>
            <w:pStyle w:val="TOC2"/>
            <w:tabs>
              <w:tab w:pos="9323" w:val="right" w:leader="none"/>
            </w:tabs>
            <w:rPr>
              <w:b/>
            </w:rPr>
          </w:pPr>
          <w:r>
            <w:rPr>
              <w:b/>
              <w:w w:val="110"/>
            </w:rPr>
            <w:t>Maintenance of</w:t>
          </w:r>
          <w:r>
            <w:rPr>
              <w:b/>
              <w:spacing w:val="-1"/>
              <w:w w:val="110"/>
            </w:rPr>
            <w:t> </w:t>
          </w:r>
          <w:r>
            <w:rPr>
              <w:b/>
              <w:w w:val="110"/>
            </w:rPr>
            <w:t>the ministry</w:t>
            <w:tab/>
          </w:r>
          <w:r>
            <w:rPr>
              <w:b/>
              <w:spacing w:val="-7"/>
              <w:w w:val="110"/>
            </w:rPr>
            <w:t>187</w:t>
          </w:r>
        </w:p>
        <w:p>
          <w:pPr>
            <w:pStyle w:val="TOC2"/>
            <w:tabs>
              <w:tab w:pos="9323" w:val="right" w:leader="none"/>
            </w:tabs>
            <w:rPr>
              <w:b/>
            </w:rPr>
          </w:pPr>
          <w:r>
            <w:rPr>
              <w:b/>
              <w:w w:val="110"/>
            </w:rPr>
            <w:t>Retired</w:t>
          </w:r>
          <w:r>
            <w:rPr>
              <w:b/>
              <w:spacing w:val="-1"/>
              <w:w w:val="110"/>
            </w:rPr>
            <w:t> </w:t>
          </w:r>
          <w:r>
            <w:rPr>
              <w:b/>
              <w:w w:val="110"/>
            </w:rPr>
            <w:t>ministers’ housing</w:t>
            <w:tab/>
          </w:r>
          <w:r>
            <w:rPr>
              <w:b/>
              <w:spacing w:val="-4"/>
              <w:w w:val="110"/>
            </w:rPr>
            <w:t>188</w:t>
          </w:r>
        </w:p>
        <w:p>
          <w:pPr>
            <w:pStyle w:val="TOC1"/>
            <w:tabs>
              <w:tab w:pos="9323" w:val="right" w:leader="none"/>
            </w:tabs>
            <w:rPr>
              <w:b/>
            </w:rPr>
          </w:pPr>
          <w:hyperlink w:history="true" w:anchor="_TOC_250002">
            <w:r>
              <w:rPr>
                <w:b/>
                <w:w w:val="110"/>
              </w:rPr>
              <w:t>Mission</w:t>
              <w:tab/>
            </w:r>
            <w:r>
              <w:rPr>
                <w:b/>
                <w:spacing w:val="-4"/>
                <w:w w:val="110"/>
              </w:rPr>
              <w:t>190</w:t>
            </w:r>
          </w:hyperlink>
        </w:p>
        <w:p>
          <w:pPr>
            <w:pStyle w:val="TOC1"/>
            <w:tabs>
              <w:tab w:pos="9323" w:val="right" w:leader="none"/>
            </w:tabs>
            <w:spacing w:before="10"/>
            <w:rPr>
              <w:b/>
            </w:rPr>
          </w:pPr>
          <w:hyperlink w:history="true" w:anchor="_TOC_250001">
            <w:r>
              <w:rPr>
                <w:b/>
                <w:w w:val="110"/>
              </w:rPr>
              <w:t>Pastoral reference</w:t>
            </w:r>
            <w:r>
              <w:rPr>
                <w:b/>
                <w:spacing w:val="-1"/>
                <w:w w:val="110"/>
              </w:rPr>
              <w:t> </w:t>
            </w:r>
            <w:r>
              <w:rPr>
                <w:b/>
                <w:w w:val="110"/>
              </w:rPr>
              <w:t>and welfare</w:t>
              <w:tab/>
              <w:t>205</w:t>
            </w:r>
          </w:hyperlink>
        </w:p>
        <w:p>
          <w:pPr>
            <w:pStyle w:val="TOC1"/>
            <w:tabs>
              <w:tab w:pos="9324" w:val="right" w:leader="none"/>
            </w:tabs>
            <w:rPr>
              <w:b/>
            </w:rPr>
          </w:pPr>
          <w:hyperlink w:history="true" w:anchor="_TOC_250000">
            <w:r>
              <w:rPr>
                <w:b/>
                <w:w w:val="110"/>
              </w:rPr>
              <w:t>Church</w:t>
            </w:r>
            <w:r>
              <w:rPr>
                <w:b/>
                <w:spacing w:val="-1"/>
                <w:w w:val="110"/>
              </w:rPr>
              <w:t> </w:t>
            </w:r>
            <w:r>
              <w:rPr>
                <w:b/>
                <w:w w:val="110"/>
              </w:rPr>
              <w:t>changes</w:t>
              <w:tab/>
            </w:r>
            <w:r>
              <w:rPr>
                <w:b/>
                <w:spacing w:val="-3"/>
                <w:w w:val="110"/>
              </w:rPr>
              <w:t>207</w:t>
            </w:r>
          </w:hyperlink>
        </w:p>
      </w:sdtContent>
    </w:sdt>
    <w:p>
      <w:pPr>
        <w:pStyle w:val="BodyText"/>
        <w:rPr>
          <w:rFonts w:ascii="Stone Sans II ITC Std Sm"/>
          <w:b/>
          <w:sz w:val="24"/>
        </w:rPr>
      </w:pPr>
    </w:p>
    <w:p>
      <w:pPr>
        <w:pStyle w:val="BodyText"/>
        <w:rPr>
          <w:rFonts w:ascii="Stone Sans II ITC Std Sm"/>
          <w:b/>
          <w:sz w:val="24"/>
        </w:rPr>
      </w:pPr>
    </w:p>
    <w:p>
      <w:pPr>
        <w:pStyle w:val="BodyText"/>
        <w:rPr>
          <w:rFonts w:ascii="Stone Sans II ITC Std Sm"/>
          <w:b/>
          <w:sz w:val="24"/>
        </w:rPr>
      </w:pPr>
    </w:p>
    <w:p>
      <w:pPr>
        <w:pStyle w:val="BodyText"/>
        <w:rPr>
          <w:rFonts w:ascii="Stone Sans II ITC Std Sm"/>
          <w:b/>
          <w:sz w:val="24"/>
        </w:rPr>
      </w:pPr>
    </w:p>
    <w:p>
      <w:pPr>
        <w:pStyle w:val="BodyText"/>
        <w:rPr>
          <w:rFonts w:ascii="Stone Sans II ITC Std Sm"/>
          <w:b/>
          <w:sz w:val="24"/>
        </w:rPr>
      </w:pPr>
    </w:p>
    <w:p>
      <w:pPr>
        <w:pStyle w:val="BodyText"/>
        <w:rPr>
          <w:rFonts w:ascii="Stone Sans II ITC Std Sm"/>
          <w:b/>
          <w:sz w:val="24"/>
        </w:rPr>
      </w:pPr>
    </w:p>
    <w:p>
      <w:pPr>
        <w:pStyle w:val="BodyText"/>
        <w:rPr>
          <w:rFonts w:ascii="Stone Sans II ITC Std Sm"/>
          <w:b/>
          <w:sz w:val="24"/>
        </w:rPr>
      </w:pPr>
    </w:p>
    <w:p>
      <w:pPr>
        <w:pStyle w:val="BodyText"/>
        <w:spacing w:before="3"/>
        <w:rPr>
          <w:rFonts w:ascii="Stone Sans II ITC Std Sm"/>
          <w:b/>
          <w:sz w:val="33"/>
        </w:rPr>
      </w:pPr>
    </w:p>
    <w:p>
      <w:pPr>
        <w:pStyle w:val="Heading8"/>
        <w:spacing w:before="0"/>
        <w:ind w:left="4350"/>
        <w:rPr>
          <w:rFonts w:ascii="Stone Sans II ITC Std X Bd" w:hAnsi="Stone Sans II ITC Std X Bd"/>
          <w:b/>
          <w:sz w:val="24"/>
        </w:rPr>
      </w:pP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2014 </w:t>
      </w:r>
      <w:r>
        <w:rPr>
          <w:rFonts w:ascii="Symbol" w:hAnsi="Symbol"/>
          <w:color w:val="7EAABF"/>
          <w:w w:val="110"/>
        </w:rPr>
        <w:t></w:t>
      </w:r>
      <w:r>
        <w:rPr>
          <w:rFonts w:ascii="Times New Roman" w:hAnsi="Times New Roman"/>
          <w:color w:val="7EAABF"/>
          <w:w w:val="110"/>
        </w:rPr>
        <w:t> </w:t>
      </w:r>
      <w:r>
        <w:rPr>
          <w:rFonts w:ascii="Stone Sans II ITC Std X Bd" w:hAnsi="Stone Sans II ITC Std X Bd"/>
          <w:b/>
          <w:w w:val="110"/>
          <w:sz w:val="24"/>
        </w:rPr>
        <w:t>153</w:t>
      </w:r>
    </w:p>
    <w:p>
      <w:pPr>
        <w:spacing w:after="0"/>
        <w:rPr>
          <w:rFonts w:ascii="Stone Sans II ITC Std X Bd" w:hAnsi="Stone Sans II ITC Std X Bd"/>
          <w:sz w:val="24"/>
        </w:rPr>
        <w:sectPr>
          <w:headerReference w:type="default" r:id="rId355"/>
          <w:footerReference w:type="default" r:id="rId356"/>
          <w:pgSz w:w="11910" w:h="16840"/>
          <w:pgMar w:header="0" w:footer="0" w:top="1580" w:bottom="280" w:left="0" w:right="0"/>
        </w:sectPr>
      </w:pPr>
    </w:p>
    <w:p>
      <w:pPr>
        <w:pStyle w:val="BodyText"/>
        <w:rPr>
          <w:rFonts w:ascii="Stone Sans II ITC Std X Bd"/>
          <w:b/>
        </w:rPr>
      </w:pPr>
      <w:r>
        <w:rPr/>
        <w:drawing>
          <wp:anchor distT="0" distB="0" distL="0" distR="0" allowOverlap="1" layoutInCell="1" locked="0" behindDoc="0" simplePos="0" relativeHeight="252061696">
            <wp:simplePos x="0" y="0"/>
            <wp:positionH relativeFrom="page">
              <wp:posOffset>0</wp:posOffset>
            </wp:positionH>
            <wp:positionV relativeFrom="page">
              <wp:posOffset>0</wp:posOffset>
            </wp:positionV>
            <wp:extent cx="594067" cy="10692003"/>
            <wp:effectExtent l="0" t="0" r="0" b="0"/>
            <wp:wrapNone/>
            <wp:docPr id="285" name="image32.png"/>
            <wp:cNvGraphicFramePr>
              <a:graphicFrameLocks noChangeAspect="1"/>
            </wp:cNvGraphicFramePr>
            <a:graphic>
              <a:graphicData uri="http://schemas.openxmlformats.org/drawingml/2006/picture">
                <pic:pic>
                  <pic:nvPicPr>
                    <pic:cNvPr id="286" name="image32.png"/>
                    <pic:cNvPicPr/>
                  </pic:nvPicPr>
                  <pic:blipFill>
                    <a:blip r:embed="rId362" cstate="print"/>
                    <a:stretch>
                      <a:fillRect/>
                    </a:stretch>
                  </pic:blipFill>
                  <pic:spPr>
                    <a:xfrm>
                      <a:off x="0" y="0"/>
                      <a:ext cx="594067" cy="10692003"/>
                    </a:xfrm>
                    <a:prstGeom prst="rect">
                      <a:avLst/>
                    </a:prstGeom>
                  </pic:spPr>
                </pic:pic>
              </a:graphicData>
            </a:graphic>
          </wp:anchor>
        </w:drawing>
      </w:r>
    </w:p>
    <w:p>
      <w:pPr>
        <w:pStyle w:val="BodyText"/>
        <w:rPr>
          <w:rFonts w:ascii="Stone Sans II ITC Std X Bd"/>
          <w:b/>
        </w:rPr>
      </w:pPr>
    </w:p>
    <w:p>
      <w:pPr>
        <w:pStyle w:val="BodyText"/>
        <w:rPr>
          <w:rFonts w:ascii="Stone Sans II ITC Std X Bd"/>
          <w:b/>
        </w:rPr>
      </w:pPr>
    </w:p>
    <w:p>
      <w:pPr>
        <w:pStyle w:val="BodyText"/>
        <w:spacing w:before="11"/>
        <w:rPr>
          <w:rFonts w:ascii="Stone Sans II ITC Std X Bd"/>
          <w:b/>
          <w:sz w:val="19"/>
        </w:rPr>
      </w:pPr>
    </w:p>
    <w:p>
      <w:pPr>
        <w:spacing w:line="213" w:lineRule="auto" w:before="153"/>
        <w:ind w:left="1247" w:right="2004" w:firstLine="0"/>
        <w:jc w:val="left"/>
        <w:rPr>
          <w:rFonts w:ascii="Stone Sans II ITC Std X Bd"/>
          <w:b/>
          <w:sz w:val="50"/>
        </w:rPr>
      </w:pPr>
      <w:r>
        <w:rPr/>
        <w:pict>
          <v:shape style="position:absolute;margin-left:20.519100pt;margin-top:-5.989334pt;width:25.9pt;height:243.3pt;mso-position-horizontal-relative:page;mso-position-vertical-relative:paragraph;z-index:252062720" type="#_x0000_t202" filled="false" stroked="false">
            <v:textbox inset="0,0,0,0" style="layout-flow:vertical">
              <w:txbxContent>
                <w:p>
                  <w:pPr>
                    <w:spacing w:before="27"/>
                    <w:ind w:left="20" w:right="0" w:firstLine="0"/>
                    <w:jc w:val="left"/>
                    <w:rPr>
                      <w:sz w:val="39"/>
                    </w:rPr>
                  </w:pPr>
                  <w:r>
                    <w:rPr>
                      <w:color w:val="FFFFFF"/>
                      <w:w w:val="120"/>
                      <w:sz w:val="39"/>
                    </w:rPr>
                    <w:t>Assembly arrangements</w:t>
                  </w:r>
                </w:p>
              </w:txbxContent>
            </v:textbox>
            <w10:wrap type="none"/>
          </v:shape>
        </w:pict>
      </w:r>
      <w:bookmarkStart w:name="_bookmark26" w:id="30"/>
      <w:bookmarkEnd w:id="30"/>
      <w:r>
        <w:rPr/>
      </w:r>
      <w:r>
        <w:rPr>
          <w:rFonts w:ascii="Stone Sans II ITC Std X Bd"/>
          <w:b/>
          <w:w w:val="110"/>
          <w:sz w:val="50"/>
        </w:rPr>
        <w:t>Assembly arrangements committee</w:t>
      </w:r>
    </w:p>
    <w:p>
      <w:pPr>
        <w:spacing w:before="157"/>
        <w:ind w:left="1247" w:right="0" w:firstLine="0"/>
        <w:jc w:val="left"/>
        <w:rPr>
          <w:sz w:val="18"/>
        </w:rPr>
      </w:pPr>
      <w:r>
        <w:rPr>
          <w:color w:val="87888A"/>
          <w:w w:val="120"/>
          <w:sz w:val="18"/>
        </w:rPr>
        <w:t>Committee</w:t>
      </w:r>
      <w:r>
        <w:rPr>
          <w:color w:val="87888A"/>
          <w:spacing w:val="6"/>
          <w:w w:val="120"/>
          <w:sz w:val="18"/>
        </w:rPr>
        <w:t> </w:t>
      </w:r>
      <w:r>
        <w:rPr>
          <w:color w:val="87888A"/>
          <w:w w:val="120"/>
          <w:sz w:val="18"/>
        </w:rPr>
        <w:t>members:</w:t>
      </w:r>
    </w:p>
    <w:p>
      <w:pPr>
        <w:spacing w:line="261" w:lineRule="auto" w:before="21"/>
        <w:ind w:left="1247" w:right="8216" w:firstLine="0"/>
        <w:jc w:val="left"/>
        <w:rPr>
          <w:sz w:val="18"/>
        </w:rPr>
      </w:pPr>
      <w:r>
        <w:rPr>
          <w:color w:val="87888A"/>
          <w:w w:val="120"/>
          <w:sz w:val="18"/>
        </w:rPr>
        <w:t>Convener: David Robinson Secretary: Ann</w:t>
      </w:r>
      <w:r>
        <w:rPr>
          <w:color w:val="87888A"/>
          <w:spacing w:val="-1"/>
          <w:w w:val="120"/>
          <w:sz w:val="18"/>
        </w:rPr>
        <w:t> </w:t>
      </w:r>
      <w:r>
        <w:rPr>
          <w:color w:val="87888A"/>
          <w:spacing w:val="2"/>
          <w:w w:val="120"/>
          <w:sz w:val="18"/>
        </w:rPr>
        <w:t>Barton</w:t>
      </w:r>
    </w:p>
    <w:p>
      <w:pPr>
        <w:spacing w:line="261" w:lineRule="auto" w:before="1"/>
        <w:ind w:left="1247" w:right="3301" w:firstLine="0"/>
        <w:jc w:val="left"/>
        <w:rPr>
          <w:sz w:val="18"/>
        </w:rPr>
      </w:pPr>
      <w:r>
        <w:rPr>
          <w:color w:val="87888A"/>
          <w:w w:val="120"/>
          <w:sz w:val="18"/>
        </w:rPr>
        <w:t>Moderators, Moderators-elect, General secretary, Clerk to Assembly, Convener of local arrangements committee</w:t>
      </w:r>
    </w:p>
    <w:p>
      <w:pPr>
        <w:pStyle w:val="BodyText"/>
        <w:rPr>
          <w:sz w:val="22"/>
        </w:rPr>
      </w:pPr>
    </w:p>
    <w:p>
      <w:pPr>
        <w:pStyle w:val="BodyText"/>
        <w:spacing w:before="4"/>
        <w:rPr>
          <w:sz w:val="31"/>
        </w:rPr>
      </w:pPr>
    </w:p>
    <w:p>
      <w:pPr>
        <w:pStyle w:val="ListParagraph"/>
        <w:numPr>
          <w:ilvl w:val="0"/>
          <w:numId w:val="87"/>
        </w:numPr>
        <w:tabs>
          <w:tab w:pos="1927" w:val="left" w:leader="none"/>
          <w:tab w:pos="1928" w:val="left" w:leader="none"/>
        </w:tabs>
        <w:spacing w:line="196" w:lineRule="auto" w:before="0" w:after="0"/>
        <w:ind w:left="1927" w:right="3290" w:hanging="681"/>
        <w:jc w:val="left"/>
        <w:rPr>
          <w:rFonts w:ascii="Stone Sans II ITC Std Bk"/>
          <w:b/>
          <w:sz w:val="29"/>
        </w:rPr>
      </w:pPr>
      <w:r>
        <w:rPr>
          <w:rFonts w:ascii="Stone Sans II ITC Std Bk"/>
          <w:b/>
          <w:spacing w:val="4"/>
          <w:w w:val="110"/>
          <w:sz w:val="29"/>
        </w:rPr>
        <w:t>Looking </w:t>
      </w:r>
      <w:r>
        <w:rPr>
          <w:rFonts w:ascii="Stone Sans II ITC Std Bk"/>
          <w:b/>
          <w:spacing w:val="3"/>
          <w:w w:val="110"/>
          <w:sz w:val="29"/>
        </w:rPr>
        <w:t>back </w:t>
      </w:r>
      <w:r>
        <w:rPr>
          <w:rFonts w:ascii="Stone Sans II ITC Std Bk"/>
          <w:b/>
          <w:w w:val="110"/>
          <w:sz w:val="29"/>
        </w:rPr>
        <w:t>over </w:t>
      </w:r>
      <w:r>
        <w:rPr>
          <w:rFonts w:ascii="Stone Sans II ITC Std Bk"/>
          <w:b/>
          <w:spacing w:val="2"/>
          <w:w w:val="110"/>
          <w:sz w:val="29"/>
        </w:rPr>
        <w:t>the </w:t>
      </w:r>
      <w:r>
        <w:rPr>
          <w:rFonts w:ascii="Stone Sans II ITC Std Bk"/>
          <w:b/>
          <w:spacing w:val="4"/>
          <w:w w:val="110"/>
          <w:sz w:val="29"/>
        </w:rPr>
        <w:t>period </w:t>
      </w:r>
      <w:r>
        <w:rPr>
          <w:rFonts w:ascii="Stone Sans II ITC Std Bk"/>
          <w:b/>
          <w:spacing w:val="3"/>
          <w:w w:val="110"/>
          <w:sz w:val="29"/>
        </w:rPr>
        <w:t>July </w:t>
      </w:r>
      <w:r>
        <w:rPr>
          <w:rFonts w:ascii="Stone Sans II ITC Std Bk"/>
          <w:b/>
          <w:spacing w:val="-7"/>
          <w:w w:val="110"/>
          <w:sz w:val="29"/>
        </w:rPr>
        <w:t>2012 </w:t>
      </w:r>
      <w:r>
        <w:rPr>
          <w:rFonts w:ascii="Stone Sans II ITC Std Bk"/>
          <w:b/>
          <w:w w:val="110"/>
          <w:sz w:val="29"/>
        </w:rPr>
        <w:t>to </w:t>
      </w:r>
      <w:r>
        <w:rPr>
          <w:rFonts w:ascii="Stone Sans II ITC Std Bk"/>
          <w:b/>
          <w:spacing w:val="4"/>
          <w:w w:val="110"/>
          <w:sz w:val="29"/>
        </w:rPr>
        <w:t>December</w:t>
      </w:r>
      <w:r>
        <w:rPr>
          <w:rFonts w:ascii="Stone Sans II ITC Std Bk"/>
          <w:b/>
          <w:spacing w:val="12"/>
          <w:w w:val="110"/>
          <w:sz w:val="29"/>
        </w:rPr>
        <w:t> </w:t>
      </w:r>
      <w:r>
        <w:rPr>
          <w:rFonts w:ascii="Stone Sans II ITC Std Bk"/>
          <w:b/>
          <w:spacing w:val="-7"/>
          <w:w w:val="110"/>
          <w:sz w:val="29"/>
        </w:rPr>
        <w:t>2013</w:t>
      </w:r>
    </w:p>
    <w:p>
      <w:pPr>
        <w:pStyle w:val="ListParagraph"/>
        <w:numPr>
          <w:ilvl w:val="1"/>
          <w:numId w:val="87"/>
        </w:numPr>
        <w:tabs>
          <w:tab w:pos="1927" w:val="left" w:leader="none"/>
          <w:tab w:pos="1928" w:val="left" w:leader="none"/>
        </w:tabs>
        <w:spacing w:line="235" w:lineRule="auto" w:before="85" w:after="0"/>
        <w:ind w:left="1247" w:right="2189" w:firstLine="0"/>
        <w:jc w:val="left"/>
        <w:rPr>
          <w:sz w:val="20"/>
        </w:rPr>
      </w:pPr>
      <w:r>
        <w:rPr>
          <w:spacing w:val="3"/>
          <w:w w:val="120"/>
          <w:sz w:val="20"/>
        </w:rPr>
        <w:t>As </w:t>
      </w:r>
      <w:r>
        <w:rPr>
          <w:w w:val="120"/>
          <w:sz w:val="20"/>
        </w:rPr>
        <w:t>was reported to General Assembly in </w:t>
      </w:r>
      <w:r>
        <w:rPr>
          <w:spacing w:val="-7"/>
          <w:w w:val="120"/>
          <w:sz w:val="20"/>
        </w:rPr>
        <w:t>2012, </w:t>
      </w:r>
      <w:r>
        <w:rPr>
          <w:w w:val="120"/>
          <w:sz w:val="20"/>
        </w:rPr>
        <w:t>all Assembly committees had been asked to consider the scope for making savings on their budgets for </w:t>
      </w:r>
      <w:r>
        <w:rPr>
          <w:spacing w:val="-8"/>
          <w:w w:val="120"/>
          <w:sz w:val="20"/>
        </w:rPr>
        <w:t>2013 </w:t>
      </w:r>
      <w:r>
        <w:rPr>
          <w:w w:val="120"/>
          <w:sz w:val="20"/>
        </w:rPr>
        <w:t>and beyond. </w:t>
      </w:r>
      <w:r>
        <w:rPr>
          <w:spacing w:val="3"/>
          <w:w w:val="120"/>
          <w:sz w:val="20"/>
        </w:rPr>
        <w:t>As </w:t>
      </w:r>
      <w:r>
        <w:rPr>
          <w:w w:val="120"/>
          <w:sz w:val="20"/>
        </w:rPr>
        <w:t>a result, Mission Council determined that the budget for Assembly </w:t>
      </w:r>
      <w:r>
        <w:rPr>
          <w:spacing w:val="-7"/>
          <w:w w:val="120"/>
          <w:sz w:val="20"/>
        </w:rPr>
        <w:t>2014   </w:t>
      </w:r>
      <w:r>
        <w:rPr>
          <w:w w:val="120"/>
          <w:sz w:val="20"/>
        </w:rPr>
        <w:t>be set at </w:t>
      </w:r>
      <w:r>
        <w:rPr>
          <w:spacing w:val="2"/>
          <w:w w:val="120"/>
          <w:sz w:val="20"/>
        </w:rPr>
        <w:t>£200k, </w:t>
      </w:r>
      <w:r>
        <w:rPr>
          <w:w w:val="120"/>
          <w:sz w:val="20"/>
        </w:rPr>
        <w:t>a reduction of one-third. Mission Council, as authorized by Assembly and taking account of the advice of the Assembly Arrangements Committee, has determined how those savings will be made. The Assembly Arrangements Committee is grateful to the synods and those who will be attending the Assembly in </w:t>
      </w:r>
      <w:r>
        <w:rPr>
          <w:spacing w:val="-7"/>
          <w:w w:val="120"/>
          <w:sz w:val="20"/>
        </w:rPr>
        <w:t>2014 </w:t>
      </w:r>
      <w:r>
        <w:rPr>
          <w:w w:val="120"/>
          <w:sz w:val="20"/>
        </w:rPr>
        <w:t>for helping to make these savings</w:t>
      </w:r>
      <w:r>
        <w:rPr>
          <w:spacing w:val="11"/>
          <w:w w:val="120"/>
          <w:sz w:val="20"/>
        </w:rPr>
        <w:t> </w:t>
      </w:r>
      <w:r>
        <w:rPr>
          <w:w w:val="120"/>
          <w:sz w:val="20"/>
        </w:rPr>
        <w:t>achievable.</w:t>
      </w:r>
    </w:p>
    <w:p>
      <w:pPr>
        <w:pStyle w:val="BodyText"/>
        <w:spacing w:before="1"/>
      </w:pPr>
    </w:p>
    <w:p>
      <w:pPr>
        <w:pStyle w:val="ListParagraph"/>
        <w:numPr>
          <w:ilvl w:val="1"/>
          <w:numId w:val="87"/>
        </w:numPr>
        <w:tabs>
          <w:tab w:pos="1927" w:val="left" w:leader="none"/>
          <w:tab w:pos="1928" w:val="left" w:leader="none"/>
        </w:tabs>
        <w:spacing w:line="235" w:lineRule="auto" w:before="1" w:after="0"/>
        <w:ind w:left="1247" w:right="2271" w:firstLine="0"/>
        <w:jc w:val="left"/>
        <w:rPr>
          <w:sz w:val="20"/>
        </w:rPr>
      </w:pPr>
      <w:r>
        <w:rPr>
          <w:w w:val="120"/>
          <w:sz w:val="20"/>
        </w:rPr>
        <w:t>Feedback from the </w:t>
      </w:r>
      <w:r>
        <w:rPr>
          <w:spacing w:val="-6"/>
          <w:w w:val="120"/>
          <w:sz w:val="20"/>
        </w:rPr>
        <w:t>2010 </w:t>
      </w:r>
      <w:r>
        <w:rPr>
          <w:w w:val="120"/>
          <w:sz w:val="20"/>
        </w:rPr>
        <w:t>and </w:t>
      </w:r>
      <w:r>
        <w:rPr>
          <w:spacing w:val="-7"/>
          <w:w w:val="120"/>
          <w:sz w:val="20"/>
        </w:rPr>
        <w:t>2012 </w:t>
      </w:r>
      <w:r>
        <w:rPr>
          <w:w w:val="120"/>
          <w:sz w:val="20"/>
        </w:rPr>
        <w:t>Assemblies has been important in our deliberations. A difficulty at recent Assemblies has been the large amount of business to be conducted over the four days on which we meet, which at times has resulted in discussion</w:t>
      </w:r>
      <w:r>
        <w:rPr>
          <w:spacing w:val="8"/>
          <w:w w:val="120"/>
          <w:sz w:val="20"/>
        </w:rPr>
        <w:t> </w:t>
      </w:r>
      <w:r>
        <w:rPr>
          <w:w w:val="120"/>
          <w:sz w:val="20"/>
        </w:rPr>
        <w:t>having</w:t>
      </w:r>
      <w:r>
        <w:rPr>
          <w:spacing w:val="8"/>
          <w:w w:val="120"/>
          <w:sz w:val="20"/>
        </w:rPr>
        <w:t> </w:t>
      </w:r>
      <w:r>
        <w:rPr>
          <w:w w:val="120"/>
          <w:sz w:val="20"/>
        </w:rPr>
        <w:t>to</w:t>
      </w:r>
      <w:r>
        <w:rPr>
          <w:spacing w:val="9"/>
          <w:w w:val="120"/>
          <w:sz w:val="20"/>
        </w:rPr>
        <w:t> </w:t>
      </w:r>
      <w:r>
        <w:rPr>
          <w:w w:val="120"/>
          <w:sz w:val="20"/>
        </w:rPr>
        <w:t>be</w:t>
      </w:r>
      <w:r>
        <w:rPr>
          <w:spacing w:val="8"/>
          <w:w w:val="120"/>
          <w:sz w:val="20"/>
        </w:rPr>
        <w:t> </w:t>
      </w:r>
      <w:r>
        <w:rPr>
          <w:w w:val="120"/>
          <w:sz w:val="20"/>
        </w:rPr>
        <w:t>rushed</w:t>
      </w:r>
      <w:r>
        <w:rPr>
          <w:spacing w:val="9"/>
          <w:w w:val="120"/>
          <w:sz w:val="20"/>
        </w:rPr>
        <w:t> </w:t>
      </w:r>
      <w:r>
        <w:rPr>
          <w:w w:val="120"/>
          <w:sz w:val="20"/>
        </w:rPr>
        <w:t>or</w:t>
      </w:r>
      <w:r>
        <w:rPr>
          <w:spacing w:val="8"/>
          <w:w w:val="120"/>
          <w:sz w:val="20"/>
        </w:rPr>
        <w:t> </w:t>
      </w:r>
      <w:r>
        <w:rPr>
          <w:w w:val="120"/>
          <w:sz w:val="20"/>
        </w:rPr>
        <w:t>curtailed.</w:t>
      </w:r>
      <w:r>
        <w:rPr>
          <w:spacing w:val="8"/>
          <w:w w:val="120"/>
          <w:sz w:val="20"/>
        </w:rPr>
        <w:t> </w:t>
      </w:r>
      <w:r>
        <w:rPr>
          <w:w w:val="120"/>
          <w:sz w:val="20"/>
        </w:rPr>
        <w:t>Careful</w:t>
      </w:r>
      <w:r>
        <w:rPr>
          <w:spacing w:val="9"/>
          <w:w w:val="120"/>
          <w:sz w:val="20"/>
        </w:rPr>
        <w:t> </w:t>
      </w:r>
      <w:r>
        <w:rPr>
          <w:w w:val="120"/>
          <w:sz w:val="20"/>
        </w:rPr>
        <w:t>thought</w:t>
      </w:r>
      <w:r>
        <w:rPr>
          <w:spacing w:val="8"/>
          <w:w w:val="120"/>
          <w:sz w:val="20"/>
        </w:rPr>
        <w:t> </w:t>
      </w:r>
      <w:r>
        <w:rPr>
          <w:w w:val="120"/>
          <w:sz w:val="20"/>
        </w:rPr>
        <w:t>has</w:t>
      </w:r>
      <w:r>
        <w:rPr>
          <w:spacing w:val="9"/>
          <w:w w:val="120"/>
          <w:sz w:val="20"/>
        </w:rPr>
        <w:t> </w:t>
      </w:r>
      <w:r>
        <w:rPr>
          <w:w w:val="120"/>
          <w:sz w:val="20"/>
        </w:rPr>
        <w:t>been</w:t>
      </w:r>
      <w:r>
        <w:rPr>
          <w:spacing w:val="8"/>
          <w:w w:val="120"/>
          <w:sz w:val="20"/>
        </w:rPr>
        <w:t> </w:t>
      </w:r>
      <w:r>
        <w:rPr>
          <w:w w:val="120"/>
          <w:sz w:val="20"/>
        </w:rPr>
        <w:t>given</w:t>
      </w:r>
      <w:r>
        <w:rPr>
          <w:spacing w:val="8"/>
          <w:w w:val="120"/>
          <w:sz w:val="20"/>
        </w:rPr>
        <w:t> </w:t>
      </w:r>
      <w:r>
        <w:rPr>
          <w:w w:val="120"/>
          <w:sz w:val="20"/>
        </w:rPr>
        <w:t>to</w:t>
      </w:r>
      <w:r>
        <w:rPr>
          <w:spacing w:val="9"/>
          <w:w w:val="120"/>
          <w:sz w:val="20"/>
        </w:rPr>
        <w:t> </w:t>
      </w:r>
      <w:r>
        <w:rPr>
          <w:w w:val="120"/>
          <w:sz w:val="20"/>
        </w:rPr>
        <w:t>how</w:t>
      </w:r>
    </w:p>
    <w:p>
      <w:pPr>
        <w:pStyle w:val="BodyText"/>
        <w:spacing w:line="235" w:lineRule="auto" w:before="3"/>
        <w:ind w:left="1247" w:right="2057"/>
        <w:jc w:val="both"/>
      </w:pPr>
      <w:r>
        <w:rPr>
          <w:w w:val="120"/>
        </w:rPr>
        <w:t>we will order and conduct business at Assembly </w:t>
      </w:r>
      <w:r>
        <w:rPr>
          <w:spacing w:val="-7"/>
          <w:w w:val="120"/>
        </w:rPr>
        <w:t>2014 </w:t>
      </w:r>
      <w:r>
        <w:rPr>
          <w:w w:val="120"/>
        </w:rPr>
        <w:t>in the hope that similar problems do not arise again. This will be explained in more detail when General Assembly meets in</w:t>
      </w:r>
      <w:r>
        <w:rPr>
          <w:spacing w:val="1"/>
          <w:w w:val="120"/>
        </w:rPr>
        <w:t> </w:t>
      </w:r>
      <w:r>
        <w:rPr>
          <w:w w:val="120"/>
        </w:rPr>
        <w:t>Cardiff.</w:t>
      </w:r>
    </w:p>
    <w:p>
      <w:pPr>
        <w:pStyle w:val="BodyText"/>
        <w:spacing w:before="1"/>
        <w:rPr>
          <w:sz w:val="24"/>
        </w:rPr>
      </w:pPr>
    </w:p>
    <w:p>
      <w:pPr>
        <w:pStyle w:val="Heading4"/>
        <w:numPr>
          <w:ilvl w:val="0"/>
          <w:numId w:val="87"/>
        </w:numPr>
        <w:tabs>
          <w:tab w:pos="1927" w:val="left" w:leader="none"/>
          <w:tab w:pos="1928" w:val="left" w:leader="none"/>
        </w:tabs>
        <w:spacing w:line="240" w:lineRule="auto" w:before="0" w:after="0"/>
        <w:ind w:left="1927" w:right="0" w:hanging="681"/>
        <w:jc w:val="left"/>
      </w:pPr>
      <w:r>
        <w:rPr>
          <w:spacing w:val="4"/>
          <w:w w:val="110"/>
        </w:rPr>
        <w:t>Looking</w:t>
      </w:r>
      <w:r>
        <w:rPr>
          <w:spacing w:val="12"/>
          <w:w w:val="110"/>
        </w:rPr>
        <w:t> </w:t>
      </w:r>
      <w:r>
        <w:rPr>
          <w:spacing w:val="5"/>
          <w:w w:val="110"/>
        </w:rPr>
        <w:t>forward</w:t>
      </w:r>
    </w:p>
    <w:p>
      <w:pPr>
        <w:pStyle w:val="BodyText"/>
        <w:spacing w:line="235" w:lineRule="auto" w:before="69"/>
        <w:ind w:left="1247" w:right="2167"/>
      </w:pPr>
      <w:r>
        <w:rPr>
          <w:w w:val="120"/>
        </w:rPr>
        <w:t>The Medium Term Strategy Group reported to Mission Council in 2013 that the intention is to hold one more biennial Assembly in 2014 before reviewing the future arrangements for, and frequency of, meetings of General Assembly.</w:t>
      </w:r>
    </w:p>
    <w:p>
      <w:pPr>
        <w:pStyle w:val="BodyText"/>
        <w:spacing w:before="6"/>
        <w:rPr>
          <w:sz w:val="19"/>
        </w:rPr>
      </w:pPr>
    </w:p>
    <w:p>
      <w:pPr>
        <w:pStyle w:val="BodyText"/>
        <w:spacing w:before="1"/>
        <w:ind w:left="1247"/>
      </w:pPr>
      <w:r>
        <w:rPr>
          <w:w w:val="120"/>
        </w:rPr>
        <w:t>Pending any such review, the Assembly Arrangements Committee proposes:</w:t>
      </w:r>
    </w:p>
    <w:p>
      <w:pPr>
        <w:pStyle w:val="BodyText"/>
        <w:spacing w:before="1"/>
      </w:pPr>
    </w:p>
    <w:p>
      <w:pPr>
        <w:pStyle w:val="BodyText"/>
        <w:spacing w:line="213" w:lineRule="auto"/>
        <w:ind w:left="1247" w:right="2004"/>
        <w:rPr>
          <w:rFonts w:ascii="Stone Sans II ITC Std Sm"/>
          <w:b/>
        </w:rPr>
      </w:pPr>
      <w:r>
        <w:rPr>
          <w:rFonts w:ascii="Stone Sans II ITC Std Sm"/>
          <w:b/>
          <w:w w:val="110"/>
        </w:rPr>
        <w:t>Assembly resolves to meet in Southport from 8 to 11 July 2016 (Friday to Monday) or at such time and place as may be determined.</w:t>
      </w:r>
    </w:p>
    <w:p>
      <w:pPr>
        <w:spacing w:after="0" w:line="213" w:lineRule="auto"/>
        <w:rPr>
          <w:rFonts w:ascii="Stone Sans II ITC Std Sm"/>
        </w:rPr>
        <w:sectPr>
          <w:headerReference w:type="even" r:id="rId359"/>
          <w:footerReference w:type="even" r:id="rId360"/>
          <w:footerReference w:type="default" r:id="rId361"/>
          <w:pgSz w:w="11910" w:h="16840"/>
          <w:pgMar w:header="0" w:footer="647" w:top="0" w:bottom="840" w:left="0" w:right="0"/>
          <w:pgNumType w:start="154"/>
        </w:sectPr>
      </w:pPr>
    </w:p>
    <w:p>
      <w:pPr>
        <w:pStyle w:val="BodyText"/>
        <w:rPr>
          <w:rFonts w:ascii="Stone Sans II ITC Std Sm"/>
          <w:b/>
        </w:rPr>
      </w:pPr>
      <w:r>
        <w:rPr/>
        <w:drawing>
          <wp:anchor distT="0" distB="0" distL="0" distR="0" allowOverlap="1" layoutInCell="1" locked="0" behindDoc="0" simplePos="0" relativeHeight="252063744">
            <wp:simplePos x="0" y="0"/>
            <wp:positionH relativeFrom="page">
              <wp:posOffset>6974928</wp:posOffset>
            </wp:positionH>
            <wp:positionV relativeFrom="page">
              <wp:posOffset>0</wp:posOffset>
            </wp:positionV>
            <wp:extent cx="585063" cy="10692003"/>
            <wp:effectExtent l="0" t="0" r="0" b="0"/>
            <wp:wrapNone/>
            <wp:docPr id="287" name="image30.png"/>
            <wp:cNvGraphicFramePr>
              <a:graphicFrameLocks noChangeAspect="1"/>
            </wp:cNvGraphicFramePr>
            <a:graphic>
              <a:graphicData uri="http://schemas.openxmlformats.org/drawingml/2006/picture">
                <pic:pic>
                  <pic:nvPicPr>
                    <pic:cNvPr id="288" name="image30.png"/>
                    <pic:cNvPicPr/>
                  </pic:nvPicPr>
                  <pic:blipFill>
                    <a:blip r:embed="rId357" cstate="print"/>
                    <a:stretch>
                      <a:fillRect/>
                    </a:stretch>
                  </pic:blipFill>
                  <pic:spPr>
                    <a:xfrm>
                      <a:off x="0" y="0"/>
                      <a:ext cx="585063" cy="10692003"/>
                    </a:xfrm>
                    <a:prstGeom prst="rect">
                      <a:avLst/>
                    </a:prstGeom>
                  </pic:spPr>
                </pic:pic>
              </a:graphicData>
            </a:graphic>
          </wp:anchor>
        </w:drawing>
      </w:r>
    </w:p>
    <w:p>
      <w:pPr>
        <w:pStyle w:val="BodyText"/>
        <w:rPr>
          <w:rFonts w:ascii="Stone Sans II ITC Std Sm"/>
          <w:b/>
        </w:rPr>
      </w:pPr>
    </w:p>
    <w:p>
      <w:pPr>
        <w:pStyle w:val="BodyText"/>
        <w:rPr>
          <w:rFonts w:ascii="Stone Sans II ITC Std Sm"/>
          <w:b/>
        </w:rPr>
      </w:pPr>
    </w:p>
    <w:p>
      <w:pPr>
        <w:pStyle w:val="BodyText"/>
        <w:spacing w:before="11"/>
        <w:rPr>
          <w:rFonts w:ascii="Stone Sans II ITC Std Sm"/>
          <w:b/>
          <w:sz w:val="19"/>
        </w:rPr>
      </w:pPr>
    </w:p>
    <w:p>
      <w:pPr>
        <w:spacing w:line="213" w:lineRule="auto" w:before="153"/>
        <w:ind w:left="1984" w:right="2557" w:firstLine="0"/>
        <w:jc w:val="left"/>
        <w:rPr>
          <w:rFonts w:ascii="Stone Sans II ITC Std X Bd" w:hAnsi="Stone Sans II ITC Std X Bd"/>
          <w:b/>
          <w:sz w:val="50"/>
        </w:rPr>
      </w:pPr>
      <w:r>
        <w:rPr/>
        <w:pict>
          <v:shape style="position:absolute;margin-left:554.141174pt;margin-top:-5.989334pt;width:25.9pt;height:267.8pt;mso-position-horizontal-relative:page;mso-position-vertical-relative:paragraph;z-index:252064768" type="#_x0000_t202" filled="false" stroked="false">
            <v:textbox inset="0,0,0,0" style="layout-flow:vertical">
              <w:txbxContent>
                <w:p>
                  <w:pPr>
                    <w:spacing w:before="27"/>
                    <w:ind w:left="20" w:right="0" w:firstLine="0"/>
                    <w:jc w:val="left"/>
                    <w:rPr>
                      <w:sz w:val="39"/>
                    </w:rPr>
                  </w:pPr>
                  <w:r>
                    <w:rPr>
                      <w:color w:val="FFFFFF"/>
                      <w:spacing w:val="3"/>
                      <w:w w:val="120"/>
                      <w:sz w:val="39"/>
                    </w:rPr>
                    <w:t>Children’s </w:t>
                  </w:r>
                  <w:r>
                    <w:rPr>
                      <w:color w:val="FFFFFF"/>
                      <w:spacing w:val="7"/>
                      <w:w w:val="120"/>
                      <w:sz w:val="39"/>
                    </w:rPr>
                    <w:t>and </w:t>
                  </w:r>
                  <w:r>
                    <w:rPr>
                      <w:color w:val="FFFFFF"/>
                      <w:spacing w:val="8"/>
                      <w:w w:val="120"/>
                      <w:sz w:val="39"/>
                    </w:rPr>
                    <w:t>youth</w:t>
                  </w:r>
                  <w:r>
                    <w:rPr>
                      <w:color w:val="FFFFFF"/>
                      <w:spacing w:val="-43"/>
                      <w:w w:val="120"/>
                      <w:sz w:val="39"/>
                    </w:rPr>
                    <w:t> </w:t>
                  </w:r>
                  <w:r>
                    <w:rPr>
                      <w:color w:val="FFFFFF"/>
                      <w:spacing w:val="7"/>
                      <w:w w:val="120"/>
                      <w:sz w:val="39"/>
                    </w:rPr>
                    <w:t>work</w:t>
                  </w:r>
                </w:p>
              </w:txbxContent>
            </v:textbox>
            <w10:wrap type="none"/>
          </v:shape>
        </w:pict>
      </w:r>
      <w:bookmarkStart w:name="_bookmark27" w:id="31"/>
      <w:bookmarkEnd w:id="31"/>
      <w:r>
        <w:rPr/>
      </w:r>
      <w:r>
        <w:rPr>
          <w:rFonts w:ascii="Stone Sans II ITC Std X Bd" w:hAnsi="Stone Sans II ITC Std X Bd"/>
          <w:b/>
          <w:w w:val="110"/>
          <w:sz w:val="50"/>
        </w:rPr>
        <w:t>Children’s and youth work committee</w:t>
      </w:r>
    </w:p>
    <w:p>
      <w:pPr>
        <w:spacing w:before="157"/>
        <w:ind w:left="1984" w:right="0" w:firstLine="0"/>
        <w:jc w:val="left"/>
        <w:rPr>
          <w:sz w:val="18"/>
        </w:rPr>
      </w:pPr>
      <w:r>
        <w:rPr>
          <w:color w:val="87888A"/>
          <w:w w:val="120"/>
          <w:sz w:val="18"/>
        </w:rPr>
        <w:t>Committee members:</w:t>
      </w:r>
    </w:p>
    <w:p>
      <w:pPr>
        <w:spacing w:before="21"/>
        <w:ind w:left="1984" w:right="0" w:firstLine="0"/>
        <w:jc w:val="left"/>
        <w:rPr>
          <w:sz w:val="18"/>
        </w:rPr>
      </w:pPr>
      <w:r>
        <w:rPr>
          <w:color w:val="87888A"/>
          <w:w w:val="120"/>
          <w:sz w:val="18"/>
        </w:rPr>
        <w:t>Convener: Tim Meachin</w:t>
      </w:r>
    </w:p>
    <w:p>
      <w:pPr>
        <w:spacing w:before="20"/>
        <w:ind w:left="1984" w:right="0" w:firstLine="0"/>
        <w:jc w:val="left"/>
        <w:rPr>
          <w:sz w:val="18"/>
        </w:rPr>
      </w:pPr>
      <w:r>
        <w:rPr>
          <w:color w:val="87888A"/>
          <w:w w:val="120"/>
          <w:sz w:val="18"/>
        </w:rPr>
        <w:t>Secretary: Karen Morrison (Head of children’s and youth work development)</w:t>
      </w:r>
    </w:p>
    <w:p>
      <w:pPr>
        <w:spacing w:line="261" w:lineRule="auto" w:before="20"/>
        <w:ind w:left="1984" w:right="1500" w:firstLine="0"/>
        <w:jc w:val="left"/>
        <w:rPr>
          <w:sz w:val="18"/>
        </w:rPr>
      </w:pPr>
      <w:r>
        <w:rPr>
          <w:color w:val="87888A"/>
          <w:w w:val="120"/>
          <w:sz w:val="18"/>
        </w:rPr>
        <w:t>Members: Matthew Barkley (FURY moderator </w:t>
      </w:r>
      <w:r>
        <w:rPr>
          <w:color w:val="87888A"/>
          <w:spacing w:val="-6"/>
          <w:w w:val="120"/>
          <w:sz w:val="18"/>
        </w:rPr>
        <w:t>2014-15),  </w:t>
      </w:r>
      <w:r>
        <w:rPr>
          <w:color w:val="87888A"/>
          <w:w w:val="120"/>
          <w:sz w:val="18"/>
        </w:rPr>
        <w:t>Stewart Cutler (CYDO </w:t>
      </w:r>
      <w:r>
        <w:rPr>
          <w:color w:val="87888A"/>
          <w:spacing w:val="-9"/>
          <w:w w:val="120"/>
          <w:sz w:val="18"/>
        </w:rPr>
        <w:t>2012-13),  </w:t>
      </w:r>
      <w:r>
        <w:rPr>
          <w:color w:val="87888A"/>
          <w:w w:val="120"/>
          <w:sz w:val="18"/>
        </w:rPr>
        <w:t>Lorraine Downer-Mattis, Richard Eastman, Alison Hadley, </w:t>
      </w:r>
      <w:r>
        <w:rPr>
          <w:color w:val="87888A"/>
          <w:spacing w:val="3"/>
          <w:w w:val="120"/>
          <w:sz w:val="18"/>
        </w:rPr>
        <w:t>Gary </w:t>
      </w:r>
      <w:r>
        <w:rPr>
          <w:color w:val="87888A"/>
          <w:w w:val="120"/>
          <w:sz w:val="18"/>
        </w:rPr>
        <w:t>Leighton (FURY co-moderator </w:t>
      </w:r>
      <w:r>
        <w:rPr>
          <w:color w:val="87888A"/>
          <w:spacing w:val="-9"/>
          <w:w w:val="120"/>
          <w:sz w:val="18"/>
        </w:rPr>
        <w:t>2012-13), </w:t>
      </w:r>
      <w:r>
        <w:rPr>
          <w:color w:val="87888A"/>
          <w:w w:val="120"/>
          <w:sz w:val="18"/>
        </w:rPr>
        <w:t>Jane Leighton (FURY co-moderator </w:t>
      </w:r>
      <w:r>
        <w:rPr>
          <w:color w:val="87888A"/>
          <w:spacing w:val="-9"/>
          <w:w w:val="120"/>
          <w:sz w:val="18"/>
        </w:rPr>
        <w:t>2012-13), </w:t>
      </w:r>
      <w:r>
        <w:rPr>
          <w:color w:val="87888A"/>
          <w:w w:val="120"/>
          <w:sz w:val="18"/>
        </w:rPr>
        <w:t>Tim Lowe, Shirley Knibbs, Sue McKenzie, Tamara Oates, Philip Ray (CYDO </w:t>
      </w:r>
      <w:r>
        <w:rPr>
          <w:color w:val="87888A"/>
          <w:spacing w:val="-6"/>
          <w:w w:val="120"/>
          <w:sz w:val="18"/>
        </w:rPr>
        <w:t>2014-15), </w:t>
      </w:r>
      <w:r>
        <w:rPr>
          <w:color w:val="87888A"/>
          <w:w w:val="120"/>
          <w:sz w:val="18"/>
        </w:rPr>
        <w:t>Philip Reeve, Meg Robb (July </w:t>
      </w:r>
      <w:r>
        <w:rPr>
          <w:color w:val="87888A"/>
          <w:spacing w:val="-8"/>
          <w:w w:val="120"/>
          <w:sz w:val="18"/>
        </w:rPr>
        <w:t>2013), </w:t>
      </w:r>
      <w:r>
        <w:rPr>
          <w:color w:val="87888A"/>
          <w:w w:val="120"/>
          <w:sz w:val="18"/>
        </w:rPr>
        <w:t>Mick Smerdon, Angela Such (November </w:t>
      </w:r>
      <w:r>
        <w:rPr>
          <w:color w:val="87888A"/>
          <w:spacing w:val="-8"/>
          <w:w w:val="120"/>
          <w:sz w:val="18"/>
        </w:rPr>
        <w:t>2013), </w:t>
      </w:r>
      <w:r>
        <w:rPr>
          <w:color w:val="87888A"/>
          <w:w w:val="120"/>
          <w:sz w:val="18"/>
        </w:rPr>
        <w:t>Soo Webster </w:t>
      </w:r>
      <w:r>
        <w:rPr>
          <w:color w:val="87888A"/>
          <w:spacing w:val="-3"/>
          <w:w w:val="120"/>
          <w:sz w:val="18"/>
        </w:rPr>
        <w:t>(convener </w:t>
      </w:r>
      <w:r>
        <w:rPr>
          <w:color w:val="87888A"/>
          <w:w w:val="120"/>
          <w:sz w:val="18"/>
        </w:rPr>
        <w:t>of Pilots management</w:t>
      </w:r>
      <w:r>
        <w:rPr>
          <w:color w:val="87888A"/>
          <w:spacing w:val="2"/>
          <w:w w:val="120"/>
          <w:sz w:val="18"/>
        </w:rPr>
        <w:t> </w:t>
      </w:r>
      <w:r>
        <w:rPr>
          <w:color w:val="87888A"/>
          <w:w w:val="120"/>
          <w:sz w:val="18"/>
        </w:rPr>
        <w:t>committee),</w:t>
      </w:r>
    </w:p>
    <w:p>
      <w:pPr>
        <w:spacing w:before="3"/>
        <w:ind w:left="1984" w:right="0" w:firstLine="0"/>
        <w:jc w:val="left"/>
        <w:rPr>
          <w:sz w:val="18"/>
        </w:rPr>
      </w:pPr>
      <w:r>
        <w:rPr>
          <w:color w:val="87888A"/>
          <w:w w:val="115"/>
          <w:sz w:val="18"/>
        </w:rPr>
        <w:t>Rob Weston (July 2013), Rebecca Whiffen (FURY moderator 2013-14).</w:t>
      </w:r>
    </w:p>
    <w:p>
      <w:pPr>
        <w:pStyle w:val="BodyText"/>
        <w:rPr>
          <w:sz w:val="22"/>
        </w:rPr>
      </w:pPr>
    </w:p>
    <w:p>
      <w:pPr>
        <w:pStyle w:val="BodyText"/>
        <w:spacing w:before="3"/>
        <w:rPr>
          <w:sz w:val="31"/>
        </w:rPr>
      </w:pPr>
    </w:p>
    <w:p>
      <w:pPr>
        <w:pStyle w:val="Heading4"/>
        <w:numPr>
          <w:ilvl w:val="0"/>
          <w:numId w:val="88"/>
        </w:numPr>
        <w:tabs>
          <w:tab w:pos="2664" w:val="left" w:leader="none"/>
          <w:tab w:pos="2665" w:val="left" w:leader="none"/>
        </w:tabs>
        <w:spacing w:line="240" w:lineRule="auto" w:before="0" w:after="0"/>
        <w:ind w:left="2664" w:right="0" w:hanging="681"/>
        <w:jc w:val="left"/>
      </w:pPr>
      <w:r>
        <w:rPr>
          <w:spacing w:val="5"/>
          <w:w w:val="110"/>
        </w:rPr>
        <w:t>Overview</w:t>
      </w:r>
    </w:p>
    <w:p>
      <w:pPr>
        <w:pStyle w:val="BodyText"/>
        <w:spacing w:line="235" w:lineRule="auto" w:before="69"/>
        <w:ind w:left="1984" w:right="1521"/>
      </w:pPr>
      <w:r>
        <w:rPr>
          <w:spacing w:val="-3"/>
          <w:w w:val="120"/>
        </w:rPr>
        <w:t>Children’s </w:t>
      </w:r>
      <w:r>
        <w:rPr>
          <w:w w:val="120"/>
        </w:rPr>
        <w:t>and </w:t>
      </w:r>
      <w:r>
        <w:rPr>
          <w:spacing w:val="-3"/>
          <w:w w:val="120"/>
        </w:rPr>
        <w:t>Youth </w:t>
      </w:r>
      <w:r>
        <w:rPr>
          <w:w w:val="120"/>
        </w:rPr>
        <w:t>work in the United Reformed Church has experienced a number  of significant changes since the last General Assembly. The reorganisation of the Church House staff team, changes to the employment of synod </w:t>
      </w:r>
      <w:r>
        <w:rPr>
          <w:spacing w:val="-3"/>
          <w:w w:val="120"/>
        </w:rPr>
        <w:t>children’s </w:t>
      </w:r>
      <w:r>
        <w:rPr>
          <w:w w:val="120"/>
        </w:rPr>
        <w:t>and youth work development officers </w:t>
      </w:r>
      <w:r>
        <w:rPr>
          <w:spacing w:val="-3"/>
          <w:w w:val="120"/>
        </w:rPr>
        <w:t>(CYDOs) </w:t>
      </w:r>
      <w:r>
        <w:rPr>
          <w:w w:val="120"/>
        </w:rPr>
        <w:t>and developments in  safeguarding  legislation have brought challenges and opportunities. Our work, at local, synod and Assembly level, has seen the engagement, involvement and development of children and young people who have a strong sense of identity, passion for their faith and motivation to  be proactive witnesses in the wider world. It is worthy of note that the programmes and opportunities offered have led a significant number of those involved to</w:t>
      </w:r>
      <w:r>
        <w:rPr>
          <w:spacing w:val="30"/>
          <w:w w:val="120"/>
        </w:rPr>
        <w:t> </w:t>
      </w:r>
      <w:r>
        <w:rPr>
          <w:w w:val="120"/>
        </w:rPr>
        <w:t>make</w:t>
      </w:r>
    </w:p>
    <w:p>
      <w:pPr>
        <w:pStyle w:val="BodyText"/>
        <w:spacing w:line="235" w:lineRule="auto" w:before="7"/>
        <w:ind w:left="1984" w:right="1454"/>
      </w:pPr>
      <w:r>
        <w:rPr>
          <w:w w:val="120"/>
        </w:rPr>
        <w:t>a commitment to training and service including children’s and youth work, church related community work and the ministry of Word and sacraments. Our commitment to this work is both vital and fruitful and the work of the committee and Assembly and synod staff is to be commended.</w:t>
      </w:r>
    </w:p>
    <w:p>
      <w:pPr>
        <w:pStyle w:val="Heading4"/>
        <w:numPr>
          <w:ilvl w:val="0"/>
          <w:numId w:val="88"/>
        </w:numPr>
        <w:tabs>
          <w:tab w:pos="2664" w:val="left" w:leader="none"/>
          <w:tab w:pos="2665" w:val="left" w:leader="none"/>
        </w:tabs>
        <w:spacing w:line="240" w:lineRule="auto" w:before="215" w:after="0"/>
        <w:ind w:left="2664" w:right="0" w:hanging="681"/>
        <w:jc w:val="left"/>
      </w:pPr>
      <w:r>
        <w:rPr>
          <w:spacing w:val="2"/>
          <w:w w:val="110"/>
        </w:rPr>
        <w:t>Staff</w:t>
      </w:r>
      <w:r>
        <w:rPr>
          <w:spacing w:val="12"/>
          <w:w w:val="110"/>
        </w:rPr>
        <w:t> </w:t>
      </w:r>
      <w:r>
        <w:rPr>
          <w:w w:val="110"/>
        </w:rPr>
        <w:t>team</w:t>
      </w:r>
    </w:p>
    <w:p>
      <w:pPr>
        <w:pStyle w:val="BodyText"/>
        <w:spacing w:line="235" w:lineRule="auto" w:before="69"/>
        <w:ind w:left="1984" w:right="1352"/>
      </w:pPr>
      <w:r>
        <w:rPr>
          <w:w w:val="120"/>
        </w:rPr>
        <w:t>The team of children’s and youth work staff has been restructured as part of a wider process at Church House. The team now comprises Karen Morrison (head of children’s and youth work development), Natalie Husk (children’s and youth work programme officer), Heather Wilkinson (PA to children’s and youth work) and Naomi Crocker (PA to head of children’s and youth work and Pilots administrator).</w:t>
      </w:r>
    </w:p>
    <w:p>
      <w:pPr>
        <w:pStyle w:val="BodyText"/>
        <w:spacing w:before="9"/>
        <w:rPr>
          <w:sz w:val="17"/>
        </w:rPr>
      </w:pPr>
    </w:p>
    <w:p>
      <w:pPr>
        <w:pStyle w:val="Heading4"/>
        <w:numPr>
          <w:ilvl w:val="0"/>
          <w:numId w:val="88"/>
        </w:numPr>
        <w:tabs>
          <w:tab w:pos="2664" w:val="left" w:leader="none"/>
          <w:tab w:pos="2665" w:val="left" w:leader="none"/>
        </w:tabs>
        <w:spacing w:line="240" w:lineRule="auto" w:before="0" w:after="0"/>
        <w:ind w:left="2664" w:right="0" w:hanging="681"/>
        <w:jc w:val="left"/>
      </w:pPr>
      <w:r>
        <w:rPr>
          <w:spacing w:val="3"/>
          <w:w w:val="110"/>
        </w:rPr>
        <w:t>Fellowship </w:t>
      </w:r>
      <w:r>
        <w:rPr>
          <w:w w:val="110"/>
        </w:rPr>
        <w:t>of </w:t>
      </w:r>
      <w:r>
        <w:rPr>
          <w:spacing w:val="3"/>
          <w:w w:val="110"/>
        </w:rPr>
        <w:t>United </w:t>
      </w:r>
      <w:r>
        <w:rPr>
          <w:spacing w:val="4"/>
          <w:w w:val="110"/>
        </w:rPr>
        <w:t>Reformed </w:t>
      </w:r>
      <w:r>
        <w:rPr>
          <w:w w:val="110"/>
        </w:rPr>
        <w:t>Youth</w:t>
      </w:r>
      <w:r>
        <w:rPr>
          <w:spacing w:val="59"/>
          <w:w w:val="110"/>
        </w:rPr>
        <w:t> </w:t>
      </w:r>
      <w:r>
        <w:rPr>
          <w:spacing w:val="4"/>
          <w:w w:val="110"/>
        </w:rPr>
        <w:t>(FURY)</w:t>
      </w:r>
    </w:p>
    <w:p>
      <w:pPr>
        <w:pStyle w:val="BodyText"/>
        <w:spacing w:line="235" w:lineRule="auto" w:before="69"/>
        <w:ind w:left="1984" w:right="1352"/>
      </w:pPr>
      <w:r>
        <w:rPr>
          <w:w w:val="120"/>
        </w:rPr>
        <w:t>FURY is the umbrella organisation of United Reformed youth of which every young person aged 11 to 25 associated with the United Reformed Church is a member. FURY’s mission is ‘to discover God, to help each other grow in the Christian faith and, through our lives, to reflect God’s love to all’.</w:t>
      </w:r>
    </w:p>
    <w:p>
      <w:pPr>
        <w:pStyle w:val="Heading4"/>
        <w:numPr>
          <w:ilvl w:val="0"/>
          <w:numId w:val="88"/>
        </w:numPr>
        <w:tabs>
          <w:tab w:pos="2664" w:val="left" w:leader="none"/>
          <w:tab w:pos="2665" w:val="left" w:leader="none"/>
        </w:tabs>
        <w:spacing w:line="240" w:lineRule="auto" w:before="215" w:after="0"/>
        <w:ind w:left="2664" w:right="0" w:hanging="681"/>
        <w:jc w:val="left"/>
      </w:pPr>
      <w:r>
        <w:rPr>
          <w:w w:val="110"/>
        </w:rPr>
        <w:t>Youth</w:t>
      </w:r>
      <w:r>
        <w:rPr>
          <w:spacing w:val="12"/>
          <w:w w:val="110"/>
        </w:rPr>
        <w:t> </w:t>
      </w:r>
      <w:r>
        <w:rPr>
          <w:spacing w:val="4"/>
          <w:w w:val="110"/>
        </w:rPr>
        <w:t>Assembly</w:t>
      </w:r>
    </w:p>
    <w:p>
      <w:pPr>
        <w:pStyle w:val="BodyText"/>
        <w:spacing w:line="235" w:lineRule="auto" w:before="69"/>
        <w:ind w:left="1984" w:right="1414"/>
      </w:pPr>
      <w:r>
        <w:rPr>
          <w:w w:val="120"/>
        </w:rPr>
        <w:t>This annual gathering, including representatives from ecumenical partners, brings young people together from across the church to explore in theme based workshops and debate, to further the business of the church and to worship together as a community of God’s people. The business sessions enable people to experience the challenge of public speaking in a safe and supportive environment. In addition to the business of the assembly, a sense of belonging is developed and an Assembly wide network of friendships is established. In addition, Youth Assembly enables young people to contribute to the wider church by means of resolutions which may lead to working groups or discussions at General Assembly.</w:t>
      </w:r>
    </w:p>
    <w:p>
      <w:pPr>
        <w:spacing w:after="0" w:line="235" w:lineRule="auto"/>
        <w:sectPr>
          <w:headerReference w:type="default" r:id="rId363"/>
          <w:pgSz w:w="11910" w:h="16840"/>
          <w:pgMar w:header="0" w:footer="647" w:top="0" w:bottom="840" w:left="0" w:right="0"/>
        </w:sectPr>
      </w:pPr>
    </w:p>
    <w:p>
      <w:pPr>
        <w:pStyle w:val="BodyText"/>
      </w:pPr>
      <w:r>
        <w:rPr/>
        <w:drawing>
          <wp:anchor distT="0" distB="0" distL="0" distR="0" allowOverlap="1" layoutInCell="1" locked="0" behindDoc="0" simplePos="0" relativeHeight="252065792">
            <wp:simplePos x="0" y="0"/>
            <wp:positionH relativeFrom="page">
              <wp:posOffset>0</wp:posOffset>
            </wp:positionH>
            <wp:positionV relativeFrom="page">
              <wp:posOffset>0</wp:posOffset>
            </wp:positionV>
            <wp:extent cx="594067" cy="10692003"/>
            <wp:effectExtent l="0" t="0" r="0" b="0"/>
            <wp:wrapNone/>
            <wp:docPr id="289" name="image32.png"/>
            <wp:cNvGraphicFramePr>
              <a:graphicFrameLocks noChangeAspect="1"/>
            </wp:cNvGraphicFramePr>
            <a:graphic>
              <a:graphicData uri="http://schemas.openxmlformats.org/drawingml/2006/picture">
                <pic:pic>
                  <pic:nvPicPr>
                    <pic:cNvPr id="290" name="image32.png"/>
                    <pic:cNvPicPr/>
                  </pic:nvPicPr>
                  <pic:blipFill>
                    <a:blip r:embed="rId362"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shape style="position:absolute;margin-left:20.519100pt;margin-top:22.593945pt;width:25.9pt;height:267.8pt;mso-position-horizontal-relative:page;mso-position-vertical-relative:paragraph;z-index:252066816" type="#_x0000_t202" filled="false" stroked="false">
            <v:textbox inset="0,0,0,0" style="layout-flow:vertical">
              <w:txbxContent>
                <w:p>
                  <w:pPr>
                    <w:spacing w:before="27"/>
                    <w:ind w:left="20" w:right="0" w:firstLine="0"/>
                    <w:jc w:val="left"/>
                    <w:rPr>
                      <w:sz w:val="39"/>
                    </w:rPr>
                  </w:pPr>
                  <w:r>
                    <w:rPr>
                      <w:color w:val="FFFFFF"/>
                      <w:spacing w:val="3"/>
                      <w:w w:val="120"/>
                      <w:sz w:val="39"/>
                    </w:rPr>
                    <w:t>Children’s </w:t>
                  </w:r>
                  <w:r>
                    <w:rPr>
                      <w:color w:val="FFFFFF"/>
                      <w:spacing w:val="7"/>
                      <w:w w:val="120"/>
                      <w:sz w:val="39"/>
                    </w:rPr>
                    <w:t>and </w:t>
                  </w:r>
                  <w:r>
                    <w:rPr>
                      <w:color w:val="FFFFFF"/>
                      <w:spacing w:val="8"/>
                      <w:w w:val="120"/>
                      <w:sz w:val="39"/>
                    </w:rPr>
                    <w:t>youth</w:t>
                  </w:r>
                  <w:r>
                    <w:rPr>
                      <w:color w:val="FFFFFF"/>
                      <w:spacing w:val="-43"/>
                      <w:w w:val="120"/>
                      <w:sz w:val="39"/>
                    </w:rPr>
                    <w:t> </w:t>
                  </w:r>
                  <w:r>
                    <w:rPr>
                      <w:color w:val="FFFFFF"/>
                      <w:spacing w:val="7"/>
                      <w:w w:val="120"/>
                      <w:sz w:val="39"/>
                    </w:rPr>
                    <w:t>work</w:t>
                  </w:r>
                </w:p>
              </w:txbxContent>
            </v:textbox>
            <w10:wrap type="none"/>
          </v:shape>
        </w:pict>
      </w:r>
      <w:r>
        <w:rPr>
          <w:color w:val="7EAABF"/>
          <w:w w:val="115"/>
        </w:rPr>
        <w:t>Children’s and youth work</w:t>
      </w:r>
    </w:p>
    <w:p>
      <w:pPr>
        <w:pStyle w:val="ListParagraph"/>
        <w:numPr>
          <w:ilvl w:val="0"/>
          <w:numId w:val="88"/>
        </w:numPr>
        <w:tabs>
          <w:tab w:pos="1927" w:val="left" w:leader="none"/>
          <w:tab w:pos="1928" w:val="left" w:leader="none"/>
        </w:tabs>
        <w:spacing w:line="240" w:lineRule="auto" w:before="215" w:after="0"/>
        <w:ind w:left="1927" w:right="0" w:hanging="681"/>
        <w:jc w:val="left"/>
        <w:rPr>
          <w:rFonts w:ascii="Stone Sans II ITC Std Bk"/>
          <w:b/>
          <w:sz w:val="29"/>
        </w:rPr>
      </w:pPr>
      <w:r>
        <w:rPr>
          <w:rFonts w:ascii="Stone Sans II ITC Std Bk"/>
          <w:b/>
          <w:spacing w:val="3"/>
          <w:w w:val="110"/>
          <w:sz w:val="29"/>
        </w:rPr>
        <w:t>What </w:t>
      </w:r>
      <w:r>
        <w:rPr>
          <w:rFonts w:ascii="Stone Sans II ITC Std Bk"/>
          <w:b/>
          <w:spacing w:val="2"/>
          <w:w w:val="110"/>
          <w:sz w:val="29"/>
        </w:rPr>
        <w:t>Do </w:t>
      </w:r>
      <w:r>
        <w:rPr>
          <w:rFonts w:ascii="Stone Sans II ITC Std Bk"/>
          <w:b/>
          <w:spacing w:val="-2"/>
          <w:w w:val="110"/>
          <w:sz w:val="29"/>
        </w:rPr>
        <w:t>You</w:t>
      </w:r>
      <w:r>
        <w:rPr>
          <w:rFonts w:ascii="Stone Sans II ITC Std Bk"/>
          <w:b/>
          <w:spacing w:val="32"/>
          <w:w w:val="110"/>
          <w:sz w:val="29"/>
        </w:rPr>
        <w:t> </w:t>
      </w:r>
      <w:r>
        <w:rPr>
          <w:rFonts w:ascii="Stone Sans II ITC Std Bk"/>
          <w:b/>
          <w:w w:val="110"/>
          <w:sz w:val="29"/>
        </w:rPr>
        <w:t>Think?</w:t>
      </w:r>
    </w:p>
    <w:p>
      <w:pPr>
        <w:pStyle w:val="BodyText"/>
        <w:spacing w:line="235" w:lineRule="auto" w:before="69"/>
        <w:ind w:left="1247" w:right="2280"/>
      </w:pPr>
      <w:r>
        <w:rPr>
          <w:w w:val="120"/>
        </w:rPr>
        <w:t>This event runs immediately before General Assembly and enables the </w:t>
      </w:r>
      <w:r>
        <w:rPr>
          <w:spacing w:val="-3"/>
          <w:w w:val="120"/>
        </w:rPr>
        <w:t>under-26  </w:t>
      </w:r>
      <w:r>
        <w:rPr>
          <w:w w:val="120"/>
        </w:rPr>
        <w:t>synod representatives to prepare for the business of Assembly. During their time together they discuss the background behind some of the resolutions, using the book of </w:t>
      </w:r>
      <w:r>
        <w:rPr>
          <w:spacing w:val="2"/>
          <w:w w:val="120"/>
        </w:rPr>
        <w:t>reports, </w:t>
      </w:r>
      <w:r>
        <w:rPr>
          <w:w w:val="120"/>
        </w:rPr>
        <w:t>and learn how the Assembly is conducted. This is an invaluable experience for those</w:t>
      </w:r>
      <w:r>
        <w:rPr>
          <w:spacing w:val="4"/>
          <w:w w:val="120"/>
        </w:rPr>
        <w:t> </w:t>
      </w:r>
      <w:r>
        <w:rPr>
          <w:w w:val="120"/>
        </w:rPr>
        <w:t>attending.</w:t>
      </w:r>
    </w:p>
    <w:p>
      <w:pPr>
        <w:pStyle w:val="BodyText"/>
        <w:spacing w:before="9"/>
        <w:rPr>
          <w:sz w:val="17"/>
        </w:rPr>
      </w:pPr>
    </w:p>
    <w:p>
      <w:pPr>
        <w:pStyle w:val="Heading4"/>
        <w:numPr>
          <w:ilvl w:val="0"/>
          <w:numId w:val="88"/>
        </w:numPr>
        <w:tabs>
          <w:tab w:pos="1927" w:val="left" w:leader="none"/>
          <w:tab w:pos="1928" w:val="left" w:leader="none"/>
        </w:tabs>
        <w:spacing w:line="240" w:lineRule="auto" w:before="0" w:after="0"/>
        <w:ind w:left="1927" w:right="0" w:hanging="681"/>
        <w:jc w:val="left"/>
      </w:pPr>
      <w:r>
        <w:rPr>
          <w:spacing w:val="3"/>
          <w:w w:val="110"/>
        </w:rPr>
        <w:t>Pilots</w:t>
      </w:r>
    </w:p>
    <w:p>
      <w:pPr>
        <w:pStyle w:val="BodyText"/>
        <w:spacing w:line="235" w:lineRule="auto" w:before="69"/>
        <w:ind w:left="1247" w:right="2337"/>
      </w:pPr>
      <w:r>
        <w:rPr>
          <w:w w:val="120"/>
        </w:rPr>
        <w:t>Pilots has become more fully integrated with the rest of the </w:t>
      </w:r>
      <w:r>
        <w:rPr>
          <w:spacing w:val="-3"/>
          <w:w w:val="120"/>
        </w:rPr>
        <w:t>children’s </w:t>
      </w:r>
      <w:r>
        <w:rPr>
          <w:w w:val="120"/>
        </w:rPr>
        <w:t>and youth work programme. A consequence of this is that Pilots publications are now sent to  all churches </w:t>
      </w:r>
      <w:r>
        <w:rPr>
          <w:spacing w:val="-5"/>
          <w:w w:val="120"/>
        </w:rPr>
        <w:t>(and </w:t>
      </w:r>
      <w:r>
        <w:rPr>
          <w:w w:val="120"/>
        </w:rPr>
        <w:t>are available </w:t>
      </w:r>
      <w:r>
        <w:rPr>
          <w:spacing w:val="-3"/>
          <w:w w:val="120"/>
        </w:rPr>
        <w:t>online) </w:t>
      </w:r>
      <w:r>
        <w:rPr>
          <w:w w:val="120"/>
        </w:rPr>
        <w:t>and have been used in churches with no Pilots </w:t>
      </w:r>
      <w:r>
        <w:rPr>
          <w:spacing w:val="-3"/>
          <w:w w:val="120"/>
        </w:rPr>
        <w:t>company. </w:t>
      </w:r>
      <w:r>
        <w:rPr>
          <w:w w:val="120"/>
        </w:rPr>
        <w:t>The introduction of an annual Pilots Sunday has helped to raise the profile of Pilots and to increase support for Pilots in local churches. </w:t>
      </w:r>
      <w:r>
        <w:rPr>
          <w:spacing w:val="-6"/>
          <w:w w:val="120"/>
        </w:rPr>
        <w:t>Two </w:t>
      </w:r>
      <w:r>
        <w:rPr>
          <w:w w:val="120"/>
        </w:rPr>
        <w:t>successful Voyagers and Navigators events have taken place since the last General Assembly.</w:t>
      </w:r>
      <w:r>
        <w:rPr>
          <w:spacing w:val="48"/>
          <w:w w:val="120"/>
        </w:rPr>
        <w:t> </w:t>
      </w:r>
      <w:r>
        <w:rPr>
          <w:w w:val="120"/>
        </w:rPr>
        <w:t>Developing</w:t>
      </w:r>
    </w:p>
    <w:p>
      <w:pPr>
        <w:pStyle w:val="BodyText"/>
        <w:spacing w:line="235" w:lineRule="auto" w:before="4"/>
        <w:ind w:left="1247" w:right="2167"/>
      </w:pPr>
      <w:r>
        <w:rPr>
          <w:w w:val="120"/>
        </w:rPr>
        <w:t>Leadership Skills (aged 15 to 19) training weekends have seen young leaders complete the first three year cycle. Pilots continues to flourish as a Christian organisation involving children and young people in the life of our churches.</w:t>
      </w:r>
    </w:p>
    <w:p>
      <w:pPr>
        <w:pStyle w:val="Heading4"/>
        <w:numPr>
          <w:ilvl w:val="0"/>
          <w:numId w:val="88"/>
        </w:numPr>
        <w:tabs>
          <w:tab w:pos="1927" w:val="left" w:leader="none"/>
          <w:tab w:pos="1928" w:val="left" w:leader="none"/>
        </w:tabs>
        <w:spacing w:line="240" w:lineRule="auto" w:before="215" w:after="0"/>
        <w:ind w:left="1927" w:right="0" w:hanging="681"/>
        <w:jc w:val="left"/>
      </w:pPr>
      <w:r>
        <w:rPr>
          <w:w w:val="110"/>
        </w:rPr>
        <w:t>Children’s </w:t>
      </w:r>
      <w:r>
        <w:rPr>
          <w:spacing w:val="3"/>
          <w:w w:val="110"/>
        </w:rPr>
        <w:t>and </w:t>
      </w:r>
      <w:r>
        <w:rPr>
          <w:w w:val="110"/>
        </w:rPr>
        <w:t>Youth </w:t>
      </w:r>
      <w:r>
        <w:rPr>
          <w:spacing w:val="2"/>
          <w:w w:val="110"/>
        </w:rPr>
        <w:t>Work </w:t>
      </w:r>
      <w:r>
        <w:rPr>
          <w:spacing w:val="3"/>
          <w:w w:val="110"/>
        </w:rPr>
        <w:t>Development</w:t>
      </w:r>
      <w:r>
        <w:rPr>
          <w:spacing w:val="64"/>
          <w:w w:val="110"/>
        </w:rPr>
        <w:t> </w:t>
      </w:r>
      <w:r>
        <w:rPr>
          <w:spacing w:val="4"/>
          <w:w w:val="110"/>
        </w:rPr>
        <w:t>Officers</w:t>
      </w:r>
    </w:p>
    <w:p>
      <w:pPr>
        <w:pStyle w:val="BodyText"/>
        <w:spacing w:line="235" w:lineRule="auto" w:before="69"/>
        <w:ind w:left="1247" w:right="2074"/>
      </w:pPr>
      <w:r>
        <w:rPr>
          <w:w w:val="120"/>
        </w:rPr>
        <w:t>The employment of </w:t>
      </w:r>
      <w:r>
        <w:rPr>
          <w:spacing w:val="2"/>
          <w:w w:val="120"/>
        </w:rPr>
        <w:t>CYDOs </w:t>
      </w:r>
      <w:r>
        <w:rPr>
          <w:w w:val="120"/>
        </w:rPr>
        <w:t>is moving to their respective synods. We are encouraged  that a number of synods have continued to support the deployment of their </w:t>
      </w:r>
      <w:r>
        <w:rPr>
          <w:spacing w:val="2"/>
          <w:w w:val="120"/>
        </w:rPr>
        <w:t>CYDOs </w:t>
      </w:r>
      <w:r>
        <w:rPr>
          <w:w w:val="120"/>
        </w:rPr>
        <w:t>to Assembly work which, of course, benefits the children and young people in their synod. The </w:t>
      </w:r>
      <w:r>
        <w:rPr>
          <w:spacing w:val="3"/>
          <w:w w:val="120"/>
        </w:rPr>
        <w:t>CYDO </w:t>
      </w:r>
      <w:r>
        <w:rPr>
          <w:w w:val="120"/>
        </w:rPr>
        <w:t>team brings consistency of professional practice to work in individual synods and provides support for events and</w:t>
      </w:r>
      <w:r>
        <w:rPr>
          <w:spacing w:val="16"/>
          <w:w w:val="120"/>
        </w:rPr>
        <w:t> </w:t>
      </w:r>
      <w:r>
        <w:rPr>
          <w:w w:val="120"/>
        </w:rPr>
        <w:t>programmes.</w:t>
      </w:r>
    </w:p>
    <w:p>
      <w:pPr>
        <w:pStyle w:val="BodyText"/>
        <w:spacing w:before="8"/>
        <w:rPr>
          <w:sz w:val="17"/>
        </w:rPr>
      </w:pPr>
    </w:p>
    <w:p>
      <w:pPr>
        <w:pStyle w:val="Heading4"/>
        <w:numPr>
          <w:ilvl w:val="0"/>
          <w:numId w:val="88"/>
        </w:numPr>
        <w:tabs>
          <w:tab w:pos="1927" w:val="left" w:leader="none"/>
          <w:tab w:pos="1928" w:val="left" w:leader="none"/>
        </w:tabs>
        <w:spacing w:line="240" w:lineRule="auto" w:before="0" w:after="0"/>
        <w:ind w:left="1927" w:right="0" w:hanging="681"/>
        <w:jc w:val="left"/>
      </w:pPr>
      <w:r>
        <w:rPr>
          <w:spacing w:val="3"/>
          <w:w w:val="110"/>
        </w:rPr>
        <w:t>Child Friendly Church</w:t>
      </w:r>
      <w:r>
        <w:rPr>
          <w:spacing w:val="32"/>
          <w:w w:val="110"/>
        </w:rPr>
        <w:t> </w:t>
      </w:r>
      <w:r>
        <w:rPr>
          <w:spacing w:val="2"/>
          <w:w w:val="110"/>
        </w:rPr>
        <w:t>Awards</w:t>
      </w:r>
    </w:p>
    <w:p>
      <w:pPr>
        <w:pStyle w:val="BodyText"/>
        <w:spacing w:line="235" w:lineRule="auto" w:before="69"/>
        <w:ind w:left="1247" w:right="2025"/>
      </w:pPr>
      <w:r>
        <w:rPr>
          <w:w w:val="120"/>
        </w:rPr>
        <w:t>Since General Assembly </w:t>
      </w:r>
      <w:r>
        <w:rPr>
          <w:spacing w:val="-7"/>
          <w:w w:val="120"/>
        </w:rPr>
        <w:t>2012, </w:t>
      </w:r>
      <w:r>
        <w:rPr>
          <w:spacing w:val="-11"/>
          <w:w w:val="120"/>
        </w:rPr>
        <w:t>13 </w:t>
      </w:r>
      <w:r>
        <w:rPr>
          <w:w w:val="120"/>
        </w:rPr>
        <w:t>churches have received the Child Friendly Church Award and </w:t>
      </w:r>
      <w:r>
        <w:rPr>
          <w:spacing w:val="-8"/>
          <w:w w:val="120"/>
        </w:rPr>
        <w:t>14 </w:t>
      </w:r>
      <w:r>
        <w:rPr>
          <w:w w:val="120"/>
        </w:rPr>
        <w:t>have received the Child Friendly Church Re-Award. Churches are supported and assessed by their synod CYDO. Churches are reassessed after three   years and the committee has provided guidance to </w:t>
      </w:r>
      <w:r>
        <w:rPr>
          <w:spacing w:val="2"/>
          <w:w w:val="120"/>
        </w:rPr>
        <w:t>CYDOs </w:t>
      </w:r>
      <w:r>
        <w:rPr>
          <w:w w:val="120"/>
        </w:rPr>
        <w:t>in relation to the re-award process. This includes responding to churches who do not meet the criteria when they are reassessed. Conversations with churches will be instigated after two and a half years to enable support to be given in advance of</w:t>
      </w:r>
      <w:r>
        <w:rPr>
          <w:spacing w:val="24"/>
          <w:w w:val="120"/>
        </w:rPr>
        <w:t> </w:t>
      </w:r>
      <w:r>
        <w:rPr>
          <w:w w:val="120"/>
        </w:rPr>
        <w:t>revalidation.</w:t>
      </w:r>
    </w:p>
    <w:p>
      <w:pPr>
        <w:pStyle w:val="BodyText"/>
        <w:spacing w:before="10"/>
        <w:rPr>
          <w:sz w:val="17"/>
        </w:rPr>
      </w:pPr>
    </w:p>
    <w:p>
      <w:pPr>
        <w:pStyle w:val="Heading4"/>
        <w:numPr>
          <w:ilvl w:val="0"/>
          <w:numId w:val="88"/>
        </w:numPr>
        <w:tabs>
          <w:tab w:pos="1927" w:val="left" w:leader="none"/>
          <w:tab w:pos="1928" w:val="left" w:leader="none"/>
        </w:tabs>
        <w:spacing w:line="240" w:lineRule="auto" w:before="0" w:after="0"/>
        <w:ind w:left="1927" w:right="0" w:hanging="681"/>
        <w:jc w:val="left"/>
      </w:pPr>
      <w:r>
        <w:rPr>
          <w:spacing w:val="3"/>
          <w:w w:val="110"/>
        </w:rPr>
        <w:t>Research</w:t>
      </w:r>
    </w:p>
    <w:p>
      <w:pPr>
        <w:pStyle w:val="BodyText"/>
        <w:spacing w:line="235" w:lineRule="auto" w:before="69"/>
        <w:ind w:left="1247" w:right="2151"/>
      </w:pPr>
      <w:r>
        <w:rPr>
          <w:spacing w:val="3"/>
          <w:w w:val="120"/>
        </w:rPr>
        <w:t>As </w:t>
      </w:r>
      <w:r>
        <w:rPr>
          <w:spacing w:val="2"/>
          <w:w w:val="120"/>
        </w:rPr>
        <w:t>part </w:t>
      </w:r>
      <w:r>
        <w:rPr>
          <w:w w:val="120"/>
        </w:rPr>
        <w:t>of their Assembly work, </w:t>
      </w:r>
      <w:r>
        <w:rPr>
          <w:spacing w:val="2"/>
          <w:w w:val="120"/>
        </w:rPr>
        <w:t>CYDOs </w:t>
      </w:r>
      <w:r>
        <w:rPr>
          <w:w w:val="120"/>
        </w:rPr>
        <w:t>are involved in a programme of research  projects on a range of issues and topics. We will use the findings to inform future discussion and priorities. The current research topics are media usage as a tool, use of social media as a worker, children and youth participation, church membership, having  a voice </w:t>
      </w:r>
      <w:r>
        <w:rPr>
          <w:spacing w:val="-3"/>
          <w:w w:val="120"/>
        </w:rPr>
        <w:t>(children </w:t>
      </w:r>
      <w:r>
        <w:rPr>
          <w:w w:val="120"/>
        </w:rPr>
        <w:t>and young </w:t>
      </w:r>
      <w:r>
        <w:rPr>
          <w:spacing w:val="-3"/>
          <w:w w:val="120"/>
        </w:rPr>
        <w:t>people), </w:t>
      </w:r>
      <w:r>
        <w:rPr>
          <w:w w:val="120"/>
        </w:rPr>
        <w:t>children in poverty (financial, cultural, emotional), and play </w:t>
      </w:r>
      <w:r>
        <w:rPr>
          <w:spacing w:val="-3"/>
          <w:w w:val="120"/>
        </w:rPr>
        <w:t>(the </w:t>
      </w:r>
      <w:r>
        <w:rPr>
          <w:w w:val="120"/>
        </w:rPr>
        <w:t>value of </w:t>
      </w:r>
      <w:r>
        <w:rPr>
          <w:spacing w:val="-3"/>
          <w:w w:val="120"/>
        </w:rPr>
        <w:t>play, </w:t>
      </w:r>
      <w:r>
        <w:rPr>
          <w:w w:val="120"/>
        </w:rPr>
        <w:t>developing social skills through </w:t>
      </w:r>
      <w:r>
        <w:rPr>
          <w:spacing w:val="-3"/>
          <w:w w:val="120"/>
        </w:rPr>
        <w:t>play, </w:t>
      </w:r>
      <w:r>
        <w:rPr>
          <w:w w:val="120"/>
        </w:rPr>
        <w:t>‘fair’ </w:t>
      </w:r>
      <w:r>
        <w:rPr>
          <w:spacing w:val="-3"/>
          <w:w w:val="120"/>
        </w:rPr>
        <w:t>play, </w:t>
      </w:r>
      <w:r>
        <w:rPr>
          <w:w w:val="120"/>
        </w:rPr>
        <w:t>discerning </w:t>
      </w:r>
      <w:r>
        <w:rPr>
          <w:spacing w:val="2"/>
          <w:w w:val="120"/>
        </w:rPr>
        <w:t>gifts </w:t>
      </w:r>
      <w:r>
        <w:rPr>
          <w:w w:val="120"/>
        </w:rPr>
        <w:t>for raising self-esteem through </w:t>
      </w:r>
      <w:r>
        <w:rPr>
          <w:spacing w:val="-3"/>
          <w:w w:val="120"/>
        </w:rPr>
        <w:t>play, </w:t>
      </w:r>
      <w:r>
        <w:rPr>
          <w:w w:val="120"/>
        </w:rPr>
        <w:t>changing poor behavioural patterns through </w:t>
      </w:r>
      <w:r>
        <w:rPr>
          <w:spacing w:val="-4"/>
          <w:w w:val="120"/>
        </w:rPr>
        <w:t>play). </w:t>
      </w:r>
      <w:r>
        <w:rPr>
          <w:w w:val="120"/>
        </w:rPr>
        <w:t>More topics will be added in due</w:t>
      </w:r>
      <w:r>
        <w:rPr>
          <w:spacing w:val="27"/>
          <w:w w:val="120"/>
        </w:rPr>
        <w:t> </w:t>
      </w:r>
      <w:r>
        <w:rPr>
          <w:w w:val="120"/>
        </w:rPr>
        <w:t>course.</w:t>
      </w:r>
    </w:p>
    <w:p>
      <w:pPr>
        <w:pStyle w:val="BodyText"/>
        <w:spacing w:before="11"/>
        <w:rPr>
          <w:sz w:val="17"/>
        </w:rPr>
      </w:pPr>
    </w:p>
    <w:p>
      <w:pPr>
        <w:pStyle w:val="Heading4"/>
        <w:numPr>
          <w:ilvl w:val="0"/>
          <w:numId w:val="88"/>
        </w:numPr>
        <w:tabs>
          <w:tab w:pos="1928" w:val="left" w:leader="none"/>
        </w:tabs>
        <w:spacing w:line="240" w:lineRule="auto" w:before="0" w:after="0"/>
        <w:ind w:left="1927" w:right="0" w:hanging="681"/>
        <w:jc w:val="left"/>
      </w:pPr>
      <w:r>
        <w:rPr>
          <w:w w:val="110"/>
        </w:rPr>
        <w:t>Children’s </w:t>
      </w:r>
      <w:r>
        <w:rPr>
          <w:spacing w:val="3"/>
          <w:w w:val="110"/>
        </w:rPr>
        <w:t>and </w:t>
      </w:r>
      <w:r>
        <w:rPr>
          <w:spacing w:val="2"/>
          <w:w w:val="110"/>
        </w:rPr>
        <w:t>youth </w:t>
      </w:r>
      <w:r>
        <w:rPr>
          <w:w w:val="110"/>
        </w:rPr>
        <w:t>web</w:t>
      </w:r>
      <w:r>
        <w:rPr>
          <w:spacing w:val="47"/>
          <w:w w:val="110"/>
        </w:rPr>
        <w:t> </w:t>
      </w:r>
      <w:r>
        <w:rPr>
          <w:spacing w:val="3"/>
          <w:w w:val="110"/>
        </w:rPr>
        <w:t>pages</w:t>
      </w:r>
    </w:p>
    <w:p>
      <w:pPr>
        <w:pStyle w:val="BodyText"/>
        <w:spacing w:line="235" w:lineRule="auto" w:before="69"/>
        <w:ind w:left="1247" w:right="2167"/>
      </w:pPr>
      <w:r>
        <w:rPr>
          <w:w w:val="120"/>
        </w:rPr>
        <w:t>The new children’s and youth work pages of the URC website are full of useful resources, information and age specific areas to support those working with children and young people in the church. The site offers a reflection section for leaders called Five Minutes’ Peace, seasonal resources, news stories, maps to show the position of Pilots companies and Child Friendly Churches across the URC, and a sign up button for the e-news letter.</w:t>
      </w:r>
    </w:p>
    <w:p>
      <w:pPr>
        <w:pStyle w:val="BodyText"/>
        <w:spacing w:before="9"/>
        <w:rPr>
          <w:sz w:val="17"/>
        </w:rPr>
      </w:pPr>
    </w:p>
    <w:p>
      <w:pPr>
        <w:pStyle w:val="Heading4"/>
        <w:numPr>
          <w:ilvl w:val="0"/>
          <w:numId w:val="88"/>
        </w:numPr>
        <w:tabs>
          <w:tab w:pos="1927" w:val="left" w:leader="none"/>
          <w:tab w:pos="1928" w:val="left" w:leader="none"/>
        </w:tabs>
        <w:spacing w:line="240" w:lineRule="auto" w:before="0" w:after="0"/>
        <w:ind w:left="1927" w:right="0" w:hanging="681"/>
        <w:jc w:val="left"/>
      </w:pPr>
      <w:r>
        <w:rPr>
          <w:spacing w:val="5"/>
          <w:w w:val="110"/>
        </w:rPr>
        <w:t>Good</w:t>
      </w:r>
      <w:r>
        <w:rPr>
          <w:spacing w:val="12"/>
          <w:w w:val="110"/>
        </w:rPr>
        <w:t> </w:t>
      </w:r>
      <w:r>
        <w:rPr>
          <w:spacing w:val="4"/>
          <w:w w:val="110"/>
        </w:rPr>
        <w:t>Practice</w:t>
      </w:r>
    </w:p>
    <w:p>
      <w:pPr>
        <w:pStyle w:val="BodyText"/>
        <w:spacing w:line="235" w:lineRule="auto" w:before="69"/>
        <w:ind w:left="1247" w:right="2004"/>
      </w:pPr>
      <w:r>
        <w:rPr>
          <w:w w:val="120"/>
        </w:rPr>
        <w:t>An updated version of the </w:t>
      </w:r>
      <w:r>
        <w:rPr>
          <w:spacing w:val="-3"/>
          <w:w w:val="120"/>
        </w:rPr>
        <w:t>URC’s </w:t>
      </w:r>
      <w:r>
        <w:rPr>
          <w:w w:val="120"/>
        </w:rPr>
        <w:t>safeguarding material will soon be published and training </w:t>
      </w:r>
      <w:r>
        <w:rPr>
          <w:spacing w:val="-3"/>
          <w:w w:val="120"/>
        </w:rPr>
        <w:t>material to </w:t>
      </w:r>
      <w:r>
        <w:rPr>
          <w:spacing w:val="-2"/>
          <w:w w:val="120"/>
        </w:rPr>
        <w:t>use </w:t>
      </w:r>
      <w:r>
        <w:rPr>
          <w:w w:val="120"/>
        </w:rPr>
        <w:t>with local </w:t>
      </w:r>
      <w:r>
        <w:rPr>
          <w:spacing w:val="-3"/>
          <w:w w:val="120"/>
        </w:rPr>
        <w:t>churches </w:t>
      </w:r>
      <w:r>
        <w:rPr>
          <w:w w:val="120"/>
        </w:rPr>
        <w:t>based on the new </w:t>
      </w:r>
      <w:r>
        <w:rPr>
          <w:spacing w:val="-3"/>
          <w:w w:val="120"/>
        </w:rPr>
        <w:t>material </w:t>
      </w:r>
      <w:r>
        <w:rPr>
          <w:w w:val="120"/>
        </w:rPr>
        <w:t>has been written.</w:t>
      </w:r>
    </w:p>
    <w:p>
      <w:pPr>
        <w:spacing w:after="0" w:line="235" w:lineRule="auto"/>
        <w:sectPr>
          <w:headerReference w:type="even" r:id="rId364"/>
          <w:footerReference w:type="even" r:id="rId365"/>
          <w:footerReference w:type="default" r:id="rId366"/>
          <w:pgSz w:w="11910" w:h="16840"/>
          <w:pgMar w:header="0" w:footer="647" w:top="0" w:bottom="840" w:left="0" w:right="0"/>
          <w:pgNumType w:start="156"/>
        </w:sectPr>
      </w:pPr>
    </w:p>
    <w:p>
      <w:pPr>
        <w:pStyle w:val="BodyText"/>
      </w:pPr>
      <w:r>
        <w:rPr/>
        <w:drawing>
          <wp:anchor distT="0" distB="0" distL="0" distR="0" allowOverlap="1" layoutInCell="1" locked="0" behindDoc="0" simplePos="0" relativeHeight="252067840">
            <wp:simplePos x="0" y="0"/>
            <wp:positionH relativeFrom="page">
              <wp:posOffset>6974928</wp:posOffset>
            </wp:positionH>
            <wp:positionV relativeFrom="page">
              <wp:posOffset>0</wp:posOffset>
            </wp:positionV>
            <wp:extent cx="585063" cy="10692003"/>
            <wp:effectExtent l="0" t="0" r="0" b="0"/>
            <wp:wrapNone/>
            <wp:docPr id="291" name="image30.png"/>
            <wp:cNvGraphicFramePr>
              <a:graphicFrameLocks noChangeAspect="1"/>
            </wp:cNvGraphicFramePr>
            <a:graphic>
              <a:graphicData uri="http://schemas.openxmlformats.org/drawingml/2006/picture">
                <pic:pic>
                  <pic:nvPicPr>
                    <pic:cNvPr id="292" name="image30.png"/>
                    <pic:cNvPicPr/>
                  </pic:nvPicPr>
                  <pic:blipFill>
                    <a:blip r:embed="rId357"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5"/>
        <w:rPr>
          <w:sz w:val="28"/>
        </w:rPr>
      </w:pPr>
    </w:p>
    <w:p>
      <w:pPr>
        <w:pStyle w:val="Heading2"/>
        <w:spacing w:line="213" w:lineRule="auto"/>
        <w:ind w:left="1984"/>
        <w:rPr>
          <w:b/>
        </w:rPr>
      </w:pPr>
      <w:r>
        <w:rPr/>
        <w:pict>
          <v:shape style="position:absolute;margin-left:554.141174pt;margin-top:-5.989334pt;width:25.9pt;height:308.850pt;mso-position-horizontal-relative:page;mso-position-vertical-relative:paragraph;z-index:252068864" type="#_x0000_t202" filled="false" stroked="false">
            <v:textbox inset="0,0,0,0" style="layout-flow:vertical">
              <w:txbxContent>
                <w:p>
                  <w:pPr>
                    <w:spacing w:before="27"/>
                    <w:ind w:left="20" w:right="0" w:firstLine="0"/>
                    <w:jc w:val="left"/>
                    <w:rPr>
                      <w:sz w:val="39"/>
                    </w:rPr>
                  </w:pPr>
                  <w:r>
                    <w:rPr>
                      <w:color w:val="FFFFFF"/>
                      <w:w w:val="120"/>
                      <w:sz w:val="39"/>
                    </w:rPr>
                    <w:t>Communications and editorial</w:t>
                  </w:r>
                </w:p>
              </w:txbxContent>
            </v:textbox>
            <w10:wrap type="none"/>
          </v:shape>
        </w:pict>
      </w:r>
      <w:bookmarkStart w:name="_bookmark28" w:id="32"/>
      <w:bookmarkEnd w:id="32"/>
      <w:r>
        <w:rPr>
          <w:b w:val="0"/>
        </w:rPr>
      </w:r>
      <w:r>
        <w:rPr>
          <w:b/>
          <w:w w:val="110"/>
        </w:rPr>
        <w:t>Communications and editorial committee</w:t>
      </w:r>
    </w:p>
    <w:p>
      <w:pPr>
        <w:spacing w:line="261" w:lineRule="auto" w:before="157"/>
        <w:ind w:left="1984" w:right="1634" w:firstLine="0"/>
        <w:jc w:val="left"/>
        <w:rPr>
          <w:sz w:val="18"/>
        </w:rPr>
      </w:pPr>
      <w:r>
        <w:rPr>
          <w:color w:val="87888A"/>
          <w:w w:val="120"/>
          <w:sz w:val="18"/>
        </w:rPr>
        <w:t>This committee is responsible for the setting and maintenance of standards of all publications. It is responsible for all media relations.</w:t>
      </w:r>
    </w:p>
    <w:p>
      <w:pPr>
        <w:pStyle w:val="BodyText"/>
        <w:spacing w:before="9"/>
        <w:rPr>
          <w:sz w:val="19"/>
        </w:rPr>
      </w:pPr>
    </w:p>
    <w:p>
      <w:pPr>
        <w:spacing w:before="0"/>
        <w:ind w:left="1984" w:right="0" w:firstLine="0"/>
        <w:jc w:val="left"/>
        <w:rPr>
          <w:sz w:val="18"/>
        </w:rPr>
      </w:pPr>
      <w:r>
        <w:rPr>
          <w:color w:val="87888A"/>
          <w:w w:val="120"/>
          <w:sz w:val="18"/>
        </w:rPr>
        <w:t>Committee members:</w:t>
      </w:r>
    </w:p>
    <w:p>
      <w:pPr>
        <w:spacing w:before="21"/>
        <w:ind w:left="1984" w:right="0" w:firstLine="0"/>
        <w:jc w:val="left"/>
        <w:rPr>
          <w:sz w:val="18"/>
        </w:rPr>
      </w:pPr>
      <w:r>
        <w:rPr>
          <w:color w:val="87888A"/>
          <w:w w:val="120"/>
          <w:sz w:val="18"/>
        </w:rPr>
        <w:t>Convener: John Humphreys</w:t>
      </w:r>
    </w:p>
    <w:p>
      <w:pPr>
        <w:spacing w:before="20"/>
        <w:ind w:left="1984" w:right="0" w:firstLine="0"/>
        <w:jc w:val="left"/>
        <w:rPr>
          <w:sz w:val="18"/>
        </w:rPr>
      </w:pPr>
      <w:r>
        <w:rPr>
          <w:color w:val="87888A"/>
          <w:w w:val="120"/>
          <w:sz w:val="18"/>
        </w:rPr>
        <w:t>Secretary: Martin Hazell (to 2013), Gill Nichol</w:t>
      </w:r>
    </w:p>
    <w:p>
      <w:pPr>
        <w:spacing w:line="261" w:lineRule="auto" w:before="20"/>
        <w:ind w:left="1984" w:right="2138" w:firstLine="0"/>
        <w:jc w:val="left"/>
        <w:rPr>
          <w:sz w:val="18"/>
        </w:rPr>
      </w:pPr>
      <w:r>
        <w:rPr>
          <w:color w:val="87888A"/>
          <w:w w:val="120"/>
          <w:sz w:val="18"/>
        </w:rPr>
        <w:t>Members: Peter Lyth </w:t>
      </w:r>
      <w:r>
        <w:rPr>
          <w:color w:val="87888A"/>
          <w:spacing w:val="-5"/>
          <w:w w:val="120"/>
          <w:sz w:val="18"/>
        </w:rPr>
        <w:t>(to </w:t>
      </w:r>
      <w:r>
        <w:rPr>
          <w:color w:val="87888A"/>
          <w:spacing w:val="-8"/>
          <w:w w:val="120"/>
          <w:sz w:val="18"/>
        </w:rPr>
        <w:t>2013), </w:t>
      </w:r>
      <w:r>
        <w:rPr>
          <w:color w:val="87888A"/>
          <w:w w:val="120"/>
          <w:sz w:val="18"/>
        </w:rPr>
        <w:t>Peter Ranscombe </w:t>
      </w:r>
      <w:r>
        <w:rPr>
          <w:color w:val="87888A"/>
          <w:spacing w:val="-5"/>
          <w:w w:val="120"/>
          <w:sz w:val="18"/>
        </w:rPr>
        <w:t>(to </w:t>
      </w:r>
      <w:r>
        <w:rPr>
          <w:color w:val="87888A"/>
          <w:spacing w:val="-8"/>
          <w:w w:val="120"/>
          <w:sz w:val="18"/>
        </w:rPr>
        <w:t>2013),  </w:t>
      </w:r>
      <w:r>
        <w:rPr>
          <w:color w:val="87888A"/>
          <w:w w:val="120"/>
          <w:sz w:val="18"/>
        </w:rPr>
        <w:t>Orin Stephens </w:t>
      </w:r>
      <w:r>
        <w:rPr>
          <w:color w:val="87888A"/>
          <w:spacing w:val="-5"/>
          <w:w w:val="120"/>
          <w:sz w:val="18"/>
        </w:rPr>
        <w:t>(to </w:t>
      </w:r>
      <w:r>
        <w:rPr>
          <w:color w:val="87888A"/>
          <w:spacing w:val="-8"/>
          <w:w w:val="120"/>
          <w:sz w:val="18"/>
        </w:rPr>
        <w:t>2013), </w:t>
      </w:r>
      <w:r>
        <w:rPr>
          <w:color w:val="87888A"/>
          <w:w w:val="120"/>
          <w:sz w:val="18"/>
        </w:rPr>
        <w:t>Helen Jones </w:t>
      </w:r>
      <w:r>
        <w:rPr>
          <w:color w:val="87888A"/>
          <w:spacing w:val="-5"/>
          <w:w w:val="120"/>
          <w:sz w:val="18"/>
        </w:rPr>
        <w:t>(to </w:t>
      </w:r>
      <w:r>
        <w:rPr>
          <w:color w:val="87888A"/>
          <w:spacing w:val="-8"/>
          <w:w w:val="120"/>
          <w:sz w:val="18"/>
        </w:rPr>
        <w:t>2013), </w:t>
      </w:r>
      <w:r>
        <w:rPr>
          <w:color w:val="87888A"/>
          <w:w w:val="120"/>
          <w:sz w:val="18"/>
        </w:rPr>
        <w:t>Heather Whyte, Ian Fosten, Steve Beney, George Mwaura,</w:t>
      </w:r>
      <w:r>
        <w:rPr>
          <w:color w:val="87888A"/>
          <w:spacing w:val="11"/>
          <w:w w:val="120"/>
          <w:sz w:val="18"/>
        </w:rPr>
        <w:t> </w:t>
      </w:r>
      <w:r>
        <w:rPr>
          <w:color w:val="87888A"/>
          <w:w w:val="120"/>
          <w:sz w:val="18"/>
        </w:rPr>
        <w:t>Andrea</w:t>
      </w:r>
    </w:p>
    <w:p>
      <w:pPr>
        <w:spacing w:line="261" w:lineRule="auto" w:before="1"/>
        <w:ind w:left="1984" w:right="1055" w:firstLine="0"/>
        <w:jc w:val="left"/>
        <w:rPr>
          <w:sz w:val="18"/>
        </w:rPr>
      </w:pPr>
      <w:r>
        <w:rPr>
          <w:color w:val="87888A"/>
          <w:w w:val="120"/>
          <w:sz w:val="18"/>
        </w:rPr>
        <w:t>Varnavides, Peter Cooper (from 2013), Peter Knowles (convener-elect), Kevin Snyman (from 2013), Andy Jeens (from 2013)</w:t>
      </w:r>
    </w:p>
    <w:p>
      <w:pPr>
        <w:pStyle w:val="BodyText"/>
        <w:rPr>
          <w:sz w:val="22"/>
        </w:rPr>
      </w:pPr>
    </w:p>
    <w:p>
      <w:pPr>
        <w:pStyle w:val="Heading4"/>
        <w:numPr>
          <w:ilvl w:val="1"/>
          <w:numId w:val="88"/>
        </w:numPr>
        <w:tabs>
          <w:tab w:pos="2664" w:val="left" w:leader="none"/>
          <w:tab w:pos="2665" w:val="left" w:leader="none"/>
        </w:tabs>
        <w:spacing w:line="240" w:lineRule="auto" w:before="170" w:after="0"/>
        <w:ind w:left="2664" w:right="0" w:hanging="681"/>
        <w:jc w:val="left"/>
      </w:pPr>
      <w:r>
        <w:rPr>
          <w:spacing w:val="5"/>
          <w:w w:val="110"/>
        </w:rPr>
        <w:t>Overview</w:t>
      </w:r>
    </w:p>
    <w:p>
      <w:pPr>
        <w:pStyle w:val="ListParagraph"/>
        <w:numPr>
          <w:ilvl w:val="2"/>
          <w:numId w:val="88"/>
        </w:numPr>
        <w:tabs>
          <w:tab w:pos="2664" w:val="left" w:leader="none"/>
          <w:tab w:pos="2665" w:val="left" w:leader="none"/>
        </w:tabs>
        <w:spacing w:line="235" w:lineRule="auto" w:before="69" w:after="0"/>
        <w:ind w:left="1984" w:right="1330" w:firstLine="0"/>
        <w:jc w:val="left"/>
        <w:rPr>
          <w:sz w:val="20"/>
        </w:rPr>
      </w:pPr>
      <w:r>
        <w:rPr>
          <w:spacing w:val="-3"/>
          <w:w w:val="120"/>
          <w:sz w:val="20"/>
        </w:rPr>
        <w:t>It’s </w:t>
      </w:r>
      <w:r>
        <w:rPr>
          <w:w w:val="120"/>
          <w:sz w:val="20"/>
        </w:rPr>
        <w:t>been a busy and interesting </w:t>
      </w:r>
      <w:r>
        <w:rPr>
          <w:spacing w:val="-7"/>
          <w:w w:val="120"/>
          <w:sz w:val="20"/>
        </w:rPr>
        <w:t>18 </w:t>
      </w:r>
      <w:r>
        <w:rPr>
          <w:w w:val="120"/>
          <w:sz w:val="20"/>
        </w:rPr>
        <w:t>months in the life of the communications and editorial department. It may be clichéd to comment on the ever changing, fast moving world of communications – but like all the best clichés, </w:t>
      </w:r>
      <w:r>
        <w:rPr>
          <w:spacing w:val="-3"/>
          <w:w w:val="120"/>
          <w:sz w:val="20"/>
        </w:rPr>
        <w:t>it’s </w:t>
      </w:r>
      <w:r>
        <w:rPr>
          <w:w w:val="120"/>
          <w:sz w:val="20"/>
        </w:rPr>
        <w:t>true. The development of online solutions and the explosion in social media applications provides opportunities and creates challenges. The department – across most of its sub-divisions: press and media, graphics, publications, Reform, the website, despatch and the database – has started to consider properly how the United Reformed Church can make best use of available technologies to communicate effectively with all of its audiences and further the mission of the Church. (More of this in </w:t>
      </w:r>
      <w:r>
        <w:rPr>
          <w:spacing w:val="-7"/>
          <w:w w:val="120"/>
          <w:sz w:val="20"/>
        </w:rPr>
        <w:t>2014 </w:t>
      </w:r>
      <w:r>
        <w:rPr>
          <w:w w:val="120"/>
          <w:sz w:val="20"/>
        </w:rPr>
        <w:t>and</w:t>
      </w:r>
      <w:r>
        <w:rPr>
          <w:spacing w:val="44"/>
          <w:w w:val="120"/>
          <w:sz w:val="20"/>
        </w:rPr>
        <w:t> </w:t>
      </w:r>
      <w:r>
        <w:rPr>
          <w:spacing w:val="-3"/>
          <w:w w:val="120"/>
          <w:sz w:val="20"/>
        </w:rPr>
        <w:t>beyond.)</w:t>
      </w:r>
    </w:p>
    <w:p>
      <w:pPr>
        <w:pStyle w:val="BodyText"/>
        <w:spacing w:before="2"/>
      </w:pPr>
    </w:p>
    <w:p>
      <w:pPr>
        <w:pStyle w:val="ListParagraph"/>
        <w:numPr>
          <w:ilvl w:val="2"/>
          <w:numId w:val="88"/>
        </w:numPr>
        <w:tabs>
          <w:tab w:pos="2664" w:val="left" w:leader="none"/>
          <w:tab w:pos="2665" w:val="left" w:leader="none"/>
        </w:tabs>
        <w:spacing w:line="235" w:lineRule="auto" w:before="0" w:after="0"/>
        <w:ind w:left="1984" w:right="1348" w:firstLine="0"/>
        <w:jc w:val="left"/>
        <w:rPr>
          <w:sz w:val="20"/>
        </w:rPr>
      </w:pPr>
      <w:r>
        <w:rPr>
          <w:w w:val="120"/>
          <w:sz w:val="20"/>
        </w:rPr>
        <w:t>The department is not only starting to change the way it works, there have also been several changes in the staff that do this work – and these have been highlighted  in the relevant sections below. Pertinent to note here though, is that Celia Meiras, the director’s PA, returned from maternity leave in </w:t>
      </w:r>
      <w:r>
        <w:rPr>
          <w:spacing w:val="2"/>
          <w:w w:val="120"/>
          <w:sz w:val="20"/>
        </w:rPr>
        <w:t>February </w:t>
      </w:r>
      <w:r>
        <w:rPr>
          <w:spacing w:val="-8"/>
          <w:w w:val="120"/>
          <w:sz w:val="20"/>
        </w:rPr>
        <w:t>2013 </w:t>
      </w:r>
      <w:r>
        <w:rPr>
          <w:w w:val="120"/>
          <w:sz w:val="20"/>
        </w:rPr>
        <w:t>and that the Revd Martin Hazell, who served as director of communications from January </w:t>
      </w:r>
      <w:r>
        <w:rPr>
          <w:spacing w:val="-6"/>
          <w:w w:val="120"/>
          <w:sz w:val="20"/>
        </w:rPr>
        <w:t>2007, </w:t>
      </w:r>
      <w:r>
        <w:rPr>
          <w:w w:val="120"/>
          <w:sz w:val="20"/>
        </w:rPr>
        <w:t>moved on from this role in September </w:t>
      </w:r>
      <w:r>
        <w:rPr>
          <w:spacing w:val="-7"/>
          <w:w w:val="120"/>
          <w:sz w:val="20"/>
        </w:rPr>
        <w:t>2013. </w:t>
      </w:r>
      <w:r>
        <w:rPr>
          <w:w w:val="120"/>
          <w:sz w:val="20"/>
        </w:rPr>
        <w:t>Gill Nichol, the denomination’s press and media manager, took on the role of interim director of communications on a fixed-term contract from October </w:t>
      </w:r>
      <w:r>
        <w:rPr>
          <w:spacing w:val="-8"/>
          <w:w w:val="120"/>
          <w:sz w:val="20"/>
        </w:rPr>
        <w:t>2013 </w:t>
      </w:r>
      <w:r>
        <w:rPr>
          <w:w w:val="120"/>
          <w:sz w:val="20"/>
        </w:rPr>
        <w:t>to July</w:t>
      </w:r>
      <w:r>
        <w:rPr>
          <w:spacing w:val="17"/>
          <w:w w:val="120"/>
          <w:sz w:val="20"/>
        </w:rPr>
        <w:t> </w:t>
      </w:r>
      <w:r>
        <w:rPr>
          <w:spacing w:val="-6"/>
          <w:w w:val="120"/>
          <w:sz w:val="20"/>
        </w:rPr>
        <w:t>2014.</w:t>
      </w:r>
    </w:p>
    <w:p>
      <w:pPr>
        <w:pStyle w:val="BodyText"/>
        <w:spacing w:before="2"/>
      </w:pPr>
    </w:p>
    <w:p>
      <w:pPr>
        <w:pStyle w:val="ListParagraph"/>
        <w:numPr>
          <w:ilvl w:val="2"/>
          <w:numId w:val="88"/>
        </w:numPr>
        <w:tabs>
          <w:tab w:pos="2664" w:val="left" w:leader="none"/>
          <w:tab w:pos="2665" w:val="left" w:leader="none"/>
        </w:tabs>
        <w:spacing w:line="235" w:lineRule="auto" w:before="0" w:after="0"/>
        <w:ind w:left="1984" w:right="2090" w:firstLine="0"/>
        <w:jc w:val="left"/>
        <w:rPr>
          <w:sz w:val="20"/>
        </w:rPr>
      </w:pPr>
      <w:r>
        <w:rPr>
          <w:w w:val="120"/>
          <w:sz w:val="20"/>
        </w:rPr>
        <w:t>The committee thanks Martin Hazell for his contribution to the work and development of the department over almost seven</w:t>
      </w:r>
      <w:r>
        <w:rPr>
          <w:spacing w:val="11"/>
          <w:w w:val="120"/>
          <w:sz w:val="20"/>
        </w:rPr>
        <w:t> </w:t>
      </w:r>
      <w:r>
        <w:rPr>
          <w:w w:val="120"/>
          <w:sz w:val="20"/>
        </w:rPr>
        <w:t>years.</w:t>
      </w:r>
    </w:p>
    <w:p>
      <w:pPr>
        <w:pStyle w:val="Heading4"/>
        <w:numPr>
          <w:ilvl w:val="1"/>
          <w:numId w:val="88"/>
        </w:numPr>
        <w:tabs>
          <w:tab w:pos="2664" w:val="left" w:leader="none"/>
          <w:tab w:pos="2665" w:val="left" w:leader="none"/>
        </w:tabs>
        <w:spacing w:line="240" w:lineRule="auto" w:before="214" w:after="0"/>
        <w:ind w:left="2664" w:right="0" w:hanging="681"/>
        <w:jc w:val="left"/>
      </w:pPr>
      <w:r>
        <w:rPr>
          <w:spacing w:val="4"/>
          <w:w w:val="110"/>
        </w:rPr>
        <w:t>The </w:t>
      </w:r>
      <w:r>
        <w:rPr>
          <w:spacing w:val="3"/>
          <w:w w:val="110"/>
        </w:rPr>
        <w:t>press and </w:t>
      </w:r>
      <w:r>
        <w:rPr>
          <w:spacing w:val="4"/>
          <w:w w:val="110"/>
        </w:rPr>
        <w:t>media</w:t>
      </w:r>
      <w:r>
        <w:rPr>
          <w:spacing w:val="40"/>
          <w:w w:val="110"/>
        </w:rPr>
        <w:t> </w:t>
      </w:r>
      <w:r>
        <w:rPr>
          <w:spacing w:val="2"/>
          <w:w w:val="110"/>
        </w:rPr>
        <w:t>office</w:t>
      </w:r>
    </w:p>
    <w:p>
      <w:pPr>
        <w:pStyle w:val="ListParagraph"/>
        <w:numPr>
          <w:ilvl w:val="2"/>
          <w:numId w:val="88"/>
        </w:numPr>
        <w:tabs>
          <w:tab w:pos="2664" w:val="left" w:leader="none"/>
          <w:tab w:pos="2665" w:val="left" w:leader="none"/>
        </w:tabs>
        <w:spacing w:line="235" w:lineRule="auto" w:before="69" w:after="0"/>
        <w:ind w:left="1984" w:right="1321" w:firstLine="0"/>
        <w:jc w:val="left"/>
        <w:rPr>
          <w:sz w:val="20"/>
        </w:rPr>
      </w:pPr>
      <w:r>
        <w:rPr>
          <w:w w:val="120"/>
          <w:sz w:val="20"/>
        </w:rPr>
        <w:t>The press and media office is the first </w:t>
      </w:r>
      <w:r>
        <w:rPr>
          <w:spacing w:val="3"/>
          <w:w w:val="120"/>
          <w:sz w:val="20"/>
        </w:rPr>
        <w:t>port </w:t>
      </w:r>
      <w:r>
        <w:rPr>
          <w:w w:val="120"/>
          <w:sz w:val="20"/>
        </w:rPr>
        <w:t>of contact for many both in and outside the denomination. Gill Nichol, the press and media manager, handles all external communications for the Church – including news releases, work on a variety   of media campaigns including joint work with the Mission Department on Back to Church Sunday and the Flesh and Blood campaign and reputation/crisis management issues. Gill also works closely with the Reform team, contributing news to Digest </w:t>
      </w:r>
      <w:r>
        <w:rPr>
          <w:spacing w:val="-3"/>
          <w:w w:val="120"/>
          <w:sz w:val="20"/>
        </w:rPr>
        <w:t>(the </w:t>
      </w:r>
      <w:r>
        <w:rPr>
          <w:w w:val="120"/>
          <w:sz w:val="20"/>
        </w:rPr>
        <w:t>denominational newsletter distributed with </w:t>
      </w:r>
      <w:r>
        <w:rPr>
          <w:spacing w:val="-3"/>
          <w:w w:val="120"/>
          <w:sz w:val="20"/>
        </w:rPr>
        <w:t>Reform), </w:t>
      </w:r>
      <w:r>
        <w:rPr>
          <w:w w:val="120"/>
          <w:sz w:val="20"/>
        </w:rPr>
        <w:t>as well as writing regular news for the URC website and producing the </w:t>
      </w:r>
      <w:r>
        <w:rPr>
          <w:spacing w:val="-3"/>
          <w:w w:val="120"/>
          <w:sz w:val="20"/>
        </w:rPr>
        <w:t>URC’s </w:t>
      </w:r>
      <w:r>
        <w:rPr>
          <w:w w:val="120"/>
          <w:sz w:val="20"/>
        </w:rPr>
        <w:t>Quarterly Update </w:t>
      </w:r>
      <w:r>
        <w:rPr>
          <w:spacing w:val="-4"/>
          <w:w w:val="120"/>
          <w:sz w:val="20"/>
        </w:rPr>
        <w:t>(QU) </w:t>
      </w:r>
      <w:r>
        <w:rPr>
          <w:w w:val="120"/>
          <w:sz w:val="20"/>
        </w:rPr>
        <w:t>e-news. E-news has been so successful that, in October </w:t>
      </w:r>
      <w:r>
        <w:rPr>
          <w:spacing w:val="-7"/>
          <w:w w:val="120"/>
          <w:sz w:val="20"/>
        </w:rPr>
        <w:t>2013, </w:t>
      </w:r>
      <w:r>
        <w:rPr>
          <w:w w:val="120"/>
          <w:sz w:val="20"/>
        </w:rPr>
        <w:t>we renamed it News Update (NU) and now send it out </w:t>
      </w:r>
      <w:r>
        <w:rPr>
          <w:spacing w:val="-6"/>
          <w:w w:val="120"/>
          <w:sz w:val="20"/>
        </w:rPr>
        <w:t>10 </w:t>
      </w:r>
      <w:r>
        <w:rPr>
          <w:w w:val="120"/>
          <w:sz w:val="20"/>
        </w:rPr>
        <w:t>times a</w:t>
      </w:r>
      <w:r>
        <w:rPr>
          <w:spacing w:val="17"/>
          <w:w w:val="120"/>
          <w:sz w:val="20"/>
        </w:rPr>
        <w:t> </w:t>
      </w:r>
      <w:r>
        <w:rPr>
          <w:spacing w:val="-4"/>
          <w:w w:val="120"/>
          <w:sz w:val="20"/>
        </w:rPr>
        <w:t>year.</w:t>
      </w:r>
    </w:p>
    <w:p>
      <w:pPr>
        <w:pStyle w:val="BodyText"/>
        <w:spacing w:before="3"/>
      </w:pPr>
    </w:p>
    <w:p>
      <w:pPr>
        <w:pStyle w:val="ListParagraph"/>
        <w:numPr>
          <w:ilvl w:val="2"/>
          <w:numId w:val="88"/>
        </w:numPr>
        <w:tabs>
          <w:tab w:pos="2664" w:val="left" w:leader="none"/>
          <w:tab w:pos="2665" w:val="left" w:leader="none"/>
        </w:tabs>
        <w:spacing w:line="235" w:lineRule="auto" w:before="0" w:after="0"/>
        <w:ind w:left="1984" w:right="1525" w:firstLine="0"/>
        <w:jc w:val="left"/>
        <w:rPr>
          <w:sz w:val="20"/>
        </w:rPr>
      </w:pPr>
      <w:r>
        <w:rPr>
          <w:w w:val="120"/>
          <w:sz w:val="20"/>
        </w:rPr>
        <w:t>On 1 October, Emma Pearce, the department’s administrative assistant, began working an additional two days a week as the </w:t>
      </w:r>
      <w:r>
        <w:rPr>
          <w:spacing w:val="-5"/>
          <w:w w:val="120"/>
          <w:sz w:val="20"/>
        </w:rPr>
        <w:t>PA </w:t>
      </w:r>
      <w:r>
        <w:rPr>
          <w:w w:val="120"/>
          <w:sz w:val="20"/>
        </w:rPr>
        <w:t>to the press and media manager, covering the running of the office and leaving Gill free to focus on more proactive media work. This didn’t quite happen, as </w:t>
      </w:r>
      <w:r>
        <w:rPr>
          <w:spacing w:val="-4"/>
          <w:w w:val="120"/>
          <w:sz w:val="20"/>
        </w:rPr>
        <w:t>Emma’s </w:t>
      </w:r>
      <w:r>
        <w:rPr>
          <w:w w:val="120"/>
          <w:sz w:val="20"/>
        </w:rPr>
        <w:t>move to the press office coincided with the </w:t>
      </w:r>
      <w:r>
        <w:rPr>
          <w:spacing w:val="2"/>
          <w:w w:val="120"/>
          <w:sz w:val="20"/>
        </w:rPr>
        <w:t>start </w:t>
      </w:r>
      <w:r>
        <w:rPr>
          <w:w w:val="120"/>
          <w:sz w:val="20"/>
        </w:rPr>
        <w:t>of </w:t>
      </w:r>
      <w:r>
        <w:rPr>
          <w:spacing w:val="-3"/>
          <w:w w:val="120"/>
          <w:sz w:val="20"/>
        </w:rPr>
        <w:t>Gill’s </w:t>
      </w:r>
      <w:r>
        <w:rPr>
          <w:w w:val="120"/>
          <w:sz w:val="20"/>
        </w:rPr>
        <w:t>post as interim director. </w:t>
      </w:r>
      <w:r>
        <w:rPr>
          <w:spacing w:val="-4"/>
          <w:w w:val="120"/>
          <w:sz w:val="20"/>
        </w:rPr>
        <w:t>Emma’s </w:t>
      </w:r>
      <w:r>
        <w:rPr>
          <w:w w:val="120"/>
          <w:sz w:val="20"/>
        </w:rPr>
        <w:t>work was essential in ensuring the provision of a basic press and media service in the final three months of </w:t>
      </w:r>
      <w:r>
        <w:rPr>
          <w:spacing w:val="-8"/>
          <w:w w:val="120"/>
          <w:sz w:val="20"/>
        </w:rPr>
        <w:t>2013 </w:t>
      </w:r>
      <w:r>
        <w:rPr>
          <w:w w:val="120"/>
          <w:sz w:val="20"/>
        </w:rPr>
        <w:t>–</w:t>
      </w:r>
    </w:p>
    <w:p>
      <w:pPr>
        <w:spacing w:after="0" w:line="235" w:lineRule="auto"/>
        <w:jc w:val="left"/>
        <w:rPr>
          <w:sz w:val="20"/>
        </w:rPr>
        <w:sectPr>
          <w:headerReference w:type="default" r:id="rId367"/>
          <w:pgSz w:w="11910" w:h="16840"/>
          <w:pgMar w:header="0" w:footer="647" w:top="0" w:bottom="840" w:left="0" w:right="0"/>
        </w:sectPr>
      </w:pPr>
    </w:p>
    <w:p>
      <w:pPr>
        <w:pStyle w:val="BodyText"/>
      </w:pPr>
      <w:r>
        <w:rPr/>
        <w:drawing>
          <wp:anchor distT="0" distB="0" distL="0" distR="0" allowOverlap="1" layoutInCell="1" locked="0" behindDoc="0" simplePos="0" relativeHeight="252069888">
            <wp:simplePos x="0" y="0"/>
            <wp:positionH relativeFrom="page">
              <wp:posOffset>0</wp:posOffset>
            </wp:positionH>
            <wp:positionV relativeFrom="page">
              <wp:posOffset>0</wp:posOffset>
            </wp:positionV>
            <wp:extent cx="594067" cy="10692003"/>
            <wp:effectExtent l="0" t="0" r="0" b="0"/>
            <wp:wrapNone/>
            <wp:docPr id="293" name="image32.png"/>
            <wp:cNvGraphicFramePr>
              <a:graphicFrameLocks noChangeAspect="1"/>
            </wp:cNvGraphicFramePr>
            <a:graphic>
              <a:graphicData uri="http://schemas.openxmlformats.org/drawingml/2006/picture">
                <pic:pic>
                  <pic:nvPicPr>
                    <pic:cNvPr id="294" name="image32.png"/>
                    <pic:cNvPicPr/>
                  </pic:nvPicPr>
                  <pic:blipFill>
                    <a:blip r:embed="rId362"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shape style="position:absolute;margin-left:20.519100pt;margin-top:22.593945pt;width:25.9pt;height:308.850pt;mso-position-horizontal-relative:page;mso-position-vertical-relative:paragraph;z-index:252070912" type="#_x0000_t202" filled="false" stroked="false">
            <v:textbox inset="0,0,0,0" style="layout-flow:vertical">
              <w:txbxContent>
                <w:p>
                  <w:pPr>
                    <w:spacing w:before="27"/>
                    <w:ind w:left="20" w:right="0" w:firstLine="0"/>
                    <w:jc w:val="left"/>
                    <w:rPr>
                      <w:sz w:val="39"/>
                    </w:rPr>
                  </w:pPr>
                  <w:r>
                    <w:rPr>
                      <w:color w:val="FFFFFF"/>
                      <w:w w:val="120"/>
                      <w:sz w:val="39"/>
                    </w:rPr>
                    <w:t>Communications and editorial</w:t>
                  </w:r>
                </w:p>
              </w:txbxContent>
            </v:textbox>
            <w10:wrap type="none"/>
          </v:shape>
        </w:pict>
      </w:r>
      <w:r>
        <w:rPr>
          <w:color w:val="7EAABF"/>
          <w:w w:val="115"/>
        </w:rPr>
        <w:t>Comminications and editorial</w:t>
      </w:r>
    </w:p>
    <w:p>
      <w:pPr>
        <w:pStyle w:val="BodyText"/>
        <w:spacing w:line="235" w:lineRule="auto" w:before="222"/>
        <w:ind w:left="1247" w:right="2004"/>
      </w:pPr>
      <w:r>
        <w:rPr>
          <w:w w:val="120"/>
        </w:rPr>
        <w:t>as was the contribution of Stuart Dew (former URC press officer), who helped out with dozens of writing and editing tasks.</w:t>
      </w:r>
    </w:p>
    <w:p>
      <w:pPr>
        <w:pStyle w:val="BodyText"/>
        <w:spacing w:before="9"/>
        <w:rPr>
          <w:sz w:val="19"/>
        </w:rPr>
      </w:pPr>
    </w:p>
    <w:p>
      <w:pPr>
        <w:pStyle w:val="ListParagraph"/>
        <w:numPr>
          <w:ilvl w:val="2"/>
          <w:numId w:val="88"/>
        </w:numPr>
        <w:tabs>
          <w:tab w:pos="1927" w:val="left" w:leader="none"/>
          <w:tab w:pos="1928" w:val="left" w:leader="none"/>
        </w:tabs>
        <w:spacing w:line="235" w:lineRule="auto" w:before="0" w:after="0"/>
        <w:ind w:left="1247" w:right="2148" w:firstLine="0"/>
        <w:jc w:val="left"/>
        <w:rPr>
          <w:sz w:val="20"/>
        </w:rPr>
      </w:pPr>
      <w:r>
        <w:rPr>
          <w:w w:val="120"/>
          <w:sz w:val="20"/>
        </w:rPr>
        <w:t>At the end of </w:t>
      </w:r>
      <w:r>
        <w:rPr>
          <w:spacing w:val="-7"/>
          <w:w w:val="120"/>
          <w:sz w:val="20"/>
        </w:rPr>
        <w:t>2012 </w:t>
      </w:r>
      <w:r>
        <w:rPr>
          <w:w w:val="120"/>
          <w:sz w:val="20"/>
        </w:rPr>
        <w:t>Gill successfully applied for a grant from the </w:t>
      </w:r>
      <w:r>
        <w:rPr>
          <w:spacing w:val="-3"/>
          <w:w w:val="120"/>
          <w:sz w:val="20"/>
        </w:rPr>
        <w:t>URC’s </w:t>
      </w:r>
      <w:r>
        <w:rPr>
          <w:w w:val="120"/>
          <w:sz w:val="20"/>
        </w:rPr>
        <w:t>legacy fund to run a three-year programme of communications training. The training on offer is two-fold: high level broadcast media training delivered externally and aimed at ‘senior’ staff, and locally delivered training across the synods. In </w:t>
      </w:r>
      <w:r>
        <w:rPr>
          <w:spacing w:val="-7"/>
          <w:w w:val="120"/>
          <w:sz w:val="20"/>
        </w:rPr>
        <w:t>2013, </w:t>
      </w:r>
      <w:r>
        <w:rPr>
          <w:w w:val="120"/>
          <w:sz w:val="20"/>
        </w:rPr>
        <w:t>three broadcast workshops and three synod training days were delivered. Workshops are now being booked for</w:t>
      </w:r>
      <w:r>
        <w:rPr>
          <w:spacing w:val="4"/>
          <w:w w:val="120"/>
          <w:sz w:val="20"/>
        </w:rPr>
        <w:t> </w:t>
      </w:r>
      <w:r>
        <w:rPr>
          <w:spacing w:val="-6"/>
          <w:w w:val="120"/>
          <w:sz w:val="20"/>
        </w:rPr>
        <w:t>2014.</w:t>
      </w:r>
    </w:p>
    <w:p>
      <w:pPr>
        <w:pStyle w:val="BodyText"/>
      </w:pPr>
    </w:p>
    <w:p>
      <w:pPr>
        <w:pStyle w:val="ListParagraph"/>
        <w:numPr>
          <w:ilvl w:val="2"/>
          <w:numId w:val="88"/>
        </w:numPr>
        <w:tabs>
          <w:tab w:pos="1927" w:val="left" w:leader="none"/>
          <w:tab w:pos="1928" w:val="left" w:leader="none"/>
        </w:tabs>
        <w:spacing w:line="235" w:lineRule="auto" w:before="0" w:after="0"/>
        <w:ind w:left="1247" w:right="2015" w:firstLine="0"/>
        <w:jc w:val="left"/>
        <w:rPr>
          <w:sz w:val="20"/>
        </w:rPr>
      </w:pPr>
      <w:r>
        <w:rPr>
          <w:w w:val="120"/>
          <w:sz w:val="20"/>
        </w:rPr>
        <w:t>In December an interim press and media officer – Eve Parker – was appointed </w:t>
      </w:r>
      <w:r>
        <w:rPr>
          <w:spacing w:val="-6"/>
          <w:w w:val="120"/>
          <w:sz w:val="20"/>
        </w:rPr>
        <w:t>(to </w:t>
      </w:r>
      <w:r>
        <w:rPr>
          <w:spacing w:val="2"/>
          <w:w w:val="120"/>
          <w:sz w:val="20"/>
        </w:rPr>
        <w:t>start </w:t>
      </w:r>
      <w:r>
        <w:rPr>
          <w:w w:val="120"/>
          <w:sz w:val="20"/>
        </w:rPr>
        <w:t>work in January</w:t>
      </w:r>
      <w:r>
        <w:rPr>
          <w:spacing w:val="6"/>
          <w:w w:val="120"/>
          <w:sz w:val="20"/>
        </w:rPr>
        <w:t> </w:t>
      </w:r>
      <w:r>
        <w:rPr>
          <w:spacing w:val="-7"/>
          <w:w w:val="120"/>
          <w:sz w:val="20"/>
        </w:rPr>
        <w:t>2014).</w:t>
      </w:r>
    </w:p>
    <w:p>
      <w:pPr>
        <w:pStyle w:val="Heading4"/>
        <w:numPr>
          <w:ilvl w:val="1"/>
          <w:numId w:val="88"/>
        </w:numPr>
        <w:tabs>
          <w:tab w:pos="1927" w:val="left" w:leader="none"/>
          <w:tab w:pos="1928" w:val="left" w:leader="none"/>
        </w:tabs>
        <w:spacing w:line="240" w:lineRule="auto" w:before="214" w:after="0"/>
        <w:ind w:left="1927" w:right="0" w:hanging="681"/>
        <w:jc w:val="left"/>
      </w:pPr>
      <w:r>
        <w:rPr>
          <w:spacing w:val="4"/>
          <w:w w:val="110"/>
        </w:rPr>
        <w:t>The graphics</w:t>
      </w:r>
      <w:r>
        <w:rPr>
          <w:spacing w:val="21"/>
          <w:w w:val="110"/>
        </w:rPr>
        <w:t> </w:t>
      </w:r>
      <w:r>
        <w:rPr>
          <w:spacing w:val="2"/>
          <w:w w:val="110"/>
        </w:rPr>
        <w:t>office</w:t>
      </w:r>
    </w:p>
    <w:p>
      <w:pPr>
        <w:pStyle w:val="ListParagraph"/>
        <w:numPr>
          <w:ilvl w:val="2"/>
          <w:numId w:val="88"/>
        </w:numPr>
        <w:tabs>
          <w:tab w:pos="1927" w:val="left" w:leader="none"/>
          <w:tab w:pos="1928" w:val="left" w:leader="none"/>
        </w:tabs>
        <w:spacing w:line="235" w:lineRule="auto" w:before="69" w:after="0"/>
        <w:ind w:left="1247" w:right="2004" w:firstLine="0"/>
        <w:jc w:val="left"/>
        <w:rPr>
          <w:sz w:val="20"/>
        </w:rPr>
      </w:pPr>
      <w:r>
        <w:rPr>
          <w:w w:val="120"/>
          <w:sz w:val="20"/>
        </w:rPr>
        <w:t>There’s been many a </w:t>
      </w:r>
      <w:r>
        <w:rPr>
          <w:spacing w:val="2"/>
          <w:w w:val="120"/>
          <w:sz w:val="20"/>
        </w:rPr>
        <w:t>report </w:t>
      </w:r>
      <w:r>
        <w:rPr>
          <w:w w:val="120"/>
          <w:sz w:val="20"/>
        </w:rPr>
        <w:t>of the death of print – but not in this denomination’s graphics office! In the past </w:t>
      </w:r>
      <w:r>
        <w:rPr>
          <w:spacing w:val="-7"/>
          <w:w w:val="120"/>
          <w:sz w:val="20"/>
        </w:rPr>
        <w:t>18 </w:t>
      </w:r>
      <w:r>
        <w:rPr>
          <w:w w:val="120"/>
          <w:sz w:val="20"/>
        </w:rPr>
        <w:t>months the graphics office – staffed by Sara Foyle and  Tina Yardley – has generated the impressive total of 580 pieces of print, from flyers and adverts, brochures, pin badges, and new logo designs to </w:t>
      </w:r>
      <w:r>
        <w:rPr>
          <w:spacing w:val="2"/>
          <w:w w:val="120"/>
          <w:sz w:val="20"/>
        </w:rPr>
        <w:t>TLS </w:t>
      </w:r>
      <w:r>
        <w:rPr>
          <w:w w:val="120"/>
          <w:sz w:val="20"/>
        </w:rPr>
        <w:t>materials, the updated  TRIO pack, Mission Council and General Assembly papers and the Yearbook. Almost everything that you see with a URC logo on it has been designed and often printed in- house. However the denomination’s continued need of print does not mean that it has neglected newer</w:t>
      </w:r>
      <w:r>
        <w:rPr>
          <w:spacing w:val="5"/>
          <w:w w:val="120"/>
          <w:sz w:val="20"/>
        </w:rPr>
        <w:t> </w:t>
      </w:r>
      <w:r>
        <w:rPr>
          <w:w w:val="120"/>
          <w:sz w:val="20"/>
        </w:rPr>
        <w:t>technologies.</w:t>
      </w:r>
    </w:p>
    <w:p>
      <w:pPr>
        <w:pStyle w:val="BodyText"/>
        <w:spacing w:before="2"/>
      </w:pPr>
    </w:p>
    <w:p>
      <w:pPr>
        <w:pStyle w:val="ListParagraph"/>
        <w:numPr>
          <w:ilvl w:val="2"/>
          <w:numId w:val="88"/>
        </w:numPr>
        <w:tabs>
          <w:tab w:pos="1927" w:val="left" w:leader="none"/>
          <w:tab w:pos="1928" w:val="left" w:leader="none"/>
        </w:tabs>
        <w:spacing w:line="235" w:lineRule="auto" w:before="0" w:after="0"/>
        <w:ind w:left="1247" w:right="2110" w:firstLine="0"/>
        <w:jc w:val="left"/>
        <w:rPr>
          <w:sz w:val="20"/>
        </w:rPr>
      </w:pPr>
      <w:r>
        <w:rPr>
          <w:w w:val="120"/>
          <w:sz w:val="20"/>
        </w:rPr>
        <w:t>The graphics office has invested a significant amount of time into research – making sure </w:t>
      </w:r>
      <w:r>
        <w:rPr>
          <w:spacing w:val="-3"/>
          <w:w w:val="120"/>
          <w:sz w:val="20"/>
        </w:rPr>
        <w:t>it’s </w:t>
      </w:r>
      <w:r>
        <w:rPr>
          <w:w w:val="120"/>
          <w:sz w:val="20"/>
        </w:rPr>
        <w:t>up to date with all relevant developments in e-publishing and print- on-demand technologies. The Story of the Moderators is one example of a successfully published</w:t>
      </w:r>
      <w:r>
        <w:rPr>
          <w:spacing w:val="7"/>
          <w:w w:val="120"/>
          <w:sz w:val="20"/>
        </w:rPr>
        <w:t> </w:t>
      </w:r>
      <w:r>
        <w:rPr>
          <w:w w:val="120"/>
          <w:sz w:val="20"/>
        </w:rPr>
        <w:t>print-on-demand</w:t>
      </w:r>
      <w:r>
        <w:rPr>
          <w:spacing w:val="8"/>
          <w:w w:val="120"/>
          <w:sz w:val="20"/>
        </w:rPr>
        <w:t> </w:t>
      </w:r>
      <w:r>
        <w:rPr>
          <w:w w:val="120"/>
          <w:sz w:val="20"/>
        </w:rPr>
        <w:t>title</w:t>
      </w:r>
      <w:r>
        <w:rPr>
          <w:spacing w:val="7"/>
          <w:w w:val="120"/>
          <w:sz w:val="20"/>
        </w:rPr>
        <w:t> </w:t>
      </w:r>
      <w:r>
        <w:rPr>
          <w:w w:val="120"/>
          <w:sz w:val="20"/>
        </w:rPr>
        <w:t>which</w:t>
      </w:r>
      <w:r>
        <w:rPr>
          <w:spacing w:val="8"/>
          <w:w w:val="120"/>
          <w:sz w:val="20"/>
        </w:rPr>
        <w:t> </w:t>
      </w:r>
      <w:r>
        <w:rPr>
          <w:w w:val="120"/>
          <w:sz w:val="20"/>
        </w:rPr>
        <w:t>has</w:t>
      </w:r>
      <w:r>
        <w:rPr>
          <w:spacing w:val="8"/>
          <w:w w:val="120"/>
          <w:sz w:val="20"/>
        </w:rPr>
        <w:t> </w:t>
      </w:r>
      <w:r>
        <w:rPr>
          <w:w w:val="120"/>
          <w:sz w:val="20"/>
        </w:rPr>
        <w:t>sold</w:t>
      </w:r>
      <w:r>
        <w:rPr>
          <w:spacing w:val="7"/>
          <w:w w:val="120"/>
          <w:sz w:val="20"/>
        </w:rPr>
        <w:t> </w:t>
      </w:r>
      <w:r>
        <w:rPr>
          <w:w w:val="120"/>
          <w:sz w:val="20"/>
        </w:rPr>
        <w:t>steadily.</w:t>
      </w:r>
      <w:r>
        <w:rPr>
          <w:spacing w:val="8"/>
          <w:w w:val="120"/>
          <w:sz w:val="20"/>
        </w:rPr>
        <w:t> </w:t>
      </w:r>
      <w:r>
        <w:rPr>
          <w:w w:val="120"/>
          <w:sz w:val="20"/>
        </w:rPr>
        <w:t>Sara</w:t>
      </w:r>
      <w:r>
        <w:rPr>
          <w:spacing w:val="7"/>
          <w:w w:val="120"/>
          <w:sz w:val="20"/>
        </w:rPr>
        <w:t> </w:t>
      </w:r>
      <w:r>
        <w:rPr>
          <w:w w:val="120"/>
          <w:sz w:val="20"/>
        </w:rPr>
        <w:t>also</w:t>
      </w:r>
      <w:r>
        <w:rPr>
          <w:spacing w:val="8"/>
          <w:w w:val="120"/>
          <w:sz w:val="20"/>
        </w:rPr>
        <w:t> </w:t>
      </w:r>
      <w:r>
        <w:rPr>
          <w:w w:val="120"/>
          <w:sz w:val="20"/>
        </w:rPr>
        <w:t>developed</w:t>
      </w:r>
      <w:r>
        <w:rPr>
          <w:spacing w:val="8"/>
          <w:w w:val="120"/>
          <w:sz w:val="20"/>
        </w:rPr>
        <w:t> </w:t>
      </w:r>
      <w:r>
        <w:rPr>
          <w:w w:val="120"/>
          <w:sz w:val="20"/>
        </w:rPr>
        <w:t>the</w:t>
      </w:r>
      <w:r>
        <w:rPr>
          <w:spacing w:val="7"/>
          <w:w w:val="120"/>
          <w:sz w:val="20"/>
        </w:rPr>
        <w:t> </w:t>
      </w:r>
      <w:r>
        <w:rPr>
          <w:w w:val="120"/>
          <w:sz w:val="20"/>
        </w:rPr>
        <w:t>URC</w:t>
      </w:r>
    </w:p>
    <w:p>
      <w:pPr>
        <w:pStyle w:val="BodyText"/>
        <w:spacing w:line="235" w:lineRule="auto" w:before="3"/>
        <w:ind w:left="1247" w:right="2004"/>
      </w:pPr>
      <w:r>
        <w:rPr>
          <w:w w:val="120"/>
        </w:rPr>
        <w:t>media app (to be launched in May 2014) which enables quick sourcing of the latest URC news and information.</w:t>
      </w:r>
    </w:p>
    <w:p>
      <w:pPr>
        <w:pStyle w:val="Heading4"/>
        <w:numPr>
          <w:ilvl w:val="1"/>
          <w:numId w:val="88"/>
        </w:numPr>
        <w:tabs>
          <w:tab w:pos="1927" w:val="left" w:leader="none"/>
          <w:tab w:pos="1928" w:val="left" w:leader="none"/>
        </w:tabs>
        <w:spacing w:line="240" w:lineRule="auto" w:before="214" w:after="0"/>
        <w:ind w:left="1927" w:right="0" w:hanging="681"/>
        <w:jc w:val="left"/>
      </w:pPr>
      <w:r>
        <w:rPr>
          <w:spacing w:val="4"/>
          <w:w w:val="110"/>
        </w:rPr>
        <w:t>The</w:t>
      </w:r>
      <w:r>
        <w:rPr>
          <w:spacing w:val="12"/>
          <w:w w:val="110"/>
        </w:rPr>
        <w:t> </w:t>
      </w:r>
      <w:r>
        <w:rPr>
          <w:spacing w:val="2"/>
          <w:w w:val="110"/>
        </w:rPr>
        <w:t>website</w:t>
      </w:r>
    </w:p>
    <w:p>
      <w:pPr>
        <w:pStyle w:val="ListParagraph"/>
        <w:numPr>
          <w:ilvl w:val="2"/>
          <w:numId w:val="88"/>
        </w:numPr>
        <w:tabs>
          <w:tab w:pos="1927" w:val="left" w:leader="none"/>
          <w:tab w:pos="1928" w:val="left" w:leader="none"/>
        </w:tabs>
        <w:spacing w:line="242" w:lineRule="exact" w:before="65" w:after="0"/>
        <w:ind w:left="1927" w:right="0" w:hanging="681"/>
        <w:jc w:val="left"/>
        <w:rPr>
          <w:sz w:val="20"/>
        </w:rPr>
      </w:pPr>
      <w:r>
        <w:rPr>
          <w:w w:val="120"/>
          <w:sz w:val="20"/>
        </w:rPr>
        <w:t>The last </w:t>
      </w:r>
      <w:r>
        <w:rPr>
          <w:spacing w:val="-7"/>
          <w:w w:val="120"/>
          <w:sz w:val="20"/>
        </w:rPr>
        <w:t>18 </w:t>
      </w:r>
      <w:r>
        <w:rPr>
          <w:w w:val="120"/>
          <w:sz w:val="20"/>
        </w:rPr>
        <w:t>months have seen many changes and –we hope users will</w:t>
      </w:r>
      <w:r>
        <w:rPr>
          <w:spacing w:val="42"/>
          <w:w w:val="120"/>
          <w:sz w:val="20"/>
        </w:rPr>
        <w:t> </w:t>
      </w:r>
      <w:r>
        <w:rPr>
          <w:w w:val="120"/>
          <w:sz w:val="20"/>
        </w:rPr>
        <w:t>agree</w:t>
      </w:r>
    </w:p>
    <w:p>
      <w:pPr>
        <w:pStyle w:val="ListParagraph"/>
        <w:numPr>
          <w:ilvl w:val="0"/>
          <w:numId w:val="45"/>
        </w:numPr>
        <w:tabs>
          <w:tab w:pos="1432" w:val="left" w:leader="none"/>
        </w:tabs>
        <w:spacing w:line="235" w:lineRule="auto" w:before="2" w:after="0"/>
        <w:ind w:left="1247" w:right="2053" w:firstLine="0"/>
        <w:jc w:val="left"/>
        <w:rPr>
          <w:sz w:val="20"/>
        </w:rPr>
      </w:pPr>
      <w:r>
        <w:rPr>
          <w:w w:val="120"/>
          <w:sz w:val="20"/>
        </w:rPr>
        <w:t>improvements in the main URC website and satellite websites. At </w:t>
      </w:r>
      <w:r>
        <w:rPr>
          <w:spacing w:val="-7"/>
          <w:w w:val="120"/>
          <w:sz w:val="20"/>
        </w:rPr>
        <w:t>2012 </w:t>
      </w:r>
      <w:r>
        <w:rPr>
          <w:w w:val="120"/>
          <w:sz w:val="20"/>
        </w:rPr>
        <w:t>General Assembly this committee reported a challenging transition from one platform and host provider website to another; this had not been without its problems. We are pleased to </w:t>
      </w:r>
      <w:r>
        <w:rPr>
          <w:spacing w:val="2"/>
          <w:w w:val="120"/>
          <w:sz w:val="20"/>
        </w:rPr>
        <w:t>report </w:t>
      </w:r>
      <w:r>
        <w:rPr>
          <w:w w:val="120"/>
          <w:sz w:val="20"/>
        </w:rPr>
        <w:t>on a happier</w:t>
      </w:r>
      <w:r>
        <w:rPr>
          <w:spacing w:val="6"/>
          <w:w w:val="120"/>
          <w:sz w:val="20"/>
        </w:rPr>
        <w:t> </w:t>
      </w:r>
      <w:r>
        <w:rPr>
          <w:w w:val="120"/>
          <w:sz w:val="20"/>
        </w:rPr>
        <w:t>position.</w:t>
      </w:r>
    </w:p>
    <w:p>
      <w:pPr>
        <w:pStyle w:val="BodyText"/>
        <w:spacing w:before="11"/>
        <w:rPr>
          <w:sz w:val="19"/>
        </w:rPr>
      </w:pPr>
    </w:p>
    <w:p>
      <w:pPr>
        <w:pStyle w:val="ListParagraph"/>
        <w:numPr>
          <w:ilvl w:val="2"/>
          <w:numId w:val="88"/>
        </w:numPr>
        <w:tabs>
          <w:tab w:pos="1927" w:val="left" w:leader="none"/>
          <w:tab w:pos="1928" w:val="left" w:leader="none"/>
        </w:tabs>
        <w:spacing w:line="235" w:lineRule="auto" w:before="0" w:after="0"/>
        <w:ind w:left="1247" w:right="2028" w:firstLine="0"/>
        <w:jc w:val="left"/>
        <w:rPr>
          <w:sz w:val="20"/>
        </w:rPr>
      </w:pPr>
      <w:r>
        <w:rPr>
          <w:w w:val="120"/>
          <w:sz w:val="20"/>
        </w:rPr>
        <w:t>In December </w:t>
      </w:r>
      <w:r>
        <w:rPr>
          <w:spacing w:val="-7"/>
          <w:w w:val="120"/>
          <w:sz w:val="20"/>
        </w:rPr>
        <w:t>2012 </w:t>
      </w:r>
      <w:r>
        <w:rPr>
          <w:w w:val="120"/>
          <w:sz w:val="20"/>
        </w:rPr>
        <w:t>Nick Alexandrou joined the team as web coordinator and began the process of developing the website. In June </w:t>
      </w:r>
      <w:r>
        <w:rPr>
          <w:spacing w:val="-7"/>
          <w:w w:val="120"/>
          <w:sz w:val="20"/>
        </w:rPr>
        <w:t>2013, </w:t>
      </w:r>
      <w:r>
        <w:rPr>
          <w:w w:val="120"/>
          <w:sz w:val="20"/>
        </w:rPr>
        <w:t>Sara Foyle, senior graphic designer, took responsibility for the redevelopment of the website, worked on both the design and back-end of the site and made sure the site architecture was fit for purpose. This new site was launched in October </w:t>
      </w:r>
      <w:r>
        <w:rPr>
          <w:spacing w:val="-7"/>
          <w:w w:val="120"/>
          <w:sz w:val="20"/>
        </w:rPr>
        <w:t>2013. </w:t>
      </w:r>
      <w:r>
        <w:rPr>
          <w:w w:val="120"/>
          <w:sz w:val="20"/>
        </w:rPr>
        <w:t>In the last two months of </w:t>
      </w:r>
      <w:r>
        <w:rPr>
          <w:spacing w:val="-7"/>
          <w:w w:val="120"/>
          <w:sz w:val="20"/>
        </w:rPr>
        <w:t>2013, </w:t>
      </w:r>
      <w:r>
        <w:rPr>
          <w:w w:val="120"/>
          <w:sz w:val="20"/>
        </w:rPr>
        <w:t>Sara and Nick ran web workshops for Church House staff and most departments now have a staff member able to update basic elements of their</w:t>
      </w:r>
      <w:r>
        <w:rPr>
          <w:spacing w:val="18"/>
          <w:w w:val="120"/>
          <w:sz w:val="20"/>
        </w:rPr>
        <w:t> </w:t>
      </w:r>
      <w:r>
        <w:rPr>
          <w:w w:val="120"/>
          <w:sz w:val="20"/>
        </w:rPr>
        <w:t>pages.</w:t>
      </w:r>
    </w:p>
    <w:p>
      <w:pPr>
        <w:pStyle w:val="BodyText"/>
        <w:spacing w:before="1"/>
      </w:pPr>
    </w:p>
    <w:p>
      <w:pPr>
        <w:pStyle w:val="ListParagraph"/>
        <w:numPr>
          <w:ilvl w:val="2"/>
          <w:numId w:val="88"/>
        </w:numPr>
        <w:tabs>
          <w:tab w:pos="1927" w:val="left" w:leader="none"/>
          <w:tab w:pos="1928" w:val="left" w:leader="none"/>
        </w:tabs>
        <w:spacing w:line="235" w:lineRule="auto" w:before="0" w:after="0"/>
        <w:ind w:left="1247" w:right="1981" w:firstLine="0"/>
        <w:jc w:val="left"/>
        <w:rPr>
          <w:sz w:val="20"/>
        </w:rPr>
      </w:pPr>
      <w:r>
        <w:rPr>
          <w:w w:val="120"/>
          <w:sz w:val="20"/>
        </w:rPr>
        <w:t>With the end of Nick’s contract we investigated more cost effective solutions to supporting and developing the URC website. By its very nature, the website will always be a work in progress, but feedback from users has been positive and, as </w:t>
      </w:r>
      <w:r>
        <w:rPr>
          <w:spacing w:val="-8"/>
          <w:w w:val="120"/>
          <w:sz w:val="20"/>
        </w:rPr>
        <w:t>2013 </w:t>
      </w:r>
      <w:r>
        <w:rPr>
          <w:w w:val="120"/>
          <w:sz w:val="20"/>
        </w:rPr>
        <w:t>drew to a close, the site was in good shape for</w:t>
      </w:r>
      <w:r>
        <w:rPr>
          <w:spacing w:val="18"/>
          <w:w w:val="120"/>
          <w:sz w:val="20"/>
        </w:rPr>
        <w:t> </w:t>
      </w:r>
      <w:r>
        <w:rPr>
          <w:spacing w:val="-6"/>
          <w:w w:val="120"/>
          <w:sz w:val="20"/>
        </w:rPr>
        <w:t>2014.</w:t>
      </w:r>
    </w:p>
    <w:p>
      <w:pPr>
        <w:pStyle w:val="BodyText"/>
        <w:spacing w:before="11"/>
        <w:rPr>
          <w:sz w:val="19"/>
        </w:rPr>
      </w:pPr>
    </w:p>
    <w:p>
      <w:pPr>
        <w:pStyle w:val="ListParagraph"/>
        <w:numPr>
          <w:ilvl w:val="2"/>
          <w:numId w:val="88"/>
        </w:numPr>
        <w:tabs>
          <w:tab w:pos="1927" w:val="left" w:leader="none"/>
          <w:tab w:pos="1928" w:val="left" w:leader="none"/>
        </w:tabs>
        <w:spacing w:line="235" w:lineRule="auto" w:before="0" w:after="0"/>
        <w:ind w:left="1247" w:right="2194" w:firstLine="0"/>
        <w:jc w:val="left"/>
        <w:rPr>
          <w:sz w:val="20"/>
        </w:rPr>
      </w:pPr>
      <w:r>
        <w:rPr>
          <w:w w:val="120"/>
          <w:sz w:val="20"/>
        </w:rPr>
        <w:t>The committee thanks Pablo Cabello and Nick Alexandrou, both of whom have now </w:t>
      </w:r>
      <w:r>
        <w:rPr>
          <w:spacing w:val="2"/>
          <w:w w:val="120"/>
          <w:sz w:val="20"/>
        </w:rPr>
        <w:t>left </w:t>
      </w:r>
      <w:r>
        <w:rPr>
          <w:w w:val="120"/>
          <w:sz w:val="20"/>
        </w:rPr>
        <w:t>the staff team, for their contribution to the</w:t>
      </w:r>
      <w:r>
        <w:rPr>
          <w:spacing w:val="6"/>
          <w:w w:val="120"/>
          <w:sz w:val="20"/>
        </w:rPr>
        <w:t> </w:t>
      </w:r>
      <w:r>
        <w:rPr>
          <w:w w:val="120"/>
          <w:sz w:val="20"/>
        </w:rPr>
        <w:t>website.</w:t>
      </w:r>
    </w:p>
    <w:p>
      <w:pPr>
        <w:pStyle w:val="Heading4"/>
        <w:numPr>
          <w:ilvl w:val="1"/>
          <w:numId w:val="88"/>
        </w:numPr>
        <w:tabs>
          <w:tab w:pos="1927" w:val="left" w:leader="none"/>
          <w:tab w:pos="1928" w:val="left" w:leader="none"/>
        </w:tabs>
        <w:spacing w:line="240" w:lineRule="auto" w:before="214" w:after="0"/>
        <w:ind w:left="1927" w:right="0" w:hanging="681"/>
        <w:jc w:val="left"/>
      </w:pPr>
      <w:r>
        <w:rPr>
          <w:spacing w:val="4"/>
          <w:w w:val="110"/>
        </w:rPr>
        <w:t>Reform</w:t>
      </w:r>
    </w:p>
    <w:p>
      <w:pPr>
        <w:pStyle w:val="ListParagraph"/>
        <w:numPr>
          <w:ilvl w:val="2"/>
          <w:numId w:val="88"/>
        </w:numPr>
        <w:tabs>
          <w:tab w:pos="1927" w:val="left" w:leader="none"/>
          <w:tab w:pos="1928" w:val="left" w:leader="none"/>
        </w:tabs>
        <w:spacing w:line="235" w:lineRule="auto" w:before="69" w:after="0"/>
        <w:ind w:left="1247" w:right="2197" w:firstLine="0"/>
        <w:jc w:val="left"/>
        <w:rPr>
          <w:sz w:val="20"/>
        </w:rPr>
      </w:pPr>
      <w:r>
        <w:rPr>
          <w:w w:val="120"/>
          <w:sz w:val="20"/>
        </w:rPr>
        <w:t>Reform has not been untouched by the wind of change that has affected other </w:t>
      </w:r>
      <w:r>
        <w:rPr>
          <w:spacing w:val="2"/>
          <w:w w:val="120"/>
          <w:sz w:val="20"/>
        </w:rPr>
        <w:t>parts </w:t>
      </w:r>
      <w:r>
        <w:rPr>
          <w:w w:val="120"/>
          <w:sz w:val="20"/>
        </w:rPr>
        <w:t>of the department. In January </w:t>
      </w:r>
      <w:r>
        <w:rPr>
          <w:spacing w:val="-7"/>
          <w:w w:val="120"/>
          <w:sz w:val="20"/>
        </w:rPr>
        <w:t>2013,  </w:t>
      </w:r>
      <w:r>
        <w:rPr>
          <w:w w:val="120"/>
          <w:sz w:val="20"/>
        </w:rPr>
        <w:t>Kay Parris, who had edited the magazine  for almost five years, </w:t>
      </w:r>
      <w:r>
        <w:rPr>
          <w:spacing w:val="2"/>
          <w:w w:val="120"/>
          <w:sz w:val="20"/>
        </w:rPr>
        <w:t>left</w:t>
      </w:r>
      <w:r>
        <w:rPr>
          <w:spacing w:val="-38"/>
          <w:w w:val="120"/>
          <w:sz w:val="20"/>
        </w:rPr>
        <w:t> </w:t>
      </w:r>
      <w:r>
        <w:rPr>
          <w:w w:val="120"/>
          <w:sz w:val="20"/>
        </w:rPr>
        <w:t>her position at Church House to return to work as a freelance journalist, and Steve </w:t>
      </w:r>
      <w:r>
        <w:rPr>
          <w:spacing w:val="-3"/>
          <w:w w:val="120"/>
          <w:sz w:val="20"/>
        </w:rPr>
        <w:t>Tomkins </w:t>
      </w:r>
      <w:r>
        <w:rPr>
          <w:w w:val="120"/>
          <w:sz w:val="20"/>
        </w:rPr>
        <w:t>took her place as </w:t>
      </w:r>
      <w:r>
        <w:rPr>
          <w:spacing w:val="-3"/>
          <w:w w:val="120"/>
          <w:sz w:val="20"/>
        </w:rPr>
        <w:t>editor. </w:t>
      </w:r>
      <w:r>
        <w:rPr>
          <w:w w:val="120"/>
          <w:sz w:val="20"/>
        </w:rPr>
        <w:t>The committee would like</w:t>
      </w:r>
      <w:r>
        <w:rPr>
          <w:spacing w:val="40"/>
          <w:w w:val="120"/>
          <w:sz w:val="20"/>
        </w:rPr>
        <w:t> </w:t>
      </w:r>
      <w:r>
        <w:rPr>
          <w:w w:val="120"/>
          <w:sz w:val="20"/>
        </w:rPr>
        <w:t>to</w:t>
      </w:r>
    </w:p>
    <w:p>
      <w:pPr>
        <w:spacing w:after="0" w:line="235" w:lineRule="auto"/>
        <w:jc w:val="left"/>
        <w:rPr>
          <w:sz w:val="20"/>
        </w:rPr>
        <w:sectPr>
          <w:headerReference w:type="even" r:id="rId368"/>
          <w:footerReference w:type="even" r:id="rId369"/>
          <w:footerReference w:type="default" r:id="rId370"/>
          <w:pgSz w:w="11910" w:h="16840"/>
          <w:pgMar w:header="0" w:footer="647" w:top="0" w:bottom="840" w:left="0" w:right="0"/>
          <w:pgNumType w:start="158"/>
        </w:sectPr>
      </w:pPr>
    </w:p>
    <w:p>
      <w:pPr>
        <w:pStyle w:val="BodyText"/>
      </w:pPr>
      <w:r>
        <w:rPr/>
        <w:drawing>
          <wp:anchor distT="0" distB="0" distL="0" distR="0" allowOverlap="1" layoutInCell="1" locked="0" behindDoc="0" simplePos="0" relativeHeight="252071936">
            <wp:simplePos x="0" y="0"/>
            <wp:positionH relativeFrom="page">
              <wp:posOffset>6974928</wp:posOffset>
            </wp:positionH>
            <wp:positionV relativeFrom="page">
              <wp:posOffset>0</wp:posOffset>
            </wp:positionV>
            <wp:extent cx="585063" cy="10692003"/>
            <wp:effectExtent l="0" t="0" r="0" b="0"/>
            <wp:wrapNone/>
            <wp:docPr id="295" name="image30.png"/>
            <wp:cNvGraphicFramePr>
              <a:graphicFrameLocks noChangeAspect="1"/>
            </wp:cNvGraphicFramePr>
            <a:graphic>
              <a:graphicData uri="http://schemas.openxmlformats.org/drawingml/2006/picture">
                <pic:pic>
                  <pic:nvPicPr>
                    <pic:cNvPr id="296" name="image30.png"/>
                    <pic:cNvPicPr/>
                  </pic:nvPicPr>
                  <pic:blipFill>
                    <a:blip r:embed="rId357"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pStyle w:val="Heading5"/>
        <w:ind w:left="7041"/>
      </w:pPr>
      <w:r>
        <w:rPr/>
        <w:pict>
          <v:shape style="position:absolute;margin-left:554.141174pt;margin-top:22.593945pt;width:25.9pt;height:308.850pt;mso-position-horizontal-relative:page;mso-position-vertical-relative:paragraph;z-index:252072960" type="#_x0000_t202" filled="false" stroked="false">
            <v:textbox inset="0,0,0,0" style="layout-flow:vertical">
              <w:txbxContent>
                <w:p>
                  <w:pPr>
                    <w:spacing w:before="27"/>
                    <w:ind w:left="20" w:right="0" w:firstLine="0"/>
                    <w:jc w:val="left"/>
                    <w:rPr>
                      <w:sz w:val="39"/>
                    </w:rPr>
                  </w:pPr>
                  <w:r>
                    <w:rPr>
                      <w:color w:val="FFFFFF"/>
                      <w:w w:val="120"/>
                      <w:sz w:val="39"/>
                    </w:rPr>
                    <w:t>Communications and editorial</w:t>
                  </w:r>
                </w:p>
              </w:txbxContent>
            </v:textbox>
            <w10:wrap type="none"/>
          </v:shape>
        </w:pict>
      </w:r>
      <w:r>
        <w:rPr>
          <w:color w:val="7EAABF"/>
          <w:w w:val="115"/>
        </w:rPr>
        <w:t>Comminications and editorial</w:t>
      </w:r>
    </w:p>
    <w:p>
      <w:pPr>
        <w:pStyle w:val="BodyText"/>
        <w:spacing w:line="235" w:lineRule="auto" w:before="222"/>
        <w:ind w:left="1984" w:right="1484"/>
      </w:pPr>
      <w:r>
        <w:rPr>
          <w:w w:val="120"/>
        </w:rPr>
        <w:t>record its thanks to </w:t>
      </w:r>
      <w:r>
        <w:rPr>
          <w:spacing w:val="-4"/>
          <w:w w:val="120"/>
        </w:rPr>
        <w:t>Kay,  </w:t>
      </w:r>
      <w:r>
        <w:rPr>
          <w:w w:val="120"/>
        </w:rPr>
        <w:t>whose editorship has been widely recognised throughout  the denomination, moving Reform from an inward looking publication into a modern magazine</w:t>
      </w:r>
      <w:r>
        <w:rPr>
          <w:spacing w:val="-4"/>
          <w:w w:val="120"/>
        </w:rPr>
        <w:t> </w:t>
      </w:r>
      <w:r>
        <w:rPr>
          <w:w w:val="120"/>
        </w:rPr>
        <w:t>–</w:t>
      </w:r>
      <w:r>
        <w:rPr>
          <w:spacing w:val="-4"/>
          <w:w w:val="120"/>
        </w:rPr>
        <w:t> </w:t>
      </w:r>
      <w:r>
        <w:rPr>
          <w:w w:val="120"/>
        </w:rPr>
        <w:t>what</w:t>
      </w:r>
      <w:r>
        <w:rPr>
          <w:spacing w:val="-4"/>
          <w:w w:val="120"/>
        </w:rPr>
        <w:t> </w:t>
      </w:r>
      <w:r>
        <w:rPr>
          <w:w w:val="120"/>
        </w:rPr>
        <w:t>the</w:t>
      </w:r>
      <w:r>
        <w:rPr>
          <w:spacing w:val="-4"/>
          <w:w w:val="120"/>
        </w:rPr>
        <w:t> </w:t>
      </w:r>
      <w:r>
        <w:rPr>
          <w:spacing w:val="-7"/>
          <w:w w:val="120"/>
        </w:rPr>
        <w:t>2012</w:t>
      </w:r>
      <w:r>
        <w:rPr>
          <w:spacing w:val="-3"/>
          <w:w w:val="120"/>
        </w:rPr>
        <w:t> </w:t>
      </w:r>
      <w:r>
        <w:rPr>
          <w:i/>
          <w:w w:val="120"/>
        </w:rPr>
        <w:t>Book</w:t>
      </w:r>
      <w:r>
        <w:rPr>
          <w:i/>
          <w:spacing w:val="-7"/>
          <w:w w:val="120"/>
        </w:rPr>
        <w:t> </w:t>
      </w:r>
      <w:r>
        <w:rPr>
          <w:i/>
          <w:w w:val="120"/>
        </w:rPr>
        <w:t>of</w:t>
      </w:r>
      <w:r>
        <w:rPr>
          <w:i/>
          <w:spacing w:val="-6"/>
          <w:w w:val="120"/>
        </w:rPr>
        <w:t> </w:t>
      </w:r>
      <w:r>
        <w:rPr>
          <w:i/>
          <w:w w:val="120"/>
        </w:rPr>
        <w:t>Reports</w:t>
      </w:r>
      <w:r>
        <w:rPr>
          <w:i/>
          <w:spacing w:val="-4"/>
          <w:w w:val="120"/>
        </w:rPr>
        <w:t> </w:t>
      </w:r>
      <w:r>
        <w:rPr>
          <w:w w:val="120"/>
        </w:rPr>
        <w:t>described</w:t>
      </w:r>
      <w:r>
        <w:rPr>
          <w:spacing w:val="-4"/>
          <w:w w:val="120"/>
        </w:rPr>
        <w:t> </w:t>
      </w:r>
      <w:r>
        <w:rPr>
          <w:w w:val="120"/>
        </w:rPr>
        <w:t>as</w:t>
      </w:r>
      <w:r>
        <w:rPr>
          <w:spacing w:val="-4"/>
          <w:w w:val="120"/>
        </w:rPr>
        <w:t> </w:t>
      </w:r>
      <w:r>
        <w:rPr>
          <w:w w:val="120"/>
        </w:rPr>
        <w:t>‘essential</w:t>
      </w:r>
      <w:r>
        <w:rPr>
          <w:spacing w:val="-4"/>
          <w:w w:val="120"/>
        </w:rPr>
        <w:t> </w:t>
      </w:r>
      <w:r>
        <w:rPr>
          <w:w w:val="120"/>
        </w:rPr>
        <w:t>reading</w:t>
      </w:r>
      <w:r>
        <w:rPr>
          <w:spacing w:val="-3"/>
          <w:w w:val="120"/>
        </w:rPr>
        <w:t> </w:t>
      </w:r>
      <w:r>
        <w:rPr>
          <w:w w:val="120"/>
        </w:rPr>
        <w:t>for</w:t>
      </w:r>
      <w:r>
        <w:rPr>
          <w:spacing w:val="-4"/>
          <w:w w:val="120"/>
        </w:rPr>
        <w:t> </w:t>
      </w:r>
      <w:r>
        <w:rPr>
          <w:w w:val="120"/>
        </w:rPr>
        <w:t>the</w:t>
      </w:r>
      <w:r>
        <w:rPr>
          <w:spacing w:val="-4"/>
          <w:w w:val="120"/>
        </w:rPr>
        <w:t> </w:t>
      </w:r>
      <w:r>
        <w:rPr>
          <w:w w:val="120"/>
        </w:rPr>
        <w:t>more progressive</w:t>
      </w:r>
      <w:r>
        <w:rPr>
          <w:spacing w:val="2"/>
          <w:w w:val="120"/>
        </w:rPr>
        <w:t> </w:t>
      </w:r>
      <w:r>
        <w:rPr>
          <w:w w:val="120"/>
        </w:rPr>
        <w:t>Christian.’</w:t>
      </w:r>
    </w:p>
    <w:p>
      <w:pPr>
        <w:pStyle w:val="BodyText"/>
        <w:spacing w:before="10"/>
        <w:rPr>
          <w:sz w:val="19"/>
        </w:rPr>
      </w:pPr>
    </w:p>
    <w:p>
      <w:pPr>
        <w:pStyle w:val="ListParagraph"/>
        <w:numPr>
          <w:ilvl w:val="2"/>
          <w:numId w:val="88"/>
        </w:numPr>
        <w:tabs>
          <w:tab w:pos="2664" w:val="left" w:leader="none"/>
          <w:tab w:pos="2665" w:val="left" w:leader="none"/>
        </w:tabs>
        <w:spacing w:line="235" w:lineRule="auto" w:before="1" w:after="0"/>
        <w:ind w:left="1984" w:right="1273" w:firstLine="0"/>
        <w:jc w:val="left"/>
        <w:rPr>
          <w:sz w:val="20"/>
        </w:rPr>
      </w:pPr>
      <w:r>
        <w:rPr>
          <w:w w:val="120"/>
          <w:sz w:val="20"/>
        </w:rPr>
        <w:t>Steve has built on this, working with his two colleagues, Chris Andrews and Charissa King, to redesign the magazine and bring in many new features. Unusually, the redesign was done in-house, without the cost of an external designer. Several of the new features seem to have inspired lookalikes in other Christian publications, imitation being the sincerest form of flattery. Responses from readers have been overwhelmingly positive. The Reform website was also redesigned in</w:t>
      </w:r>
      <w:r>
        <w:rPr>
          <w:spacing w:val="19"/>
          <w:w w:val="120"/>
          <w:sz w:val="20"/>
        </w:rPr>
        <w:t> </w:t>
      </w:r>
      <w:r>
        <w:rPr>
          <w:spacing w:val="-7"/>
          <w:w w:val="120"/>
          <w:sz w:val="20"/>
        </w:rPr>
        <w:t>2013.</w:t>
      </w:r>
    </w:p>
    <w:p>
      <w:pPr>
        <w:pStyle w:val="BodyText"/>
      </w:pPr>
    </w:p>
    <w:p>
      <w:pPr>
        <w:pStyle w:val="ListParagraph"/>
        <w:numPr>
          <w:ilvl w:val="2"/>
          <w:numId w:val="88"/>
        </w:numPr>
        <w:tabs>
          <w:tab w:pos="2664" w:val="left" w:leader="none"/>
          <w:tab w:pos="2665" w:val="left" w:leader="none"/>
        </w:tabs>
        <w:spacing w:line="235" w:lineRule="auto" w:before="0" w:after="0"/>
        <w:ind w:left="1984" w:right="1585" w:firstLine="0"/>
        <w:jc w:val="left"/>
        <w:rPr>
          <w:sz w:val="20"/>
        </w:rPr>
      </w:pPr>
      <w:r>
        <w:rPr>
          <w:w w:val="120"/>
          <w:sz w:val="20"/>
        </w:rPr>
        <w:t>The critical success of the magazine has started to translate into more positive financial figures too. There was an increase in subscriptions in </w:t>
      </w:r>
      <w:r>
        <w:rPr>
          <w:spacing w:val="-7"/>
          <w:w w:val="120"/>
          <w:sz w:val="20"/>
        </w:rPr>
        <w:t>2013, </w:t>
      </w:r>
      <w:r>
        <w:rPr>
          <w:w w:val="120"/>
          <w:sz w:val="20"/>
        </w:rPr>
        <w:t>from </w:t>
      </w:r>
      <w:r>
        <w:rPr>
          <w:spacing w:val="-7"/>
          <w:w w:val="120"/>
          <w:sz w:val="20"/>
        </w:rPr>
        <w:t>3,674 </w:t>
      </w:r>
      <w:r>
        <w:rPr>
          <w:w w:val="120"/>
          <w:sz w:val="20"/>
        </w:rPr>
        <w:t>subscribers at the end of November </w:t>
      </w:r>
      <w:r>
        <w:rPr>
          <w:spacing w:val="-7"/>
          <w:w w:val="120"/>
          <w:sz w:val="20"/>
        </w:rPr>
        <w:t>2012, </w:t>
      </w:r>
      <w:r>
        <w:rPr>
          <w:w w:val="120"/>
          <w:sz w:val="20"/>
        </w:rPr>
        <w:t>to 4,525 at the end of November </w:t>
      </w:r>
      <w:r>
        <w:rPr>
          <w:spacing w:val="-7"/>
          <w:w w:val="120"/>
          <w:sz w:val="20"/>
        </w:rPr>
        <w:t>2013. </w:t>
      </w:r>
      <w:r>
        <w:rPr>
          <w:w w:val="120"/>
          <w:sz w:val="20"/>
        </w:rPr>
        <w:t>Outgoings have decreased somewhat – to </w:t>
      </w:r>
      <w:r>
        <w:rPr>
          <w:spacing w:val="-3"/>
          <w:w w:val="120"/>
          <w:sz w:val="20"/>
        </w:rPr>
        <w:t>£172,000 </w:t>
      </w:r>
      <w:r>
        <w:rPr>
          <w:w w:val="120"/>
          <w:sz w:val="20"/>
        </w:rPr>
        <w:t>(Jan-Sep </w:t>
      </w:r>
      <w:r>
        <w:rPr>
          <w:spacing w:val="-10"/>
          <w:w w:val="120"/>
          <w:sz w:val="20"/>
        </w:rPr>
        <w:t>2013) </w:t>
      </w:r>
      <w:r>
        <w:rPr>
          <w:w w:val="120"/>
          <w:sz w:val="20"/>
        </w:rPr>
        <w:t>from </w:t>
      </w:r>
      <w:r>
        <w:rPr>
          <w:spacing w:val="-3"/>
          <w:w w:val="120"/>
          <w:sz w:val="20"/>
        </w:rPr>
        <w:t>£183,000 </w:t>
      </w:r>
      <w:r>
        <w:rPr>
          <w:w w:val="120"/>
          <w:sz w:val="20"/>
        </w:rPr>
        <w:t>(Jan-Sep</w:t>
      </w:r>
      <w:r>
        <w:rPr>
          <w:spacing w:val="5"/>
          <w:w w:val="120"/>
          <w:sz w:val="20"/>
        </w:rPr>
        <w:t> </w:t>
      </w:r>
      <w:r>
        <w:rPr>
          <w:spacing w:val="-7"/>
          <w:w w:val="120"/>
          <w:sz w:val="20"/>
        </w:rPr>
        <w:t>2010)</w:t>
      </w:r>
      <w:r>
        <w:rPr>
          <w:spacing w:val="6"/>
          <w:w w:val="120"/>
          <w:sz w:val="20"/>
        </w:rPr>
        <w:t> </w:t>
      </w:r>
      <w:r>
        <w:rPr>
          <w:w w:val="120"/>
          <w:sz w:val="20"/>
        </w:rPr>
        <w:t>–</w:t>
      </w:r>
      <w:r>
        <w:rPr>
          <w:spacing w:val="5"/>
          <w:w w:val="120"/>
          <w:sz w:val="20"/>
        </w:rPr>
        <w:t> </w:t>
      </w:r>
      <w:r>
        <w:rPr>
          <w:w w:val="120"/>
          <w:sz w:val="20"/>
        </w:rPr>
        <w:t>and,</w:t>
      </w:r>
      <w:r>
        <w:rPr>
          <w:spacing w:val="6"/>
          <w:w w:val="120"/>
          <w:sz w:val="20"/>
        </w:rPr>
        <w:t> </w:t>
      </w:r>
      <w:r>
        <w:rPr>
          <w:w w:val="120"/>
          <w:sz w:val="20"/>
        </w:rPr>
        <w:t>pleasingly,</w:t>
      </w:r>
      <w:r>
        <w:rPr>
          <w:spacing w:val="5"/>
          <w:w w:val="120"/>
          <w:sz w:val="20"/>
        </w:rPr>
        <w:t> </w:t>
      </w:r>
      <w:r>
        <w:rPr>
          <w:w w:val="120"/>
          <w:sz w:val="20"/>
        </w:rPr>
        <w:t>advertising</w:t>
      </w:r>
      <w:r>
        <w:rPr>
          <w:spacing w:val="6"/>
          <w:w w:val="120"/>
          <w:sz w:val="20"/>
        </w:rPr>
        <w:t> </w:t>
      </w:r>
      <w:r>
        <w:rPr>
          <w:w w:val="120"/>
          <w:sz w:val="20"/>
        </w:rPr>
        <w:t>revenue</w:t>
      </w:r>
      <w:r>
        <w:rPr>
          <w:spacing w:val="5"/>
          <w:w w:val="120"/>
          <w:sz w:val="20"/>
        </w:rPr>
        <w:t> </w:t>
      </w:r>
      <w:r>
        <w:rPr>
          <w:w w:val="120"/>
          <w:sz w:val="20"/>
        </w:rPr>
        <w:t>has</w:t>
      </w:r>
      <w:r>
        <w:rPr>
          <w:spacing w:val="6"/>
          <w:w w:val="120"/>
          <w:sz w:val="20"/>
        </w:rPr>
        <w:t> </w:t>
      </w:r>
      <w:r>
        <w:rPr>
          <w:w w:val="120"/>
          <w:sz w:val="20"/>
        </w:rPr>
        <w:t>increased</w:t>
      </w:r>
      <w:r>
        <w:rPr>
          <w:spacing w:val="5"/>
          <w:w w:val="120"/>
          <w:sz w:val="20"/>
        </w:rPr>
        <w:t> </w:t>
      </w:r>
      <w:r>
        <w:rPr>
          <w:w w:val="120"/>
          <w:sz w:val="20"/>
        </w:rPr>
        <w:t>a</w:t>
      </w:r>
      <w:r>
        <w:rPr>
          <w:spacing w:val="6"/>
          <w:w w:val="120"/>
          <w:sz w:val="20"/>
        </w:rPr>
        <w:t> </w:t>
      </w:r>
      <w:r>
        <w:rPr>
          <w:w w:val="120"/>
          <w:sz w:val="20"/>
        </w:rPr>
        <w:t>little:</w:t>
      </w:r>
      <w:r>
        <w:rPr>
          <w:spacing w:val="5"/>
          <w:w w:val="120"/>
          <w:sz w:val="20"/>
        </w:rPr>
        <w:t> </w:t>
      </w:r>
      <w:r>
        <w:rPr>
          <w:w w:val="120"/>
          <w:sz w:val="20"/>
        </w:rPr>
        <w:t>from</w:t>
      </w:r>
      <w:r>
        <w:rPr>
          <w:spacing w:val="6"/>
          <w:w w:val="120"/>
          <w:sz w:val="20"/>
        </w:rPr>
        <w:t> </w:t>
      </w:r>
      <w:r>
        <w:rPr>
          <w:w w:val="120"/>
          <w:sz w:val="20"/>
        </w:rPr>
        <w:t>an</w:t>
      </w:r>
    </w:p>
    <w:p>
      <w:pPr>
        <w:pStyle w:val="BodyText"/>
        <w:spacing w:line="235" w:lineRule="auto" w:before="4"/>
        <w:ind w:left="1984" w:right="1301"/>
      </w:pPr>
      <w:r>
        <w:rPr>
          <w:w w:val="120"/>
        </w:rPr>
        <w:t>average of £3,587 per issue in 2012 to an average of £4,471 per issue. A strategy aiming to increase subscriptions is being developed and will be rolled out in 2014.</w:t>
      </w:r>
    </w:p>
    <w:p>
      <w:pPr>
        <w:pStyle w:val="BodyText"/>
        <w:spacing w:before="9"/>
        <w:rPr>
          <w:sz w:val="19"/>
        </w:rPr>
      </w:pPr>
    </w:p>
    <w:p>
      <w:pPr>
        <w:pStyle w:val="ListParagraph"/>
        <w:numPr>
          <w:ilvl w:val="2"/>
          <w:numId w:val="88"/>
        </w:numPr>
        <w:tabs>
          <w:tab w:pos="2665" w:val="left" w:leader="none"/>
        </w:tabs>
        <w:spacing w:line="235" w:lineRule="auto" w:before="0" w:after="0"/>
        <w:ind w:left="1984" w:right="1439" w:firstLine="0"/>
        <w:jc w:val="both"/>
        <w:rPr>
          <w:sz w:val="20"/>
        </w:rPr>
      </w:pPr>
      <w:r>
        <w:rPr>
          <w:w w:val="120"/>
          <w:sz w:val="20"/>
        </w:rPr>
        <w:t>Reform’s</w:t>
      </w:r>
      <w:r>
        <w:rPr>
          <w:spacing w:val="-18"/>
          <w:w w:val="120"/>
          <w:sz w:val="20"/>
        </w:rPr>
        <w:t> </w:t>
      </w:r>
      <w:r>
        <w:rPr>
          <w:w w:val="120"/>
          <w:sz w:val="20"/>
        </w:rPr>
        <w:t>strapline,</w:t>
      </w:r>
      <w:r>
        <w:rPr>
          <w:spacing w:val="-17"/>
          <w:w w:val="120"/>
          <w:sz w:val="20"/>
        </w:rPr>
        <w:t> </w:t>
      </w:r>
      <w:r>
        <w:rPr>
          <w:i/>
          <w:w w:val="120"/>
          <w:sz w:val="20"/>
        </w:rPr>
        <w:t>News,</w:t>
      </w:r>
      <w:r>
        <w:rPr>
          <w:i/>
          <w:spacing w:val="-19"/>
          <w:w w:val="120"/>
          <w:sz w:val="20"/>
        </w:rPr>
        <w:t> </w:t>
      </w:r>
      <w:r>
        <w:rPr>
          <w:i/>
          <w:w w:val="120"/>
          <w:sz w:val="20"/>
        </w:rPr>
        <w:t>Comment,</w:t>
      </w:r>
      <w:r>
        <w:rPr>
          <w:i/>
          <w:spacing w:val="-19"/>
          <w:w w:val="120"/>
          <w:sz w:val="20"/>
        </w:rPr>
        <w:t> </w:t>
      </w:r>
      <w:r>
        <w:rPr>
          <w:i/>
          <w:w w:val="120"/>
          <w:sz w:val="20"/>
        </w:rPr>
        <w:t>Inspiration,</w:t>
      </w:r>
      <w:r>
        <w:rPr>
          <w:i/>
          <w:spacing w:val="-19"/>
          <w:w w:val="120"/>
          <w:sz w:val="20"/>
        </w:rPr>
        <w:t> </w:t>
      </w:r>
      <w:r>
        <w:rPr>
          <w:i/>
          <w:w w:val="120"/>
          <w:sz w:val="20"/>
        </w:rPr>
        <w:t>Debate</w:t>
      </w:r>
      <w:r>
        <w:rPr>
          <w:w w:val="120"/>
          <w:sz w:val="20"/>
        </w:rPr>
        <w:t>,</w:t>
      </w:r>
      <w:r>
        <w:rPr>
          <w:spacing w:val="-17"/>
          <w:w w:val="120"/>
          <w:sz w:val="20"/>
        </w:rPr>
        <w:t> </w:t>
      </w:r>
      <w:r>
        <w:rPr>
          <w:w w:val="120"/>
          <w:sz w:val="20"/>
        </w:rPr>
        <w:t>continues</w:t>
      </w:r>
      <w:r>
        <w:rPr>
          <w:spacing w:val="-17"/>
          <w:w w:val="120"/>
          <w:sz w:val="20"/>
        </w:rPr>
        <w:t> </w:t>
      </w:r>
      <w:r>
        <w:rPr>
          <w:w w:val="120"/>
          <w:sz w:val="20"/>
        </w:rPr>
        <w:t>to</w:t>
      </w:r>
      <w:r>
        <w:rPr>
          <w:spacing w:val="-17"/>
          <w:w w:val="120"/>
          <w:sz w:val="20"/>
        </w:rPr>
        <w:t> </w:t>
      </w:r>
      <w:r>
        <w:rPr>
          <w:w w:val="120"/>
          <w:sz w:val="20"/>
        </w:rPr>
        <w:t>sum</w:t>
      </w:r>
      <w:r>
        <w:rPr>
          <w:spacing w:val="-17"/>
          <w:w w:val="120"/>
          <w:sz w:val="20"/>
        </w:rPr>
        <w:t> </w:t>
      </w:r>
      <w:r>
        <w:rPr>
          <w:w w:val="120"/>
          <w:sz w:val="20"/>
        </w:rPr>
        <w:t>it</w:t>
      </w:r>
      <w:r>
        <w:rPr>
          <w:spacing w:val="-17"/>
          <w:w w:val="120"/>
          <w:sz w:val="20"/>
        </w:rPr>
        <w:t> </w:t>
      </w:r>
      <w:r>
        <w:rPr>
          <w:w w:val="120"/>
          <w:sz w:val="20"/>
        </w:rPr>
        <w:t>up</w:t>
      </w:r>
      <w:r>
        <w:rPr>
          <w:spacing w:val="-17"/>
          <w:w w:val="120"/>
          <w:sz w:val="20"/>
        </w:rPr>
        <w:t> </w:t>
      </w:r>
      <w:r>
        <w:rPr>
          <w:w w:val="120"/>
          <w:sz w:val="20"/>
        </w:rPr>
        <w:t>– this magazine truly does do with it says on the tin. Reform continues to be a magazine that the URC can be proud</w:t>
      </w:r>
      <w:r>
        <w:rPr>
          <w:spacing w:val="13"/>
          <w:w w:val="120"/>
          <w:sz w:val="20"/>
        </w:rPr>
        <w:t> </w:t>
      </w:r>
      <w:r>
        <w:rPr>
          <w:w w:val="120"/>
          <w:sz w:val="20"/>
        </w:rPr>
        <w:t>of.</w:t>
      </w:r>
    </w:p>
    <w:p>
      <w:pPr>
        <w:pStyle w:val="Heading4"/>
        <w:numPr>
          <w:ilvl w:val="1"/>
          <w:numId w:val="88"/>
        </w:numPr>
        <w:tabs>
          <w:tab w:pos="2665" w:val="left" w:leader="none"/>
        </w:tabs>
        <w:spacing w:line="240" w:lineRule="auto" w:before="215" w:after="0"/>
        <w:ind w:left="2664" w:right="0" w:hanging="681"/>
        <w:jc w:val="both"/>
      </w:pPr>
      <w:r>
        <w:rPr>
          <w:spacing w:val="3"/>
          <w:w w:val="110"/>
        </w:rPr>
        <w:t>Publications</w:t>
      </w:r>
    </w:p>
    <w:p>
      <w:pPr>
        <w:pStyle w:val="ListParagraph"/>
        <w:numPr>
          <w:ilvl w:val="2"/>
          <w:numId w:val="88"/>
        </w:numPr>
        <w:tabs>
          <w:tab w:pos="2664" w:val="left" w:leader="none"/>
          <w:tab w:pos="2665" w:val="left" w:leader="none"/>
        </w:tabs>
        <w:spacing w:line="235" w:lineRule="auto" w:before="69" w:after="0"/>
        <w:ind w:left="1984" w:right="1420" w:firstLine="0"/>
        <w:jc w:val="left"/>
        <w:rPr>
          <w:sz w:val="20"/>
        </w:rPr>
      </w:pPr>
      <w:r>
        <w:rPr>
          <w:w w:val="120"/>
          <w:sz w:val="20"/>
        </w:rPr>
        <w:t>Publications covers both the publishing of a small number of titles, and the selling of books and merchandise. The prayer handbook continues to sell well, as does the Yearbook. </w:t>
      </w:r>
      <w:r>
        <w:rPr>
          <w:i/>
          <w:w w:val="120"/>
          <w:sz w:val="20"/>
        </w:rPr>
        <w:t>Surprised by Grace </w:t>
      </w:r>
      <w:r>
        <w:rPr>
          <w:w w:val="120"/>
          <w:sz w:val="20"/>
        </w:rPr>
        <w:t>by Susan Durber, published at the end of </w:t>
      </w:r>
      <w:r>
        <w:rPr>
          <w:spacing w:val="-7"/>
          <w:w w:val="120"/>
          <w:sz w:val="20"/>
        </w:rPr>
        <w:t>2013, </w:t>
      </w:r>
      <w:r>
        <w:rPr>
          <w:w w:val="120"/>
          <w:sz w:val="20"/>
        </w:rPr>
        <w:t>has been</w:t>
      </w:r>
      <w:r>
        <w:rPr>
          <w:spacing w:val="-11"/>
          <w:w w:val="120"/>
          <w:sz w:val="20"/>
        </w:rPr>
        <w:t> </w:t>
      </w:r>
      <w:r>
        <w:rPr>
          <w:w w:val="120"/>
          <w:sz w:val="20"/>
        </w:rPr>
        <w:t>a</w:t>
      </w:r>
      <w:r>
        <w:rPr>
          <w:spacing w:val="-10"/>
          <w:w w:val="120"/>
          <w:sz w:val="20"/>
        </w:rPr>
        <w:t> </w:t>
      </w:r>
      <w:r>
        <w:rPr>
          <w:w w:val="120"/>
          <w:sz w:val="20"/>
        </w:rPr>
        <w:t>success,</w:t>
      </w:r>
      <w:r>
        <w:rPr>
          <w:spacing w:val="-10"/>
          <w:w w:val="120"/>
          <w:sz w:val="20"/>
        </w:rPr>
        <w:t> </w:t>
      </w:r>
      <w:r>
        <w:rPr>
          <w:w w:val="120"/>
          <w:sz w:val="20"/>
        </w:rPr>
        <w:t>as</w:t>
      </w:r>
      <w:r>
        <w:rPr>
          <w:spacing w:val="-10"/>
          <w:w w:val="120"/>
          <w:sz w:val="20"/>
        </w:rPr>
        <w:t> </w:t>
      </w:r>
      <w:r>
        <w:rPr>
          <w:w w:val="120"/>
          <w:sz w:val="20"/>
        </w:rPr>
        <w:t>has</w:t>
      </w:r>
      <w:r>
        <w:rPr>
          <w:spacing w:val="-10"/>
          <w:w w:val="120"/>
          <w:sz w:val="20"/>
        </w:rPr>
        <w:t> </w:t>
      </w:r>
      <w:r>
        <w:rPr>
          <w:w w:val="120"/>
          <w:sz w:val="20"/>
        </w:rPr>
        <w:t>David</w:t>
      </w:r>
      <w:r>
        <w:rPr>
          <w:spacing w:val="-11"/>
          <w:w w:val="120"/>
          <w:sz w:val="20"/>
        </w:rPr>
        <w:t> </w:t>
      </w:r>
      <w:r>
        <w:rPr>
          <w:spacing w:val="-3"/>
          <w:w w:val="120"/>
          <w:sz w:val="20"/>
        </w:rPr>
        <w:t>Peel’s</w:t>
      </w:r>
      <w:r>
        <w:rPr>
          <w:spacing w:val="-10"/>
          <w:w w:val="120"/>
          <w:sz w:val="20"/>
        </w:rPr>
        <w:t> </w:t>
      </w:r>
      <w:r>
        <w:rPr>
          <w:w w:val="120"/>
          <w:sz w:val="20"/>
        </w:rPr>
        <w:t>print-on-demand</w:t>
      </w:r>
      <w:r>
        <w:rPr>
          <w:spacing w:val="-10"/>
          <w:w w:val="120"/>
          <w:sz w:val="20"/>
        </w:rPr>
        <w:t> </w:t>
      </w:r>
      <w:r>
        <w:rPr>
          <w:w w:val="120"/>
          <w:sz w:val="20"/>
        </w:rPr>
        <w:t>title,</w:t>
      </w:r>
      <w:r>
        <w:rPr>
          <w:spacing w:val="-10"/>
          <w:w w:val="120"/>
          <w:sz w:val="20"/>
        </w:rPr>
        <w:t> </w:t>
      </w:r>
      <w:r>
        <w:rPr>
          <w:i/>
          <w:w w:val="120"/>
          <w:sz w:val="20"/>
        </w:rPr>
        <w:t>The</w:t>
      </w:r>
      <w:r>
        <w:rPr>
          <w:i/>
          <w:spacing w:val="-13"/>
          <w:w w:val="120"/>
          <w:sz w:val="20"/>
        </w:rPr>
        <w:t> </w:t>
      </w:r>
      <w:r>
        <w:rPr>
          <w:i/>
          <w:w w:val="120"/>
          <w:sz w:val="20"/>
        </w:rPr>
        <w:t>Story</w:t>
      </w:r>
      <w:r>
        <w:rPr>
          <w:i/>
          <w:spacing w:val="-12"/>
          <w:w w:val="120"/>
          <w:sz w:val="20"/>
        </w:rPr>
        <w:t> </w:t>
      </w:r>
      <w:r>
        <w:rPr>
          <w:i/>
          <w:w w:val="120"/>
          <w:sz w:val="20"/>
        </w:rPr>
        <w:t>of</w:t>
      </w:r>
      <w:r>
        <w:rPr>
          <w:i/>
          <w:spacing w:val="-13"/>
          <w:w w:val="120"/>
          <w:sz w:val="20"/>
        </w:rPr>
        <w:t> </w:t>
      </w:r>
      <w:r>
        <w:rPr>
          <w:i/>
          <w:w w:val="120"/>
          <w:sz w:val="20"/>
        </w:rPr>
        <w:t>the</w:t>
      </w:r>
      <w:r>
        <w:rPr>
          <w:i/>
          <w:spacing w:val="-12"/>
          <w:w w:val="120"/>
          <w:sz w:val="20"/>
        </w:rPr>
        <w:t> </w:t>
      </w:r>
      <w:r>
        <w:rPr>
          <w:i/>
          <w:w w:val="120"/>
          <w:sz w:val="20"/>
        </w:rPr>
        <w:t>Moderators</w:t>
      </w:r>
      <w:r>
        <w:rPr>
          <w:w w:val="120"/>
          <w:sz w:val="20"/>
        </w:rPr>
        <w:t>.</w:t>
      </w:r>
    </w:p>
    <w:p>
      <w:pPr>
        <w:pStyle w:val="BodyText"/>
        <w:spacing w:before="11"/>
        <w:rPr>
          <w:sz w:val="19"/>
        </w:rPr>
      </w:pPr>
    </w:p>
    <w:p>
      <w:pPr>
        <w:pStyle w:val="ListParagraph"/>
        <w:numPr>
          <w:ilvl w:val="2"/>
          <w:numId w:val="88"/>
        </w:numPr>
        <w:tabs>
          <w:tab w:pos="2664" w:val="left" w:leader="none"/>
          <w:tab w:pos="2665" w:val="left" w:leader="none"/>
        </w:tabs>
        <w:spacing w:line="235" w:lineRule="auto" w:before="0" w:after="0"/>
        <w:ind w:left="1984" w:right="1474" w:firstLine="0"/>
        <w:jc w:val="left"/>
        <w:rPr>
          <w:sz w:val="20"/>
        </w:rPr>
      </w:pPr>
      <w:r>
        <w:rPr>
          <w:w w:val="120"/>
          <w:sz w:val="20"/>
        </w:rPr>
        <w:t>Elizabeth Quinn, publications assistant, has been in post since December </w:t>
      </w:r>
      <w:r>
        <w:rPr>
          <w:spacing w:val="-7"/>
          <w:w w:val="120"/>
          <w:sz w:val="20"/>
        </w:rPr>
        <w:t>2012, </w:t>
      </w:r>
      <w:r>
        <w:rPr>
          <w:w w:val="120"/>
          <w:sz w:val="20"/>
        </w:rPr>
        <w:t>and has impressed with her commitment to high levels of customer service, interest  in developing URC publications and grasp of the processes needed to streamline the purchasing</w:t>
      </w:r>
      <w:r>
        <w:rPr>
          <w:spacing w:val="2"/>
          <w:w w:val="120"/>
          <w:sz w:val="20"/>
        </w:rPr>
        <w:t> </w:t>
      </w:r>
      <w:r>
        <w:rPr>
          <w:w w:val="120"/>
          <w:sz w:val="20"/>
        </w:rPr>
        <w:t>process.</w:t>
      </w:r>
    </w:p>
    <w:p>
      <w:pPr>
        <w:pStyle w:val="BodyText"/>
        <w:spacing w:before="11"/>
        <w:rPr>
          <w:sz w:val="19"/>
        </w:rPr>
      </w:pPr>
    </w:p>
    <w:p>
      <w:pPr>
        <w:pStyle w:val="ListParagraph"/>
        <w:numPr>
          <w:ilvl w:val="2"/>
          <w:numId w:val="88"/>
        </w:numPr>
        <w:tabs>
          <w:tab w:pos="2664" w:val="left" w:leader="none"/>
          <w:tab w:pos="2665" w:val="left" w:leader="none"/>
        </w:tabs>
        <w:spacing w:line="235" w:lineRule="auto" w:before="0" w:after="0"/>
        <w:ind w:left="1984" w:right="1256" w:firstLine="0"/>
        <w:jc w:val="left"/>
        <w:rPr>
          <w:sz w:val="20"/>
        </w:rPr>
      </w:pPr>
      <w:r>
        <w:rPr>
          <w:w w:val="120"/>
          <w:sz w:val="20"/>
        </w:rPr>
        <w:t>In October </w:t>
      </w:r>
      <w:r>
        <w:rPr>
          <w:spacing w:val="-7"/>
          <w:w w:val="120"/>
          <w:sz w:val="20"/>
        </w:rPr>
        <w:t>2013,  </w:t>
      </w:r>
      <w:r>
        <w:rPr>
          <w:w w:val="120"/>
          <w:sz w:val="20"/>
        </w:rPr>
        <w:t>the committee reversed an earlier decision to cease publishing  a hard copy of the Yearbook and move to online provision </w:t>
      </w:r>
      <w:r>
        <w:rPr>
          <w:spacing w:val="-3"/>
          <w:w w:val="120"/>
          <w:sz w:val="20"/>
        </w:rPr>
        <w:t>only. </w:t>
      </w:r>
      <w:r>
        <w:rPr>
          <w:w w:val="120"/>
          <w:sz w:val="20"/>
        </w:rPr>
        <w:t>The committee has now committed to a printed Yearbook for </w:t>
      </w:r>
      <w:r>
        <w:rPr>
          <w:spacing w:val="-7"/>
          <w:w w:val="120"/>
          <w:sz w:val="20"/>
        </w:rPr>
        <w:t>2014 </w:t>
      </w:r>
      <w:r>
        <w:rPr>
          <w:w w:val="120"/>
          <w:sz w:val="20"/>
        </w:rPr>
        <w:t>(delivered by Easter </w:t>
      </w:r>
      <w:r>
        <w:rPr>
          <w:spacing w:val="-8"/>
          <w:w w:val="120"/>
          <w:sz w:val="20"/>
        </w:rPr>
        <w:t>2014) </w:t>
      </w:r>
      <w:r>
        <w:rPr>
          <w:w w:val="120"/>
          <w:sz w:val="20"/>
        </w:rPr>
        <w:t>and </w:t>
      </w:r>
      <w:r>
        <w:rPr>
          <w:spacing w:val="-7"/>
          <w:w w:val="120"/>
          <w:sz w:val="20"/>
        </w:rPr>
        <w:t>2015 </w:t>
      </w:r>
      <w:r>
        <w:rPr>
          <w:spacing w:val="-6"/>
          <w:w w:val="120"/>
          <w:sz w:val="20"/>
        </w:rPr>
        <w:t>(to </w:t>
      </w:r>
      <w:r>
        <w:rPr>
          <w:w w:val="120"/>
          <w:sz w:val="20"/>
        </w:rPr>
        <w:t>be delivered in January </w:t>
      </w:r>
      <w:r>
        <w:rPr>
          <w:spacing w:val="-7"/>
          <w:w w:val="120"/>
          <w:sz w:val="20"/>
        </w:rPr>
        <w:t>2015).  </w:t>
      </w:r>
      <w:r>
        <w:rPr>
          <w:w w:val="120"/>
          <w:sz w:val="20"/>
        </w:rPr>
        <w:t>A full denomination-wide consultation will take place and   be reported to Mission Council no later than May </w:t>
      </w:r>
      <w:r>
        <w:rPr>
          <w:spacing w:val="-7"/>
          <w:w w:val="120"/>
          <w:sz w:val="20"/>
        </w:rPr>
        <w:t>2015. </w:t>
      </w:r>
      <w:r>
        <w:rPr>
          <w:w w:val="120"/>
          <w:sz w:val="20"/>
        </w:rPr>
        <w:t>Mission Council will make the decision as to whether we continue with a printed Yearbook for </w:t>
      </w:r>
      <w:r>
        <w:rPr>
          <w:spacing w:val="-7"/>
          <w:w w:val="120"/>
          <w:sz w:val="20"/>
        </w:rPr>
        <w:t>2016 </w:t>
      </w:r>
      <w:r>
        <w:rPr>
          <w:w w:val="120"/>
          <w:sz w:val="20"/>
        </w:rPr>
        <w:t>and</w:t>
      </w:r>
      <w:r>
        <w:rPr>
          <w:spacing w:val="7"/>
          <w:w w:val="120"/>
          <w:sz w:val="20"/>
        </w:rPr>
        <w:t> </w:t>
      </w:r>
      <w:r>
        <w:rPr>
          <w:w w:val="120"/>
          <w:sz w:val="20"/>
        </w:rPr>
        <w:t>beyond.</w:t>
      </w:r>
    </w:p>
    <w:p>
      <w:pPr>
        <w:pStyle w:val="BodyText"/>
        <w:spacing w:before="9"/>
        <w:rPr>
          <w:sz w:val="17"/>
        </w:rPr>
      </w:pPr>
    </w:p>
    <w:p>
      <w:pPr>
        <w:pStyle w:val="Heading4"/>
        <w:numPr>
          <w:ilvl w:val="1"/>
          <w:numId w:val="88"/>
        </w:numPr>
        <w:tabs>
          <w:tab w:pos="2665" w:val="left" w:leader="none"/>
        </w:tabs>
        <w:spacing w:line="240" w:lineRule="auto" w:before="0" w:after="0"/>
        <w:ind w:left="2664" w:right="0" w:hanging="681"/>
        <w:jc w:val="both"/>
      </w:pPr>
      <w:r>
        <w:rPr>
          <w:spacing w:val="3"/>
          <w:w w:val="110"/>
        </w:rPr>
        <w:t>Despatch and </w:t>
      </w:r>
      <w:r>
        <w:rPr>
          <w:spacing w:val="2"/>
          <w:w w:val="110"/>
        </w:rPr>
        <w:t>the</w:t>
      </w:r>
      <w:r>
        <w:rPr>
          <w:spacing w:val="32"/>
          <w:w w:val="110"/>
        </w:rPr>
        <w:t> </w:t>
      </w:r>
      <w:r>
        <w:rPr>
          <w:spacing w:val="3"/>
          <w:w w:val="110"/>
        </w:rPr>
        <w:t>database</w:t>
      </w:r>
    </w:p>
    <w:p>
      <w:pPr>
        <w:pStyle w:val="BodyText"/>
        <w:spacing w:line="235" w:lineRule="auto" w:before="69"/>
        <w:ind w:left="1984" w:right="1701"/>
      </w:pPr>
      <w:r>
        <w:rPr>
          <w:w w:val="120"/>
        </w:rPr>
        <w:t>The work of the communications department also includes the maintenance of the central information database (currently under </w:t>
      </w:r>
      <w:r>
        <w:rPr>
          <w:spacing w:val="-3"/>
          <w:w w:val="120"/>
        </w:rPr>
        <w:t>review), </w:t>
      </w:r>
      <w:r>
        <w:rPr>
          <w:w w:val="120"/>
        </w:rPr>
        <w:t>the despatch office, advising on</w:t>
      </w:r>
      <w:r>
        <w:rPr>
          <w:spacing w:val="7"/>
          <w:w w:val="120"/>
        </w:rPr>
        <w:t> </w:t>
      </w:r>
      <w:r>
        <w:rPr>
          <w:w w:val="120"/>
        </w:rPr>
        <w:t>copyright</w:t>
      </w:r>
      <w:r>
        <w:rPr>
          <w:spacing w:val="8"/>
          <w:w w:val="120"/>
        </w:rPr>
        <w:t> </w:t>
      </w:r>
      <w:r>
        <w:rPr>
          <w:w w:val="120"/>
        </w:rPr>
        <w:t>issues,</w:t>
      </w:r>
      <w:r>
        <w:rPr>
          <w:spacing w:val="8"/>
          <w:w w:val="120"/>
        </w:rPr>
        <w:t> </w:t>
      </w:r>
      <w:r>
        <w:rPr>
          <w:w w:val="120"/>
        </w:rPr>
        <w:t>providing</w:t>
      </w:r>
      <w:r>
        <w:rPr>
          <w:spacing w:val="7"/>
          <w:w w:val="120"/>
        </w:rPr>
        <w:t> </w:t>
      </w:r>
      <w:r>
        <w:rPr>
          <w:w w:val="120"/>
        </w:rPr>
        <w:t>technical</w:t>
      </w:r>
      <w:r>
        <w:rPr>
          <w:spacing w:val="8"/>
          <w:w w:val="120"/>
        </w:rPr>
        <w:t> </w:t>
      </w:r>
      <w:r>
        <w:rPr>
          <w:w w:val="120"/>
        </w:rPr>
        <w:t>support</w:t>
      </w:r>
      <w:r>
        <w:rPr>
          <w:spacing w:val="8"/>
          <w:w w:val="120"/>
        </w:rPr>
        <w:t> </w:t>
      </w:r>
      <w:r>
        <w:rPr>
          <w:w w:val="120"/>
        </w:rPr>
        <w:t>and</w:t>
      </w:r>
      <w:r>
        <w:rPr>
          <w:spacing w:val="8"/>
          <w:w w:val="120"/>
        </w:rPr>
        <w:t> </w:t>
      </w:r>
      <w:r>
        <w:rPr>
          <w:w w:val="120"/>
        </w:rPr>
        <w:t>a</w:t>
      </w:r>
      <w:r>
        <w:rPr>
          <w:spacing w:val="7"/>
          <w:w w:val="120"/>
        </w:rPr>
        <w:t> </w:t>
      </w:r>
      <w:r>
        <w:rPr>
          <w:w w:val="120"/>
        </w:rPr>
        <w:t>media</w:t>
      </w:r>
      <w:r>
        <w:rPr>
          <w:spacing w:val="8"/>
          <w:w w:val="120"/>
        </w:rPr>
        <w:t> </w:t>
      </w:r>
      <w:r>
        <w:rPr>
          <w:w w:val="120"/>
        </w:rPr>
        <w:t>desk</w:t>
      </w:r>
      <w:r>
        <w:rPr>
          <w:spacing w:val="8"/>
          <w:w w:val="120"/>
        </w:rPr>
        <w:t> </w:t>
      </w:r>
      <w:r>
        <w:rPr>
          <w:w w:val="120"/>
        </w:rPr>
        <w:t>at</w:t>
      </w:r>
      <w:r>
        <w:rPr>
          <w:spacing w:val="7"/>
          <w:w w:val="120"/>
        </w:rPr>
        <w:t> </w:t>
      </w:r>
      <w:r>
        <w:rPr>
          <w:w w:val="120"/>
        </w:rPr>
        <w:t>meetings</w:t>
      </w:r>
      <w:r>
        <w:rPr>
          <w:spacing w:val="8"/>
          <w:w w:val="120"/>
        </w:rPr>
        <w:t> </w:t>
      </w:r>
      <w:r>
        <w:rPr>
          <w:w w:val="120"/>
        </w:rPr>
        <w:t>of</w:t>
      </w:r>
    </w:p>
    <w:p>
      <w:pPr>
        <w:pStyle w:val="BodyText"/>
        <w:spacing w:line="235" w:lineRule="auto" w:before="2"/>
        <w:ind w:left="1984" w:right="1352"/>
      </w:pPr>
      <w:r>
        <w:rPr>
          <w:w w:val="120"/>
        </w:rPr>
        <w:t>Mission Council, and undertaking all communications aspects of General Assembly. The committee thanks those who work in these vital and often unseen roles. Special thanks must go to </w:t>
      </w:r>
      <w:r>
        <w:rPr>
          <w:spacing w:val="2"/>
          <w:w w:val="120"/>
        </w:rPr>
        <w:t>Robert </w:t>
      </w:r>
      <w:r>
        <w:rPr>
          <w:spacing w:val="-3"/>
          <w:w w:val="120"/>
        </w:rPr>
        <w:t>Wadey, </w:t>
      </w:r>
      <w:r>
        <w:rPr>
          <w:w w:val="120"/>
        </w:rPr>
        <w:t>despatch clerk, who retired in December </w:t>
      </w:r>
      <w:r>
        <w:rPr>
          <w:spacing w:val="-8"/>
          <w:w w:val="120"/>
        </w:rPr>
        <w:t>2013</w:t>
      </w:r>
      <w:r>
        <w:rPr>
          <w:spacing w:val="13"/>
          <w:w w:val="120"/>
        </w:rPr>
        <w:t> </w:t>
      </w:r>
      <w:r>
        <w:rPr>
          <w:w w:val="120"/>
        </w:rPr>
        <w:t>after </w:t>
      </w:r>
      <w:r>
        <w:rPr>
          <w:spacing w:val="-12"/>
          <w:w w:val="120"/>
        </w:rPr>
        <w:t>17</w:t>
      </w:r>
    </w:p>
    <w:p>
      <w:pPr>
        <w:pStyle w:val="BodyText"/>
        <w:spacing w:line="235" w:lineRule="auto" w:before="2"/>
        <w:ind w:left="1984" w:right="1467"/>
      </w:pPr>
      <w:r>
        <w:rPr>
          <w:w w:val="120"/>
        </w:rPr>
        <w:t>years at Church House. </w:t>
      </w:r>
      <w:r>
        <w:rPr>
          <w:spacing w:val="2"/>
          <w:w w:val="120"/>
        </w:rPr>
        <w:t>Robert </w:t>
      </w:r>
      <w:r>
        <w:rPr>
          <w:w w:val="120"/>
        </w:rPr>
        <w:t>handled all tasks with calm patience and good humour, including the challenge of getting 4,500 copies of the </w:t>
      </w:r>
      <w:r>
        <w:rPr>
          <w:spacing w:val="-7"/>
          <w:w w:val="120"/>
        </w:rPr>
        <w:t>2014 </w:t>
      </w:r>
      <w:r>
        <w:rPr>
          <w:w w:val="120"/>
        </w:rPr>
        <w:t>prayer handbook mailed  out in his final two weeks in</w:t>
      </w:r>
      <w:r>
        <w:rPr>
          <w:spacing w:val="13"/>
          <w:w w:val="120"/>
        </w:rPr>
        <w:t> </w:t>
      </w:r>
      <w:r>
        <w:rPr>
          <w:w w:val="120"/>
        </w:rPr>
        <w:t>post.</w:t>
      </w:r>
    </w:p>
    <w:p>
      <w:pPr>
        <w:spacing w:after="0" w:line="235" w:lineRule="auto"/>
        <w:sectPr>
          <w:headerReference w:type="default" r:id="rId371"/>
          <w:pgSz w:w="11910" w:h="16840"/>
          <w:pgMar w:header="0" w:footer="647" w:top="0" w:bottom="840" w:left="0" w:right="0"/>
        </w:sectPr>
      </w:pPr>
    </w:p>
    <w:p>
      <w:pPr>
        <w:pStyle w:val="BodyText"/>
      </w:pPr>
      <w:r>
        <w:rPr/>
        <w:drawing>
          <wp:anchor distT="0" distB="0" distL="0" distR="0" allowOverlap="1" layoutInCell="1" locked="0" behindDoc="0" simplePos="0" relativeHeight="252073984">
            <wp:simplePos x="0" y="0"/>
            <wp:positionH relativeFrom="page">
              <wp:posOffset>0</wp:posOffset>
            </wp:positionH>
            <wp:positionV relativeFrom="page">
              <wp:posOffset>0</wp:posOffset>
            </wp:positionV>
            <wp:extent cx="594067" cy="10692003"/>
            <wp:effectExtent l="0" t="0" r="0" b="0"/>
            <wp:wrapNone/>
            <wp:docPr id="297" name="image32.png"/>
            <wp:cNvGraphicFramePr>
              <a:graphicFrameLocks noChangeAspect="1"/>
            </wp:cNvGraphicFramePr>
            <a:graphic>
              <a:graphicData uri="http://schemas.openxmlformats.org/drawingml/2006/picture">
                <pic:pic>
                  <pic:nvPicPr>
                    <pic:cNvPr id="298" name="image32.png"/>
                    <pic:cNvPicPr/>
                  </pic:nvPicPr>
                  <pic:blipFill>
                    <a:blip r:embed="rId362" cstate="print"/>
                    <a:stretch>
                      <a:fillRect/>
                    </a:stretch>
                  </pic:blipFill>
                  <pic:spPr>
                    <a:xfrm>
                      <a:off x="0" y="0"/>
                      <a:ext cx="594067" cy="10692003"/>
                    </a:xfrm>
                    <a:prstGeom prst="rect">
                      <a:avLst/>
                    </a:prstGeom>
                  </pic:spPr>
                </pic:pic>
              </a:graphicData>
            </a:graphic>
          </wp:anchor>
        </w:drawing>
      </w:r>
    </w:p>
    <w:p>
      <w:pPr>
        <w:pStyle w:val="BodyText"/>
      </w:pPr>
    </w:p>
    <w:p>
      <w:pPr>
        <w:pStyle w:val="BodyText"/>
      </w:pPr>
    </w:p>
    <w:p>
      <w:pPr>
        <w:pStyle w:val="BodyText"/>
        <w:spacing w:before="5"/>
        <w:rPr>
          <w:sz w:val="28"/>
        </w:rPr>
      </w:pPr>
    </w:p>
    <w:p>
      <w:pPr>
        <w:pStyle w:val="Heading2"/>
        <w:spacing w:line="213" w:lineRule="auto"/>
        <w:ind w:right="2004"/>
        <w:rPr>
          <w:b/>
        </w:rPr>
      </w:pPr>
      <w:r>
        <w:rPr/>
        <w:pict>
          <v:shape style="position:absolute;margin-left:20.519100pt;margin-top:-5.989334pt;width:25.9pt;height:237.55pt;mso-position-horizontal-relative:page;mso-position-vertical-relative:paragraph;z-index:252075008" type="#_x0000_t202" filled="false" stroked="false">
            <v:textbox inset="0,0,0,0" style="layout-flow:vertical">
              <w:txbxContent>
                <w:p>
                  <w:pPr>
                    <w:spacing w:before="27"/>
                    <w:ind w:left="20" w:right="0" w:firstLine="0"/>
                    <w:jc w:val="left"/>
                    <w:rPr>
                      <w:sz w:val="39"/>
                    </w:rPr>
                  </w:pPr>
                  <w:r>
                    <w:rPr>
                      <w:color w:val="FFFFFF"/>
                      <w:w w:val="120"/>
                      <w:sz w:val="39"/>
                    </w:rPr>
                    <w:t>Education and learning</w:t>
                  </w:r>
                </w:p>
              </w:txbxContent>
            </v:textbox>
            <w10:wrap type="none"/>
          </v:shape>
        </w:pict>
      </w:r>
      <w:bookmarkStart w:name="_bookmark29" w:id="33"/>
      <w:bookmarkEnd w:id="33"/>
      <w:r>
        <w:rPr>
          <w:b w:val="0"/>
        </w:rPr>
      </w:r>
      <w:r>
        <w:rPr>
          <w:b/>
          <w:w w:val="110"/>
        </w:rPr>
        <w:t>Education and learning committee</w:t>
      </w:r>
    </w:p>
    <w:p>
      <w:pPr>
        <w:spacing w:line="261" w:lineRule="auto" w:before="157"/>
        <w:ind w:left="1247" w:right="2280" w:firstLine="0"/>
        <w:jc w:val="left"/>
        <w:rPr>
          <w:sz w:val="18"/>
        </w:rPr>
      </w:pPr>
      <w:r>
        <w:rPr>
          <w:color w:val="87888A"/>
          <w:w w:val="120"/>
          <w:sz w:val="18"/>
        </w:rPr>
        <w:t>The education and learning committee maintains strategic oversight of adult learning in the United Reformed Church by liaison with other Assembly committees and synods; supporting four resource centres for learning (RCLs); providing the Training for Learning and Serving (TLS)</w:t>
      </w:r>
    </w:p>
    <w:p>
      <w:pPr>
        <w:spacing w:line="261" w:lineRule="auto" w:before="2"/>
        <w:ind w:left="1247" w:right="2004" w:firstLine="0"/>
        <w:jc w:val="left"/>
        <w:rPr>
          <w:sz w:val="18"/>
        </w:rPr>
      </w:pPr>
      <w:r>
        <w:rPr>
          <w:color w:val="87888A"/>
          <w:w w:val="120"/>
          <w:sz w:val="18"/>
        </w:rPr>
        <w:t>range of courses; and maintaining positive relationships with ecumenical partners. The committee supports the initial and ongoing professional development of ministers of Word and sacraments, church related community workers, Assembly-accredited lay preachers, and other lay ministries including eldership.</w:t>
      </w:r>
    </w:p>
    <w:p>
      <w:pPr>
        <w:pStyle w:val="BodyText"/>
        <w:spacing w:before="10"/>
        <w:rPr>
          <w:sz w:val="19"/>
        </w:rPr>
      </w:pPr>
    </w:p>
    <w:p>
      <w:pPr>
        <w:spacing w:before="0"/>
        <w:ind w:left="1247" w:right="0" w:firstLine="0"/>
        <w:jc w:val="left"/>
        <w:rPr>
          <w:sz w:val="18"/>
        </w:rPr>
      </w:pPr>
      <w:r>
        <w:rPr>
          <w:color w:val="87888A"/>
          <w:w w:val="120"/>
          <w:sz w:val="18"/>
        </w:rPr>
        <w:t>Committee members:</w:t>
      </w:r>
    </w:p>
    <w:p>
      <w:pPr>
        <w:spacing w:line="261" w:lineRule="auto" w:before="20"/>
        <w:ind w:left="1247" w:right="8485" w:firstLine="0"/>
        <w:jc w:val="left"/>
        <w:rPr>
          <w:sz w:val="18"/>
        </w:rPr>
      </w:pPr>
      <w:r>
        <w:rPr>
          <w:color w:val="87888A"/>
          <w:w w:val="120"/>
          <w:sz w:val="18"/>
        </w:rPr>
        <w:t>Convener: John Smith Secretary: Fiona Thomas</w:t>
      </w:r>
    </w:p>
    <w:p>
      <w:pPr>
        <w:spacing w:line="261" w:lineRule="auto" w:before="1"/>
        <w:ind w:left="1247" w:right="2004" w:firstLine="0"/>
        <w:jc w:val="left"/>
        <w:rPr>
          <w:sz w:val="18"/>
        </w:rPr>
      </w:pPr>
      <w:r>
        <w:rPr>
          <w:color w:val="87888A"/>
          <w:w w:val="120"/>
          <w:sz w:val="18"/>
        </w:rPr>
        <w:t>Members: Celvon Binns, David Whiting (to 2013), Sue Matthews, Liz Bird, Mal Breeze, Irene John, David Salsbury</w:t>
      </w:r>
    </w:p>
    <w:p>
      <w:pPr>
        <w:spacing w:line="261" w:lineRule="auto" w:before="1"/>
        <w:ind w:left="1247" w:right="2004" w:firstLine="0"/>
        <w:jc w:val="left"/>
        <w:rPr>
          <w:sz w:val="18"/>
        </w:rPr>
      </w:pPr>
      <w:r>
        <w:rPr>
          <w:color w:val="87888A"/>
          <w:w w:val="120"/>
          <w:sz w:val="18"/>
        </w:rPr>
        <w:t>Co-opted members: Sheryl Anderson (Methodist Church), Jan Murphy (childrens and youth work representative), Zaidie Orr (education for ministry phase 1 student representative)</w:t>
      </w:r>
    </w:p>
    <w:p>
      <w:pPr>
        <w:pStyle w:val="BodyText"/>
        <w:rPr>
          <w:sz w:val="22"/>
        </w:rPr>
      </w:pPr>
    </w:p>
    <w:p>
      <w:pPr>
        <w:pStyle w:val="Heading4"/>
        <w:numPr>
          <w:ilvl w:val="0"/>
          <w:numId w:val="89"/>
        </w:numPr>
        <w:tabs>
          <w:tab w:pos="1927" w:val="left" w:leader="none"/>
          <w:tab w:pos="1928" w:val="left" w:leader="none"/>
        </w:tabs>
        <w:spacing w:line="240" w:lineRule="auto" w:before="170" w:after="0"/>
        <w:ind w:left="1927" w:right="0" w:hanging="681"/>
        <w:jc w:val="left"/>
      </w:pPr>
      <w:r>
        <w:rPr>
          <w:w w:val="110"/>
        </w:rPr>
        <w:t>A </w:t>
      </w:r>
      <w:r>
        <w:rPr>
          <w:spacing w:val="3"/>
          <w:w w:val="110"/>
        </w:rPr>
        <w:t>backward </w:t>
      </w:r>
      <w:r>
        <w:rPr>
          <w:spacing w:val="2"/>
          <w:w w:val="110"/>
        </w:rPr>
        <w:t>glance </w:t>
      </w:r>
      <w:r>
        <w:rPr>
          <w:w w:val="110"/>
        </w:rPr>
        <w:t>to</w:t>
      </w:r>
      <w:r>
        <w:rPr>
          <w:spacing w:val="45"/>
          <w:w w:val="110"/>
        </w:rPr>
        <w:t> </w:t>
      </w:r>
      <w:r>
        <w:rPr>
          <w:spacing w:val="-7"/>
          <w:w w:val="110"/>
        </w:rPr>
        <w:t>2012</w:t>
      </w:r>
    </w:p>
    <w:p>
      <w:pPr>
        <w:pStyle w:val="BodyText"/>
        <w:spacing w:line="235" w:lineRule="auto" w:before="69"/>
        <w:ind w:left="1247" w:right="2004"/>
      </w:pPr>
      <w:r>
        <w:rPr>
          <w:w w:val="120"/>
        </w:rPr>
        <w:t>The Committee predicted continued conversations on the role of ministers of Word and sacraments, the possible need for a wider range of authorised lay ministries, increased attention to intentional integration of effort between the four RCLs, TLS and relevant people in the synods, and tackling budget changes whilst ensuring that the educational principles established in 2005 were renewed and maintained in changing times.</w:t>
      </w:r>
    </w:p>
    <w:p>
      <w:pPr>
        <w:pStyle w:val="Heading4"/>
        <w:numPr>
          <w:ilvl w:val="0"/>
          <w:numId w:val="89"/>
        </w:numPr>
        <w:tabs>
          <w:tab w:pos="2018" w:val="left" w:leader="none"/>
          <w:tab w:pos="2019" w:val="left" w:leader="none"/>
        </w:tabs>
        <w:spacing w:line="240" w:lineRule="auto" w:before="216" w:after="0"/>
        <w:ind w:left="2018" w:right="0" w:hanging="772"/>
        <w:jc w:val="left"/>
      </w:pPr>
      <w:r>
        <w:rPr>
          <w:spacing w:val="2"/>
          <w:w w:val="110"/>
        </w:rPr>
        <w:t>Since</w:t>
      </w:r>
      <w:r>
        <w:rPr>
          <w:spacing w:val="12"/>
          <w:w w:val="110"/>
        </w:rPr>
        <w:t> </w:t>
      </w:r>
      <w:r>
        <w:rPr>
          <w:spacing w:val="-7"/>
          <w:w w:val="110"/>
        </w:rPr>
        <w:t>2012</w:t>
      </w:r>
    </w:p>
    <w:p>
      <w:pPr>
        <w:pStyle w:val="ListParagraph"/>
        <w:numPr>
          <w:ilvl w:val="1"/>
          <w:numId w:val="89"/>
        </w:numPr>
        <w:tabs>
          <w:tab w:pos="1927" w:val="left" w:leader="none"/>
          <w:tab w:pos="1928" w:val="left" w:leader="none"/>
        </w:tabs>
        <w:spacing w:line="242" w:lineRule="exact" w:before="65" w:after="0"/>
        <w:ind w:left="1927" w:right="0" w:hanging="681"/>
        <w:jc w:val="left"/>
        <w:rPr>
          <w:i/>
          <w:sz w:val="20"/>
        </w:rPr>
      </w:pPr>
      <w:r>
        <w:rPr>
          <w:i/>
          <w:w w:val="115"/>
          <w:sz w:val="20"/>
        </w:rPr>
        <w:t>The Learning Church. The Next</w:t>
      </w:r>
      <w:r>
        <w:rPr>
          <w:i/>
          <w:spacing w:val="4"/>
          <w:w w:val="115"/>
          <w:sz w:val="20"/>
        </w:rPr>
        <w:t> </w:t>
      </w:r>
      <w:r>
        <w:rPr>
          <w:i/>
          <w:w w:val="115"/>
          <w:sz w:val="20"/>
        </w:rPr>
        <w:t>Chapter</w:t>
      </w:r>
    </w:p>
    <w:p>
      <w:pPr>
        <w:pStyle w:val="ListParagraph"/>
        <w:numPr>
          <w:ilvl w:val="2"/>
          <w:numId w:val="89"/>
        </w:numPr>
        <w:tabs>
          <w:tab w:pos="1927" w:val="left" w:leader="none"/>
          <w:tab w:pos="1928" w:val="left" w:leader="none"/>
        </w:tabs>
        <w:spacing w:line="235" w:lineRule="auto" w:before="2" w:after="0"/>
        <w:ind w:left="1247" w:right="2490" w:firstLine="0"/>
        <w:jc w:val="left"/>
        <w:rPr>
          <w:sz w:val="20"/>
        </w:rPr>
      </w:pPr>
      <w:r>
        <w:rPr>
          <w:w w:val="120"/>
          <w:sz w:val="20"/>
        </w:rPr>
        <w:t>In September </w:t>
      </w:r>
      <w:r>
        <w:rPr>
          <w:spacing w:val="-7"/>
          <w:w w:val="120"/>
          <w:sz w:val="20"/>
        </w:rPr>
        <w:t>2012 </w:t>
      </w:r>
      <w:r>
        <w:rPr>
          <w:w w:val="120"/>
          <w:sz w:val="20"/>
        </w:rPr>
        <w:t>the committee instigated a process called </w:t>
      </w:r>
      <w:r>
        <w:rPr>
          <w:i/>
          <w:w w:val="120"/>
          <w:sz w:val="20"/>
        </w:rPr>
        <w:t>The Learning </w:t>
      </w:r>
      <w:r>
        <w:rPr>
          <w:i/>
          <w:w w:val="120"/>
          <w:sz w:val="20"/>
        </w:rPr>
        <w:t>Church. The Next Chapter by </w:t>
      </w:r>
      <w:r>
        <w:rPr>
          <w:w w:val="120"/>
          <w:sz w:val="20"/>
        </w:rPr>
        <w:t>commissioning a small group of people to assess the progress made towards realising the aspirations of the United Reformed Church training review of 2006. It was recognised that the tectonic plates of change which gave rise to that radical and wide-ranging review had continued to shift, creating new features on the landscape. The Committee has continued to explore ways of encouraging whole church</w:t>
      </w:r>
      <w:r>
        <w:rPr>
          <w:spacing w:val="9"/>
          <w:w w:val="120"/>
          <w:sz w:val="20"/>
        </w:rPr>
        <w:t> </w:t>
      </w:r>
      <w:r>
        <w:rPr>
          <w:w w:val="120"/>
          <w:sz w:val="20"/>
        </w:rPr>
        <w:t>learning.</w:t>
      </w:r>
    </w:p>
    <w:p>
      <w:pPr>
        <w:pStyle w:val="BodyText"/>
      </w:pPr>
    </w:p>
    <w:p>
      <w:pPr>
        <w:pStyle w:val="ListParagraph"/>
        <w:numPr>
          <w:ilvl w:val="2"/>
          <w:numId w:val="89"/>
        </w:numPr>
        <w:tabs>
          <w:tab w:pos="1927" w:val="left" w:leader="none"/>
          <w:tab w:pos="1928" w:val="left" w:leader="none"/>
        </w:tabs>
        <w:spacing w:line="235" w:lineRule="auto" w:before="1" w:after="0"/>
        <w:ind w:left="1247" w:right="2254" w:firstLine="0"/>
        <w:jc w:val="left"/>
        <w:rPr>
          <w:sz w:val="20"/>
        </w:rPr>
      </w:pPr>
      <w:r>
        <w:rPr>
          <w:i/>
          <w:w w:val="120"/>
          <w:sz w:val="20"/>
        </w:rPr>
        <w:t>The</w:t>
      </w:r>
      <w:r>
        <w:rPr>
          <w:i/>
          <w:spacing w:val="-14"/>
          <w:w w:val="120"/>
          <w:sz w:val="20"/>
        </w:rPr>
        <w:t> </w:t>
      </w:r>
      <w:r>
        <w:rPr>
          <w:i/>
          <w:w w:val="120"/>
          <w:sz w:val="20"/>
        </w:rPr>
        <w:t>Learning</w:t>
      </w:r>
      <w:r>
        <w:rPr>
          <w:i/>
          <w:spacing w:val="-13"/>
          <w:w w:val="120"/>
          <w:sz w:val="20"/>
        </w:rPr>
        <w:t> </w:t>
      </w:r>
      <w:r>
        <w:rPr>
          <w:i/>
          <w:w w:val="120"/>
          <w:sz w:val="20"/>
        </w:rPr>
        <w:t>Church.</w:t>
      </w:r>
      <w:r>
        <w:rPr>
          <w:i/>
          <w:spacing w:val="-13"/>
          <w:w w:val="120"/>
          <w:sz w:val="20"/>
        </w:rPr>
        <w:t> </w:t>
      </w:r>
      <w:r>
        <w:rPr>
          <w:i/>
          <w:w w:val="120"/>
          <w:sz w:val="20"/>
        </w:rPr>
        <w:t>The</w:t>
      </w:r>
      <w:r>
        <w:rPr>
          <w:i/>
          <w:spacing w:val="-14"/>
          <w:w w:val="120"/>
          <w:sz w:val="20"/>
        </w:rPr>
        <w:t> </w:t>
      </w:r>
      <w:r>
        <w:rPr>
          <w:i/>
          <w:w w:val="120"/>
          <w:sz w:val="20"/>
        </w:rPr>
        <w:t>Next</w:t>
      </w:r>
      <w:r>
        <w:rPr>
          <w:i/>
          <w:spacing w:val="-13"/>
          <w:w w:val="120"/>
          <w:sz w:val="20"/>
        </w:rPr>
        <w:t> </w:t>
      </w:r>
      <w:r>
        <w:rPr>
          <w:i/>
          <w:w w:val="120"/>
          <w:sz w:val="20"/>
        </w:rPr>
        <w:t>Chapter</w:t>
      </w:r>
      <w:r>
        <w:rPr>
          <w:i/>
          <w:spacing w:val="-11"/>
          <w:w w:val="120"/>
          <w:sz w:val="20"/>
        </w:rPr>
        <w:t> </w:t>
      </w:r>
      <w:r>
        <w:rPr>
          <w:w w:val="120"/>
          <w:sz w:val="20"/>
        </w:rPr>
        <w:t>task</w:t>
      </w:r>
      <w:r>
        <w:rPr>
          <w:spacing w:val="-11"/>
          <w:w w:val="120"/>
          <w:sz w:val="20"/>
        </w:rPr>
        <w:t> </w:t>
      </w:r>
      <w:r>
        <w:rPr>
          <w:w w:val="120"/>
          <w:sz w:val="20"/>
        </w:rPr>
        <w:t>group</w:t>
      </w:r>
      <w:r>
        <w:rPr>
          <w:spacing w:val="-11"/>
          <w:w w:val="120"/>
          <w:sz w:val="20"/>
        </w:rPr>
        <w:t> </w:t>
      </w:r>
      <w:r>
        <w:rPr>
          <w:w w:val="120"/>
          <w:sz w:val="20"/>
        </w:rPr>
        <w:t>completed</w:t>
      </w:r>
      <w:r>
        <w:rPr>
          <w:spacing w:val="-11"/>
          <w:w w:val="120"/>
          <w:sz w:val="20"/>
        </w:rPr>
        <w:t> </w:t>
      </w:r>
      <w:r>
        <w:rPr>
          <w:w w:val="120"/>
          <w:sz w:val="20"/>
        </w:rPr>
        <w:t>its</w:t>
      </w:r>
      <w:r>
        <w:rPr>
          <w:spacing w:val="-11"/>
          <w:w w:val="120"/>
          <w:sz w:val="20"/>
        </w:rPr>
        <w:t> </w:t>
      </w:r>
      <w:r>
        <w:rPr>
          <w:w w:val="120"/>
          <w:sz w:val="20"/>
        </w:rPr>
        <w:t>work</w:t>
      </w:r>
      <w:r>
        <w:rPr>
          <w:spacing w:val="-11"/>
          <w:w w:val="120"/>
          <w:sz w:val="20"/>
        </w:rPr>
        <w:t> </w:t>
      </w:r>
      <w:r>
        <w:rPr>
          <w:w w:val="120"/>
          <w:sz w:val="20"/>
        </w:rPr>
        <w:t>in</w:t>
      </w:r>
      <w:r>
        <w:rPr>
          <w:spacing w:val="-11"/>
          <w:w w:val="120"/>
          <w:sz w:val="20"/>
        </w:rPr>
        <w:t> </w:t>
      </w:r>
      <w:r>
        <w:rPr>
          <w:w w:val="120"/>
          <w:sz w:val="20"/>
        </w:rPr>
        <w:t>January </w:t>
      </w:r>
      <w:r>
        <w:rPr>
          <w:spacing w:val="-7"/>
          <w:w w:val="120"/>
          <w:sz w:val="20"/>
        </w:rPr>
        <w:t>2014, </w:t>
      </w:r>
      <w:r>
        <w:rPr>
          <w:w w:val="120"/>
          <w:sz w:val="20"/>
        </w:rPr>
        <w:t>submitting a number of recommendations for the committee’s consideration. Their </w:t>
      </w:r>
      <w:r>
        <w:rPr>
          <w:spacing w:val="2"/>
          <w:w w:val="120"/>
          <w:sz w:val="20"/>
        </w:rPr>
        <w:t>report </w:t>
      </w:r>
      <w:r>
        <w:rPr>
          <w:w w:val="120"/>
          <w:sz w:val="20"/>
        </w:rPr>
        <w:t>was positive about the variety and flexibility of learning opportunities offered through the United Reformed Church, whilst recognising that the 2006 intention for close collaboration between educational providers is yet to be fully achieved. Their work has helped to </w:t>
      </w:r>
      <w:r>
        <w:rPr>
          <w:spacing w:val="2"/>
          <w:w w:val="120"/>
          <w:sz w:val="20"/>
        </w:rPr>
        <w:t>start </w:t>
      </w:r>
      <w:r>
        <w:rPr>
          <w:w w:val="120"/>
          <w:sz w:val="20"/>
        </w:rPr>
        <w:t>a process which is engaging key people and institutions in active conversations about the shape of the learning church, and more will be heard about this at Mission Council meetings over the next fifteen</w:t>
      </w:r>
      <w:r>
        <w:rPr>
          <w:spacing w:val="37"/>
          <w:w w:val="120"/>
          <w:sz w:val="20"/>
        </w:rPr>
        <w:t> </w:t>
      </w:r>
      <w:r>
        <w:rPr>
          <w:w w:val="120"/>
          <w:sz w:val="20"/>
        </w:rPr>
        <w:t>months.</w:t>
      </w:r>
    </w:p>
    <w:p>
      <w:pPr>
        <w:pStyle w:val="BodyText"/>
        <w:spacing w:before="1"/>
      </w:pPr>
    </w:p>
    <w:p>
      <w:pPr>
        <w:pStyle w:val="ListParagraph"/>
        <w:numPr>
          <w:ilvl w:val="1"/>
          <w:numId w:val="89"/>
        </w:numPr>
        <w:tabs>
          <w:tab w:pos="1927" w:val="left" w:leader="none"/>
          <w:tab w:pos="1928" w:val="left" w:leader="none"/>
        </w:tabs>
        <w:spacing w:line="235" w:lineRule="auto" w:before="0" w:after="0"/>
        <w:ind w:left="1247" w:right="2269" w:firstLine="0"/>
        <w:jc w:val="left"/>
        <w:rPr>
          <w:sz w:val="20"/>
        </w:rPr>
      </w:pPr>
      <w:r>
        <w:rPr>
          <w:w w:val="120"/>
          <w:sz w:val="20"/>
        </w:rPr>
        <w:t>Detailed work is being done on reshaping student support during education  for ministry phase one </w:t>
      </w:r>
      <w:r>
        <w:rPr>
          <w:spacing w:val="-7"/>
          <w:w w:val="120"/>
          <w:sz w:val="20"/>
        </w:rPr>
        <w:t>(EM1), </w:t>
      </w:r>
      <w:r>
        <w:rPr>
          <w:w w:val="120"/>
          <w:sz w:val="20"/>
        </w:rPr>
        <w:t>recognising that the financial systems established at an earlier</w:t>
      </w:r>
      <w:r>
        <w:rPr>
          <w:spacing w:val="7"/>
          <w:w w:val="120"/>
          <w:sz w:val="20"/>
        </w:rPr>
        <w:t> </w:t>
      </w:r>
      <w:r>
        <w:rPr>
          <w:w w:val="120"/>
          <w:sz w:val="20"/>
        </w:rPr>
        <w:t>time</w:t>
      </w:r>
      <w:r>
        <w:rPr>
          <w:spacing w:val="8"/>
          <w:w w:val="120"/>
          <w:sz w:val="20"/>
        </w:rPr>
        <w:t> </w:t>
      </w:r>
      <w:r>
        <w:rPr>
          <w:w w:val="120"/>
          <w:sz w:val="20"/>
        </w:rPr>
        <w:t>needed</w:t>
      </w:r>
      <w:r>
        <w:rPr>
          <w:spacing w:val="7"/>
          <w:w w:val="120"/>
          <w:sz w:val="20"/>
        </w:rPr>
        <w:t> </w:t>
      </w:r>
      <w:r>
        <w:rPr>
          <w:w w:val="120"/>
          <w:sz w:val="20"/>
        </w:rPr>
        <w:t>to</w:t>
      </w:r>
      <w:r>
        <w:rPr>
          <w:spacing w:val="8"/>
          <w:w w:val="120"/>
          <w:sz w:val="20"/>
        </w:rPr>
        <w:t> </w:t>
      </w:r>
      <w:r>
        <w:rPr>
          <w:w w:val="120"/>
          <w:sz w:val="20"/>
        </w:rPr>
        <w:t>be</w:t>
      </w:r>
      <w:r>
        <w:rPr>
          <w:spacing w:val="7"/>
          <w:w w:val="120"/>
          <w:sz w:val="20"/>
        </w:rPr>
        <w:t> </w:t>
      </w:r>
      <w:r>
        <w:rPr>
          <w:w w:val="120"/>
          <w:sz w:val="20"/>
        </w:rPr>
        <w:t>updated.</w:t>
      </w:r>
      <w:r>
        <w:rPr>
          <w:spacing w:val="8"/>
          <w:w w:val="120"/>
          <w:sz w:val="20"/>
        </w:rPr>
        <w:t> </w:t>
      </w:r>
      <w:r>
        <w:rPr>
          <w:w w:val="120"/>
          <w:sz w:val="20"/>
        </w:rPr>
        <w:t>A</w:t>
      </w:r>
      <w:r>
        <w:rPr>
          <w:spacing w:val="8"/>
          <w:w w:val="120"/>
          <w:sz w:val="20"/>
        </w:rPr>
        <w:t> </w:t>
      </w:r>
      <w:r>
        <w:rPr>
          <w:w w:val="120"/>
          <w:sz w:val="20"/>
        </w:rPr>
        <w:t>resolution</w:t>
      </w:r>
      <w:r>
        <w:rPr>
          <w:spacing w:val="7"/>
          <w:w w:val="120"/>
          <w:sz w:val="20"/>
        </w:rPr>
        <w:t> </w:t>
      </w:r>
      <w:r>
        <w:rPr>
          <w:w w:val="120"/>
          <w:sz w:val="20"/>
        </w:rPr>
        <w:t>will</w:t>
      </w:r>
      <w:r>
        <w:rPr>
          <w:spacing w:val="8"/>
          <w:w w:val="120"/>
          <w:sz w:val="20"/>
        </w:rPr>
        <w:t> </w:t>
      </w:r>
      <w:r>
        <w:rPr>
          <w:w w:val="120"/>
          <w:sz w:val="20"/>
        </w:rPr>
        <w:t>be</w:t>
      </w:r>
      <w:r>
        <w:rPr>
          <w:spacing w:val="7"/>
          <w:w w:val="120"/>
          <w:sz w:val="20"/>
        </w:rPr>
        <w:t> </w:t>
      </w:r>
      <w:r>
        <w:rPr>
          <w:w w:val="120"/>
          <w:sz w:val="20"/>
        </w:rPr>
        <w:t>brought</w:t>
      </w:r>
      <w:r>
        <w:rPr>
          <w:spacing w:val="8"/>
          <w:w w:val="120"/>
          <w:sz w:val="20"/>
        </w:rPr>
        <w:t> </w:t>
      </w:r>
      <w:r>
        <w:rPr>
          <w:w w:val="120"/>
          <w:sz w:val="20"/>
        </w:rPr>
        <w:t>to</w:t>
      </w:r>
      <w:r>
        <w:rPr>
          <w:spacing w:val="7"/>
          <w:w w:val="120"/>
          <w:sz w:val="20"/>
        </w:rPr>
        <w:t> </w:t>
      </w:r>
      <w:r>
        <w:rPr>
          <w:w w:val="120"/>
          <w:sz w:val="20"/>
        </w:rPr>
        <w:t>General</w:t>
      </w:r>
      <w:r>
        <w:rPr>
          <w:spacing w:val="8"/>
          <w:w w:val="120"/>
          <w:sz w:val="20"/>
        </w:rPr>
        <w:t> </w:t>
      </w:r>
      <w:r>
        <w:rPr>
          <w:w w:val="120"/>
          <w:sz w:val="20"/>
        </w:rPr>
        <w:t>Assembly</w:t>
      </w:r>
    </w:p>
    <w:p>
      <w:pPr>
        <w:pStyle w:val="BodyText"/>
        <w:spacing w:line="235" w:lineRule="auto" w:before="3"/>
        <w:ind w:left="1247" w:right="2004"/>
      </w:pPr>
      <w:r>
        <w:rPr>
          <w:w w:val="120"/>
        </w:rPr>
        <w:t>2014 seeking to put in place a new system of means-tested bursary grants to be applied to new EM1 students starting in the academic year 2015/16. The intention is to provide stability in both student support and teaching capacity in the resource centres for learning. In the meantime the RCLs have operated with reduced budgets for two years, and have drawn on their reserves where possible, as a short-term measure.</w:t>
      </w:r>
    </w:p>
    <w:p>
      <w:pPr>
        <w:spacing w:after="0" w:line="235" w:lineRule="auto"/>
        <w:sectPr>
          <w:headerReference w:type="even" r:id="rId372"/>
          <w:footerReference w:type="even" r:id="rId373"/>
          <w:footerReference w:type="default" r:id="rId374"/>
          <w:pgSz w:w="11910" w:h="16840"/>
          <w:pgMar w:header="0" w:footer="647" w:top="0" w:bottom="840" w:left="0" w:right="0"/>
        </w:sectPr>
      </w:pPr>
    </w:p>
    <w:p>
      <w:pPr>
        <w:pStyle w:val="BodyText"/>
      </w:pPr>
      <w:r>
        <w:rPr/>
        <w:drawing>
          <wp:anchor distT="0" distB="0" distL="0" distR="0" allowOverlap="1" layoutInCell="1" locked="0" behindDoc="0" simplePos="0" relativeHeight="252076032">
            <wp:simplePos x="0" y="0"/>
            <wp:positionH relativeFrom="page">
              <wp:posOffset>6974928</wp:posOffset>
            </wp:positionH>
            <wp:positionV relativeFrom="page">
              <wp:posOffset>0</wp:posOffset>
            </wp:positionV>
            <wp:extent cx="585063" cy="10692003"/>
            <wp:effectExtent l="0" t="0" r="0" b="0"/>
            <wp:wrapNone/>
            <wp:docPr id="299" name="image30.png"/>
            <wp:cNvGraphicFramePr>
              <a:graphicFrameLocks noChangeAspect="1"/>
            </wp:cNvGraphicFramePr>
            <a:graphic>
              <a:graphicData uri="http://schemas.openxmlformats.org/drawingml/2006/picture">
                <pic:pic>
                  <pic:nvPicPr>
                    <pic:cNvPr id="300" name="image30.png"/>
                    <pic:cNvPicPr/>
                  </pic:nvPicPr>
                  <pic:blipFill>
                    <a:blip r:embed="rId357"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pStyle w:val="Heading5"/>
        <w:ind w:left="7814"/>
      </w:pPr>
      <w:r>
        <w:rPr/>
        <w:pict>
          <v:shape style="position:absolute;margin-left:554.141174pt;margin-top:22.593945pt;width:25.9pt;height:237.55pt;mso-position-horizontal-relative:page;mso-position-vertical-relative:paragraph;z-index:252077056" type="#_x0000_t202" filled="false" stroked="false">
            <v:textbox inset="0,0,0,0" style="layout-flow:vertical">
              <w:txbxContent>
                <w:p>
                  <w:pPr>
                    <w:spacing w:before="27"/>
                    <w:ind w:left="20" w:right="0" w:firstLine="0"/>
                    <w:jc w:val="left"/>
                    <w:rPr>
                      <w:sz w:val="39"/>
                    </w:rPr>
                  </w:pPr>
                  <w:r>
                    <w:rPr>
                      <w:color w:val="FFFFFF"/>
                      <w:w w:val="120"/>
                      <w:sz w:val="39"/>
                    </w:rPr>
                    <w:t>Education and learning</w:t>
                  </w:r>
                </w:p>
              </w:txbxContent>
            </v:textbox>
            <w10:wrap type="none"/>
          </v:shape>
        </w:pict>
      </w:r>
      <w:r>
        <w:rPr>
          <w:color w:val="7EAABF"/>
          <w:w w:val="115"/>
        </w:rPr>
        <w:t>Education and learning</w:t>
      </w:r>
    </w:p>
    <w:p>
      <w:pPr>
        <w:pStyle w:val="ListParagraph"/>
        <w:numPr>
          <w:ilvl w:val="1"/>
          <w:numId w:val="89"/>
        </w:numPr>
        <w:tabs>
          <w:tab w:pos="2721" w:val="left" w:leader="none"/>
          <w:tab w:pos="2722" w:val="left" w:leader="none"/>
        </w:tabs>
        <w:spacing w:line="235" w:lineRule="auto" w:before="222" w:after="0"/>
        <w:ind w:left="1984" w:right="1290" w:firstLine="0"/>
        <w:jc w:val="left"/>
        <w:rPr>
          <w:sz w:val="20"/>
        </w:rPr>
      </w:pPr>
      <w:r>
        <w:rPr>
          <w:w w:val="120"/>
          <w:sz w:val="20"/>
        </w:rPr>
        <w:t>Inspections of Westminster College and </w:t>
      </w:r>
      <w:r>
        <w:rPr>
          <w:spacing w:val="2"/>
          <w:w w:val="120"/>
          <w:sz w:val="20"/>
        </w:rPr>
        <w:t>Northern </w:t>
      </w:r>
      <w:r>
        <w:rPr>
          <w:w w:val="120"/>
          <w:sz w:val="20"/>
        </w:rPr>
        <w:t>College through the ecumenical Quality in Formation system for Theological Education Institutions revealed that the RCLs have outgrown the parameters of the system. With much heart-searching the committee </w:t>
      </w:r>
      <w:r>
        <w:rPr>
          <w:spacing w:val="2"/>
          <w:w w:val="120"/>
          <w:sz w:val="20"/>
        </w:rPr>
        <w:t>left </w:t>
      </w:r>
      <w:r>
        <w:rPr>
          <w:w w:val="120"/>
          <w:sz w:val="20"/>
        </w:rPr>
        <w:t>the system after completion of the two inspections. The foundations are being laid for a new method of evaluating the work of the RCLs which takes into account the complexity of the tasks in which they are engaged, not simply as lay  training centres or ministerial training colleges but as flexible and accessible partners within a network of whole Church learning providers. The outline principles of the scheme were piloted in the committee’s </w:t>
      </w:r>
      <w:r>
        <w:rPr>
          <w:spacing w:val="-8"/>
          <w:w w:val="120"/>
          <w:sz w:val="20"/>
        </w:rPr>
        <w:t>2013 </w:t>
      </w:r>
      <w:r>
        <w:rPr>
          <w:w w:val="120"/>
          <w:sz w:val="20"/>
        </w:rPr>
        <w:t>five-year review of the Windermere Centre, and ecumenical partners have shown some interest in potential</w:t>
      </w:r>
      <w:r>
        <w:rPr>
          <w:spacing w:val="30"/>
          <w:w w:val="120"/>
          <w:sz w:val="20"/>
        </w:rPr>
        <w:t> </w:t>
      </w:r>
      <w:r>
        <w:rPr>
          <w:w w:val="120"/>
          <w:sz w:val="20"/>
        </w:rPr>
        <w:t>collaboration.</w:t>
      </w:r>
    </w:p>
    <w:p>
      <w:pPr>
        <w:pStyle w:val="BodyText"/>
        <w:spacing w:before="12"/>
        <w:rPr>
          <w:sz w:val="17"/>
        </w:rPr>
      </w:pPr>
    </w:p>
    <w:p>
      <w:pPr>
        <w:pStyle w:val="Heading4"/>
        <w:numPr>
          <w:ilvl w:val="0"/>
          <w:numId w:val="89"/>
        </w:numPr>
        <w:tabs>
          <w:tab w:pos="2664" w:val="left" w:leader="none"/>
          <w:tab w:pos="2665" w:val="left" w:leader="none"/>
        </w:tabs>
        <w:spacing w:line="240" w:lineRule="auto" w:before="0" w:after="0"/>
        <w:ind w:left="2664" w:right="0" w:hanging="681"/>
        <w:jc w:val="left"/>
      </w:pPr>
      <w:r>
        <w:rPr>
          <w:spacing w:val="4"/>
          <w:w w:val="110"/>
        </w:rPr>
        <w:t>Other</w:t>
      </w:r>
      <w:r>
        <w:rPr>
          <w:spacing w:val="12"/>
          <w:w w:val="110"/>
        </w:rPr>
        <w:t> </w:t>
      </w:r>
      <w:r>
        <w:rPr>
          <w:spacing w:val="4"/>
          <w:w w:val="110"/>
        </w:rPr>
        <w:t>developments</w:t>
      </w:r>
    </w:p>
    <w:p>
      <w:pPr>
        <w:pStyle w:val="BodyText"/>
        <w:spacing w:before="65"/>
        <w:ind w:left="1984"/>
      </w:pPr>
      <w:r>
        <w:rPr>
          <w:w w:val="120"/>
        </w:rPr>
        <w:t>The Committee’s report to General Assembly 2012 expected:</w:t>
      </w:r>
    </w:p>
    <w:p>
      <w:pPr>
        <w:pStyle w:val="BodyText"/>
        <w:spacing w:before="8"/>
        <w:rPr>
          <w:sz w:val="19"/>
        </w:rPr>
      </w:pPr>
    </w:p>
    <w:p>
      <w:pPr>
        <w:pStyle w:val="ListParagraph"/>
        <w:numPr>
          <w:ilvl w:val="0"/>
          <w:numId w:val="90"/>
        </w:numPr>
        <w:tabs>
          <w:tab w:pos="2664" w:val="left" w:leader="none"/>
          <w:tab w:pos="2665" w:val="left" w:leader="none"/>
        </w:tabs>
        <w:spacing w:line="235" w:lineRule="auto" w:before="0" w:after="0"/>
        <w:ind w:left="2664" w:right="1648" w:hanging="681"/>
        <w:jc w:val="left"/>
        <w:rPr>
          <w:sz w:val="20"/>
        </w:rPr>
      </w:pPr>
      <w:r>
        <w:rPr>
          <w:w w:val="120"/>
          <w:sz w:val="20"/>
        </w:rPr>
        <w:t>Clear use of </w:t>
      </w:r>
      <w:r>
        <w:rPr>
          <w:i/>
          <w:w w:val="120"/>
          <w:sz w:val="20"/>
        </w:rPr>
        <w:t>vision2020 </w:t>
      </w:r>
      <w:r>
        <w:rPr>
          <w:w w:val="120"/>
          <w:sz w:val="20"/>
        </w:rPr>
        <w:t>as a general framework for the work of education and learning. Progress has been slow in this area, other than in the shaping of the Windermere Centre</w:t>
      </w:r>
      <w:r>
        <w:rPr>
          <w:spacing w:val="4"/>
          <w:w w:val="120"/>
          <w:sz w:val="20"/>
        </w:rPr>
        <w:t> </w:t>
      </w:r>
      <w:r>
        <w:rPr>
          <w:w w:val="120"/>
          <w:sz w:val="20"/>
        </w:rPr>
        <w:t>programme;</w:t>
      </w:r>
    </w:p>
    <w:p>
      <w:pPr>
        <w:pStyle w:val="ListParagraph"/>
        <w:numPr>
          <w:ilvl w:val="0"/>
          <w:numId w:val="90"/>
        </w:numPr>
        <w:tabs>
          <w:tab w:pos="2664" w:val="left" w:leader="none"/>
          <w:tab w:pos="2665" w:val="left" w:leader="none"/>
        </w:tabs>
        <w:spacing w:line="235" w:lineRule="auto" w:before="2" w:after="0"/>
        <w:ind w:left="2664" w:right="1659" w:hanging="681"/>
        <w:jc w:val="left"/>
        <w:rPr>
          <w:sz w:val="20"/>
        </w:rPr>
      </w:pPr>
      <w:r>
        <w:rPr>
          <w:w w:val="120"/>
          <w:sz w:val="20"/>
        </w:rPr>
        <w:t>Training for the </w:t>
      </w:r>
      <w:r>
        <w:rPr>
          <w:spacing w:val="-3"/>
          <w:w w:val="120"/>
          <w:sz w:val="20"/>
        </w:rPr>
        <w:t>church’s </w:t>
      </w:r>
      <w:r>
        <w:rPr>
          <w:w w:val="120"/>
          <w:sz w:val="20"/>
        </w:rPr>
        <w:t>commitment to radical welcome. A facilitators’ toolkit was made available to synods through printed form and CD-roms.   The material is now available for open access though the online library of the United Reformed Church Learning Environment</w:t>
      </w:r>
      <w:r>
        <w:rPr>
          <w:spacing w:val="20"/>
          <w:w w:val="120"/>
          <w:sz w:val="20"/>
        </w:rPr>
        <w:t> </w:t>
      </w:r>
      <w:r>
        <w:rPr>
          <w:w w:val="120"/>
          <w:sz w:val="20"/>
        </w:rPr>
        <w:t>(URCLE);</w:t>
      </w:r>
    </w:p>
    <w:p>
      <w:pPr>
        <w:pStyle w:val="ListParagraph"/>
        <w:numPr>
          <w:ilvl w:val="0"/>
          <w:numId w:val="90"/>
        </w:numPr>
        <w:tabs>
          <w:tab w:pos="2664" w:val="left" w:leader="none"/>
          <w:tab w:pos="2665" w:val="left" w:leader="none"/>
        </w:tabs>
        <w:spacing w:line="235" w:lineRule="auto" w:before="3" w:after="0"/>
        <w:ind w:left="2664" w:right="1864" w:hanging="681"/>
        <w:jc w:val="both"/>
        <w:rPr>
          <w:sz w:val="20"/>
        </w:rPr>
      </w:pPr>
      <w:r>
        <w:rPr>
          <w:w w:val="120"/>
          <w:sz w:val="20"/>
        </w:rPr>
        <w:t>Conversations about a wider range of authorised lay ministries. This awaits the outcome of discussions by others on the flexible deployment of Special Category</w:t>
      </w:r>
      <w:r>
        <w:rPr>
          <w:spacing w:val="2"/>
          <w:w w:val="120"/>
          <w:sz w:val="20"/>
        </w:rPr>
        <w:t> </w:t>
      </w:r>
      <w:r>
        <w:rPr>
          <w:w w:val="120"/>
          <w:sz w:val="20"/>
        </w:rPr>
        <w:t>Ministry;</w:t>
      </w:r>
    </w:p>
    <w:p>
      <w:pPr>
        <w:pStyle w:val="ListParagraph"/>
        <w:numPr>
          <w:ilvl w:val="0"/>
          <w:numId w:val="90"/>
        </w:numPr>
        <w:tabs>
          <w:tab w:pos="2664" w:val="left" w:leader="none"/>
          <w:tab w:pos="2665" w:val="left" w:leader="none"/>
        </w:tabs>
        <w:spacing w:line="235" w:lineRule="auto" w:before="2" w:after="0"/>
        <w:ind w:left="2664" w:right="1683" w:hanging="681"/>
        <w:jc w:val="left"/>
        <w:rPr>
          <w:sz w:val="20"/>
        </w:rPr>
      </w:pPr>
      <w:r>
        <w:rPr>
          <w:w w:val="120"/>
          <w:sz w:val="20"/>
        </w:rPr>
        <w:t>Development of blended learning and a virtual learning environment for the United Reformed Church. URCLE was hampered by technical difficulties in   its early stages and has still to catch the imagination of users. However, it</w:t>
      </w:r>
      <w:r>
        <w:rPr>
          <w:spacing w:val="-7"/>
          <w:w w:val="120"/>
          <w:sz w:val="20"/>
        </w:rPr>
        <w:t> </w:t>
      </w:r>
      <w:r>
        <w:rPr>
          <w:w w:val="120"/>
          <w:sz w:val="20"/>
        </w:rPr>
        <w:t>has</w:t>
      </w:r>
    </w:p>
    <w:p>
      <w:pPr>
        <w:pStyle w:val="BodyText"/>
        <w:spacing w:line="235" w:lineRule="auto" w:before="2"/>
        <w:ind w:left="2664" w:right="1352"/>
      </w:pPr>
      <w:r>
        <w:rPr>
          <w:w w:val="120"/>
        </w:rPr>
        <w:t>become the key means of delivering resource materials for </w:t>
      </w:r>
      <w:r>
        <w:rPr>
          <w:spacing w:val="2"/>
          <w:w w:val="120"/>
        </w:rPr>
        <w:t>TLS </w:t>
      </w:r>
      <w:r>
        <w:rPr>
          <w:w w:val="120"/>
        </w:rPr>
        <w:t>students and the Education and Learning Committee uses it for the distribution of papers</w:t>
      </w:r>
      <w:r>
        <w:rPr>
          <w:spacing w:val="39"/>
          <w:w w:val="120"/>
        </w:rPr>
        <w:t> </w:t>
      </w:r>
      <w:r>
        <w:rPr>
          <w:w w:val="120"/>
        </w:rPr>
        <w:t>;</w:t>
      </w:r>
    </w:p>
    <w:p>
      <w:pPr>
        <w:pStyle w:val="ListParagraph"/>
        <w:numPr>
          <w:ilvl w:val="0"/>
          <w:numId w:val="90"/>
        </w:numPr>
        <w:tabs>
          <w:tab w:pos="2721" w:val="left" w:leader="none"/>
          <w:tab w:pos="2722" w:val="left" w:leader="none"/>
        </w:tabs>
        <w:spacing w:line="235" w:lineRule="auto" w:before="2" w:after="0"/>
        <w:ind w:left="2664" w:right="1980" w:hanging="681"/>
        <w:jc w:val="left"/>
        <w:rPr>
          <w:sz w:val="20"/>
        </w:rPr>
      </w:pPr>
      <w:r>
        <w:rPr/>
        <w:tab/>
      </w:r>
      <w:r>
        <w:rPr>
          <w:w w:val="120"/>
          <w:sz w:val="20"/>
        </w:rPr>
        <w:t>Formation of a theological research network. Pursuing this has been frustratingly</w:t>
      </w:r>
      <w:r>
        <w:rPr>
          <w:spacing w:val="-9"/>
          <w:w w:val="120"/>
          <w:sz w:val="20"/>
        </w:rPr>
        <w:t> </w:t>
      </w:r>
      <w:r>
        <w:rPr>
          <w:spacing w:val="-3"/>
          <w:w w:val="120"/>
          <w:sz w:val="20"/>
        </w:rPr>
        <w:t>slow,</w:t>
      </w:r>
      <w:r>
        <w:rPr>
          <w:spacing w:val="-8"/>
          <w:w w:val="120"/>
          <w:sz w:val="20"/>
        </w:rPr>
        <w:t> </w:t>
      </w:r>
      <w:r>
        <w:rPr>
          <w:w w:val="120"/>
          <w:sz w:val="20"/>
        </w:rPr>
        <w:t>and</w:t>
      </w:r>
      <w:r>
        <w:rPr>
          <w:spacing w:val="-8"/>
          <w:w w:val="120"/>
          <w:sz w:val="20"/>
        </w:rPr>
        <w:t> </w:t>
      </w:r>
      <w:r>
        <w:rPr>
          <w:w w:val="120"/>
          <w:sz w:val="20"/>
        </w:rPr>
        <w:t>a</w:t>
      </w:r>
      <w:r>
        <w:rPr>
          <w:spacing w:val="-8"/>
          <w:w w:val="120"/>
          <w:sz w:val="20"/>
        </w:rPr>
        <w:t> </w:t>
      </w:r>
      <w:r>
        <w:rPr>
          <w:w w:val="120"/>
          <w:sz w:val="20"/>
        </w:rPr>
        <w:t>recommendation</w:t>
      </w:r>
      <w:r>
        <w:rPr>
          <w:spacing w:val="-9"/>
          <w:w w:val="120"/>
          <w:sz w:val="20"/>
        </w:rPr>
        <w:t> </w:t>
      </w:r>
      <w:r>
        <w:rPr>
          <w:w w:val="120"/>
          <w:sz w:val="20"/>
        </w:rPr>
        <w:t>in</w:t>
      </w:r>
      <w:r>
        <w:rPr>
          <w:spacing w:val="-8"/>
          <w:w w:val="120"/>
          <w:sz w:val="20"/>
        </w:rPr>
        <w:t> </w:t>
      </w:r>
      <w:r>
        <w:rPr>
          <w:i/>
          <w:w w:val="120"/>
          <w:sz w:val="20"/>
        </w:rPr>
        <w:t>The</w:t>
      </w:r>
      <w:r>
        <w:rPr>
          <w:i/>
          <w:spacing w:val="-10"/>
          <w:w w:val="120"/>
          <w:sz w:val="20"/>
        </w:rPr>
        <w:t> </w:t>
      </w:r>
      <w:r>
        <w:rPr>
          <w:i/>
          <w:w w:val="120"/>
          <w:sz w:val="20"/>
        </w:rPr>
        <w:t>Learning</w:t>
      </w:r>
      <w:r>
        <w:rPr>
          <w:i/>
          <w:spacing w:val="-11"/>
          <w:w w:val="120"/>
          <w:sz w:val="20"/>
        </w:rPr>
        <w:t> </w:t>
      </w:r>
      <w:r>
        <w:rPr>
          <w:i/>
          <w:w w:val="120"/>
          <w:sz w:val="20"/>
        </w:rPr>
        <w:t>Church.</w:t>
      </w:r>
      <w:r>
        <w:rPr>
          <w:i/>
          <w:spacing w:val="-11"/>
          <w:w w:val="120"/>
          <w:sz w:val="20"/>
        </w:rPr>
        <w:t> </w:t>
      </w:r>
      <w:r>
        <w:rPr>
          <w:i/>
          <w:w w:val="120"/>
          <w:sz w:val="20"/>
        </w:rPr>
        <w:t>The</w:t>
      </w:r>
      <w:r>
        <w:rPr>
          <w:i/>
          <w:spacing w:val="-11"/>
          <w:w w:val="120"/>
          <w:sz w:val="20"/>
        </w:rPr>
        <w:t> </w:t>
      </w:r>
      <w:r>
        <w:rPr>
          <w:i/>
          <w:w w:val="120"/>
          <w:sz w:val="20"/>
        </w:rPr>
        <w:t>Next </w:t>
      </w:r>
      <w:r>
        <w:rPr>
          <w:i/>
          <w:w w:val="120"/>
          <w:sz w:val="20"/>
        </w:rPr>
        <w:t>Chapter </w:t>
      </w:r>
      <w:r>
        <w:rPr>
          <w:spacing w:val="2"/>
          <w:w w:val="120"/>
          <w:sz w:val="20"/>
        </w:rPr>
        <w:t>report </w:t>
      </w:r>
      <w:r>
        <w:rPr>
          <w:w w:val="120"/>
          <w:sz w:val="20"/>
        </w:rPr>
        <w:t>has recently brought it back to the committee’s</w:t>
      </w:r>
      <w:r>
        <w:rPr>
          <w:spacing w:val="-28"/>
          <w:w w:val="120"/>
          <w:sz w:val="20"/>
        </w:rPr>
        <w:t> </w:t>
      </w:r>
      <w:r>
        <w:rPr>
          <w:w w:val="120"/>
          <w:sz w:val="20"/>
        </w:rPr>
        <w:t>attention.</w:t>
      </w:r>
    </w:p>
    <w:p>
      <w:pPr>
        <w:pStyle w:val="ListParagraph"/>
        <w:numPr>
          <w:ilvl w:val="0"/>
          <w:numId w:val="90"/>
        </w:numPr>
        <w:tabs>
          <w:tab w:pos="2664" w:val="left" w:leader="none"/>
          <w:tab w:pos="2665" w:val="left" w:leader="none"/>
        </w:tabs>
        <w:spacing w:line="235" w:lineRule="auto" w:before="2" w:after="0"/>
        <w:ind w:left="2664" w:right="1422" w:hanging="681"/>
        <w:jc w:val="left"/>
        <w:rPr>
          <w:sz w:val="20"/>
        </w:rPr>
      </w:pPr>
      <w:r>
        <w:rPr>
          <w:w w:val="120"/>
          <w:sz w:val="20"/>
        </w:rPr>
        <w:t>Deepened relationships across United Reformed Church networks between synod training and development officers, mission enablers, </w:t>
      </w:r>
      <w:r>
        <w:rPr>
          <w:spacing w:val="-3"/>
          <w:w w:val="120"/>
          <w:sz w:val="20"/>
        </w:rPr>
        <w:t>children’s  </w:t>
      </w:r>
      <w:r>
        <w:rPr>
          <w:w w:val="120"/>
          <w:sz w:val="20"/>
        </w:rPr>
        <w:t>and  youth development officers, and resource centre for learning tutors. Earlier annual conferences had laid the ground, but the differently-funded and</w:t>
      </w:r>
      <w:r>
        <w:rPr>
          <w:spacing w:val="47"/>
          <w:w w:val="120"/>
          <w:sz w:val="20"/>
        </w:rPr>
        <w:t> </w:t>
      </w:r>
      <w:r>
        <w:rPr>
          <w:w w:val="120"/>
          <w:sz w:val="20"/>
        </w:rPr>
        <w:t>shorter</w:t>
      </w:r>
    </w:p>
    <w:p>
      <w:pPr>
        <w:pStyle w:val="BodyText"/>
        <w:spacing w:line="235" w:lineRule="auto" w:before="3"/>
        <w:ind w:left="2664" w:right="1301"/>
      </w:pPr>
      <w:r>
        <w:rPr>
          <w:w w:val="120"/>
        </w:rPr>
        <w:t>gathering of July 2013 was hampered by too little time for face to face discussion on key issues. There is broad commitment to meet again in 2015, remembering what is most likely to work well;</w:t>
      </w:r>
    </w:p>
    <w:p>
      <w:pPr>
        <w:pStyle w:val="ListParagraph"/>
        <w:numPr>
          <w:ilvl w:val="0"/>
          <w:numId w:val="90"/>
        </w:numPr>
        <w:tabs>
          <w:tab w:pos="2664" w:val="left" w:leader="none"/>
          <w:tab w:pos="2665" w:val="left" w:leader="none"/>
        </w:tabs>
        <w:spacing w:line="235" w:lineRule="auto" w:before="2" w:after="0"/>
        <w:ind w:left="2664" w:right="1582" w:hanging="681"/>
        <w:jc w:val="left"/>
        <w:rPr>
          <w:sz w:val="20"/>
        </w:rPr>
      </w:pPr>
      <w:r>
        <w:rPr>
          <w:w w:val="120"/>
          <w:sz w:val="20"/>
        </w:rPr>
        <w:t>Support for ministers through education for ministry phases two and three. The consequences of reducing the </w:t>
      </w:r>
      <w:r>
        <w:rPr>
          <w:spacing w:val="-3"/>
          <w:w w:val="120"/>
          <w:sz w:val="20"/>
        </w:rPr>
        <w:t>EM3 </w:t>
      </w:r>
      <w:r>
        <w:rPr>
          <w:w w:val="120"/>
          <w:sz w:val="20"/>
        </w:rPr>
        <w:t>allowance in order to balance the committee’s budget are still working their way through the system. Work is</w:t>
      </w:r>
      <w:r>
        <w:rPr>
          <w:spacing w:val="41"/>
          <w:w w:val="120"/>
          <w:sz w:val="20"/>
        </w:rPr>
        <w:t> </w:t>
      </w:r>
      <w:r>
        <w:rPr>
          <w:w w:val="120"/>
          <w:sz w:val="20"/>
        </w:rPr>
        <w:t>in</w:t>
      </w:r>
    </w:p>
    <w:p>
      <w:pPr>
        <w:pStyle w:val="BodyText"/>
        <w:spacing w:line="235" w:lineRule="auto" w:before="2"/>
        <w:ind w:left="2664" w:right="1244"/>
      </w:pPr>
      <w:r>
        <w:rPr>
          <w:w w:val="120"/>
        </w:rPr>
        <w:t>hand on the first mandatory subject for education for ministry phase three (EM3) in accordance with resolution 16 of General Assembly 2012.</w:t>
      </w:r>
    </w:p>
    <w:p>
      <w:pPr>
        <w:pStyle w:val="Heading4"/>
        <w:numPr>
          <w:ilvl w:val="0"/>
          <w:numId w:val="89"/>
        </w:numPr>
        <w:tabs>
          <w:tab w:pos="2664" w:val="left" w:leader="none"/>
          <w:tab w:pos="2665" w:val="left" w:leader="none"/>
        </w:tabs>
        <w:spacing w:line="240" w:lineRule="auto" w:before="214" w:after="0"/>
        <w:ind w:left="2664" w:right="0" w:hanging="681"/>
        <w:jc w:val="left"/>
      </w:pPr>
      <w:r>
        <w:rPr>
          <w:spacing w:val="4"/>
          <w:w w:val="110"/>
        </w:rPr>
        <w:t>Looking forwards </w:t>
      </w:r>
      <w:r>
        <w:rPr>
          <w:spacing w:val="3"/>
          <w:w w:val="110"/>
        </w:rPr>
        <w:t>through </w:t>
      </w:r>
      <w:r>
        <w:rPr>
          <w:spacing w:val="2"/>
          <w:w w:val="110"/>
        </w:rPr>
        <w:t>the </w:t>
      </w:r>
      <w:r>
        <w:rPr>
          <w:spacing w:val="3"/>
          <w:w w:val="110"/>
        </w:rPr>
        <w:t>following</w:t>
      </w:r>
      <w:r>
        <w:rPr>
          <w:spacing w:val="59"/>
          <w:w w:val="110"/>
        </w:rPr>
        <w:t> </w:t>
      </w:r>
      <w:r>
        <w:rPr>
          <w:spacing w:val="3"/>
          <w:w w:val="110"/>
        </w:rPr>
        <w:t>pages</w:t>
      </w:r>
    </w:p>
    <w:p>
      <w:pPr>
        <w:pStyle w:val="ListParagraph"/>
        <w:numPr>
          <w:ilvl w:val="0"/>
          <w:numId w:val="91"/>
        </w:numPr>
        <w:tabs>
          <w:tab w:pos="2664" w:val="left" w:leader="none"/>
          <w:tab w:pos="2665" w:val="left" w:leader="none"/>
        </w:tabs>
        <w:spacing w:line="235" w:lineRule="auto" w:before="69" w:after="0"/>
        <w:ind w:left="2664" w:right="1671" w:hanging="681"/>
        <w:jc w:val="left"/>
        <w:rPr>
          <w:sz w:val="20"/>
        </w:rPr>
      </w:pPr>
      <w:r>
        <w:rPr>
          <w:w w:val="120"/>
          <w:sz w:val="20"/>
        </w:rPr>
        <w:t>The United Reformed Church is blessed with resourceful and creative people who are committed to working together with vigour and</w:t>
      </w:r>
      <w:r>
        <w:rPr>
          <w:spacing w:val="2"/>
          <w:w w:val="120"/>
          <w:sz w:val="20"/>
        </w:rPr>
        <w:t> </w:t>
      </w:r>
      <w:r>
        <w:rPr>
          <w:w w:val="120"/>
          <w:sz w:val="20"/>
        </w:rPr>
        <w:t>imagination.</w:t>
      </w:r>
    </w:p>
    <w:p>
      <w:pPr>
        <w:pStyle w:val="ListParagraph"/>
        <w:numPr>
          <w:ilvl w:val="0"/>
          <w:numId w:val="91"/>
        </w:numPr>
        <w:tabs>
          <w:tab w:pos="2664" w:val="left" w:leader="none"/>
          <w:tab w:pos="2665" w:val="left" w:leader="none"/>
        </w:tabs>
        <w:spacing w:line="235" w:lineRule="auto" w:before="2" w:after="0"/>
        <w:ind w:left="2664" w:right="1247" w:hanging="681"/>
        <w:jc w:val="left"/>
        <w:rPr>
          <w:sz w:val="20"/>
        </w:rPr>
      </w:pPr>
      <w:r>
        <w:rPr>
          <w:w w:val="120"/>
          <w:sz w:val="20"/>
        </w:rPr>
        <w:t>We are changing habits and practices in response to budgetary challenges whilst remaining true to our educational</w:t>
      </w:r>
      <w:r>
        <w:rPr>
          <w:spacing w:val="12"/>
          <w:w w:val="120"/>
          <w:sz w:val="20"/>
        </w:rPr>
        <w:t> </w:t>
      </w:r>
      <w:r>
        <w:rPr>
          <w:w w:val="120"/>
          <w:sz w:val="20"/>
        </w:rPr>
        <w:t>principles.</w:t>
      </w:r>
    </w:p>
    <w:p>
      <w:pPr>
        <w:pStyle w:val="ListParagraph"/>
        <w:numPr>
          <w:ilvl w:val="0"/>
          <w:numId w:val="91"/>
        </w:numPr>
        <w:tabs>
          <w:tab w:pos="2664" w:val="left" w:leader="none"/>
          <w:tab w:pos="2665" w:val="left" w:leader="none"/>
        </w:tabs>
        <w:spacing w:line="235" w:lineRule="auto" w:before="1" w:after="0"/>
        <w:ind w:left="2664" w:right="1551" w:hanging="681"/>
        <w:jc w:val="left"/>
        <w:rPr>
          <w:sz w:val="20"/>
        </w:rPr>
      </w:pPr>
      <w:r>
        <w:rPr>
          <w:w w:val="120"/>
          <w:sz w:val="20"/>
        </w:rPr>
        <w:t>We rely on each other and on God’s grace as we work together to deepen our discipleship and wrestle with the Word through action and</w:t>
      </w:r>
      <w:r>
        <w:rPr>
          <w:spacing w:val="41"/>
          <w:w w:val="120"/>
          <w:sz w:val="20"/>
        </w:rPr>
        <w:t> </w:t>
      </w:r>
      <w:r>
        <w:rPr>
          <w:w w:val="120"/>
          <w:sz w:val="20"/>
        </w:rPr>
        <w:t>reflection.</w:t>
      </w:r>
    </w:p>
    <w:p>
      <w:pPr>
        <w:pStyle w:val="Heading4"/>
        <w:numPr>
          <w:ilvl w:val="0"/>
          <w:numId w:val="89"/>
        </w:numPr>
        <w:tabs>
          <w:tab w:pos="2664" w:val="left" w:leader="none"/>
          <w:tab w:pos="2665" w:val="left" w:leader="none"/>
        </w:tabs>
        <w:spacing w:line="240" w:lineRule="auto" w:before="214" w:after="0"/>
        <w:ind w:left="2664" w:right="0" w:hanging="681"/>
        <w:jc w:val="left"/>
      </w:pPr>
      <w:r>
        <w:rPr>
          <w:w w:val="110"/>
        </w:rPr>
        <w:t>Training </w:t>
      </w:r>
      <w:r>
        <w:rPr>
          <w:spacing w:val="3"/>
          <w:w w:val="110"/>
        </w:rPr>
        <w:t>for </w:t>
      </w:r>
      <w:r>
        <w:rPr>
          <w:spacing w:val="4"/>
          <w:w w:val="110"/>
        </w:rPr>
        <w:t>Learning </w:t>
      </w:r>
      <w:r>
        <w:rPr>
          <w:spacing w:val="3"/>
          <w:w w:val="110"/>
        </w:rPr>
        <w:t>and</w:t>
      </w:r>
      <w:r>
        <w:rPr>
          <w:spacing w:val="44"/>
          <w:w w:val="110"/>
        </w:rPr>
        <w:t> </w:t>
      </w:r>
      <w:r>
        <w:rPr>
          <w:spacing w:val="5"/>
          <w:w w:val="110"/>
        </w:rPr>
        <w:t>Serving</w:t>
      </w:r>
    </w:p>
    <w:p>
      <w:pPr>
        <w:pStyle w:val="ListParagraph"/>
        <w:numPr>
          <w:ilvl w:val="1"/>
          <w:numId w:val="89"/>
        </w:numPr>
        <w:tabs>
          <w:tab w:pos="2664" w:val="left" w:leader="none"/>
          <w:tab w:pos="2665" w:val="left" w:leader="none"/>
        </w:tabs>
        <w:spacing w:line="235" w:lineRule="auto" w:before="69" w:after="0"/>
        <w:ind w:left="1984" w:right="1244" w:firstLine="0"/>
        <w:jc w:val="left"/>
        <w:rPr>
          <w:sz w:val="20"/>
        </w:rPr>
      </w:pPr>
      <w:r>
        <w:rPr>
          <w:w w:val="120"/>
          <w:sz w:val="20"/>
        </w:rPr>
        <w:t>For training for learning and serving, the period since the last </w:t>
      </w:r>
      <w:r>
        <w:rPr>
          <w:spacing w:val="2"/>
          <w:w w:val="120"/>
          <w:sz w:val="20"/>
        </w:rPr>
        <w:t>report </w:t>
      </w:r>
      <w:r>
        <w:rPr>
          <w:w w:val="120"/>
          <w:sz w:val="20"/>
        </w:rPr>
        <w:t>to Assembly has been one of consolidation and cautious exploration of new development prospects. Staff and students have been learning to engage with the challenges and opportunities presented by working primarily with electronic media through URCLE. While</w:t>
      </w:r>
      <w:r>
        <w:rPr>
          <w:spacing w:val="7"/>
          <w:w w:val="120"/>
          <w:sz w:val="20"/>
        </w:rPr>
        <w:t> </w:t>
      </w:r>
      <w:r>
        <w:rPr>
          <w:w w:val="120"/>
          <w:sz w:val="20"/>
        </w:rPr>
        <w:t>this</w:t>
      </w:r>
    </w:p>
    <w:p>
      <w:pPr>
        <w:spacing w:after="0" w:line="235" w:lineRule="auto"/>
        <w:jc w:val="left"/>
        <w:rPr>
          <w:sz w:val="20"/>
        </w:rPr>
        <w:sectPr>
          <w:headerReference w:type="default" r:id="rId375"/>
          <w:pgSz w:w="11910" w:h="16840"/>
          <w:pgMar w:header="0" w:footer="647" w:top="0" w:bottom="840" w:left="0" w:right="0"/>
        </w:sectPr>
      </w:pPr>
    </w:p>
    <w:p>
      <w:pPr>
        <w:pStyle w:val="BodyText"/>
      </w:pPr>
      <w:r>
        <w:rPr/>
        <w:drawing>
          <wp:anchor distT="0" distB="0" distL="0" distR="0" allowOverlap="1" layoutInCell="1" locked="0" behindDoc="0" simplePos="0" relativeHeight="252078080">
            <wp:simplePos x="0" y="0"/>
            <wp:positionH relativeFrom="page">
              <wp:posOffset>0</wp:posOffset>
            </wp:positionH>
            <wp:positionV relativeFrom="page">
              <wp:posOffset>0</wp:posOffset>
            </wp:positionV>
            <wp:extent cx="594067" cy="10692003"/>
            <wp:effectExtent l="0" t="0" r="0" b="0"/>
            <wp:wrapNone/>
            <wp:docPr id="301" name="image32.png"/>
            <wp:cNvGraphicFramePr>
              <a:graphicFrameLocks noChangeAspect="1"/>
            </wp:cNvGraphicFramePr>
            <a:graphic>
              <a:graphicData uri="http://schemas.openxmlformats.org/drawingml/2006/picture">
                <pic:pic>
                  <pic:nvPicPr>
                    <pic:cNvPr id="302" name="image32.png"/>
                    <pic:cNvPicPr/>
                  </pic:nvPicPr>
                  <pic:blipFill>
                    <a:blip r:embed="rId362"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shape style="position:absolute;margin-left:20.519100pt;margin-top:22.593945pt;width:25.9pt;height:237.55pt;mso-position-horizontal-relative:page;mso-position-vertical-relative:paragraph;z-index:252079104" type="#_x0000_t202" filled="false" stroked="false">
            <v:textbox inset="0,0,0,0" style="layout-flow:vertical">
              <w:txbxContent>
                <w:p>
                  <w:pPr>
                    <w:spacing w:before="27"/>
                    <w:ind w:left="20" w:right="0" w:firstLine="0"/>
                    <w:jc w:val="left"/>
                    <w:rPr>
                      <w:sz w:val="39"/>
                    </w:rPr>
                  </w:pPr>
                  <w:r>
                    <w:rPr>
                      <w:color w:val="FFFFFF"/>
                      <w:w w:val="120"/>
                      <w:sz w:val="39"/>
                    </w:rPr>
                    <w:t>Education and learning</w:t>
                  </w:r>
                </w:p>
              </w:txbxContent>
            </v:textbox>
            <w10:wrap type="none"/>
          </v:shape>
        </w:pict>
      </w:r>
      <w:r>
        <w:rPr>
          <w:color w:val="7EAABF"/>
          <w:w w:val="115"/>
        </w:rPr>
        <w:t>Education and learning</w:t>
      </w:r>
    </w:p>
    <w:p>
      <w:pPr>
        <w:pStyle w:val="BodyText"/>
        <w:spacing w:line="235" w:lineRule="auto" w:before="222"/>
        <w:ind w:left="1247" w:right="2060"/>
      </w:pPr>
      <w:r>
        <w:rPr>
          <w:w w:val="120"/>
        </w:rPr>
        <w:t>may appear uncomplicated, when broken down into components that include the development, distribution and use of electronic study and administration materials;   the creating of systems for electronic production, marking, moderating and external examination of assignments; and the holding of meetings in which the familiar rainbow coloured covers of printed </w:t>
      </w:r>
      <w:r>
        <w:rPr>
          <w:spacing w:val="2"/>
          <w:w w:val="120"/>
        </w:rPr>
        <w:t>TLS </w:t>
      </w:r>
      <w:r>
        <w:rPr>
          <w:w w:val="120"/>
        </w:rPr>
        <w:t>documents are no longer in evidence, it is evident that there is a lot more to it than first apparent. Appreciation goes particularly to the Revd Dr John Burgess </w:t>
      </w:r>
      <w:r>
        <w:rPr>
          <w:spacing w:val="2"/>
          <w:w w:val="120"/>
        </w:rPr>
        <w:t>(TLS </w:t>
      </w:r>
      <w:r>
        <w:rPr>
          <w:w w:val="120"/>
        </w:rPr>
        <w:t>deputy coordinator) for his </w:t>
      </w:r>
      <w:r>
        <w:rPr>
          <w:spacing w:val="2"/>
          <w:w w:val="120"/>
        </w:rPr>
        <w:t>efforts </w:t>
      </w:r>
      <w:r>
        <w:rPr>
          <w:w w:val="120"/>
        </w:rPr>
        <w:t>in overseeing the</w:t>
      </w:r>
      <w:r>
        <w:rPr>
          <w:spacing w:val="6"/>
          <w:w w:val="120"/>
        </w:rPr>
        <w:t> </w:t>
      </w:r>
      <w:r>
        <w:rPr>
          <w:w w:val="120"/>
        </w:rPr>
        <w:t>changeover</w:t>
      </w:r>
    </w:p>
    <w:p>
      <w:pPr>
        <w:pStyle w:val="BodyText"/>
        <w:spacing w:line="235" w:lineRule="auto" w:before="5"/>
        <w:ind w:left="1247" w:right="2004"/>
      </w:pPr>
      <w:r>
        <w:rPr>
          <w:w w:val="120"/>
        </w:rPr>
        <w:t>and to Mrs Penny Flynn, (TLS marking administrator) for ensuring a smooth transition in assignment marking.</w:t>
      </w:r>
    </w:p>
    <w:p>
      <w:pPr>
        <w:pStyle w:val="BodyText"/>
        <w:spacing w:before="9"/>
        <w:rPr>
          <w:sz w:val="19"/>
        </w:rPr>
      </w:pPr>
    </w:p>
    <w:p>
      <w:pPr>
        <w:pStyle w:val="ListParagraph"/>
        <w:numPr>
          <w:ilvl w:val="1"/>
          <w:numId w:val="89"/>
        </w:numPr>
        <w:tabs>
          <w:tab w:pos="1927" w:val="left" w:leader="none"/>
          <w:tab w:pos="1928" w:val="left" w:leader="none"/>
        </w:tabs>
        <w:spacing w:line="235" w:lineRule="auto" w:before="0" w:after="0"/>
        <w:ind w:left="1247" w:right="2133" w:firstLine="0"/>
        <w:jc w:val="left"/>
        <w:rPr>
          <w:sz w:val="20"/>
        </w:rPr>
      </w:pPr>
      <w:r>
        <w:rPr>
          <w:w w:val="120"/>
          <w:sz w:val="20"/>
        </w:rPr>
        <w:t>Further consolidation came in embedding the pattern of holding three residential weekends annually rather than </w:t>
      </w:r>
      <w:r>
        <w:rPr>
          <w:spacing w:val="-3"/>
          <w:w w:val="120"/>
          <w:sz w:val="20"/>
        </w:rPr>
        <w:t>four, </w:t>
      </w:r>
      <w:r>
        <w:rPr>
          <w:w w:val="120"/>
          <w:sz w:val="20"/>
        </w:rPr>
        <w:t>requiring considerable reorganisation of venues and careful reformulation of weekend programmes to ensure that essential content remained while achieving an overall reduction in the time spent together. The former was successfully realised through the </w:t>
      </w:r>
      <w:r>
        <w:rPr>
          <w:spacing w:val="2"/>
          <w:w w:val="120"/>
          <w:sz w:val="20"/>
        </w:rPr>
        <w:t>efforts </w:t>
      </w:r>
      <w:r>
        <w:rPr>
          <w:w w:val="120"/>
          <w:sz w:val="20"/>
        </w:rPr>
        <w:t>of the Mrs Heather Skidmore </w:t>
      </w:r>
      <w:r>
        <w:rPr>
          <w:spacing w:val="-3"/>
          <w:w w:val="120"/>
          <w:sz w:val="20"/>
        </w:rPr>
        <w:t>(the </w:t>
      </w:r>
      <w:r>
        <w:rPr>
          <w:spacing w:val="2"/>
          <w:w w:val="120"/>
          <w:sz w:val="20"/>
        </w:rPr>
        <w:t>TLS </w:t>
      </w:r>
      <w:r>
        <w:rPr>
          <w:w w:val="120"/>
          <w:sz w:val="20"/>
        </w:rPr>
        <w:t>administrator) and for the course managers, the latter is an ongoing</w:t>
      </w:r>
      <w:r>
        <w:rPr>
          <w:spacing w:val="34"/>
          <w:w w:val="120"/>
          <w:sz w:val="20"/>
        </w:rPr>
        <w:t> </w:t>
      </w:r>
      <w:r>
        <w:rPr>
          <w:w w:val="120"/>
          <w:sz w:val="20"/>
        </w:rPr>
        <w:t>endeavour.</w:t>
      </w:r>
    </w:p>
    <w:p>
      <w:pPr>
        <w:pStyle w:val="BodyText"/>
      </w:pPr>
    </w:p>
    <w:p>
      <w:pPr>
        <w:pStyle w:val="ListParagraph"/>
        <w:numPr>
          <w:ilvl w:val="1"/>
          <w:numId w:val="89"/>
        </w:numPr>
        <w:tabs>
          <w:tab w:pos="1927" w:val="left" w:leader="none"/>
          <w:tab w:pos="1928" w:val="left" w:leader="none"/>
        </w:tabs>
        <w:spacing w:line="235" w:lineRule="auto" w:before="1" w:after="0"/>
        <w:ind w:left="1247" w:right="2106" w:firstLine="0"/>
        <w:jc w:val="left"/>
        <w:rPr>
          <w:sz w:val="20"/>
        </w:rPr>
      </w:pPr>
      <w:r>
        <w:rPr>
          <w:w w:val="120"/>
          <w:sz w:val="20"/>
        </w:rPr>
        <w:t>Regarding development prospects, </w:t>
      </w:r>
      <w:r>
        <w:rPr>
          <w:spacing w:val="2"/>
          <w:w w:val="120"/>
          <w:sz w:val="20"/>
        </w:rPr>
        <w:t>TLS </w:t>
      </w:r>
      <w:r>
        <w:rPr>
          <w:w w:val="120"/>
          <w:sz w:val="20"/>
        </w:rPr>
        <w:t>has entered into the first stages of exploring a new validation partnership with a university to replace the existing arrangement with Chester University. Consultations following our last report, which indicated a decision had not been made about continuing with the higher education pathway (Pathway </w:t>
      </w:r>
      <w:r>
        <w:rPr>
          <w:spacing w:val="-8"/>
          <w:w w:val="120"/>
          <w:sz w:val="20"/>
        </w:rPr>
        <w:t>3),  </w:t>
      </w:r>
      <w:r>
        <w:rPr>
          <w:w w:val="120"/>
          <w:sz w:val="20"/>
        </w:rPr>
        <w:t>suggested that while </w:t>
      </w:r>
      <w:r>
        <w:rPr>
          <w:spacing w:val="2"/>
          <w:w w:val="120"/>
          <w:sz w:val="20"/>
        </w:rPr>
        <w:t>TLS </w:t>
      </w:r>
      <w:r>
        <w:rPr>
          <w:w w:val="120"/>
          <w:sz w:val="20"/>
        </w:rPr>
        <w:t>should never be dominated by its higher education component, Pathway 3 is of value to some and should therefore be retained if possible. Possibilities have been explored and discussions in this area are in progress. Financial commitments are a significant factor but equally influential is the desire</w:t>
      </w:r>
      <w:r>
        <w:rPr>
          <w:spacing w:val="5"/>
          <w:w w:val="120"/>
          <w:sz w:val="20"/>
        </w:rPr>
        <w:t> </w:t>
      </w:r>
      <w:r>
        <w:rPr>
          <w:w w:val="120"/>
          <w:sz w:val="20"/>
        </w:rPr>
        <w:t>to</w:t>
      </w:r>
      <w:r>
        <w:rPr>
          <w:spacing w:val="6"/>
          <w:w w:val="120"/>
          <w:sz w:val="20"/>
        </w:rPr>
        <w:t> </w:t>
      </w:r>
      <w:r>
        <w:rPr>
          <w:w w:val="120"/>
          <w:sz w:val="20"/>
        </w:rPr>
        <w:t>work</w:t>
      </w:r>
      <w:r>
        <w:rPr>
          <w:spacing w:val="5"/>
          <w:w w:val="120"/>
          <w:sz w:val="20"/>
        </w:rPr>
        <w:t> </w:t>
      </w:r>
      <w:r>
        <w:rPr>
          <w:w w:val="120"/>
          <w:sz w:val="20"/>
        </w:rPr>
        <w:t>only</w:t>
      </w:r>
      <w:r>
        <w:rPr>
          <w:spacing w:val="6"/>
          <w:w w:val="120"/>
          <w:sz w:val="20"/>
        </w:rPr>
        <w:t> </w:t>
      </w:r>
      <w:r>
        <w:rPr>
          <w:w w:val="120"/>
          <w:sz w:val="20"/>
        </w:rPr>
        <w:t>with</w:t>
      </w:r>
      <w:r>
        <w:rPr>
          <w:spacing w:val="5"/>
          <w:w w:val="120"/>
          <w:sz w:val="20"/>
        </w:rPr>
        <w:t> </w:t>
      </w:r>
      <w:r>
        <w:rPr>
          <w:w w:val="120"/>
          <w:sz w:val="20"/>
        </w:rPr>
        <w:t>partners</w:t>
      </w:r>
      <w:r>
        <w:rPr>
          <w:spacing w:val="6"/>
          <w:w w:val="120"/>
          <w:sz w:val="20"/>
        </w:rPr>
        <w:t> </w:t>
      </w:r>
      <w:r>
        <w:rPr>
          <w:w w:val="120"/>
          <w:sz w:val="20"/>
        </w:rPr>
        <w:t>who</w:t>
      </w:r>
      <w:r>
        <w:rPr>
          <w:spacing w:val="5"/>
          <w:w w:val="120"/>
          <w:sz w:val="20"/>
        </w:rPr>
        <w:t> </w:t>
      </w:r>
      <w:r>
        <w:rPr>
          <w:w w:val="120"/>
          <w:sz w:val="20"/>
        </w:rPr>
        <w:t>are</w:t>
      </w:r>
      <w:r>
        <w:rPr>
          <w:spacing w:val="6"/>
          <w:w w:val="120"/>
          <w:sz w:val="20"/>
        </w:rPr>
        <w:t> </w:t>
      </w:r>
      <w:r>
        <w:rPr>
          <w:w w:val="120"/>
          <w:sz w:val="20"/>
        </w:rPr>
        <w:t>sympathetic</w:t>
      </w:r>
      <w:r>
        <w:rPr>
          <w:spacing w:val="6"/>
          <w:w w:val="120"/>
          <w:sz w:val="20"/>
        </w:rPr>
        <w:t> </w:t>
      </w:r>
      <w:r>
        <w:rPr>
          <w:w w:val="120"/>
          <w:sz w:val="20"/>
        </w:rPr>
        <w:t>to</w:t>
      </w:r>
      <w:r>
        <w:rPr>
          <w:spacing w:val="5"/>
          <w:w w:val="120"/>
          <w:sz w:val="20"/>
        </w:rPr>
        <w:t> </w:t>
      </w:r>
      <w:r>
        <w:rPr>
          <w:spacing w:val="2"/>
          <w:w w:val="120"/>
          <w:sz w:val="20"/>
        </w:rPr>
        <w:t>TLS</w:t>
      </w:r>
      <w:r>
        <w:rPr>
          <w:spacing w:val="6"/>
          <w:w w:val="120"/>
          <w:sz w:val="20"/>
        </w:rPr>
        <w:t> </w:t>
      </w:r>
      <w:r>
        <w:rPr>
          <w:w w:val="120"/>
          <w:sz w:val="20"/>
        </w:rPr>
        <w:t>objectives</w:t>
      </w:r>
      <w:r>
        <w:rPr>
          <w:spacing w:val="5"/>
          <w:w w:val="120"/>
          <w:sz w:val="20"/>
        </w:rPr>
        <w:t> </w:t>
      </w:r>
      <w:r>
        <w:rPr>
          <w:w w:val="120"/>
          <w:sz w:val="20"/>
        </w:rPr>
        <w:t>and</w:t>
      </w:r>
      <w:r>
        <w:rPr>
          <w:spacing w:val="6"/>
          <w:w w:val="120"/>
          <w:sz w:val="20"/>
        </w:rPr>
        <w:t> </w:t>
      </w:r>
      <w:r>
        <w:rPr>
          <w:w w:val="120"/>
          <w:sz w:val="20"/>
        </w:rPr>
        <w:t>methods.</w:t>
      </w:r>
    </w:p>
    <w:p>
      <w:pPr>
        <w:pStyle w:val="BodyText"/>
        <w:spacing w:before="2"/>
      </w:pPr>
    </w:p>
    <w:p>
      <w:pPr>
        <w:pStyle w:val="ListParagraph"/>
        <w:numPr>
          <w:ilvl w:val="1"/>
          <w:numId w:val="89"/>
        </w:numPr>
        <w:tabs>
          <w:tab w:pos="1927" w:val="left" w:leader="none"/>
          <w:tab w:pos="1928" w:val="left" w:leader="none"/>
        </w:tabs>
        <w:spacing w:line="235" w:lineRule="auto" w:before="0" w:after="0"/>
        <w:ind w:left="1247" w:right="2254" w:firstLine="0"/>
        <w:jc w:val="left"/>
        <w:rPr>
          <w:sz w:val="20"/>
        </w:rPr>
      </w:pPr>
      <w:r>
        <w:rPr>
          <w:w w:val="120"/>
          <w:sz w:val="20"/>
        </w:rPr>
        <w:t>Like other Church agencies </w:t>
      </w:r>
      <w:r>
        <w:rPr>
          <w:spacing w:val="2"/>
          <w:w w:val="120"/>
          <w:sz w:val="20"/>
        </w:rPr>
        <w:t>TLS </w:t>
      </w:r>
      <w:r>
        <w:rPr>
          <w:w w:val="120"/>
          <w:sz w:val="20"/>
        </w:rPr>
        <w:t>lives with the enrichment and challenges of  the increasing cultural and ethnic diversity in our society and congregations. History suggests</w:t>
      </w:r>
      <w:r>
        <w:rPr>
          <w:spacing w:val="9"/>
          <w:w w:val="120"/>
          <w:sz w:val="20"/>
        </w:rPr>
        <w:t> </w:t>
      </w:r>
      <w:r>
        <w:rPr>
          <w:w w:val="120"/>
          <w:sz w:val="20"/>
        </w:rPr>
        <w:t>that</w:t>
      </w:r>
      <w:r>
        <w:rPr>
          <w:spacing w:val="10"/>
          <w:w w:val="120"/>
          <w:sz w:val="20"/>
        </w:rPr>
        <w:t> </w:t>
      </w:r>
      <w:r>
        <w:rPr>
          <w:w w:val="120"/>
          <w:sz w:val="20"/>
        </w:rPr>
        <w:t>such</w:t>
      </w:r>
      <w:r>
        <w:rPr>
          <w:spacing w:val="9"/>
          <w:w w:val="120"/>
          <w:sz w:val="20"/>
        </w:rPr>
        <w:t> </w:t>
      </w:r>
      <w:r>
        <w:rPr>
          <w:w w:val="120"/>
          <w:sz w:val="20"/>
        </w:rPr>
        <w:t>challenges</w:t>
      </w:r>
      <w:r>
        <w:rPr>
          <w:spacing w:val="10"/>
          <w:w w:val="120"/>
          <w:sz w:val="20"/>
        </w:rPr>
        <w:t> </w:t>
      </w:r>
      <w:r>
        <w:rPr>
          <w:w w:val="120"/>
          <w:sz w:val="20"/>
        </w:rPr>
        <w:t>are</w:t>
      </w:r>
      <w:r>
        <w:rPr>
          <w:spacing w:val="9"/>
          <w:w w:val="120"/>
          <w:sz w:val="20"/>
        </w:rPr>
        <w:t> </w:t>
      </w:r>
      <w:r>
        <w:rPr>
          <w:w w:val="120"/>
          <w:sz w:val="20"/>
        </w:rPr>
        <w:t>not</w:t>
      </w:r>
      <w:r>
        <w:rPr>
          <w:spacing w:val="10"/>
          <w:w w:val="120"/>
          <w:sz w:val="20"/>
        </w:rPr>
        <w:t> </w:t>
      </w:r>
      <w:r>
        <w:rPr>
          <w:w w:val="120"/>
          <w:sz w:val="20"/>
        </w:rPr>
        <w:t>new</w:t>
      </w:r>
      <w:r>
        <w:rPr>
          <w:spacing w:val="9"/>
          <w:w w:val="120"/>
          <w:sz w:val="20"/>
        </w:rPr>
        <w:t> </w:t>
      </w:r>
      <w:r>
        <w:rPr>
          <w:w w:val="120"/>
          <w:sz w:val="20"/>
        </w:rPr>
        <w:t>for</w:t>
      </w:r>
      <w:r>
        <w:rPr>
          <w:spacing w:val="10"/>
          <w:w w:val="120"/>
          <w:sz w:val="20"/>
        </w:rPr>
        <w:t> </w:t>
      </w:r>
      <w:r>
        <w:rPr>
          <w:w w:val="120"/>
          <w:sz w:val="20"/>
        </w:rPr>
        <w:t>TLS.</w:t>
      </w:r>
      <w:r>
        <w:rPr>
          <w:spacing w:val="9"/>
          <w:w w:val="120"/>
          <w:sz w:val="20"/>
        </w:rPr>
        <w:t> </w:t>
      </w:r>
      <w:r>
        <w:rPr>
          <w:w w:val="120"/>
          <w:sz w:val="20"/>
        </w:rPr>
        <w:t>When</w:t>
      </w:r>
      <w:r>
        <w:rPr>
          <w:spacing w:val="10"/>
          <w:w w:val="120"/>
          <w:sz w:val="20"/>
        </w:rPr>
        <w:t> </w:t>
      </w:r>
      <w:r>
        <w:rPr>
          <w:w w:val="120"/>
          <w:sz w:val="20"/>
        </w:rPr>
        <w:t>the</w:t>
      </w:r>
      <w:r>
        <w:rPr>
          <w:spacing w:val="9"/>
          <w:w w:val="120"/>
          <w:sz w:val="20"/>
        </w:rPr>
        <w:t> </w:t>
      </w:r>
      <w:r>
        <w:rPr>
          <w:w w:val="120"/>
          <w:sz w:val="20"/>
        </w:rPr>
        <w:t>programme,</w:t>
      </w:r>
      <w:r>
        <w:rPr>
          <w:spacing w:val="10"/>
          <w:w w:val="120"/>
          <w:sz w:val="20"/>
        </w:rPr>
        <w:t> </w:t>
      </w:r>
      <w:r>
        <w:rPr>
          <w:w w:val="120"/>
          <w:sz w:val="20"/>
        </w:rPr>
        <w:t>developed</w:t>
      </w:r>
    </w:p>
    <w:p>
      <w:pPr>
        <w:pStyle w:val="BodyText"/>
        <w:spacing w:line="235" w:lineRule="auto" w:before="2"/>
        <w:ind w:left="1247" w:right="2004"/>
      </w:pPr>
      <w:r>
        <w:rPr>
          <w:w w:val="120"/>
        </w:rPr>
        <w:t>in the Church of Scotland, was transferred south of the border to be used by the United Reformed Church, it was felt necessary to ‘de-Kirk’ the materials so that they were accessible to the new users! Recently however the challenge was brought to the fore by the enrolment of five Korean students from one congregation and this has highlighted the need for a more concerted effort in making the programme more accessible to diverse social, racial and cultural constituencies. Plans to address this matter are already being put into action and are expected to continue for some time.</w:t>
      </w:r>
    </w:p>
    <w:p>
      <w:pPr>
        <w:pStyle w:val="BodyText"/>
        <w:spacing w:before="1"/>
      </w:pPr>
    </w:p>
    <w:p>
      <w:pPr>
        <w:pStyle w:val="ListParagraph"/>
        <w:numPr>
          <w:ilvl w:val="1"/>
          <w:numId w:val="89"/>
        </w:numPr>
        <w:tabs>
          <w:tab w:pos="1927" w:val="left" w:leader="none"/>
          <w:tab w:pos="1928" w:val="left" w:leader="none"/>
        </w:tabs>
        <w:spacing w:line="235" w:lineRule="auto" w:before="0" w:after="0"/>
        <w:ind w:left="1247" w:right="2395" w:firstLine="0"/>
        <w:jc w:val="left"/>
        <w:rPr>
          <w:sz w:val="20"/>
        </w:rPr>
      </w:pPr>
      <w:r>
        <w:rPr>
          <w:w w:val="120"/>
          <w:sz w:val="20"/>
        </w:rPr>
        <w:t>An additional reason for seeking greater inclusivity is the need for more people from a wider range of backgrounds to feel drawn to </w:t>
      </w:r>
      <w:r>
        <w:rPr>
          <w:spacing w:val="2"/>
          <w:w w:val="120"/>
          <w:sz w:val="20"/>
        </w:rPr>
        <w:t>TLS </w:t>
      </w:r>
      <w:r>
        <w:rPr>
          <w:w w:val="120"/>
          <w:sz w:val="20"/>
        </w:rPr>
        <w:t>studies. By the time of Assembly, </w:t>
      </w:r>
      <w:r>
        <w:rPr>
          <w:spacing w:val="2"/>
          <w:w w:val="120"/>
          <w:sz w:val="20"/>
        </w:rPr>
        <w:t>TLS </w:t>
      </w:r>
      <w:r>
        <w:rPr>
          <w:w w:val="120"/>
          <w:sz w:val="20"/>
        </w:rPr>
        <w:t>will have completed its enrolment for the academic year</w:t>
      </w:r>
      <w:r>
        <w:rPr>
          <w:spacing w:val="46"/>
          <w:w w:val="120"/>
          <w:sz w:val="20"/>
        </w:rPr>
        <w:t> </w:t>
      </w:r>
      <w:r>
        <w:rPr>
          <w:spacing w:val="-7"/>
          <w:w w:val="120"/>
          <w:sz w:val="20"/>
        </w:rPr>
        <w:t>2014-15,</w:t>
      </w:r>
    </w:p>
    <w:p>
      <w:pPr>
        <w:pStyle w:val="BodyText"/>
        <w:spacing w:line="235" w:lineRule="auto" w:before="3"/>
        <w:ind w:left="1247" w:right="2030"/>
      </w:pPr>
      <w:r>
        <w:rPr>
          <w:w w:val="120"/>
        </w:rPr>
        <w:t>hopefully attracting more new students than the last two years. While one year courses have maintained, even increased, their support, the foundation course, the feeder course for all others, has had its lowest enrolment figures for several years. Various causes have been examined but the simple </w:t>
      </w:r>
      <w:r>
        <w:rPr>
          <w:spacing w:val="2"/>
          <w:w w:val="120"/>
        </w:rPr>
        <w:t>fact </w:t>
      </w:r>
      <w:r>
        <w:rPr>
          <w:w w:val="120"/>
        </w:rPr>
        <w:t>of declining numbers in the Church having an impact cannot be discarded. However, there is no doubt that that there are still many folk in our congregations, and indeed among our ecumenical partners, who would</w:t>
      </w:r>
      <w:r>
        <w:rPr>
          <w:spacing w:val="5"/>
          <w:w w:val="120"/>
        </w:rPr>
        <w:t> </w:t>
      </w:r>
      <w:r>
        <w:rPr>
          <w:w w:val="120"/>
        </w:rPr>
        <w:t>benefit</w:t>
      </w:r>
      <w:r>
        <w:rPr>
          <w:spacing w:val="5"/>
          <w:w w:val="120"/>
        </w:rPr>
        <w:t> </w:t>
      </w:r>
      <w:r>
        <w:rPr>
          <w:w w:val="120"/>
        </w:rPr>
        <w:t>from</w:t>
      </w:r>
      <w:r>
        <w:rPr>
          <w:spacing w:val="5"/>
          <w:w w:val="120"/>
        </w:rPr>
        <w:t> </w:t>
      </w:r>
      <w:r>
        <w:rPr>
          <w:spacing w:val="2"/>
          <w:w w:val="120"/>
        </w:rPr>
        <w:t>TLS</w:t>
      </w:r>
      <w:r>
        <w:rPr>
          <w:spacing w:val="5"/>
          <w:w w:val="120"/>
        </w:rPr>
        <w:t> </w:t>
      </w:r>
      <w:r>
        <w:rPr>
          <w:w w:val="120"/>
        </w:rPr>
        <w:t>studies,</w:t>
      </w:r>
      <w:r>
        <w:rPr>
          <w:spacing w:val="5"/>
          <w:w w:val="120"/>
        </w:rPr>
        <w:t> </w:t>
      </w:r>
      <w:r>
        <w:rPr>
          <w:w w:val="120"/>
        </w:rPr>
        <w:t>and</w:t>
      </w:r>
      <w:r>
        <w:rPr>
          <w:spacing w:val="5"/>
          <w:w w:val="120"/>
        </w:rPr>
        <w:t> </w:t>
      </w:r>
      <w:r>
        <w:rPr>
          <w:spacing w:val="2"/>
          <w:w w:val="120"/>
        </w:rPr>
        <w:t>TLS</w:t>
      </w:r>
      <w:r>
        <w:rPr>
          <w:spacing w:val="6"/>
          <w:w w:val="120"/>
        </w:rPr>
        <w:t> </w:t>
      </w:r>
      <w:r>
        <w:rPr>
          <w:w w:val="120"/>
        </w:rPr>
        <w:t>will</w:t>
      </w:r>
      <w:r>
        <w:rPr>
          <w:spacing w:val="5"/>
          <w:w w:val="120"/>
        </w:rPr>
        <w:t> </w:t>
      </w:r>
      <w:r>
        <w:rPr>
          <w:w w:val="120"/>
        </w:rPr>
        <w:t>do</w:t>
      </w:r>
      <w:r>
        <w:rPr>
          <w:spacing w:val="5"/>
          <w:w w:val="120"/>
        </w:rPr>
        <w:t> </w:t>
      </w:r>
      <w:r>
        <w:rPr>
          <w:w w:val="120"/>
        </w:rPr>
        <w:t>its</w:t>
      </w:r>
      <w:r>
        <w:rPr>
          <w:spacing w:val="5"/>
          <w:w w:val="120"/>
        </w:rPr>
        <w:t> </w:t>
      </w:r>
      <w:r>
        <w:rPr>
          <w:w w:val="120"/>
        </w:rPr>
        <w:t>best</w:t>
      </w:r>
      <w:r>
        <w:rPr>
          <w:spacing w:val="5"/>
          <w:w w:val="120"/>
        </w:rPr>
        <w:t> </w:t>
      </w:r>
      <w:r>
        <w:rPr>
          <w:w w:val="120"/>
        </w:rPr>
        <w:t>to</w:t>
      </w:r>
      <w:r>
        <w:rPr>
          <w:spacing w:val="5"/>
          <w:w w:val="120"/>
        </w:rPr>
        <w:t> </w:t>
      </w:r>
      <w:r>
        <w:rPr>
          <w:w w:val="120"/>
        </w:rPr>
        <w:t>open</w:t>
      </w:r>
      <w:r>
        <w:rPr>
          <w:spacing w:val="6"/>
          <w:w w:val="120"/>
        </w:rPr>
        <w:t> </w:t>
      </w:r>
      <w:r>
        <w:rPr>
          <w:w w:val="120"/>
        </w:rPr>
        <w:t>the</w:t>
      </w:r>
      <w:r>
        <w:rPr>
          <w:spacing w:val="5"/>
          <w:w w:val="120"/>
        </w:rPr>
        <w:t> </w:t>
      </w:r>
      <w:r>
        <w:rPr>
          <w:w w:val="120"/>
        </w:rPr>
        <w:t>door</w:t>
      </w:r>
      <w:r>
        <w:rPr>
          <w:spacing w:val="5"/>
          <w:w w:val="120"/>
        </w:rPr>
        <w:t> </w:t>
      </w:r>
      <w:r>
        <w:rPr>
          <w:w w:val="120"/>
        </w:rPr>
        <w:t>for</w:t>
      </w:r>
      <w:r>
        <w:rPr>
          <w:spacing w:val="5"/>
          <w:w w:val="120"/>
        </w:rPr>
        <w:t> </w:t>
      </w:r>
      <w:r>
        <w:rPr>
          <w:w w:val="120"/>
        </w:rPr>
        <w:t>them.</w:t>
      </w:r>
    </w:p>
    <w:p>
      <w:pPr>
        <w:pStyle w:val="BodyText"/>
        <w:spacing w:before="9"/>
        <w:rPr>
          <w:sz w:val="19"/>
        </w:rPr>
      </w:pPr>
    </w:p>
    <w:p>
      <w:pPr>
        <w:pStyle w:val="ListParagraph"/>
        <w:numPr>
          <w:ilvl w:val="1"/>
          <w:numId w:val="89"/>
        </w:numPr>
        <w:tabs>
          <w:tab w:pos="1927" w:val="left" w:leader="none"/>
          <w:tab w:pos="1928" w:val="left" w:leader="none"/>
        </w:tabs>
        <w:spacing w:line="242" w:lineRule="exact" w:before="0" w:after="0"/>
        <w:ind w:left="1927" w:right="0" w:hanging="681"/>
        <w:jc w:val="left"/>
        <w:rPr>
          <w:sz w:val="20"/>
        </w:rPr>
      </w:pPr>
      <w:r>
        <w:rPr>
          <w:w w:val="120"/>
          <w:sz w:val="20"/>
        </w:rPr>
        <w:t>On a more positive</w:t>
      </w:r>
      <w:r>
        <w:rPr>
          <w:spacing w:val="8"/>
          <w:w w:val="120"/>
          <w:sz w:val="20"/>
        </w:rPr>
        <w:t> </w:t>
      </w:r>
      <w:r>
        <w:rPr>
          <w:w w:val="120"/>
          <w:sz w:val="20"/>
        </w:rPr>
        <w:t>note:</w:t>
      </w:r>
    </w:p>
    <w:p>
      <w:pPr>
        <w:pStyle w:val="ListParagraph"/>
        <w:numPr>
          <w:ilvl w:val="0"/>
          <w:numId w:val="92"/>
        </w:numPr>
        <w:tabs>
          <w:tab w:pos="1927" w:val="left" w:leader="none"/>
          <w:tab w:pos="1928" w:val="left" w:leader="none"/>
        </w:tabs>
        <w:spacing w:line="235" w:lineRule="auto" w:before="2" w:after="0"/>
        <w:ind w:left="1927" w:right="2177" w:hanging="681"/>
        <w:jc w:val="left"/>
        <w:rPr>
          <w:sz w:val="20"/>
        </w:rPr>
      </w:pPr>
      <w:r>
        <w:rPr>
          <w:w w:val="120"/>
          <w:sz w:val="20"/>
        </w:rPr>
        <w:t>30% of the </w:t>
      </w:r>
      <w:r>
        <w:rPr>
          <w:spacing w:val="-8"/>
          <w:w w:val="120"/>
          <w:sz w:val="20"/>
        </w:rPr>
        <w:t>197 </w:t>
      </w:r>
      <w:r>
        <w:rPr>
          <w:w w:val="120"/>
          <w:sz w:val="20"/>
        </w:rPr>
        <w:t>candidates who attended Assembly assessment conferences for ministerial training between </w:t>
      </w:r>
      <w:r>
        <w:rPr>
          <w:spacing w:val="2"/>
          <w:w w:val="120"/>
          <w:sz w:val="20"/>
        </w:rPr>
        <w:t>February </w:t>
      </w:r>
      <w:r>
        <w:rPr>
          <w:w w:val="120"/>
          <w:sz w:val="20"/>
        </w:rPr>
        <w:t>2002 and April </w:t>
      </w:r>
      <w:r>
        <w:rPr>
          <w:spacing w:val="-8"/>
          <w:w w:val="120"/>
          <w:sz w:val="20"/>
        </w:rPr>
        <w:t>2013 </w:t>
      </w:r>
      <w:r>
        <w:rPr>
          <w:w w:val="120"/>
          <w:sz w:val="20"/>
        </w:rPr>
        <w:t>and 30% of those subsequently accepted for training had engaged in </w:t>
      </w:r>
      <w:r>
        <w:rPr>
          <w:spacing w:val="2"/>
          <w:w w:val="120"/>
          <w:sz w:val="20"/>
        </w:rPr>
        <w:t>TLS </w:t>
      </w:r>
      <w:r>
        <w:rPr>
          <w:w w:val="120"/>
          <w:sz w:val="20"/>
        </w:rPr>
        <w:t>in some</w:t>
      </w:r>
      <w:r>
        <w:rPr>
          <w:spacing w:val="48"/>
          <w:w w:val="120"/>
          <w:sz w:val="20"/>
        </w:rPr>
        <w:t> </w:t>
      </w:r>
      <w:r>
        <w:rPr>
          <w:w w:val="120"/>
          <w:sz w:val="20"/>
        </w:rPr>
        <w:t>form.</w:t>
      </w:r>
    </w:p>
    <w:p>
      <w:pPr>
        <w:pStyle w:val="ListParagraph"/>
        <w:numPr>
          <w:ilvl w:val="0"/>
          <w:numId w:val="92"/>
        </w:numPr>
        <w:tabs>
          <w:tab w:pos="1927" w:val="left" w:leader="none"/>
          <w:tab w:pos="1928" w:val="left" w:leader="none"/>
        </w:tabs>
        <w:spacing w:line="235" w:lineRule="auto" w:before="2" w:after="0"/>
        <w:ind w:left="1927" w:right="2168" w:hanging="681"/>
        <w:jc w:val="left"/>
        <w:rPr>
          <w:sz w:val="20"/>
        </w:rPr>
      </w:pPr>
      <w:r>
        <w:rPr>
          <w:w w:val="120"/>
          <w:sz w:val="20"/>
        </w:rPr>
        <w:t>After previously reporting that two newly-developed courses had not run since their pilots, this year </w:t>
      </w:r>
      <w:r>
        <w:rPr>
          <w:i/>
          <w:w w:val="120"/>
          <w:sz w:val="20"/>
        </w:rPr>
        <w:t>Developing Community Experiences </w:t>
      </w:r>
      <w:r>
        <w:rPr>
          <w:w w:val="120"/>
          <w:sz w:val="20"/>
        </w:rPr>
        <w:t>is running, and can be attributed in </w:t>
      </w:r>
      <w:r>
        <w:rPr>
          <w:spacing w:val="2"/>
          <w:w w:val="120"/>
          <w:sz w:val="20"/>
        </w:rPr>
        <w:t>part </w:t>
      </w:r>
      <w:r>
        <w:rPr>
          <w:w w:val="120"/>
          <w:sz w:val="20"/>
        </w:rPr>
        <w:t>to active collaboration with the church related community work (CRCW) development workers and road</w:t>
      </w:r>
      <w:r>
        <w:rPr>
          <w:spacing w:val="19"/>
          <w:w w:val="120"/>
          <w:sz w:val="20"/>
        </w:rPr>
        <w:t> </w:t>
      </w:r>
      <w:r>
        <w:rPr>
          <w:w w:val="120"/>
          <w:sz w:val="20"/>
        </w:rPr>
        <w:t>shows.</w:t>
      </w:r>
    </w:p>
    <w:p>
      <w:pPr>
        <w:pStyle w:val="ListParagraph"/>
        <w:numPr>
          <w:ilvl w:val="0"/>
          <w:numId w:val="92"/>
        </w:numPr>
        <w:tabs>
          <w:tab w:pos="1927" w:val="left" w:leader="none"/>
          <w:tab w:pos="1928" w:val="left" w:leader="none"/>
        </w:tabs>
        <w:spacing w:line="235" w:lineRule="auto" w:before="3" w:after="0"/>
        <w:ind w:left="1927" w:right="1982" w:hanging="681"/>
        <w:jc w:val="left"/>
        <w:rPr>
          <w:sz w:val="20"/>
        </w:rPr>
      </w:pPr>
      <w:r>
        <w:rPr>
          <w:w w:val="120"/>
          <w:sz w:val="20"/>
        </w:rPr>
        <w:t>Eleven </w:t>
      </w:r>
      <w:r>
        <w:rPr>
          <w:spacing w:val="2"/>
          <w:w w:val="120"/>
          <w:sz w:val="20"/>
        </w:rPr>
        <w:t>TLS </w:t>
      </w:r>
      <w:r>
        <w:rPr>
          <w:w w:val="120"/>
          <w:sz w:val="20"/>
        </w:rPr>
        <w:t>students graduated from Chester University this year with a foundation degree in contextual theology. This followed two in the previous year and precedes an expected five next</w:t>
      </w:r>
      <w:r>
        <w:rPr>
          <w:spacing w:val="13"/>
          <w:w w:val="120"/>
          <w:sz w:val="20"/>
        </w:rPr>
        <w:t> </w:t>
      </w:r>
      <w:r>
        <w:rPr>
          <w:spacing w:val="-4"/>
          <w:w w:val="120"/>
          <w:sz w:val="20"/>
        </w:rPr>
        <w:t>year.</w:t>
      </w:r>
    </w:p>
    <w:p>
      <w:pPr>
        <w:spacing w:after="0" w:line="235" w:lineRule="auto"/>
        <w:jc w:val="left"/>
        <w:rPr>
          <w:sz w:val="20"/>
        </w:rPr>
        <w:sectPr>
          <w:headerReference w:type="even" r:id="rId376"/>
          <w:footerReference w:type="even" r:id="rId377"/>
          <w:footerReference w:type="default" r:id="rId378"/>
          <w:pgSz w:w="11910" w:h="16840"/>
          <w:pgMar w:header="0" w:footer="647" w:top="0" w:bottom="840" w:left="0" w:right="0"/>
          <w:pgNumType w:start="162"/>
        </w:sectPr>
      </w:pPr>
    </w:p>
    <w:p>
      <w:pPr>
        <w:pStyle w:val="BodyText"/>
      </w:pPr>
      <w:r>
        <w:rPr/>
        <w:drawing>
          <wp:anchor distT="0" distB="0" distL="0" distR="0" allowOverlap="1" layoutInCell="1" locked="0" behindDoc="0" simplePos="0" relativeHeight="252080128">
            <wp:simplePos x="0" y="0"/>
            <wp:positionH relativeFrom="page">
              <wp:posOffset>6974928</wp:posOffset>
            </wp:positionH>
            <wp:positionV relativeFrom="page">
              <wp:posOffset>0</wp:posOffset>
            </wp:positionV>
            <wp:extent cx="585063" cy="10692003"/>
            <wp:effectExtent l="0" t="0" r="0" b="0"/>
            <wp:wrapNone/>
            <wp:docPr id="303" name="image30.png"/>
            <wp:cNvGraphicFramePr>
              <a:graphicFrameLocks noChangeAspect="1"/>
            </wp:cNvGraphicFramePr>
            <a:graphic>
              <a:graphicData uri="http://schemas.openxmlformats.org/drawingml/2006/picture">
                <pic:pic>
                  <pic:nvPicPr>
                    <pic:cNvPr id="304" name="image30.png"/>
                    <pic:cNvPicPr/>
                  </pic:nvPicPr>
                  <pic:blipFill>
                    <a:blip r:embed="rId357"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pStyle w:val="Heading5"/>
        <w:ind w:left="7814"/>
      </w:pPr>
      <w:r>
        <w:rPr/>
        <w:pict>
          <v:shape style="position:absolute;margin-left:554.141174pt;margin-top:22.593945pt;width:25.9pt;height:237.55pt;mso-position-horizontal-relative:page;mso-position-vertical-relative:paragraph;z-index:252081152" type="#_x0000_t202" filled="false" stroked="false">
            <v:textbox inset="0,0,0,0" style="layout-flow:vertical">
              <w:txbxContent>
                <w:p>
                  <w:pPr>
                    <w:spacing w:before="27"/>
                    <w:ind w:left="20" w:right="0" w:firstLine="0"/>
                    <w:jc w:val="left"/>
                    <w:rPr>
                      <w:sz w:val="39"/>
                    </w:rPr>
                  </w:pPr>
                  <w:r>
                    <w:rPr>
                      <w:color w:val="FFFFFF"/>
                      <w:w w:val="120"/>
                      <w:sz w:val="39"/>
                    </w:rPr>
                    <w:t>Education and learning</w:t>
                  </w:r>
                </w:p>
              </w:txbxContent>
            </v:textbox>
            <w10:wrap type="none"/>
          </v:shape>
        </w:pict>
      </w:r>
      <w:r>
        <w:rPr>
          <w:color w:val="7EAABF"/>
          <w:w w:val="115"/>
        </w:rPr>
        <w:t>Education and learning</w:t>
      </w:r>
    </w:p>
    <w:p>
      <w:pPr>
        <w:pStyle w:val="ListParagraph"/>
        <w:numPr>
          <w:ilvl w:val="1"/>
          <w:numId w:val="89"/>
        </w:numPr>
        <w:tabs>
          <w:tab w:pos="2664" w:val="left" w:leader="none"/>
          <w:tab w:pos="2665" w:val="left" w:leader="none"/>
        </w:tabs>
        <w:spacing w:line="235" w:lineRule="auto" w:before="222" w:after="0"/>
        <w:ind w:left="1984" w:right="1482" w:firstLine="0"/>
        <w:jc w:val="left"/>
        <w:rPr>
          <w:sz w:val="20"/>
        </w:rPr>
      </w:pPr>
      <w:r>
        <w:rPr>
          <w:w w:val="120"/>
          <w:sz w:val="20"/>
        </w:rPr>
        <w:t>Because of the intricacy of the work and the personal commitments and circumstances of those involved, the developmental work on </w:t>
      </w:r>
      <w:r>
        <w:rPr>
          <w:spacing w:val="2"/>
          <w:w w:val="120"/>
          <w:sz w:val="20"/>
        </w:rPr>
        <w:t>TLS </w:t>
      </w:r>
      <w:r>
        <w:rPr>
          <w:w w:val="120"/>
          <w:sz w:val="20"/>
        </w:rPr>
        <w:t>local introductory training experiences </w:t>
      </w:r>
      <w:r>
        <w:rPr>
          <w:spacing w:val="2"/>
          <w:w w:val="120"/>
          <w:sz w:val="20"/>
        </w:rPr>
        <w:t>(TLS </w:t>
      </w:r>
      <w:r>
        <w:rPr>
          <w:w w:val="120"/>
          <w:sz w:val="20"/>
        </w:rPr>
        <w:t>LITE) materials continues slowly. Keeping up with contemporary approaches to hermeneutics and other theological disciplines is vital   to all </w:t>
      </w:r>
      <w:r>
        <w:rPr>
          <w:spacing w:val="2"/>
          <w:w w:val="120"/>
          <w:sz w:val="20"/>
        </w:rPr>
        <w:t>TLS </w:t>
      </w:r>
      <w:r>
        <w:rPr>
          <w:w w:val="120"/>
          <w:sz w:val="20"/>
        </w:rPr>
        <w:t>material but the task is a particularly challenging one in LITE, coupled as it is with</w:t>
      </w:r>
      <w:r>
        <w:rPr>
          <w:spacing w:val="3"/>
          <w:w w:val="120"/>
          <w:sz w:val="20"/>
        </w:rPr>
        <w:t> </w:t>
      </w:r>
      <w:r>
        <w:rPr>
          <w:w w:val="120"/>
          <w:sz w:val="20"/>
        </w:rPr>
        <w:t>the</w:t>
      </w:r>
      <w:r>
        <w:rPr>
          <w:spacing w:val="4"/>
          <w:w w:val="120"/>
          <w:sz w:val="20"/>
        </w:rPr>
        <w:t> </w:t>
      </w:r>
      <w:r>
        <w:rPr>
          <w:w w:val="120"/>
          <w:sz w:val="20"/>
        </w:rPr>
        <w:t>need</w:t>
      </w:r>
      <w:r>
        <w:rPr>
          <w:spacing w:val="4"/>
          <w:w w:val="120"/>
          <w:sz w:val="20"/>
        </w:rPr>
        <w:t> </w:t>
      </w:r>
      <w:r>
        <w:rPr>
          <w:w w:val="120"/>
          <w:sz w:val="20"/>
        </w:rPr>
        <w:t>to</w:t>
      </w:r>
      <w:r>
        <w:rPr>
          <w:spacing w:val="4"/>
          <w:w w:val="120"/>
          <w:sz w:val="20"/>
        </w:rPr>
        <w:t> </w:t>
      </w:r>
      <w:r>
        <w:rPr>
          <w:w w:val="120"/>
          <w:sz w:val="20"/>
        </w:rPr>
        <w:t>produce</w:t>
      </w:r>
      <w:r>
        <w:rPr>
          <w:spacing w:val="4"/>
          <w:w w:val="120"/>
          <w:sz w:val="20"/>
        </w:rPr>
        <w:t> </w:t>
      </w:r>
      <w:r>
        <w:rPr>
          <w:w w:val="120"/>
          <w:sz w:val="20"/>
        </w:rPr>
        <w:t>material</w:t>
      </w:r>
      <w:r>
        <w:rPr>
          <w:spacing w:val="4"/>
          <w:w w:val="120"/>
          <w:sz w:val="20"/>
        </w:rPr>
        <w:t> </w:t>
      </w:r>
      <w:r>
        <w:rPr>
          <w:w w:val="120"/>
          <w:sz w:val="20"/>
        </w:rPr>
        <w:t>which</w:t>
      </w:r>
      <w:r>
        <w:rPr>
          <w:spacing w:val="4"/>
          <w:w w:val="120"/>
          <w:sz w:val="20"/>
        </w:rPr>
        <w:t> </w:t>
      </w:r>
      <w:r>
        <w:rPr>
          <w:w w:val="120"/>
          <w:sz w:val="20"/>
        </w:rPr>
        <w:t>may</w:t>
      </w:r>
      <w:r>
        <w:rPr>
          <w:spacing w:val="4"/>
          <w:w w:val="120"/>
          <w:sz w:val="20"/>
        </w:rPr>
        <w:t> </w:t>
      </w:r>
      <w:r>
        <w:rPr>
          <w:w w:val="120"/>
          <w:sz w:val="20"/>
        </w:rPr>
        <w:t>be</w:t>
      </w:r>
      <w:r>
        <w:rPr>
          <w:spacing w:val="4"/>
          <w:w w:val="120"/>
          <w:sz w:val="20"/>
        </w:rPr>
        <w:t> </w:t>
      </w:r>
      <w:r>
        <w:rPr>
          <w:w w:val="120"/>
          <w:sz w:val="20"/>
        </w:rPr>
        <w:t>used</w:t>
      </w:r>
      <w:r>
        <w:rPr>
          <w:spacing w:val="4"/>
          <w:w w:val="120"/>
          <w:sz w:val="20"/>
        </w:rPr>
        <w:t> </w:t>
      </w:r>
      <w:r>
        <w:rPr>
          <w:w w:val="120"/>
          <w:sz w:val="20"/>
        </w:rPr>
        <w:t>at</w:t>
      </w:r>
      <w:r>
        <w:rPr>
          <w:spacing w:val="4"/>
          <w:w w:val="120"/>
          <w:sz w:val="20"/>
        </w:rPr>
        <w:t> </w:t>
      </w:r>
      <w:r>
        <w:rPr>
          <w:w w:val="120"/>
          <w:sz w:val="20"/>
        </w:rPr>
        <w:t>a</w:t>
      </w:r>
      <w:r>
        <w:rPr>
          <w:spacing w:val="4"/>
          <w:w w:val="120"/>
          <w:sz w:val="20"/>
        </w:rPr>
        <w:t> </w:t>
      </w:r>
      <w:r>
        <w:rPr>
          <w:w w:val="120"/>
          <w:sz w:val="20"/>
        </w:rPr>
        <w:t>very</w:t>
      </w:r>
      <w:r>
        <w:rPr>
          <w:spacing w:val="3"/>
          <w:w w:val="120"/>
          <w:sz w:val="20"/>
        </w:rPr>
        <w:t> </w:t>
      </w:r>
      <w:r>
        <w:rPr>
          <w:w w:val="120"/>
          <w:sz w:val="20"/>
        </w:rPr>
        <w:t>basic</w:t>
      </w:r>
      <w:r>
        <w:rPr>
          <w:spacing w:val="4"/>
          <w:w w:val="120"/>
          <w:sz w:val="20"/>
        </w:rPr>
        <w:t> </w:t>
      </w:r>
      <w:r>
        <w:rPr>
          <w:w w:val="120"/>
          <w:sz w:val="20"/>
        </w:rPr>
        <w:t>level.</w:t>
      </w:r>
      <w:r>
        <w:rPr>
          <w:spacing w:val="4"/>
          <w:w w:val="120"/>
          <w:sz w:val="20"/>
        </w:rPr>
        <w:t> </w:t>
      </w:r>
      <w:r>
        <w:rPr>
          <w:w w:val="120"/>
          <w:sz w:val="20"/>
        </w:rPr>
        <w:t>The</w:t>
      </w:r>
      <w:r>
        <w:rPr>
          <w:spacing w:val="4"/>
          <w:w w:val="120"/>
          <w:sz w:val="20"/>
        </w:rPr>
        <w:t> </w:t>
      </w:r>
      <w:r>
        <w:rPr>
          <w:w w:val="120"/>
          <w:sz w:val="20"/>
        </w:rPr>
        <w:t>new</w:t>
      </w:r>
    </w:p>
    <w:p>
      <w:pPr>
        <w:pStyle w:val="BodyText"/>
        <w:spacing w:line="235" w:lineRule="auto" w:before="4"/>
        <w:ind w:left="1984" w:right="1371"/>
        <w:jc w:val="both"/>
      </w:pPr>
      <w:r>
        <w:rPr>
          <w:w w:val="120"/>
        </w:rPr>
        <w:t>module on leading worship is in use and the editorial board is now working on </w:t>
      </w:r>
      <w:r>
        <w:rPr>
          <w:i/>
          <w:w w:val="120"/>
        </w:rPr>
        <w:t>Getting </w:t>
      </w:r>
      <w:r>
        <w:rPr>
          <w:i/>
          <w:w w:val="120"/>
        </w:rPr>
        <w:t>to</w:t>
      </w:r>
      <w:r>
        <w:rPr>
          <w:i/>
          <w:spacing w:val="-10"/>
          <w:w w:val="120"/>
        </w:rPr>
        <w:t> </w:t>
      </w:r>
      <w:r>
        <w:rPr>
          <w:i/>
          <w:w w:val="120"/>
        </w:rPr>
        <w:t>Grips</w:t>
      </w:r>
      <w:r>
        <w:rPr>
          <w:i/>
          <w:spacing w:val="-9"/>
          <w:w w:val="120"/>
        </w:rPr>
        <w:t> </w:t>
      </w:r>
      <w:r>
        <w:rPr>
          <w:i/>
          <w:w w:val="120"/>
        </w:rPr>
        <w:t>with</w:t>
      </w:r>
      <w:r>
        <w:rPr>
          <w:i/>
          <w:spacing w:val="-9"/>
          <w:w w:val="120"/>
        </w:rPr>
        <w:t> </w:t>
      </w:r>
      <w:r>
        <w:rPr>
          <w:i/>
          <w:w w:val="120"/>
        </w:rPr>
        <w:t>the</w:t>
      </w:r>
      <w:r>
        <w:rPr>
          <w:i/>
          <w:spacing w:val="-9"/>
          <w:w w:val="120"/>
        </w:rPr>
        <w:t> </w:t>
      </w:r>
      <w:r>
        <w:rPr>
          <w:i/>
          <w:w w:val="120"/>
        </w:rPr>
        <w:t>Bible</w:t>
      </w:r>
      <w:r>
        <w:rPr>
          <w:w w:val="120"/>
        </w:rPr>
        <w:t>.</w:t>
      </w:r>
      <w:r>
        <w:rPr>
          <w:spacing w:val="-7"/>
          <w:w w:val="120"/>
        </w:rPr>
        <w:t> </w:t>
      </w:r>
      <w:r>
        <w:rPr>
          <w:spacing w:val="2"/>
          <w:w w:val="120"/>
        </w:rPr>
        <w:t>TLS</w:t>
      </w:r>
      <w:r>
        <w:rPr>
          <w:spacing w:val="-6"/>
          <w:w w:val="120"/>
        </w:rPr>
        <w:t> </w:t>
      </w:r>
      <w:r>
        <w:rPr>
          <w:w w:val="120"/>
        </w:rPr>
        <w:t>Staff</w:t>
      </w:r>
      <w:r>
        <w:rPr>
          <w:spacing w:val="-7"/>
          <w:w w:val="120"/>
        </w:rPr>
        <w:t> </w:t>
      </w:r>
      <w:r>
        <w:rPr>
          <w:w w:val="120"/>
        </w:rPr>
        <w:t>are</w:t>
      </w:r>
      <w:r>
        <w:rPr>
          <w:spacing w:val="-7"/>
          <w:w w:val="120"/>
        </w:rPr>
        <w:t> </w:t>
      </w:r>
      <w:r>
        <w:rPr>
          <w:w w:val="120"/>
        </w:rPr>
        <w:t>currently</w:t>
      </w:r>
      <w:r>
        <w:rPr>
          <w:spacing w:val="-6"/>
          <w:w w:val="120"/>
        </w:rPr>
        <w:t> </w:t>
      </w:r>
      <w:r>
        <w:rPr>
          <w:w w:val="120"/>
        </w:rPr>
        <w:t>exploring</w:t>
      </w:r>
      <w:r>
        <w:rPr>
          <w:spacing w:val="-7"/>
          <w:w w:val="120"/>
        </w:rPr>
        <w:t> </w:t>
      </w:r>
      <w:r>
        <w:rPr>
          <w:w w:val="120"/>
        </w:rPr>
        <w:t>how</w:t>
      </w:r>
      <w:r>
        <w:rPr>
          <w:spacing w:val="-6"/>
          <w:w w:val="120"/>
        </w:rPr>
        <w:t> </w:t>
      </w:r>
      <w:r>
        <w:rPr>
          <w:w w:val="120"/>
        </w:rPr>
        <w:t>to</w:t>
      </w:r>
      <w:r>
        <w:rPr>
          <w:spacing w:val="-7"/>
          <w:w w:val="120"/>
        </w:rPr>
        <w:t> </w:t>
      </w:r>
      <w:r>
        <w:rPr>
          <w:w w:val="120"/>
        </w:rPr>
        <w:t>make</w:t>
      </w:r>
      <w:r>
        <w:rPr>
          <w:spacing w:val="-7"/>
          <w:w w:val="120"/>
        </w:rPr>
        <w:t> </w:t>
      </w:r>
      <w:r>
        <w:rPr>
          <w:w w:val="120"/>
        </w:rPr>
        <w:t>LITE</w:t>
      </w:r>
      <w:r>
        <w:rPr>
          <w:spacing w:val="-6"/>
          <w:w w:val="120"/>
        </w:rPr>
        <w:t> </w:t>
      </w:r>
      <w:r>
        <w:rPr>
          <w:w w:val="120"/>
        </w:rPr>
        <w:t>modules</w:t>
      </w:r>
      <w:r>
        <w:rPr>
          <w:spacing w:val="-7"/>
          <w:w w:val="120"/>
        </w:rPr>
        <w:t> </w:t>
      </w:r>
      <w:r>
        <w:rPr>
          <w:w w:val="120"/>
        </w:rPr>
        <w:t>more available and electronic distribution would seem to hold the key to that</w:t>
      </w:r>
      <w:r>
        <w:rPr>
          <w:spacing w:val="45"/>
          <w:w w:val="120"/>
        </w:rPr>
        <w:t> </w:t>
      </w:r>
      <w:r>
        <w:rPr>
          <w:w w:val="120"/>
        </w:rPr>
        <w:t>ambition.</w:t>
      </w:r>
    </w:p>
    <w:p>
      <w:pPr>
        <w:pStyle w:val="BodyText"/>
        <w:spacing w:before="11"/>
        <w:rPr>
          <w:sz w:val="21"/>
        </w:rPr>
      </w:pPr>
    </w:p>
    <w:p>
      <w:pPr>
        <w:pStyle w:val="Heading4"/>
        <w:numPr>
          <w:ilvl w:val="0"/>
          <w:numId w:val="89"/>
        </w:numPr>
        <w:tabs>
          <w:tab w:pos="2664" w:val="left" w:leader="none"/>
          <w:tab w:pos="2665" w:val="left" w:leader="none"/>
        </w:tabs>
        <w:spacing w:line="196" w:lineRule="auto" w:before="0" w:after="0"/>
        <w:ind w:left="2664" w:right="2245" w:hanging="681"/>
        <w:jc w:val="left"/>
      </w:pPr>
      <w:r>
        <w:rPr>
          <w:spacing w:val="5"/>
          <w:w w:val="110"/>
        </w:rPr>
        <w:t>Northern </w:t>
      </w:r>
      <w:r>
        <w:rPr>
          <w:spacing w:val="3"/>
          <w:w w:val="110"/>
        </w:rPr>
        <w:t>College </w:t>
      </w:r>
      <w:r>
        <w:rPr>
          <w:spacing w:val="2"/>
          <w:w w:val="110"/>
        </w:rPr>
        <w:t>(United </w:t>
      </w:r>
      <w:r>
        <w:rPr>
          <w:spacing w:val="4"/>
          <w:w w:val="110"/>
        </w:rPr>
        <w:t>Reformed </w:t>
      </w:r>
      <w:r>
        <w:rPr>
          <w:spacing w:val="3"/>
          <w:w w:val="110"/>
        </w:rPr>
        <w:t>Church and</w:t>
      </w:r>
      <w:r>
        <w:rPr>
          <w:spacing w:val="12"/>
          <w:w w:val="110"/>
        </w:rPr>
        <w:t> </w:t>
      </w:r>
      <w:r>
        <w:rPr>
          <w:spacing w:val="3"/>
          <w:w w:val="110"/>
        </w:rPr>
        <w:t>Congregational)</w:t>
      </w:r>
    </w:p>
    <w:p>
      <w:pPr>
        <w:pStyle w:val="ListParagraph"/>
        <w:numPr>
          <w:ilvl w:val="1"/>
          <w:numId w:val="89"/>
        </w:numPr>
        <w:tabs>
          <w:tab w:pos="2664" w:val="left" w:leader="none"/>
          <w:tab w:pos="2665" w:val="left" w:leader="none"/>
        </w:tabs>
        <w:spacing w:line="235" w:lineRule="auto" w:before="85" w:after="0"/>
        <w:ind w:left="1984" w:right="1259" w:firstLine="0"/>
        <w:jc w:val="left"/>
        <w:rPr>
          <w:sz w:val="20"/>
        </w:rPr>
      </w:pPr>
      <w:r>
        <w:rPr>
          <w:spacing w:val="2"/>
          <w:w w:val="120"/>
          <w:sz w:val="20"/>
        </w:rPr>
        <w:t>Northern </w:t>
      </w:r>
      <w:r>
        <w:rPr>
          <w:w w:val="120"/>
          <w:sz w:val="20"/>
        </w:rPr>
        <w:t>College </w:t>
      </w:r>
      <w:r>
        <w:rPr>
          <w:spacing w:val="-4"/>
          <w:w w:val="120"/>
          <w:sz w:val="20"/>
        </w:rPr>
        <w:t>(NoCo) </w:t>
      </w:r>
      <w:r>
        <w:rPr>
          <w:w w:val="120"/>
          <w:sz w:val="20"/>
        </w:rPr>
        <w:t>continues to develop, both as a resource centre for learning serving the United Reformed Church, and as a constituent college within   Luther King House (LKH) where all our validated teaching and learning takes place in an ecumenical and multi-ethnic</w:t>
      </w:r>
      <w:r>
        <w:rPr>
          <w:spacing w:val="7"/>
          <w:w w:val="120"/>
          <w:sz w:val="20"/>
        </w:rPr>
        <w:t> </w:t>
      </w:r>
      <w:r>
        <w:rPr>
          <w:w w:val="120"/>
          <w:sz w:val="20"/>
        </w:rPr>
        <w:t>environment.</w:t>
      </w:r>
    </w:p>
    <w:p>
      <w:pPr>
        <w:pStyle w:val="BodyText"/>
        <w:spacing w:before="11"/>
        <w:rPr>
          <w:sz w:val="19"/>
        </w:rPr>
      </w:pPr>
    </w:p>
    <w:p>
      <w:pPr>
        <w:pStyle w:val="ListParagraph"/>
        <w:numPr>
          <w:ilvl w:val="1"/>
          <w:numId w:val="89"/>
        </w:numPr>
        <w:tabs>
          <w:tab w:pos="2664" w:val="left" w:leader="none"/>
          <w:tab w:pos="2665" w:val="left" w:leader="none"/>
        </w:tabs>
        <w:spacing w:line="235" w:lineRule="auto" w:before="0" w:after="0"/>
        <w:ind w:left="1984" w:right="1760" w:firstLine="0"/>
        <w:jc w:val="left"/>
        <w:rPr>
          <w:sz w:val="20"/>
        </w:rPr>
      </w:pPr>
      <w:r>
        <w:rPr>
          <w:w w:val="120"/>
          <w:sz w:val="20"/>
        </w:rPr>
        <w:t>LKH continues on a journey, and there is now a sixth constituent college;   we have welcomed the Urban Theology Unit (Sheffield) which will teach modules from</w:t>
      </w:r>
      <w:r>
        <w:rPr>
          <w:spacing w:val="6"/>
          <w:w w:val="120"/>
          <w:sz w:val="20"/>
        </w:rPr>
        <w:t> </w:t>
      </w:r>
      <w:r>
        <w:rPr>
          <w:w w:val="120"/>
          <w:sz w:val="20"/>
        </w:rPr>
        <w:t>the</w:t>
      </w:r>
      <w:r>
        <w:rPr>
          <w:spacing w:val="6"/>
          <w:w w:val="120"/>
          <w:sz w:val="20"/>
        </w:rPr>
        <w:t> </w:t>
      </w:r>
      <w:r>
        <w:rPr>
          <w:w w:val="120"/>
          <w:sz w:val="20"/>
        </w:rPr>
        <w:t>LKH</w:t>
      </w:r>
      <w:r>
        <w:rPr>
          <w:spacing w:val="7"/>
          <w:w w:val="120"/>
          <w:sz w:val="20"/>
        </w:rPr>
        <w:t> </w:t>
      </w:r>
      <w:r>
        <w:rPr>
          <w:w w:val="120"/>
          <w:sz w:val="20"/>
        </w:rPr>
        <w:t>MA</w:t>
      </w:r>
      <w:r>
        <w:rPr>
          <w:spacing w:val="6"/>
          <w:w w:val="120"/>
          <w:sz w:val="20"/>
        </w:rPr>
        <w:t> </w:t>
      </w:r>
      <w:r>
        <w:rPr>
          <w:w w:val="120"/>
          <w:sz w:val="20"/>
        </w:rPr>
        <w:t>in</w:t>
      </w:r>
      <w:r>
        <w:rPr>
          <w:spacing w:val="7"/>
          <w:w w:val="120"/>
          <w:sz w:val="20"/>
        </w:rPr>
        <w:t> </w:t>
      </w:r>
      <w:r>
        <w:rPr>
          <w:w w:val="120"/>
          <w:sz w:val="20"/>
        </w:rPr>
        <w:t>contextual</w:t>
      </w:r>
      <w:r>
        <w:rPr>
          <w:spacing w:val="6"/>
          <w:w w:val="120"/>
          <w:sz w:val="20"/>
        </w:rPr>
        <w:t> </w:t>
      </w:r>
      <w:r>
        <w:rPr>
          <w:w w:val="120"/>
          <w:sz w:val="20"/>
        </w:rPr>
        <w:t>theology</w:t>
      </w:r>
      <w:r>
        <w:rPr>
          <w:spacing w:val="7"/>
          <w:w w:val="120"/>
          <w:sz w:val="20"/>
        </w:rPr>
        <w:t> </w:t>
      </w:r>
      <w:r>
        <w:rPr>
          <w:w w:val="120"/>
          <w:sz w:val="20"/>
        </w:rPr>
        <w:t>and</w:t>
      </w:r>
      <w:r>
        <w:rPr>
          <w:spacing w:val="6"/>
          <w:w w:val="120"/>
          <w:sz w:val="20"/>
        </w:rPr>
        <w:t> </w:t>
      </w:r>
      <w:r>
        <w:rPr>
          <w:w w:val="120"/>
          <w:sz w:val="20"/>
        </w:rPr>
        <w:t>bring</w:t>
      </w:r>
      <w:r>
        <w:rPr>
          <w:spacing w:val="7"/>
          <w:w w:val="120"/>
          <w:sz w:val="20"/>
        </w:rPr>
        <w:t> </w:t>
      </w:r>
      <w:r>
        <w:rPr>
          <w:w w:val="120"/>
          <w:sz w:val="20"/>
        </w:rPr>
        <w:t>a</w:t>
      </w:r>
      <w:r>
        <w:rPr>
          <w:spacing w:val="6"/>
          <w:w w:val="120"/>
          <w:sz w:val="20"/>
        </w:rPr>
        <w:t> </w:t>
      </w:r>
      <w:r>
        <w:rPr>
          <w:w w:val="120"/>
          <w:sz w:val="20"/>
        </w:rPr>
        <w:t>number</w:t>
      </w:r>
      <w:r>
        <w:rPr>
          <w:spacing w:val="6"/>
          <w:w w:val="120"/>
          <w:sz w:val="20"/>
        </w:rPr>
        <w:t> </w:t>
      </w:r>
      <w:r>
        <w:rPr>
          <w:w w:val="120"/>
          <w:sz w:val="20"/>
        </w:rPr>
        <w:t>of</w:t>
      </w:r>
      <w:r>
        <w:rPr>
          <w:spacing w:val="7"/>
          <w:w w:val="120"/>
          <w:sz w:val="20"/>
        </w:rPr>
        <w:t> </w:t>
      </w:r>
      <w:r>
        <w:rPr>
          <w:w w:val="120"/>
          <w:sz w:val="20"/>
        </w:rPr>
        <w:t>research</w:t>
      </w:r>
      <w:r>
        <w:rPr>
          <w:spacing w:val="6"/>
          <w:w w:val="120"/>
          <w:sz w:val="20"/>
        </w:rPr>
        <w:t> </w:t>
      </w:r>
      <w:r>
        <w:rPr>
          <w:w w:val="120"/>
          <w:sz w:val="20"/>
        </w:rPr>
        <w:t>students.</w:t>
      </w:r>
    </w:p>
    <w:p>
      <w:pPr>
        <w:pStyle w:val="BodyText"/>
        <w:spacing w:line="235" w:lineRule="auto" w:before="3"/>
        <w:ind w:left="1984" w:right="1414"/>
      </w:pPr>
      <w:r>
        <w:rPr>
          <w:w w:val="120"/>
        </w:rPr>
        <w:t>Its director, Noel Irwin, is also teaching at LKH. We have completed the withdrawal from the Southern North-West Training Partnership and the Chester undergraduate qualifications; all validation is now through Manchester University, which is supportive of our work and development. Further links are being developed with the Black</w:t>
      </w:r>
    </w:p>
    <w:p>
      <w:pPr>
        <w:pStyle w:val="BodyText"/>
        <w:spacing w:line="235" w:lineRule="auto" w:before="3"/>
        <w:ind w:left="1984" w:right="1414"/>
      </w:pPr>
      <w:r>
        <w:rPr>
          <w:w w:val="120"/>
        </w:rPr>
        <w:t>and minority ethnic churches in the Greater Manchester area. Open College, which welcomes students from many denominations and from many countries, continues to grow and to enrich the community of LKH, which has ‘highly trusted’ status and can  thus grant visas to overseas students. The sadness is the withdrawal of the Methodist College, which will be complete by the summer of </w:t>
      </w:r>
      <w:r>
        <w:rPr>
          <w:spacing w:val="-7"/>
          <w:w w:val="120"/>
        </w:rPr>
        <w:t>2015.  </w:t>
      </w:r>
      <w:r>
        <w:rPr>
          <w:w w:val="120"/>
        </w:rPr>
        <w:t>We feel privileged to be </w:t>
      </w:r>
      <w:r>
        <w:rPr>
          <w:spacing w:val="2"/>
          <w:w w:val="120"/>
        </w:rPr>
        <w:t>part  </w:t>
      </w:r>
      <w:r>
        <w:rPr>
          <w:w w:val="120"/>
        </w:rPr>
        <w:t>of the multi-denominational, multi-cultural, and multi-ethnic learning and worshipping community here in Manchester. We gain so much from each other and it is a delight to be </w:t>
      </w:r>
      <w:r>
        <w:rPr>
          <w:spacing w:val="2"/>
          <w:w w:val="120"/>
        </w:rPr>
        <w:t>part </w:t>
      </w:r>
      <w:r>
        <w:rPr>
          <w:w w:val="120"/>
        </w:rPr>
        <w:t>of the mutual support across the</w:t>
      </w:r>
      <w:r>
        <w:rPr>
          <w:spacing w:val="16"/>
          <w:w w:val="120"/>
        </w:rPr>
        <w:t> </w:t>
      </w:r>
      <w:r>
        <w:rPr>
          <w:w w:val="120"/>
        </w:rPr>
        <w:t>colleges.</w:t>
      </w:r>
    </w:p>
    <w:p>
      <w:pPr>
        <w:pStyle w:val="BodyText"/>
        <w:spacing w:before="1"/>
      </w:pPr>
    </w:p>
    <w:p>
      <w:pPr>
        <w:pStyle w:val="ListParagraph"/>
        <w:numPr>
          <w:ilvl w:val="1"/>
          <w:numId w:val="89"/>
        </w:numPr>
        <w:tabs>
          <w:tab w:pos="2664" w:val="left" w:leader="none"/>
          <w:tab w:pos="2665" w:val="left" w:leader="none"/>
        </w:tabs>
        <w:spacing w:line="235" w:lineRule="auto" w:before="0" w:after="0"/>
        <w:ind w:left="1984" w:right="2084" w:firstLine="0"/>
        <w:jc w:val="left"/>
        <w:rPr>
          <w:sz w:val="20"/>
        </w:rPr>
      </w:pPr>
      <w:r>
        <w:rPr>
          <w:w w:val="120"/>
          <w:sz w:val="20"/>
        </w:rPr>
        <w:t>Graham Adams has now joined the staff of NoCo and is the tutor in  world Christianity (including mission studies) and world faiths within LKH. He     is</w:t>
      </w:r>
      <w:r>
        <w:rPr>
          <w:spacing w:val="7"/>
          <w:w w:val="120"/>
          <w:sz w:val="20"/>
        </w:rPr>
        <w:t> </w:t>
      </w:r>
      <w:r>
        <w:rPr>
          <w:w w:val="120"/>
          <w:sz w:val="20"/>
        </w:rPr>
        <w:t>a</w:t>
      </w:r>
      <w:r>
        <w:rPr>
          <w:spacing w:val="7"/>
          <w:w w:val="120"/>
          <w:sz w:val="20"/>
        </w:rPr>
        <w:t> </w:t>
      </w:r>
      <w:r>
        <w:rPr>
          <w:w w:val="120"/>
          <w:sz w:val="20"/>
        </w:rPr>
        <w:t>Congregational</w:t>
      </w:r>
      <w:r>
        <w:rPr>
          <w:spacing w:val="7"/>
          <w:w w:val="120"/>
          <w:sz w:val="20"/>
        </w:rPr>
        <w:t> </w:t>
      </w:r>
      <w:r>
        <w:rPr>
          <w:w w:val="120"/>
          <w:sz w:val="20"/>
        </w:rPr>
        <w:t>Federation</w:t>
      </w:r>
      <w:r>
        <w:rPr>
          <w:spacing w:val="8"/>
          <w:w w:val="120"/>
          <w:sz w:val="20"/>
        </w:rPr>
        <w:t> </w:t>
      </w:r>
      <w:r>
        <w:rPr>
          <w:w w:val="120"/>
          <w:sz w:val="20"/>
        </w:rPr>
        <w:t>minister</w:t>
      </w:r>
      <w:r>
        <w:rPr>
          <w:spacing w:val="7"/>
          <w:w w:val="120"/>
          <w:sz w:val="20"/>
        </w:rPr>
        <w:t> </w:t>
      </w:r>
      <w:r>
        <w:rPr>
          <w:w w:val="120"/>
          <w:sz w:val="20"/>
        </w:rPr>
        <w:t>and</w:t>
      </w:r>
      <w:r>
        <w:rPr>
          <w:spacing w:val="7"/>
          <w:w w:val="120"/>
          <w:sz w:val="20"/>
        </w:rPr>
        <w:t> </w:t>
      </w:r>
      <w:r>
        <w:rPr>
          <w:w w:val="120"/>
          <w:sz w:val="20"/>
        </w:rPr>
        <w:t>we</w:t>
      </w:r>
      <w:r>
        <w:rPr>
          <w:spacing w:val="7"/>
          <w:w w:val="120"/>
          <w:sz w:val="20"/>
        </w:rPr>
        <w:t> </w:t>
      </w:r>
      <w:r>
        <w:rPr>
          <w:w w:val="120"/>
          <w:sz w:val="20"/>
        </w:rPr>
        <w:t>are</w:t>
      </w:r>
      <w:r>
        <w:rPr>
          <w:spacing w:val="8"/>
          <w:w w:val="120"/>
          <w:sz w:val="20"/>
        </w:rPr>
        <w:t> </w:t>
      </w:r>
      <w:r>
        <w:rPr>
          <w:w w:val="120"/>
          <w:sz w:val="20"/>
        </w:rPr>
        <w:t>delighted</w:t>
      </w:r>
      <w:r>
        <w:rPr>
          <w:spacing w:val="7"/>
          <w:w w:val="120"/>
          <w:sz w:val="20"/>
        </w:rPr>
        <w:t> </w:t>
      </w:r>
      <w:r>
        <w:rPr>
          <w:w w:val="120"/>
          <w:sz w:val="20"/>
        </w:rPr>
        <w:t>to</w:t>
      </w:r>
      <w:r>
        <w:rPr>
          <w:spacing w:val="7"/>
          <w:w w:val="120"/>
          <w:sz w:val="20"/>
        </w:rPr>
        <w:t> </w:t>
      </w:r>
      <w:r>
        <w:rPr>
          <w:w w:val="120"/>
          <w:sz w:val="20"/>
        </w:rPr>
        <w:t>strengthen</w:t>
      </w:r>
      <w:r>
        <w:rPr>
          <w:spacing w:val="8"/>
          <w:w w:val="120"/>
          <w:sz w:val="20"/>
        </w:rPr>
        <w:t> </w:t>
      </w:r>
      <w:r>
        <w:rPr>
          <w:w w:val="120"/>
          <w:sz w:val="20"/>
        </w:rPr>
        <w:t>our</w:t>
      </w:r>
    </w:p>
    <w:p>
      <w:pPr>
        <w:pStyle w:val="BodyText"/>
        <w:spacing w:line="235" w:lineRule="auto" w:before="3"/>
        <w:ind w:left="1984" w:right="1301"/>
      </w:pPr>
      <w:r>
        <w:rPr>
          <w:w w:val="120"/>
        </w:rPr>
        <w:t>relationship with the Federation. We also welcome the experience Graham brings, not only in his subject areas, but also of helping to develop the Federation’s own ministerial training course. Christine Jones has completed new work on all the CRCW modules</w:t>
      </w:r>
    </w:p>
    <w:p>
      <w:pPr>
        <w:pStyle w:val="BodyText"/>
        <w:spacing w:line="235" w:lineRule="auto" w:before="2"/>
        <w:ind w:left="1984" w:right="1521"/>
      </w:pPr>
      <w:r>
        <w:rPr>
          <w:w w:val="120"/>
        </w:rPr>
        <w:t>and introduced fresh areas of study. The English Standards Board </w:t>
      </w:r>
      <w:r>
        <w:rPr>
          <w:spacing w:val="-3"/>
          <w:w w:val="120"/>
        </w:rPr>
        <w:t>(which </w:t>
      </w:r>
      <w:r>
        <w:rPr>
          <w:w w:val="120"/>
        </w:rPr>
        <w:t>validates the CRCW modules for a qualification in community work) revalidated all the modules, and Christine’s work was affirmed as creative, innovative and a benchmark for other institutions. Rosalind Selby has taken up her post as principal, and teaches</w:t>
      </w:r>
      <w:r>
        <w:rPr>
          <w:spacing w:val="23"/>
          <w:w w:val="120"/>
        </w:rPr>
        <w:t> </w:t>
      </w:r>
      <w:r>
        <w:rPr>
          <w:w w:val="120"/>
        </w:rPr>
        <w:t>within</w:t>
      </w:r>
    </w:p>
    <w:p>
      <w:pPr>
        <w:pStyle w:val="BodyText"/>
        <w:spacing w:line="235" w:lineRule="auto" w:before="3"/>
        <w:ind w:left="1984" w:right="1352"/>
      </w:pPr>
      <w:r>
        <w:rPr>
          <w:w w:val="120"/>
        </w:rPr>
        <w:t>the biblical team at BA and MA level, with a particular interest in reading the Bible ecologically. Kathy White continues to teach the Hebrew Bible; she also developed an MA course, enquiry based learning, giving students creative opportunities to work with the book of Jonah. Those who joined the college after Kathy have been grateful for the advice and continuity she has brought. Our administrator, Christine Thornborough, played an important part in the work on means testing for future EM1 students which will benefit all URC students. We are grateful for all she does to support us.</w:t>
      </w:r>
    </w:p>
    <w:p>
      <w:pPr>
        <w:pStyle w:val="BodyText"/>
        <w:spacing w:before="1"/>
      </w:pPr>
    </w:p>
    <w:p>
      <w:pPr>
        <w:pStyle w:val="ListParagraph"/>
        <w:numPr>
          <w:ilvl w:val="1"/>
          <w:numId w:val="89"/>
        </w:numPr>
        <w:tabs>
          <w:tab w:pos="2665" w:val="left" w:leader="none"/>
        </w:tabs>
        <w:spacing w:line="235" w:lineRule="auto" w:before="0" w:after="0"/>
        <w:ind w:left="1984" w:right="1451" w:firstLine="0"/>
        <w:jc w:val="both"/>
        <w:rPr>
          <w:sz w:val="20"/>
        </w:rPr>
      </w:pPr>
      <w:r>
        <w:rPr>
          <w:w w:val="120"/>
          <w:sz w:val="20"/>
        </w:rPr>
        <w:t>NoCo continues to offer flexible pathways to students training midweek and at weekends, with modules also available in blocks at different points in the </w:t>
      </w:r>
      <w:r>
        <w:rPr>
          <w:spacing w:val="-4"/>
          <w:w w:val="120"/>
          <w:sz w:val="20"/>
        </w:rPr>
        <w:t>year. </w:t>
      </w:r>
      <w:r>
        <w:rPr>
          <w:w w:val="120"/>
          <w:sz w:val="20"/>
        </w:rPr>
        <w:t>Several students moved from weekend to midweek, or vice versa, and even back</w:t>
      </w:r>
      <w:r>
        <w:rPr>
          <w:spacing w:val="42"/>
          <w:w w:val="120"/>
          <w:sz w:val="20"/>
        </w:rPr>
        <w:t> </w:t>
      </w:r>
      <w:r>
        <w:rPr>
          <w:w w:val="120"/>
          <w:sz w:val="20"/>
        </w:rPr>
        <w:t>again.</w:t>
      </w:r>
    </w:p>
    <w:p>
      <w:pPr>
        <w:pStyle w:val="BodyText"/>
        <w:spacing w:before="10"/>
        <w:rPr>
          <w:sz w:val="19"/>
        </w:rPr>
      </w:pPr>
    </w:p>
    <w:p>
      <w:pPr>
        <w:pStyle w:val="ListParagraph"/>
        <w:numPr>
          <w:ilvl w:val="1"/>
          <w:numId w:val="89"/>
        </w:numPr>
        <w:tabs>
          <w:tab w:pos="2664" w:val="left" w:leader="none"/>
          <w:tab w:pos="2665" w:val="left" w:leader="none"/>
        </w:tabs>
        <w:spacing w:line="235" w:lineRule="auto" w:before="0" w:after="0"/>
        <w:ind w:left="1984" w:right="1348" w:firstLine="0"/>
        <w:jc w:val="left"/>
        <w:rPr>
          <w:sz w:val="20"/>
        </w:rPr>
      </w:pPr>
      <w:r>
        <w:rPr>
          <w:w w:val="120"/>
          <w:sz w:val="20"/>
        </w:rPr>
        <w:t>All tutors work hard to liaise with local synods and preach and lead sessions at Synod meetings or local churches as we are invited to do so. We have participated in short courses, lectures and events at LKH which attract participants from many local churches, both URC and ecumenical. The LKH spring </w:t>
      </w:r>
      <w:r>
        <w:rPr>
          <w:spacing w:val="-7"/>
          <w:w w:val="120"/>
          <w:sz w:val="20"/>
        </w:rPr>
        <w:t>2014 </w:t>
      </w:r>
      <w:r>
        <w:rPr>
          <w:w w:val="120"/>
          <w:sz w:val="20"/>
        </w:rPr>
        <w:t>local preachers’ conference, largely driven by NoCo, is on the theme of preaching for</w:t>
      </w:r>
      <w:r>
        <w:rPr>
          <w:spacing w:val="35"/>
          <w:w w:val="120"/>
          <w:sz w:val="20"/>
        </w:rPr>
        <w:t> </w:t>
      </w:r>
      <w:r>
        <w:rPr>
          <w:w w:val="120"/>
          <w:sz w:val="20"/>
        </w:rPr>
        <w:t>Pentecost.</w:t>
      </w:r>
    </w:p>
    <w:p>
      <w:pPr>
        <w:spacing w:after="0" w:line="235" w:lineRule="auto"/>
        <w:jc w:val="left"/>
        <w:rPr>
          <w:sz w:val="20"/>
        </w:rPr>
        <w:sectPr>
          <w:headerReference w:type="default" r:id="rId379"/>
          <w:pgSz w:w="11910" w:h="16840"/>
          <w:pgMar w:header="0" w:footer="647" w:top="0" w:bottom="840" w:left="0" w:right="0"/>
        </w:sectPr>
      </w:pPr>
    </w:p>
    <w:p>
      <w:pPr>
        <w:pStyle w:val="BodyText"/>
      </w:pPr>
      <w:r>
        <w:rPr/>
        <w:drawing>
          <wp:anchor distT="0" distB="0" distL="0" distR="0" allowOverlap="1" layoutInCell="1" locked="0" behindDoc="0" simplePos="0" relativeHeight="252082176">
            <wp:simplePos x="0" y="0"/>
            <wp:positionH relativeFrom="page">
              <wp:posOffset>0</wp:posOffset>
            </wp:positionH>
            <wp:positionV relativeFrom="page">
              <wp:posOffset>0</wp:posOffset>
            </wp:positionV>
            <wp:extent cx="594067" cy="10692003"/>
            <wp:effectExtent l="0" t="0" r="0" b="0"/>
            <wp:wrapNone/>
            <wp:docPr id="305" name="image32.png"/>
            <wp:cNvGraphicFramePr>
              <a:graphicFrameLocks noChangeAspect="1"/>
            </wp:cNvGraphicFramePr>
            <a:graphic>
              <a:graphicData uri="http://schemas.openxmlformats.org/drawingml/2006/picture">
                <pic:pic>
                  <pic:nvPicPr>
                    <pic:cNvPr id="306" name="image32.png"/>
                    <pic:cNvPicPr/>
                  </pic:nvPicPr>
                  <pic:blipFill>
                    <a:blip r:embed="rId362"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shape style="position:absolute;margin-left:20.519100pt;margin-top:22.593945pt;width:25.9pt;height:237.55pt;mso-position-horizontal-relative:page;mso-position-vertical-relative:paragraph;z-index:252083200" type="#_x0000_t202" filled="false" stroked="false">
            <v:textbox inset="0,0,0,0" style="layout-flow:vertical">
              <w:txbxContent>
                <w:p>
                  <w:pPr>
                    <w:spacing w:before="27"/>
                    <w:ind w:left="20" w:right="0" w:firstLine="0"/>
                    <w:jc w:val="left"/>
                    <w:rPr>
                      <w:sz w:val="39"/>
                    </w:rPr>
                  </w:pPr>
                  <w:r>
                    <w:rPr>
                      <w:color w:val="FFFFFF"/>
                      <w:w w:val="120"/>
                      <w:sz w:val="39"/>
                    </w:rPr>
                    <w:t>Education and learning</w:t>
                  </w:r>
                </w:p>
              </w:txbxContent>
            </v:textbox>
            <w10:wrap type="none"/>
          </v:shape>
        </w:pict>
      </w:r>
      <w:r>
        <w:rPr>
          <w:color w:val="7EAABF"/>
          <w:w w:val="115"/>
        </w:rPr>
        <w:t>Education and learning</w:t>
      </w:r>
    </w:p>
    <w:p>
      <w:pPr>
        <w:pStyle w:val="Heading9"/>
        <w:spacing w:line="240" w:lineRule="auto" w:before="205"/>
        <w:ind w:left="1247" w:firstLine="0"/>
        <w:rPr>
          <w:rFonts w:ascii="Stone Sans II ITC Std X Bd"/>
          <w:b/>
        </w:rPr>
      </w:pPr>
      <w:r>
        <w:rPr>
          <w:rFonts w:ascii="Stone Sans II ITC Std X Bd"/>
          <w:b/>
          <w:w w:val="110"/>
        </w:rPr>
        <w:t>Looking forwards:</w:t>
      </w:r>
    </w:p>
    <w:p>
      <w:pPr>
        <w:pStyle w:val="BodyText"/>
        <w:spacing w:before="10"/>
        <w:rPr>
          <w:rFonts w:ascii="Stone Sans II ITC Std X Bd"/>
          <w:b/>
          <w:sz w:val="16"/>
        </w:rPr>
      </w:pPr>
    </w:p>
    <w:p>
      <w:pPr>
        <w:pStyle w:val="ListParagraph"/>
        <w:numPr>
          <w:ilvl w:val="1"/>
          <w:numId w:val="89"/>
        </w:numPr>
        <w:tabs>
          <w:tab w:pos="1927" w:val="left" w:leader="none"/>
          <w:tab w:pos="1928" w:val="left" w:leader="none"/>
        </w:tabs>
        <w:spacing w:line="235" w:lineRule="auto" w:before="0" w:after="0"/>
        <w:ind w:left="1247" w:right="2100" w:firstLine="0"/>
        <w:jc w:val="left"/>
        <w:rPr>
          <w:sz w:val="20"/>
        </w:rPr>
      </w:pPr>
      <w:r>
        <w:rPr>
          <w:w w:val="120"/>
          <w:sz w:val="20"/>
        </w:rPr>
        <w:t>We live in challenging times for the denomination, with experiences of falling numbers, many congregations with an ageing profile, and most of us facing financial problems. The United Reformed Church is not alone, with other denominations having to make tough choices around training too. There is work to be</w:t>
      </w:r>
      <w:r>
        <w:rPr>
          <w:spacing w:val="37"/>
          <w:w w:val="120"/>
          <w:sz w:val="20"/>
        </w:rPr>
        <w:t> </w:t>
      </w:r>
      <w:r>
        <w:rPr>
          <w:w w:val="120"/>
          <w:sz w:val="20"/>
        </w:rPr>
        <w:t>done.</w:t>
      </w:r>
    </w:p>
    <w:p>
      <w:pPr>
        <w:pStyle w:val="BodyText"/>
        <w:spacing w:before="11"/>
        <w:rPr>
          <w:sz w:val="19"/>
        </w:rPr>
      </w:pPr>
    </w:p>
    <w:p>
      <w:pPr>
        <w:pStyle w:val="ListParagraph"/>
        <w:numPr>
          <w:ilvl w:val="1"/>
          <w:numId w:val="89"/>
        </w:numPr>
        <w:tabs>
          <w:tab w:pos="1927" w:val="left" w:leader="none"/>
          <w:tab w:pos="1928" w:val="left" w:leader="none"/>
        </w:tabs>
        <w:spacing w:line="235" w:lineRule="auto" w:before="0" w:after="0"/>
        <w:ind w:left="1247" w:right="2298" w:firstLine="0"/>
        <w:jc w:val="left"/>
        <w:rPr>
          <w:sz w:val="20"/>
        </w:rPr>
      </w:pPr>
      <w:r>
        <w:rPr>
          <w:spacing w:val="3"/>
          <w:w w:val="120"/>
          <w:sz w:val="20"/>
        </w:rPr>
        <w:t>As </w:t>
      </w:r>
      <w:r>
        <w:rPr>
          <w:w w:val="120"/>
          <w:sz w:val="20"/>
        </w:rPr>
        <w:t>the United Reformed Church considers its nature in the future there will be a profound effect on how it perceives ministry and its needs for a new generation of church leadership. That in turn will have consequences for the way we train people for ordained, commissioned or lay ministry, and prioritising will not be easy. The   new NoCo staff team and the governing body are working together to find the opportunities in the challenges and to respond to the new directions in which the Holy Spirit is leading us. </w:t>
      </w:r>
      <w:r>
        <w:rPr>
          <w:spacing w:val="-3"/>
          <w:w w:val="120"/>
          <w:sz w:val="20"/>
        </w:rPr>
        <w:t>Yes, </w:t>
      </w:r>
      <w:r>
        <w:rPr>
          <w:w w:val="120"/>
          <w:sz w:val="20"/>
        </w:rPr>
        <w:t>those challenges are huge, but we feel that we are well- placed to</w:t>
      </w:r>
      <w:r>
        <w:rPr>
          <w:spacing w:val="4"/>
          <w:w w:val="120"/>
          <w:sz w:val="20"/>
        </w:rPr>
        <w:t> </w:t>
      </w:r>
      <w:r>
        <w:rPr>
          <w:w w:val="120"/>
          <w:sz w:val="20"/>
        </w:rPr>
        <w:t>respond.</w:t>
      </w:r>
    </w:p>
    <w:p>
      <w:pPr>
        <w:pStyle w:val="BodyText"/>
        <w:spacing w:before="1"/>
      </w:pPr>
    </w:p>
    <w:p>
      <w:pPr>
        <w:pStyle w:val="ListParagraph"/>
        <w:numPr>
          <w:ilvl w:val="1"/>
          <w:numId w:val="89"/>
        </w:numPr>
        <w:tabs>
          <w:tab w:pos="1927" w:val="left" w:leader="none"/>
          <w:tab w:pos="1928" w:val="left" w:leader="none"/>
        </w:tabs>
        <w:spacing w:line="235" w:lineRule="auto" w:before="1" w:after="0"/>
        <w:ind w:left="1247" w:right="2039" w:firstLine="0"/>
        <w:jc w:val="left"/>
        <w:rPr>
          <w:sz w:val="20"/>
        </w:rPr>
      </w:pPr>
      <w:r>
        <w:rPr>
          <w:w w:val="120"/>
          <w:sz w:val="20"/>
        </w:rPr>
        <w:t>At LKH, NoCo staff are participating in discussions which will open up new learning opportunities. The CRCW modules work at the cutting edge of ministry and  LKH is making these available to all by integrating them into the main timetable. </w:t>
      </w:r>
      <w:r>
        <w:rPr>
          <w:spacing w:val="-3"/>
          <w:w w:val="120"/>
          <w:sz w:val="20"/>
        </w:rPr>
        <w:t>Taking </w:t>
      </w:r>
      <w:r>
        <w:rPr>
          <w:w w:val="120"/>
          <w:sz w:val="20"/>
        </w:rPr>
        <w:t>that into consideration, NoCo is able to guide students along a pathway for pioneer ministry (terminology covering Fresh Expressions and missional ministries preferred by different</w:t>
      </w:r>
      <w:r>
        <w:rPr>
          <w:spacing w:val="-4"/>
          <w:w w:val="120"/>
          <w:sz w:val="20"/>
        </w:rPr>
        <w:t> </w:t>
      </w:r>
      <w:r>
        <w:rPr>
          <w:w w:val="120"/>
          <w:sz w:val="20"/>
        </w:rPr>
        <w:t>denominations).</w:t>
      </w:r>
      <w:r>
        <w:rPr>
          <w:spacing w:val="-3"/>
          <w:w w:val="120"/>
          <w:sz w:val="20"/>
        </w:rPr>
        <w:t> </w:t>
      </w:r>
      <w:r>
        <w:rPr>
          <w:spacing w:val="3"/>
          <w:w w:val="120"/>
          <w:sz w:val="20"/>
        </w:rPr>
        <w:t>As</w:t>
      </w:r>
      <w:r>
        <w:rPr>
          <w:spacing w:val="-4"/>
          <w:w w:val="120"/>
          <w:sz w:val="20"/>
        </w:rPr>
        <w:t> </w:t>
      </w:r>
      <w:r>
        <w:rPr>
          <w:w w:val="120"/>
          <w:sz w:val="20"/>
        </w:rPr>
        <w:t>all</w:t>
      </w:r>
      <w:r>
        <w:rPr>
          <w:spacing w:val="-3"/>
          <w:w w:val="120"/>
          <w:sz w:val="20"/>
        </w:rPr>
        <w:t> </w:t>
      </w:r>
      <w:r>
        <w:rPr>
          <w:w w:val="120"/>
          <w:sz w:val="20"/>
        </w:rPr>
        <w:t>courses</w:t>
      </w:r>
      <w:r>
        <w:rPr>
          <w:spacing w:val="-3"/>
          <w:w w:val="120"/>
          <w:sz w:val="20"/>
        </w:rPr>
        <w:t> </w:t>
      </w:r>
      <w:r>
        <w:rPr>
          <w:w w:val="120"/>
          <w:sz w:val="20"/>
        </w:rPr>
        <w:t>are</w:t>
      </w:r>
      <w:r>
        <w:rPr>
          <w:spacing w:val="-4"/>
          <w:w w:val="120"/>
          <w:sz w:val="20"/>
        </w:rPr>
        <w:t> </w:t>
      </w:r>
      <w:r>
        <w:rPr>
          <w:w w:val="120"/>
          <w:sz w:val="20"/>
        </w:rPr>
        <w:t>available</w:t>
      </w:r>
      <w:r>
        <w:rPr>
          <w:spacing w:val="-3"/>
          <w:w w:val="120"/>
          <w:sz w:val="20"/>
        </w:rPr>
        <w:t> </w:t>
      </w:r>
      <w:r>
        <w:rPr>
          <w:w w:val="120"/>
          <w:sz w:val="20"/>
        </w:rPr>
        <w:t>to</w:t>
      </w:r>
      <w:r>
        <w:rPr>
          <w:spacing w:val="-3"/>
          <w:w w:val="120"/>
          <w:sz w:val="20"/>
        </w:rPr>
        <w:t> </w:t>
      </w:r>
      <w:r>
        <w:rPr>
          <w:w w:val="120"/>
          <w:sz w:val="20"/>
        </w:rPr>
        <w:t>those</w:t>
      </w:r>
      <w:r>
        <w:rPr>
          <w:spacing w:val="-4"/>
          <w:w w:val="120"/>
          <w:sz w:val="20"/>
        </w:rPr>
        <w:t> </w:t>
      </w:r>
      <w:r>
        <w:rPr>
          <w:w w:val="120"/>
          <w:sz w:val="20"/>
        </w:rPr>
        <w:t>training</w:t>
      </w:r>
      <w:r>
        <w:rPr>
          <w:spacing w:val="-3"/>
          <w:w w:val="120"/>
          <w:sz w:val="20"/>
        </w:rPr>
        <w:t> </w:t>
      </w:r>
      <w:r>
        <w:rPr>
          <w:w w:val="120"/>
          <w:sz w:val="20"/>
        </w:rPr>
        <w:t>for</w:t>
      </w:r>
      <w:r>
        <w:rPr>
          <w:spacing w:val="-4"/>
          <w:w w:val="120"/>
          <w:sz w:val="20"/>
        </w:rPr>
        <w:t> </w:t>
      </w:r>
      <w:r>
        <w:rPr>
          <w:w w:val="120"/>
          <w:sz w:val="20"/>
        </w:rPr>
        <w:t>lay</w:t>
      </w:r>
      <w:r>
        <w:rPr>
          <w:spacing w:val="-3"/>
          <w:w w:val="120"/>
          <w:sz w:val="20"/>
        </w:rPr>
        <w:t> </w:t>
      </w:r>
      <w:r>
        <w:rPr>
          <w:w w:val="120"/>
          <w:sz w:val="20"/>
        </w:rPr>
        <w:t>ministry</w:t>
      </w:r>
      <w:r>
        <w:rPr>
          <w:spacing w:val="-3"/>
          <w:w w:val="120"/>
          <w:sz w:val="20"/>
        </w:rPr>
        <w:t> </w:t>
      </w:r>
      <w:r>
        <w:rPr>
          <w:w w:val="120"/>
          <w:sz w:val="20"/>
        </w:rPr>
        <w:t>as well as for ordained or commissioned ministry, we see this as an exciting development and potential tool for the future within the United Reformed</w:t>
      </w:r>
      <w:r>
        <w:rPr>
          <w:spacing w:val="21"/>
          <w:w w:val="120"/>
          <w:sz w:val="20"/>
        </w:rPr>
        <w:t> </w:t>
      </w:r>
      <w:r>
        <w:rPr>
          <w:w w:val="120"/>
          <w:sz w:val="20"/>
        </w:rPr>
        <w:t>Church.</w:t>
      </w:r>
    </w:p>
    <w:p>
      <w:pPr>
        <w:pStyle w:val="BodyText"/>
        <w:spacing w:before="1"/>
      </w:pPr>
    </w:p>
    <w:p>
      <w:pPr>
        <w:pStyle w:val="ListParagraph"/>
        <w:numPr>
          <w:ilvl w:val="1"/>
          <w:numId w:val="89"/>
        </w:numPr>
        <w:tabs>
          <w:tab w:pos="1927" w:val="left" w:leader="none"/>
          <w:tab w:pos="1928" w:val="left" w:leader="none"/>
        </w:tabs>
        <w:spacing w:line="235" w:lineRule="auto" w:before="0" w:after="0"/>
        <w:ind w:left="1247" w:right="2159" w:firstLine="0"/>
        <w:jc w:val="left"/>
        <w:rPr>
          <w:sz w:val="20"/>
        </w:rPr>
      </w:pPr>
      <w:r>
        <w:rPr>
          <w:w w:val="120"/>
          <w:sz w:val="20"/>
        </w:rPr>
        <w:t>We see a potential to increase the flexibility we already offer with a mixed mode of full-time and part-time training over the period of time recommended by    the assessment board for an individual student. We know that further integration of work across the RCLs, </w:t>
      </w:r>
      <w:r>
        <w:rPr>
          <w:spacing w:val="2"/>
          <w:w w:val="120"/>
          <w:sz w:val="20"/>
        </w:rPr>
        <w:t>TLS </w:t>
      </w:r>
      <w:r>
        <w:rPr>
          <w:w w:val="120"/>
          <w:sz w:val="20"/>
        </w:rPr>
        <w:t>and at synod level is needed if training for the future United Reformed Church is to be the best and most appropriate that we can make it for our evolving</w:t>
      </w:r>
      <w:r>
        <w:rPr>
          <w:spacing w:val="9"/>
          <w:w w:val="120"/>
          <w:sz w:val="20"/>
        </w:rPr>
        <w:t> </w:t>
      </w:r>
      <w:r>
        <w:rPr>
          <w:w w:val="120"/>
          <w:sz w:val="20"/>
        </w:rPr>
        <w:t>denomination.</w:t>
      </w:r>
      <w:r>
        <w:rPr>
          <w:spacing w:val="10"/>
          <w:w w:val="120"/>
          <w:sz w:val="20"/>
        </w:rPr>
        <w:t> </w:t>
      </w:r>
      <w:r>
        <w:rPr>
          <w:w w:val="120"/>
          <w:sz w:val="20"/>
        </w:rPr>
        <w:t>We</w:t>
      </w:r>
      <w:r>
        <w:rPr>
          <w:spacing w:val="10"/>
          <w:w w:val="120"/>
          <w:sz w:val="20"/>
        </w:rPr>
        <w:t> </w:t>
      </w:r>
      <w:r>
        <w:rPr>
          <w:w w:val="120"/>
          <w:sz w:val="20"/>
        </w:rPr>
        <w:t>pray</w:t>
      </w:r>
      <w:r>
        <w:rPr>
          <w:spacing w:val="9"/>
          <w:w w:val="120"/>
          <w:sz w:val="20"/>
        </w:rPr>
        <w:t> </w:t>
      </w:r>
      <w:r>
        <w:rPr>
          <w:w w:val="120"/>
          <w:sz w:val="20"/>
        </w:rPr>
        <w:t>for</w:t>
      </w:r>
      <w:r>
        <w:rPr>
          <w:spacing w:val="10"/>
          <w:w w:val="120"/>
          <w:sz w:val="20"/>
        </w:rPr>
        <w:t> </w:t>
      </w:r>
      <w:r>
        <w:rPr>
          <w:w w:val="120"/>
          <w:sz w:val="20"/>
        </w:rPr>
        <w:t>guidance</w:t>
      </w:r>
      <w:r>
        <w:rPr>
          <w:spacing w:val="10"/>
          <w:w w:val="120"/>
          <w:sz w:val="20"/>
        </w:rPr>
        <w:t> </w:t>
      </w:r>
      <w:r>
        <w:rPr>
          <w:w w:val="120"/>
          <w:sz w:val="20"/>
        </w:rPr>
        <w:t>and</w:t>
      </w:r>
      <w:r>
        <w:rPr>
          <w:spacing w:val="9"/>
          <w:w w:val="120"/>
          <w:sz w:val="20"/>
        </w:rPr>
        <w:t> </w:t>
      </w:r>
      <w:r>
        <w:rPr>
          <w:w w:val="120"/>
          <w:sz w:val="20"/>
        </w:rPr>
        <w:t>wisdom</w:t>
      </w:r>
      <w:r>
        <w:rPr>
          <w:spacing w:val="10"/>
          <w:w w:val="120"/>
          <w:sz w:val="20"/>
        </w:rPr>
        <w:t> </w:t>
      </w:r>
      <w:r>
        <w:rPr>
          <w:w w:val="120"/>
          <w:sz w:val="20"/>
        </w:rPr>
        <w:t>in</w:t>
      </w:r>
      <w:r>
        <w:rPr>
          <w:spacing w:val="10"/>
          <w:w w:val="120"/>
          <w:sz w:val="20"/>
        </w:rPr>
        <w:t> </w:t>
      </w:r>
      <w:r>
        <w:rPr>
          <w:w w:val="120"/>
          <w:sz w:val="20"/>
        </w:rPr>
        <w:t>the</w:t>
      </w:r>
      <w:r>
        <w:rPr>
          <w:spacing w:val="9"/>
          <w:w w:val="120"/>
          <w:sz w:val="20"/>
        </w:rPr>
        <w:t> </w:t>
      </w:r>
      <w:r>
        <w:rPr>
          <w:w w:val="120"/>
          <w:sz w:val="20"/>
        </w:rPr>
        <w:t>coming</w:t>
      </w:r>
      <w:r>
        <w:rPr>
          <w:spacing w:val="10"/>
          <w:w w:val="120"/>
          <w:sz w:val="20"/>
        </w:rPr>
        <w:t> </w:t>
      </w:r>
      <w:r>
        <w:rPr>
          <w:w w:val="120"/>
          <w:sz w:val="20"/>
        </w:rPr>
        <w:t>months</w:t>
      </w:r>
      <w:r>
        <w:rPr>
          <w:spacing w:val="10"/>
          <w:w w:val="120"/>
          <w:sz w:val="20"/>
        </w:rPr>
        <w:t> </w:t>
      </w:r>
      <w:r>
        <w:rPr>
          <w:w w:val="120"/>
          <w:sz w:val="20"/>
        </w:rPr>
        <w:t>and</w:t>
      </w:r>
    </w:p>
    <w:p>
      <w:pPr>
        <w:pStyle w:val="BodyText"/>
        <w:spacing w:line="235" w:lineRule="auto" w:before="5"/>
        <w:ind w:left="1247" w:right="2004"/>
      </w:pPr>
      <w:r>
        <w:rPr>
          <w:w w:val="120"/>
        </w:rPr>
        <w:t>years, and look forward to working within the United Reformed Church as together we seek to support the forming of the people of God for ministry in the 21st century.</w:t>
      </w:r>
    </w:p>
    <w:p>
      <w:pPr>
        <w:pStyle w:val="BodyText"/>
        <w:spacing w:before="10"/>
        <w:rPr>
          <w:sz w:val="21"/>
        </w:rPr>
      </w:pPr>
    </w:p>
    <w:p>
      <w:pPr>
        <w:pStyle w:val="Heading4"/>
        <w:numPr>
          <w:ilvl w:val="0"/>
          <w:numId w:val="89"/>
        </w:numPr>
        <w:tabs>
          <w:tab w:pos="1927" w:val="left" w:leader="none"/>
          <w:tab w:pos="1928" w:val="left" w:leader="none"/>
        </w:tabs>
        <w:spacing w:line="196" w:lineRule="auto" w:before="0" w:after="0"/>
        <w:ind w:left="1927" w:right="2607" w:hanging="681"/>
        <w:jc w:val="left"/>
      </w:pPr>
      <w:r>
        <w:rPr>
          <w:spacing w:val="3"/>
          <w:w w:val="110"/>
        </w:rPr>
        <w:t>Scottish United </w:t>
      </w:r>
      <w:r>
        <w:rPr>
          <w:spacing w:val="4"/>
          <w:w w:val="110"/>
        </w:rPr>
        <w:t>Reformed </w:t>
      </w:r>
      <w:r>
        <w:rPr>
          <w:spacing w:val="3"/>
          <w:w w:val="110"/>
        </w:rPr>
        <w:t>and Congregational College</w:t>
      </w:r>
    </w:p>
    <w:p>
      <w:pPr>
        <w:pStyle w:val="BodyText"/>
        <w:spacing w:before="82"/>
        <w:ind w:left="1927"/>
      </w:pPr>
      <w:r>
        <w:rPr>
          <w:w w:val="120"/>
        </w:rPr>
        <w:t>‘Serving a church in three nations’</w:t>
      </w:r>
    </w:p>
    <w:p>
      <w:pPr>
        <w:pStyle w:val="BodyText"/>
        <w:spacing w:before="7"/>
        <w:rPr>
          <w:sz w:val="19"/>
        </w:rPr>
      </w:pPr>
    </w:p>
    <w:p>
      <w:pPr>
        <w:pStyle w:val="ListParagraph"/>
        <w:numPr>
          <w:ilvl w:val="1"/>
          <w:numId w:val="89"/>
        </w:numPr>
        <w:tabs>
          <w:tab w:pos="1927" w:val="left" w:leader="none"/>
          <w:tab w:pos="1928" w:val="left" w:leader="none"/>
        </w:tabs>
        <w:spacing w:line="235" w:lineRule="auto" w:before="0" w:after="0"/>
        <w:ind w:left="1247" w:right="1989" w:firstLine="0"/>
        <w:jc w:val="left"/>
        <w:rPr>
          <w:sz w:val="20"/>
        </w:rPr>
      </w:pPr>
      <w:r>
        <w:rPr>
          <w:w w:val="120"/>
          <w:sz w:val="20"/>
        </w:rPr>
        <w:t>The phrase above from the unification of </w:t>
      </w:r>
      <w:r>
        <w:rPr>
          <w:spacing w:val="2"/>
          <w:w w:val="120"/>
          <w:sz w:val="20"/>
        </w:rPr>
        <w:t>2000 </w:t>
      </w:r>
      <w:r>
        <w:rPr>
          <w:w w:val="120"/>
          <w:sz w:val="20"/>
        </w:rPr>
        <w:t>is perhaps more frequently heard in the national synods than elsewhere but it is coming into a particular focus in the year of an independence referendum in one nation. </w:t>
      </w:r>
      <w:r>
        <w:rPr>
          <w:spacing w:val="3"/>
          <w:w w:val="120"/>
          <w:sz w:val="20"/>
        </w:rPr>
        <w:t>As </w:t>
      </w:r>
      <w:r>
        <w:rPr>
          <w:w w:val="120"/>
          <w:sz w:val="20"/>
        </w:rPr>
        <w:t>a college, we are very aware that the phrase is capable of different interpretations and seen to have different implications and significance. For historical, geographical and cultural reasons, it is natural that we have   a specific and special relationship with the National Synod of Scotland. </w:t>
      </w:r>
      <w:r>
        <w:rPr>
          <w:spacing w:val="-3"/>
          <w:w w:val="120"/>
          <w:sz w:val="20"/>
        </w:rPr>
        <w:t>Yet, </w:t>
      </w:r>
      <w:r>
        <w:rPr>
          <w:w w:val="120"/>
          <w:sz w:val="20"/>
        </w:rPr>
        <w:t>for us, it is important to hold together the integrity of the denomination with the distinctiveness    of our responsibilities within a particular</w:t>
      </w:r>
      <w:r>
        <w:rPr>
          <w:spacing w:val="11"/>
          <w:w w:val="120"/>
          <w:sz w:val="20"/>
        </w:rPr>
        <w:t> </w:t>
      </w:r>
      <w:r>
        <w:rPr>
          <w:w w:val="120"/>
          <w:sz w:val="20"/>
        </w:rPr>
        <w:t>nation.</w:t>
      </w:r>
    </w:p>
    <w:p>
      <w:pPr>
        <w:pStyle w:val="BodyText"/>
        <w:spacing w:before="2"/>
      </w:pPr>
    </w:p>
    <w:p>
      <w:pPr>
        <w:pStyle w:val="ListParagraph"/>
        <w:numPr>
          <w:ilvl w:val="1"/>
          <w:numId w:val="89"/>
        </w:numPr>
        <w:tabs>
          <w:tab w:pos="1927" w:val="left" w:leader="none"/>
          <w:tab w:pos="1928" w:val="left" w:leader="none"/>
        </w:tabs>
        <w:spacing w:line="235" w:lineRule="auto" w:before="0" w:after="0"/>
        <w:ind w:left="1247" w:right="2167" w:firstLine="0"/>
        <w:jc w:val="left"/>
        <w:rPr>
          <w:sz w:val="20"/>
        </w:rPr>
      </w:pPr>
      <w:r>
        <w:rPr>
          <w:w w:val="120"/>
          <w:sz w:val="20"/>
        </w:rPr>
        <w:t>In education for ministry phase </w:t>
      </w:r>
      <w:r>
        <w:rPr>
          <w:spacing w:val="-7"/>
          <w:w w:val="120"/>
          <w:sz w:val="20"/>
        </w:rPr>
        <w:t>1, </w:t>
      </w:r>
      <w:r>
        <w:rPr>
          <w:w w:val="120"/>
          <w:sz w:val="20"/>
        </w:rPr>
        <w:t>for perhaps the first time in our history of more than two centuries, most of our matriculated students have come to us from beyond Scotland. That makes for a rather different learning context. We don’t believe that it means that somehow we abandon our ‘Scottishness’ (itself a complex and contested </w:t>
      </w:r>
      <w:r>
        <w:rPr>
          <w:spacing w:val="-3"/>
          <w:w w:val="120"/>
          <w:sz w:val="20"/>
        </w:rPr>
        <w:t>idea) </w:t>
      </w:r>
      <w:r>
        <w:rPr>
          <w:w w:val="120"/>
          <w:sz w:val="20"/>
        </w:rPr>
        <w:t>but that the sense of context becomes wider without losing the depth of its rootedness. This academic </w:t>
      </w:r>
      <w:r>
        <w:rPr>
          <w:spacing w:val="-4"/>
          <w:w w:val="120"/>
          <w:sz w:val="20"/>
        </w:rPr>
        <w:t>year, </w:t>
      </w:r>
      <w:r>
        <w:rPr>
          <w:w w:val="120"/>
          <w:sz w:val="20"/>
        </w:rPr>
        <w:t>then, has brought us all on to a new journey of exploration</w:t>
      </w:r>
      <w:r>
        <w:rPr>
          <w:spacing w:val="2"/>
          <w:w w:val="120"/>
          <w:sz w:val="20"/>
        </w:rPr>
        <w:t> </w:t>
      </w:r>
      <w:r>
        <w:rPr>
          <w:w w:val="120"/>
          <w:sz w:val="20"/>
        </w:rPr>
        <w:t>together.</w:t>
      </w:r>
    </w:p>
    <w:p>
      <w:pPr>
        <w:pStyle w:val="BodyText"/>
        <w:spacing w:before="1"/>
      </w:pPr>
    </w:p>
    <w:p>
      <w:pPr>
        <w:pStyle w:val="ListParagraph"/>
        <w:numPr>
          <w:ilvl w:val="1"/>
          <w:numId w:val="89"/>
        </w:numPr>
        <w:tabs>
          <w:tab w:pos="1927" w:val="left" w:leader="none"/>
          <w:tab w:pos="1928" w:val="left" w:leader="none"/>
        </w:tabs>
        <w:spacing w:line="235" w:lineRule="auto" w:before="0" w:after="0"/>
        <w:ind w:left="1247" w:right="1982" w:firstLine="0"/>
        <w:jc w:val="left"/>
        <w:rPr>
          <w:sz w:val="20"/>
        </w:rPr>
      </w:pPr>
      <w:r>
        <w:rPr>
          <w:w w:val="120"/>
          <w:sz w:val="20"/>
        </w:rPr>
        <w:t>Our </w:t>
      </w:r>
      <w:r>
        <w:rPr>
          <w:spacing w:val="-3"/>
          <w:w w:val="120"/>
          <w:sz w:val="20"/>
        </w:rPr>
        <w:t>relationship </w:t>
      </w:r>
      <w:r>
        <w:rPr>
          <w:w w:val="120"/>
          <w:sz w:val="20"/>
        </w:rPr>
        <w:t>with the National </w:t>
      </w:r>
      <w:r>
        <w:rPr>
          <w:spacing w:val="-3"/>
          <w:w w:val="120"/>
          <w:sz w:val="20"/>
        </w:rPr>
        <w:t>Synod </w:t>
      </w:r>
      <w:r>
        <w:rPr>
          <w:w w:val="120"/>
          <w:sz w:val="20"/>
        </w:rPr>
        <w:t>of </w:t>
      </w:r>
      <w:r>
        <w:rPr>
          <w:spacing w:val="-3"/>
          <w:w w:val="120"/>
          <w:sz w:val="20"/>
        </w:rPr>
        <w:t>Scotland </w:t>
      </w:r>
      <w:r>
        <w:rPr>
          <w:w w:val="120"/>
          <w:sz w:val="20"/>
        </w:rPr>
        <w:t>is based primarily on the </w:t>
      </w:r>
      <w:r>
        <w:rPr>
          <w:spacing w:val="-3"/>
          <w:w w:val="120"/>
          <w:sz w:val="20"/>
        </w:rPr>
        <w:t>College </w:t>
      </w:r>
      <w:r>
        <w:rPr>
          <w:w w:val="120"/>
          <w:sz w:val="20"/>
        </w:rPr>
        <w:t>being the ‘training officer’ for the synod. </w:t>
      </w:r>
      <w:r>
        <w:rPr>
          <w:spacing w:val="-3"/>
          <w:w w:val="120"/>
          <w:sz w:val="20"/>
        </w:rPr>
        <w:t>We </w:t>
      </w:r>
      <w:r>
        <w:rPr>
          <w:w w:val="120"/>
          <w:sz w:val="20"/>
        </w:rPr>
        <w:t>are </w:t>
      </w:r>
      <w:r>
        <w:rPr>
          <w:spacing w:val="-3"/>
          <w:w w:val="120"/>
          <w:sz w:val="20"/>
        </w:rPr>
        <w:t>involved </w:t>
      </w:r>
      <w:r>
        <w:rPr>
          <w:w w:val="120"/>
          <w:sz w:val="20"/>
        </w:rPr>
        <w:t>in the whole education, and indeed learning, life of the synod and the </w:t>
      </w:r>
      <w:r>
        <w:rPr>
          <w:spacing w:val="-3"/>
          <w:w w:val="120"/>
          <w:sz w:val="20"/>
        </w:rPr>
        <w:t>churches: continuing </w:t>
      </w:r>
      <w:r>
        <w:rPr>
          <w:w w:val="120"/>
          <w:sz w:val="20"/>
        </w:rPr>
        <w:t>education for </w:t>
      </w:r>
      <w:r>
        <w:rPr>
          <w:spacing w:val="-3"/>
          <w:w w:val="120"/>
          <w:sz w:val="20"/>
        </w:rPr>
        <w:t>ministers </w:t>
      </w:r>
      <w:r>
        <w:rPr>
          <w:w w:val="120"/>
          <w:sz w:val="20"/>
        </w:rPr>
        <w:t>and others </w:t>
      </w:r>
      <w:r>
        <w:rPr>
          <w:spacing w:val="-3"/>
          <w:w w:val="120"/>
          <w:sz w:val="20"/>
        </w:rPr>
        <w:t>(including </w:t>
      </w:r>
      <w:r>
        <w:rPr>
          <w:w w:val="120"/>
          <w:sz w:val="20"/>
        </w:rPr>
        <w:t>education for ministry phase three </w:t>
      </w:r>
      <w:r>
        <w:rPr>
          <w:spacing w:val="-5"/>
          <w:w w:val="120"/>
          <w:sz w:val="20"/>
        </w:rPr>
        <w:t>grants), </w:t>
      </w:r>
      <w:r>
        <w:rPr>
          <w:spacing w:val="-2"/>
          <w:w w:val="120"/>
          <w:sz w:val="20"/>
        </w:rPr>
        <w:t>lay</w:t>
      </w:r>
      <w:r>
        <w:rPr>
          <w:spacing w:val="-5"/>
          <w:w w:val="120"/>
          <w:sz w:val="20"/>
        </w:rPr>
        <w:t> </w:t>
      </w:r>
      <w:r>
        <w:rPr>
          <w:w w:val="120"/>
          <w:sz w:val="20"/>
        </w:rPr>
        <w:t>learning,</w:t>
      </w:r>
    </w:p>
    <w:p>
      <w:pPr>
        <w:spacing w:after="0" w:line="235" w:lineRule="auto"/>
        <w:jc w:val="left"/>
        <w:rPr>
          <w:sz w:val="20"/>
        </w:rPr>
        <w:sectPr>
          <w:headerReference w:type="even" r:id="rId380"/>
          <w:footerReference w:type="even" r:id="rId381"/>
          <w:footerReference w:type="default" r:id="rId382"/>
          <w:pgSz w:w="11910" w:h="16840"/>
          <w:pgMar w:header="0" w:footer="647" w:top="0" w:bottom="840" w:left="0" w:right="0"/>
          <w:pgNumType w:start="164"/>
        </w:sectPr>
      </w:pPr>
    </w:p>
    <w:p>
      <w:pPr>
        <w:pStyle w:val="BodyText"/>
      </w:pPr>
      <w:r>
        <w:rPr/>
        <w:drawing>
          <wp:anchor distT="0" distB="0" distL="0" distR="0" allowOverlap="1" layoutInCell="1" locked="0" behindDoc="0" simplePos="0" relativeHeight="252084224">
            <wp:simplePos x="0" y="0"/>
            <wp:positionH relativeFrom="page">
              <wp:posOffset>6974928</wp:posOffset>
            </wp:positionH>
            <wp:positionV relativeFrom="page">
              <wp:posOffset>0</wp:posOffset>
            </wp:positionV>
            <wp:extent cx="585063" cy="10692003"/>
            <wp:effectExtent l="0" t="0" r="0" b="0"/>
            <wp:wrapNone/>
            <wp:docPr id="307" name="image30.png"/>
            <wp:cNvGraphicFramePr>
              <a:graphicFrameLocks noChangeAspect="1"/>
            </wp:cNvGraphicFramePr>
            <a:graphic>
              <a:graphicData uri="http://schemas.openxmlformats.org/drawingml/2006/picture">
                <pic:pic>
                  <pic:nvPicPr>
                    <pic:cNvPr id="308" name="image30.png"/>
                    <pic:cNvPicPr/>
                  </pic:nvPicPr>
                  <pic:blipFill>
                    <a:blip r:embed="rId357"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pStyle w:val="Heading5"/>
        <w:ind w:left="7814"/>
      </w:pPr>
      <w:r>
        <w:rPr/>
        <w:pict>
          <v:shape style="position:absolute;margin-left:554.141174pt;margin-top:22.593945pt;width:25.9pt;height:237.55pt;mso-position-horizontal-relative:page;mso-position-vertical-relative:paragraph;z-index:252085248" type="#_x0000_t202" filled="false" stroked="false">
            <v:textbox inset="0,0,0,0" style="layout-flow:vertical">
              <w:txbxContent>
                <w:p>
                  <w:pPr>
                    <w:spacing w:before="27"/>
                    <w:ind w:left="20" w:right="0" w:firstLine="0"/>
                    <w:jc w:val="left"/>
                    <w:rPr>
                      <w:sz w:val="39"/>
                    </w:rPr>
                  </w:pPr>
                  <w:r>
                    <w:rPr>
                      <w:color w:val="FFFFFF"/>
                      <w:w w:val="120"/>
                      <w:sz w:val="39"/>
                    </w:rPr>
                    <w:t>Education and learning</w:t>
                  </w:r>
                </w:p>
              </w:txbxContent>
            </v:textbox>
            <w10:wrap type="none"/>
          </v:shape>
        </w:pict>
      </w:r>
      <w:r>
        <w:rPr>
          <w:color w:val="7EAABF"/>
          <w:w w:val="115"/>
        </w:rPr>
        <w:t>Education and learning</w:t>
      </w:r>
    </w:p>
    <w:p>
      <w:pPr>
        <w:pStyle w:val="BodyText"/>
        <w:spacing w:line="235" w:lineRule="auto" w:before="222"/>
        <w:ind w:left="1984" w:right="1193"/>
      </w:pPr>
      <w:r>
        <w:rPr>
          <w:w w:val="120"/>
        </w:rPr>
        <w:t>spirituality development and </w:t>
      </w:r>
      <w:r>
        <w:rPr>
          <w:spacing w:val="-3"/>
          <w:w w:val="120"/>
        </w:rPr>
        <w:t>congregational </w:t>
      </w:r>
      <w:r>
        <w:rPr>
          <w:w w:val="120"/>
        </w:rPr>
        <w:t>learning. Perhaps the </w:t>
      </w:r>
      <w:r>
        <w:rPr>
          <w:spacing w:val="-3"/>
          <w:w w:val="120"/>
        </w:rPr>
        <w:t>key to this </w:t>
      </w:r>
      <w:r>
        <w:rPr>
          <w:w w:val="120"/>
        </w:rPr>
        <w:t>is a </w:t>
      </w:r>
      <w:r>
        <w:rPr>
          <w:spacing w:val="-3"/>
          <w:w w:val="120"/>
        </w:rPr>
        <w:t>constant </w:t>
      </w:r>
      <w:r>
        <w:rPr>
          <w:w w:val="120"/>
        </w:rPr>
        <w:t>interweaving of different elements in synod, </w:t>
      </w:r>
      <w:r>
        <w:rPr>
          <w:spacing w:val="-3"/>
          <w:w w:val="120"/>
        </w:rPr>
        <w:t>congregational </w:t>
      </w:r>
      <w:r>
        <w:rPr>
          <w:w w:val="120"/>
        </w:rPr>
        <w:t>and </w:t>
      </w:r>
      <w:r>
        <w:rPr>
          <w:spacing w:val="-3"/>
          <w:w w:val="120"/>
        </w:rPr>
        <w:t>college life. </w:t>
      </w:r>
      <w:r>
        <w:rPr>
          <w:w w:val="120"/>
        </w:rPr>
        <w:t>The </w:t>
      </w:r>
      <w:r>
        <w:rPr>
          <w:spacing w:val="-3"/>
          <w:w w:val="120"/>
        </w:rPr>
        <w:t>college, </w:t>
      </w:r>
      <w:r>
        <w:rPr>
          <w:w w:val="120"/>
        </w:rPr>
        <w:t>while in </w:t>
      </w:r>
      <w:r>
        <w:rPr>
          <w:spacing w:val="-3"/>
          <w:w w:val="120"/>
        </w:rPr>
        <w:t>governance </w:t>
      </w:r>
      <w:r>
        <w:rPr>
          <w:w w:val="120"/>
        </w:rPr>
        <w:t>and identity distinct, is nonetheless strongly embedded in the whole life of the synod. </w:t>
      </w:r>
      <w:r>
        <w:rPr>
          <w:spacing w:val="-3"/>
          <w:w w:val="120"/>
        </w:rPr>
        <w:t>We </w:t>
      </w:r>
      <w:r>
        <w:rPr>
          <w:w w:val="120"/>
        </w:rPr>
        <w:t>are able </w:t>
      </w:r>
      <w:r>
        <w:rPr>
          <w:spacing w:val="-3"/>
          <w:w w:val="120"/>
        </w:rPr>
        <w:t>to develop </w:t>
      </w:r>
      <w:r>
        <w:rPr>
          <w:w w:val="120"/>
        </w:rPr>
        <w:t>educational responses because we are engaged in the </w:t>
      </w:r>
      <w:r>
        <w:rPr>
          <w:spacing w:val="-3"/>
          <w:w w:val="120"/>
        </w:rPr>
        <w:t>conversations </w:t>
      </w:r>
      <w:r>
        <w:rPr>
          <w:w w:val="120"/>
        </w:rPr>
        <w:t>and the challenges from the outset. The phase </w:t>
      </w:r>
      <w:r>
        <w:rPr>
          <w:spacing w:val="-3"/>
          <w:w w:val="120"/>
        </w:rPr>
        <w:t>‘learning </w:t>
      </w:r>
      <w:r>
        <w:rPr>
          <w:spacing w:val="-4"/>
          <w:w w:val="120"/>
        </w:rPr>
        <w:t>church’ </w:t>
      </w:r>
      <w:r>
        <w:rPr>
          <w:w w:val="120"/>
        </w:rPr>
        <w:t>is often </w:t>
      </w:r>
      <w:r>
        <w:rPr>
          <w:spacing w:val="-3"/>
          <w:w w:val="120"/>
        </w:rPr>
        <w:t>used, </w:t>
      </w:r>
      <w:r>
        <w:rPr>
          <w:spacing w:val="-2"/>
          <w:w w:val="120"/>
        </w:rPr>
        <w:t>not </w:t>
      </w:r>
      <w:r>
        <w:rPr>
          <w:w w:val="120"/>
        </w:rPr>
        <w:t>infrequently with a question mark at the end. Often, it is taken </w:t>
      </w:r>
      <w:r>
        <w:rPr>
          <w:spacing w:val="-3"/>
          <w:w w:val="120"/>
        </w:rPr>
        <w:t>to </w:t>
      </w:r>
      <w:r>
        <w:rPr>
          <w:w w:val="120"/>
        </w:rPr>
        <w:t>mean</w:t>
      </w:r>
    </w:p>
    <w:p>
      <w:pPr>
        <w:pStyle w:val="BodyText"/>
        <w:spacing w:line="235" w:lineRule="auto" w:before="4"/>
        <w:ind w:left="1984" w:right="1380"/>
      </w:pPr>
      <w:r>
        <w:rPr>
          <w:w w:val="120"/>
        </w:rPr>
        <w:t>a </w:t>
      </w:r>
      <w:r>
        <w:rPr>
          <w:spacing w:val="-3"/>
          <w:w w:val="120"/>
        </w:rPr>
        <w:t>church </w:t>
      </w:r>
      <w:r>
        <w:rPr>
          <w:w w:val="120"/>
        </w:rPr>
        <w:t>in which a significant number of its members are engaged in learning, maybe particularly structured learning. With our synod development </w:t>
      </w:r>
      <w:r>
        <w:rPr>
          <w:spacing w:val="-3"/>
          <w:w w:val="120"/>
        </w:rPr>
        <w:t>colleagues </w:t>
      </w:r>
      <w:r>
        <w:rPr>
          <w:spacing w:val="-5"/>
          <w:w w:val="120"/>
        </w:rPr>
        <w:t>(who </w:t>
      </w:r>
      <w:r>
        <w:rPr>
          <w:w w:val="120"/>
        </w:rPr>
        <w:t>are also </w:t>
      </w:r>
      <w:r>
        <w:rPr>
          <w:spacing w:val="-3"/>
          <w:w w:val="120"/>
        </w:rPr>
        <w:t>associate </w:t>
      </w:r>
      <w:r>
        <w:rPr>
          <w:w w:val="120"/>
        </w:rPr>
        <w:t>staff of the </w:t>
      </w:r>
      <w:r>
        <w:rPr>
          <w:spacing w:val="-5"/>
          <w:w w:val="120"/>
        </w:rPr>
        <w:t>college), </w:t>
      </w:r>
      <w:r>
        <w:rPr>
          <w:w w:val="120"/>
        </w:rPr>
        <w:t>we are </w:t>
      </w:r>
      <w:r>
        <w:rPr>
          <w:spacing w:val="-3"/>
          <w:w w:val="120"/>
        </w:rPr>
        <w:t>involved </w:t>
      </w:r>
      <w:r>
        <w:rPr>
          <w:w w:val="120"/>
        </w:rPr>
        <w:t>in less structured learning development. </w:t>
      </w:r>
      <w:r>
        <w:rPr>
          <w:spacing w:val="-3"/>
          <w:w w:val="120"/>
        </w:rPr>
        <w:t>We </w:t>
      </w:r>
      <w:r>
        <w:rPr>
          <w:w w:val="120"/>
        </w:rPr>
        <w:t>are able </w:t>
      </w:r>
      <w:r>
        <w:rPr>
          <w:spacing w:val="-3"/>
          <w:w w:val="120"/>
        </w:rPr>
        <w:t>to </w:t>
      </w:r>
      <w:r>
        <w:rPr>
          <w:w w:val="120"/>
        </w:rPr>
        <w:t>support the synod and its </w:t>
      </w:r>
      <w:r>
        <w:rPr>
          <w:spacing w:val="-3"/>
          <w:w w:val="120"/>
        </w:rPr>
        <w:t>congregations </w:t>
      </w:r>
      <w:r>
        <w:rPr>
          <w:w w:val="120"/>
        </w:rPr>
        <w:t>as a learning </w:t>
      </w:r>
      <w:r>
        <w:rPr>
          <w:spacing w:val="-3"/>
          <w:w w:val="120"/>
        </w:rPr>
        <w:t>church </w:t>
      </w:r>
      <w:r>
        <w:rPr>
          <w:w w:val="120"/>
        </w:rPr>
        <w:t>in the  sense</w:t>
      </w:r>
      <w:r>
        <w:rPr>
          <w:spacing w:val="-8"/>
          <w:w w:val="120"/>
        </w:rPr>
        <w:t> </w:t>
      </w:r>
      <w:r>
        <w:rPr>
          <w:w w:val="120"/>
        </w:rPr>
        <w:t>also</w:t>
      </w:r>
      <w:r>
        <w:rPr>
          <w:spacing w:val="-7"/>
          <w:w w:val="120"/>
        </w:rPr>
        <w:t> </w:t>
      </w:r>
      <w:r>
        <w:rPr>
          <w:w w:val="120"/>
        </w:rPr>
        <w:t>of</w:t>
      </w:r>
      <w:r>
        <w:rPr>
          <w:spacing w:val="-8"/>
          <w:w w:val="120"/>
        </w:rPr>
        <w:t> </w:t>
      </w:r>
      <w:r>
        <w:rPr>
          <w:w w:val="120"/>
        </w:rPr>
        <w:t>learning</w:t>
      </w:r>
      <w:r>
        <w:rPr>
          <w:spacing w:val="-7"/>
          <w:w w:val="120"/>
        </w:rPr>
        <w:t> </w:t>
      </w:r>
      <w:r>
        <w:rPr>
          <w:w w:val="120"/>
        </w:rPr>
        <w:t>as</w:t>
      </w:r>
      <w:r>
        <w:rPr>
          <w:spacing w:val="-8"/>
          <w:w w:val="120"/>
        </w:rPr>
        <w:t> </w:t>
      </w:r>
      <w:r>
        <w:rPr>
          <w:w w:val="120"/>
        </w:rPr>
        <w:t>an</w:t>
      </w:r>
      <w:r>
        <w:rPr>
          <w:spacing w:val="-7"/>
          <w:w w:val="120"/>
        </w:rPr>
        <w:t> </w:t>
      </w:r>
      <w:r>
        <w:rPr>
          <w:spacing w:val="-3"/>
          <w:w w:val="120"/>
        </w:rPr>
        <w:t>organisation.</w:t>
      </w:r>
      <w:r>
        <w:rPr>
          <w:spacing w:val="-7"/>
          <w:w w:val="120"/>
        </w:rPr>
        <w:t> </w:t>
      </w:r>
      <w:r>
        <w:rPr>
          <w:w w:val="120"/>
        </w:rPr>
        <w:t>That</w:t>
      </w:r>
      <w:r>
        <w:rPr>
          <w:spacing w:val="-8"/>
          <w:w w:val="120"/>
        </w:rPr>
        <w:t> </w:t>
      </w:r>
      <w:r>
        <w:rPr>
          <w:w w:val="120"/>
        </w:rPr>
        <w:t>can</w:t>
      </w:r>
      <w:r>
        <w:rPr>
          <w:spacing w:val="-7"/>
          <w:w w:val="120"/>
        </w:rPr>
        <w:t> </w:t>
      </w:r>
      <w:r>
        <w:rPr>
          <w:w w:val="120"/>
        </w:rPr>
        <w:t>be</w:t>
      </w:r>
      <w:r>
        <w:rPr>
          <w:spacing w:val="-8"/>
          <w:w w:val="120"/>
        </w:rPr>
        <w:t> </w:t>
      </w:r>
      <w:r>
        <w:rPr>
          <w:w w:val="120"/>
        </w:rPr>
        <w:t>amongst</w:t>
      </w:r>
      <w:r>
        <w:rPr>
          <w:spacing w:val="-7"/>
          <w:w w:val="120"/>
        </w:rPr>
        <w:t> </w:t>
      </w:r>
      <w:r>
        <w:rPr>
          <w:w w:val="120"/>
        </w:rPr>
        <w:t>the</w:t>
      </w:r>
      <w:r>
        <w:rPr>
          <w:spacing w:val="-7"/>
          <w:w w:val="120"/>
        </w:rPr>
        <w:t> </w:t>
      </w:r>
      <w:r>
        <w:rPr>
          <w:w w:val="120"/>
        </w:rPr>
        <w:t>most</w:t>
      </w:r>
      <w:r>
        <w:rPr>
          <w:spacing w:val="-8"/>
          <w:w w:val="120"/>
        </w:rPr>
        <w:t> </w:t>
      </w:r>
      <w:r>
        <w:rPr>
          <w:w w:val="120"/>
        </w:rPr>
        <w:t>difficult</w:t>
      </w:r>
      <w:r>
        <w:rPr>
          <w:spacing w:val="-7"/>
          <w:w w:val="120"/>
        </w:rPr>
        <w:t> </w:t>
      </w:r>
      <w:r>
        <w:rPr>
          <w:w w:val="120"/>
        </w:rPr>
        <w:t>learning</w:t>
      </w:r>
    </w:p>
    <w:p>
      <w:pPr>
        <w:pStyle w:val="BodyText"/>
        <w:spacing w:line="235" w:lineRule="auto" w:before="4"/>
        <w:ind w:left="1984" w:right="1055"/>
      </w:pPr>
      <w:r>
        <w:rPr>
          <w:spacing w:val="-3"/>
          <w:w w:val="120"/>
        </w:rPr>
        <w:t>challenges: </w:t>
      </w:r>
      <w:r>
        <w:rPr>
          <w:spacing w:val="-2"/>
          <w:w w:val="120"/>
        </w:rPr>
        <w:t>not </w:t>
      </w:r>
      <w:r>
        <w:rPr>
          <w:w w:val="120"/>
        </w:rPr>
        <w:t>only </w:t>
      </w:r>
      <w:r>
        <w:rPr>
          <w:spacing w:val="-3"/>
          <w:w w:val="120"/>
        </w:rPr>
        <w:t>to </w:t>
      </w:r>
      <w:r>
        <w:rPr>
          <w:w w:val="120"/>
        </w:rPr>
        <w:t>reflect on the lessons of our </w:t>
      </w:r>
      <w:r>
        <w:rPr>
          <w:spacing w:val="-3"/>
          <w:w w:val="120"/>
        </w:rPr>
        <w:t>communal </w:t>
      </w:r>
      <w:r>
        <w:rPr>
          <w:w w:val="120"/>
        </w:rPr>
        <w:t>experience but also </w:t>
      </w:r>
      <w:r>
        <w:rPr>
          <w:spacing w:val="-3"/>
          <w:w w:val="120"/>
        </w:rPr>
        <w:t>to </w:t>
      </w:r>
      <w:r>
        <w:rPr>
          <w:w w:val="120"/>
        </w:rPr>
        <w:t>take that learning </w:t>
      </w:r>
      <w:r>
        <w:rPr>
          <w:spacing w:val="-3"/>
          <w:w w:val="120"/>
        </w:rPr>
        <w:t>into </w:t>
      </w:r>
      <w:r>
        <w:rPr>
          <w:w w:val="120"/>
        </w:rPr>
        <w:t>the life of the </w:t>
      </w:r>
      <w:r>
        <w:rPr>
          <w:spacing w:val="-3"/>
          <w:w w:val="120"/>
        </w:rPr>
        <w:t>organisation </w:t>
      </w:r>
      <w:r>
        <w:rPr>
          <w:w w:val="120"/>
        </w:rPr>
        <w:t>– in its structures and processes, in its </w:t>
      </w:r>
      <w:r>
        <w:rPr>
          <w:spacing w:val="-3"/>
          <w:w w:val="120"/>
        </w:rPr>
        <w:t>vision </w:t>
      </w:r>
      <w:r>
        <w:rPr>
          <w:w w:val="120"/>
        </w:rPr>
        <w:t>and programmes, in its </w:t>
      </w:r>
      <w:r>
        <w:rPr>
          <w:spacing w:val="-3"/>
          <w:w w:val="120"/>
        </w:rPr>
        <w:t>relationships </w:t>
      </w:r>
      <w:r>
        <w:rPr>
          <w:w w:val="120"/>
        </w:rPr>
        <w:t>and dynamics.</w:t>
      </w:r>
    </w:p>
    <w:p>
      <w:pPr>
        <w:pStyle w:val="BodyText"/>
        <w:spacing w:before="10"/>
        <w:rPr>
          <w:sz w:val="19"/>
        </w:rPr>
      </w:pPr>
    </w:p>
    <w:p>
      <w:pPr>
        <w:pStyle w:val="ListParagraph"/>
        <w:numPr>
          <w:ilvl w:val="1"/>
          <w:numId w:val="89"/>
        </w:numPr>
        <w:tabs>
          <w:tab w:pos="2664" w:val="left" w:leader="none"/>
          <w:tab w:pos="2665" w:val="left" w:leader="none"/>
        </w:tabs>
        <w:spacing w:line="235" w:lineRule="auto" w:before="0" w:after="0"/>
        <w:ind w:left="1984" w:right="1269" w:firstLine="0"/>
        <w:jc w:val="left"/>
        <w:rPr>
          <w:sz w:val="20"/>
        </w:rPr>
      </w:pPr>
      <w:r>
        <w:rPr>
          <w:w w:val="120"/>
          <w:sz w:val="20"/>
        </w:rPr>
        <w:t>Though much of our work is in Scotland, we are very glad when the opportunity arises to work in other situations, especially where we perhaps have specific expertise: in ministry with older people, in narrative and storytelling, in organisational and human resource development, in Scandinavian as well as Scottish theology and culture. We have worked with a number of synods as well as at the Windermere</w:t>
      </w:r>
      <w:r>
        <w:rPr>
          <w:spacing w:val="19"/>
          <w:w w:val="120"/>
          <w:sz w:val="20"/>
        </w:rPr>
        <w:t> </w:t>
      </w:r>
      <w:r>
        <w:rPr>
          <w:w w:val="120"/>
          <w:sz w:val="20"/>
        </w:rPr>
        <w:t>Centre.</w:t>
      </w:r>
    </w:p>
    <w:p>
      <w:pPr>
        <w:pStyle w:val="BodyText"/>
        <w:spacing w:before="12"/>
        <w:rPr>
          <w:sz w:val="19"/>
        </w:rPr>
      </w:pPr>
    </w:p>
    <w:p>
      <w:pPr>
        <w:pStyle w:val="ListParagraph"/>
        <w:numPr>
          <w:ilvl w:val="1"/>
          <w:numId w:val="89"/>
        </w:numPr>
        <w:tabs>
          <w:tab w:pos="2664" w:val="left" w:leader="none"/>
          <w:tab w:pos="2665" w:val="left" w:leader="none"/>
        </w:tabs>
        <w:spacing w:line="235" w:lineRule="auto" w:before="0" w:after="0"/>
        <w:ind w:left="1984" w:right="1527" w:firstLine="0"/>
        <w:jc w:val="left"/>
        <w:rPr>
          <w:sz w:val="20"/>
        </w:rPr>
      </w:pPr>
      <w:r>
        <w:rPr>
          <w:w w:val="120"/>
          <w:sz w:val="20"/>
        </w:rPr>
        <w:t>The ecumenical scene in Scotland is distinctive. Our principal focus remains educational collaboration with the Scottish Episcopal Church and the Methodist Church in Scotland. We are conscious that these are changing and challenging times for ecumenism but remain strongly committed to collaboration wherever possible.</w:t>
      </w:r>
      <w:r>
        <w:rPr>
          <w:spacing w:val="51"/>
          <w:w w:val="120"/>
          <w:sz w:val="20"/>
        </w:rPr>
        <w:t> </w:t>
      </w:r>
      <w:r>
        <w:rPr>
          <w:w w:val="120"/>
          <w:sz w:val="20"/>
        </w:rPr>
        <w:t>In</w:t>
      </w:r>
    </w:p>
    <w:p>
      <w:pPr>
        <w:pStyle w:val="BodyText"/>
        <w:spacing w:line="235" w:lineRule="auto" w:before="3"/>
        <w:ind w:left="1984" w:right="1300"/>
      </w:pPr>
      <w:r>
        <w:rPr>
          <w:w w:val="120"/>
        </w:rPr>
        <w:t>this past </w:t>
      </w:r>
      <w:r>
        <w:rPr>
          <w:spacing w:val="-4"/>
          <w:w w:val="120"/>
        </w:rPr>
        <w:t>year, </w:t>
      </w:r>
      <w:r>
        <w:rPr>
          <w:w w:val="120"/>
        </w:rPr>
        <w:t>we have renewed our involvement in initial ministerial education with the Scottish Episcopal Church. We worked together with both partners in a conference for clergy taking up positions of sole responsibility. We continue to be actively engaged  with the lay learning group under the auspices of the Episcopalians. We are conscious that there are wider conversations</w:t>
      </w:r>
      <w:r>
        <w:rPr>
          <w:spacing w:val="11"/>
          <w:w w:val="120"/>
        </w:rPr>
        <w:t> </w:t>
      </w:r>
      <w:r>
        <w:rPr>
          <w:w w:val="120"/>
        </w:rPr>
        <w:t>beginning.</w:t>
      </w:r>
    </w:p>
    <w:p>
      <w:pPr>
        <w:pStyle w:val="BodyText"/>
        <w:spacing w:before="7"/>
        <w:rPr>
          <w:sz w:val="18"/>
        </w:rPr>
      </w:pPr>
    </w:p>
    <w:p>
      <w:pPr>
        <w:pStyle w:val="Heading9"/>
        <w:spacing w:line="240" w:lineRule="auto"/>
        <w:ind w:left="1984" w:firstLine="0"/>
        <w:rPr>
          <w:rFonts w:ascii="Stone Sans II ITC Std X Bd"/>
          <w:b/>
        </w:rPr>
      </w:pPr>
      <w:r>
        <w:rPr>
          <w:rFonts w:ascii="Stone Sans II ITC Std X Bd"/>
          <w:b/>
          <w:w w:val="110"/>
        </w:rPr>
        <w:t>Looking forwards:</w:t>
      </w:r>
    </w:p>
    <w:p>
      <w:pPr>
        <w:pStyle w:val="BodyText"/>
        <w:spacing w:before="6"/>
        <w:rPr>
          <w:rFonts w:ascii="Stone Sans II ITC Std X Bd"/>
          <w:b/>
          <w:sz w:val="16"/>
        </w:rPr>
      </w:pPr>
    </w:p>
    <w:p>
      <w:pPr>
        <w:pStyle w:val="ListParagraph"/>
        <w:numPr>
          <w:ilvl w:val="1"/>
          <w:numId w:val="89"/>
        </w:numPr>
        <w:tabs>
          <w:tab w:pos="2664" w:val="left" w:leader="none"/>
          <w:tab w:pos="2665" w:val="left" w:leader="none"/>
        </w:tabs>
        <w:spacing w:line="242" w:lineRule="exact" w:before="0" w:after="0"/>
        <w:ind w:left="2664" w:right="0" w:hanging="681"/>
        <w:jc w:val="left"/>
        <w:rPr>
          <w:sz w:val="20"/>
        </w:rPr>
      </w:pPr>
      <w:r>
        <w:rPr>
          <w:w w:val="120"/>
          <w:sz w:val="20"/>
        </w:rPr>
        <w:t>Formation for</w:t>
      </w:r>
      <w:r>
        <w:rPr>
          <w:spacing w:val="3"/>
          <w:w w:val="120"/>
          <w:sz w:val="20"/>
        </w:rPr>
        <w:t> </w:t>
      </w:r>
      <w:r>
        <w:rPr>
          <w:spacing w:val="-4"/>
          <w:w w:val="120"/>
          <w:sz w:val="20"/>
        </w:rPr>
        <w:t>...</w:t>
      </w:r>
    </w:p>
    <w:p>
      <w:pPr>
        <w:pStyle w:val="BodyText"/>
        <w:spacing w:line="235" w:lineRule="auto" w:before="2"/>
        <w:ind w:left="1984" w:right="1352"/>
      </w:pPr>
      <w:r>
        <w:rPr>
          <w:w w:val="120"/>
        </w:rPr>
        <w:t>In the context of conversations about the nature and content of theological education over the past year, we have reflected on what now are the key ingredients of formation for ministry. We’ve been thinking about the core dimensions, not only of initial and continuing ministerial education, but of learning for the whole Church. With the preacher’s love of lists with the quality of a common initial letter, here are a few ...</w:t>
      </w:r>
    </w:p>
    <w:p>
      <w:pPr>
        <w:pStyle w:val="BodyText"/>
        <w:spacing w:before="7"/>
        <w:rPr>
          <w:sz w:val="18"/>
        </w:rPr>
      </w:pPr>
    </w:p>
    <w:p>
      <w:pPr>
        <w:pStyle w:val="Heading9"/>
        <w:numPr>
          <w:ilvl w:val="0"/>
          <w:numId w:val="93"/>
        </w:numPr>
        <w:tabs>
          <w:tab w:pos="2344" w:val="left" w:leader="none"/>
          <w:tab w:pos="2345" w:val="left" w:leader="none"/>
        </w:tabs>
        <w:spacing w:line="261" w:lineRule="exact" w:before="1" w:after="0"/>
        <w:ind w:left="2344" w:right="0" w:hanging="361"/>
        <w:jc w:val="left"/>
      </w:pPr>
      <w:r>
        <w:rPr>
          <w:w w:val="110"/>
        </w:rPr>
        <w:t>Intelligence</w:t>
      </w:r>
    </w:p>
    <w:p>
      <w:pPr>
        <w:pStyle w:val="BodyText"/>
        <w:spacing w:line="235" w:lineRule="auto"/>
        <w:ind w:left="2344" w:right="1301"/>
      </w:pPr>
      <w:r>
        <w:rPr>
          <w:w w:val="120"/>
        </w:rPr>
        <w:t>As a college, we were founded over 200 years ago because of Scottish Congregationalists’ belief in the importance of an educated ministry (at least as well educated as the Church of Scotland!) We remain convinced that a sound education forms a good basis for exercising ministry and for being a theological resource to others. Yet, in the contemporary context, this is not as wholly linked to information as it was formerly. As we look at flourishing and failing situations, we cannot but be conscious of the fundamental importance of emotional intelligence.</w:t>
      </w:r>
    </w:p>
    <w:p>
      <w:pPr>
        <w:pStyle w:val="BodyText"/>
        <w:spacing w:before="3"/>
        <w:rPr>
          <w:sz w:val="18"/>
        </w:rPr>
      </w:pPr>
    </w:p>
    <w:p>
      <w:pPr>
        <w:pStyle w:val="Heading9"/>
        <w:numPr>
          <w:ilvl w:val="0"/>
          <w:numId w:val="93"/>
        </w:numPr>
        <w:tabs>
          <w:tab w:pos="2344" w:val="left" w:leader="none"/>
          <w:tab w:pos="2345" w:val="left" w:leader="none"/>
        </w:tabs>
        <w:spacing w:line="261" w:lineRule="exact" w:before="1" w:after="0"/>
        <w:ind w:left="2344" w:right="0" w:hanging="361"/>
        <w:jc w:val="left"/>
      </w:pPr>
      <w:r>
        <w:rPr>
          <w:w w:val="110"/>
        </w:rPr>
        <w:t>Imagination</w:t>
      </w:r>
    </w:p>
    <w:p>
      <w:pPr>
        <w:pStyle w:val="BodyText"/>
        <w:spacing w:line="235" w:lineRule="auto"/>
        <w:ind w:left="2344" w:right="1352"/>
      </w:pPr>
      <w:r>
        <w:rPr>
          <w:w w:val="120"/>
        </w:rPr>
        <w:t>One of the central tasks of ministry must surely be fostering creativity and imagination, not least because they are at the heart of what it is to be human made in the image of God who constantly makes all things new. In a rapidly changing environment, we can no longer rely upon repeating old ways or even now upon simple linear adaptation. We are called into radically new forms and expressions.</w:t>
      </w:r>
    </w:p>
    <w:p>
      <w:pPr>
        <w:pStyle w:val="BodyText"/>
        <w:ind w:left="2344"/>
      </w:pPr>
      <w:r>
        <w:rPr>
          <w:w w:val="120"/>
        </w:rPr>
        <w:t>That takes imagination and a commitment to innovation.</w:t>
      </w:r>
    </w:p>
    <w:p>
      <w:pPr>
        <w:pStyle w:val="BodyText"/>
        <w:spacing w:before="10"/>
        <w:rPr>
          <w:sz w:val="17"/>
        </w:rPr>
      </w:pPr>
    </w:p>
    <w:p>
      <w:pPr>
        <w:pStyle w:val="Heading9"/>
        <w:numPr>
          <w:ilvl w:val="0"/>
          <w:numId w:val="93"/>
        </w:numPr>
        <w:tabs>
          <w:tab w:pos="2344" w:val="left" w:leader="none"/>
          <w:tab w:pos="2345" w:val="left" w:leader="none"/>
        </w:tabs>
        <w:spacing w:line="261" w:lineRule="exact" w:before="0" w:after="0"/>
        <w:ind w:left="2344" w:right="0" w:hanging="361"/>
        <w:jc w:val="left"/>
      </w:pPr>
      <w:r>
        <w:rPr>
          <w:w w:val="110"/>
        </w:rPr>
        <w:t>Integration</w:t>
      </w:r>
    </w:p>
    <w:p>
      <w:pPr>
        <w:pStyle w:val="BodyText"/>
        <w:spacing w:line="235" w:lineRule="auto"/>
        <w:ind w:left="2344" w:right="1244"/>
      </w:pPr>
      <w:r>
        <w:rPr>
          <w:w w:val="120"/>
        </w:rPr>
        <w:t>There are few organisations that are not aware of how rapidly and rigidly we erect and settle into silos – of institutional life, of relationships, of disciplinary perspectives</w:t>
      </w:r>
    </w:p>
    <w:p>
      <w:pPr>
        <w:spacing w:after="0" w:line="235" w:lineRule="auto"/>
        <w:sectPr>
          <w:headerReference w:type="default" r:id="rId383"/>
          <w:pgSz w:w="11910" w:h="16840"/>
          <w:pgMar w:header="0" w:footer="647" w:top="0" w:bottom="840" w:left="0" w:right="0"/>
        </w:sectPr>
      </w:pPr>
    </w:p>
    <w:p>
      <w:pPr>
        <w:pStyle w:val="BodyText"/>
      </w:pPr>
      <w:r>
        <w:rPr/>
        <w:drawing>
          <wp:anchor distT="0" distB="0" distL="0" distR="0" allowOverlap="1" layoutInCell="1" locked="0" behindDoc="0" simplePos="0" relativeHeight="252086272">
            <wp:simplePos x="0" y="0"/>
            <wp:positionH relativeFrom="page">
              <wp:posOffset>0</wp:posOffset>
            </wp:positionH>
            <wp:positionV relativeFrom="page">
              <wp:posOffset>0</wp:posOffset>
            </wp:positionV>
            <wp:extent cx="594067" cy="10692003"/>
            <wp:effectExtent l="0" t="0" r="0" b="0"/>
            <wp:wrapNone/>
            <wp:docPr id="309" name="image32.png"/>
            <wp:cNvGraphicFramePr>
              <a:graphicFrameLocks noChangeAspect="1"/>
            </wp:cNvGraphicFramePr>
            <a:graphic>
              <a:graphicData uri="http://schemas.openxmlformats.org/drawingml/2006/picture">
                <pic:pic>
                  <pic:nvPicPr>
                    <pic:cNvPr id="310" name="image32.png"/>
                    <pic:cNvPicPr/>
                  </pic:nvPicPr>
                  <pic:blipFill>
                    <a:blip r:embed="rId362"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shape style="position:absolute;margin-left:20.519100pt;margin-top:22.593945pt;width:25.9pt;height:237.55pt;mso-position-horizontal-relative:page;mso-position-vertical-relative:paragraph;z-index:252087296" type="#_x0000_t202" filled="false" stroked="false">
            <v:textbox inset="0,0,0,0" style="layout-flow:vertical">
              <w:txbxContent>
                <w:p>
                  <w:pPr>
                    <w:spacing w:before="27"/>
                    <w:ind w:left="20" w:right="0" w:firstLine="0"/>
                    <w:jc w:val="left"/>
                    <w:rPr>
                      <w:sz w:val="39"/>
                    </w:rPr>
                  </w:pPr>
                  <w:r>
                    <w:rPr>
                      <w:color w:val="FFFFFF"/>
                      <w:w w:val="120"/>
                      <w:sz w:val="39"/>
                    </w:rPr>
                    <w:t>Education and learning</w:t>
                  </w:r>
                </w:p>
              </w:txbxContent>
            </v:textbox>
            <w10:wrap type="none"/>
          </v:shape>
        </w:pict>
      </w:r>
      <w:r>
        <w:rPr>
          <w:color w:val="7EAABF"/>
          <w:w w:val="115"/>
        </w:rPr>
        <w:t>Education and learning</w:t>
      </w:r>
    </w:p>
    <w:p>
      <w:pPr>
        <w:pStyle w:val="BodyText"/>
        <w:spacing w:line="235" w:lineRule="auto" w:before="222"/>
        <w:ind w:left="1607" w:right="2167"/>
      </w:pPr>
      <w:r>
        <w:rPr>
          <w:w w:val="120"/>
        </w:rPr>
        <w:t>and of modes of thinking and speaking. By drawing on different wells of inspiration in our learning, we nurture the practice of thinking more broadly and deeply.</w:t>
      </w:r>
    </w:p>
    <w:p>
      <w:pPr>
        <w:pStyle w:val="BodyText"/>
        <w:spacing w:before="5"/>
        <w:rPr>
          <w:sz w:val="18"/>
        </w:rPr>
      </w:pPr>
    </w:p>
    <w:p>
      <w:pPr>
        <w:pStyle w:val="Heading9"/>
        <w:numPr>
          <w:ilvl w:val="0"/>
          <w:numId w:val="94"/>
        </w:numPr>
        <w:tabs>
          <w:tab w:pos="1607" w:val="left" w:leader="none"/>
          <w:tab w:pos="1608" w:val="left" w:leader="none"/>
        </w:tabs>
        <w:spacing w:line="261" w:lineRule="exact" w:before="0" w:after="0"/>
        <w:ind w:left="1607" w:right="0" w:hanging="361"/>
        <w:jc w:val="left"/>
      </w:pPr>
      <w:r>
        <w:rPr>
          <w:w w:val="110"/>
        </w:rPr>
        <w:t>Individual</w:t>
      </w:r>
    </w:p>
    <w:p>
      <w:pPr>
        <w:pStyle w:val="BodyText"/>
        <w:spacing w:line="235" w:lineRule="auto"/>
        <w:ind w:left="1607" w:right="1820"/>
      </w:pPr>
      <w:r>
        <w:rPr>
          <w:w w:val="120"/>
        </w:rPr>
        <w:t>In recent years, much emphasis has been placed in education on the individual. Learning pathways are no longer well-trodden shared routes through education. Handling that complexity can be a challenge, but perhaps the greater challenge is to maintain community amidst this personal-focused education. And, beyond that, to foster unique gifts and encourage personal growth while equally encouraging shared commitment and a deeper engagement in being in community.</w:t>
      </w:r>
    </w:p>
    <w:p>
      <w:pPr>
        <w:pStyle w:val="BodyText"/>
        <w:spacing w:before="7"/>
      </w:pPr>
    </w:p>
    <w:p>
      <w:pPr>
        <w:pStyle w:val="Heading4"/>
        <w:ind w:left="1247" w:firstLine="0"/>
        <w:rPr>
          <w:rFonts w:ascii="Stone Sans II ITC Std X Bd"/>
          <w:b/>
        </w:rPr>
      </w:pPr>
      <w:r>
        <w:rPr>
          <w:rFonts w:ascii="Stone Sans II ITC Std X Bd"/>
          <w:b/>
          <w:w w:val="110"/>
        </w:rPr>
        <w:t>Are we on the right lines?</w:t>
      </w:r>
    </w:p>
    <w:p>
      <w:pPr>
        <w:pStyle w:val="ListParagraph"/>
        <w:numPr>
          <w:ilvl w:val="0"/>
          <w:numId w:val="89"/>
        </w:numPr>
        <w:tabs>
          <w:tab w:pos="1927" w:val="left" w:leader="none"/>
          <w:tab w:pos="1928" w:val="left" w:leader="none"/>
        </w:tabs>
        <w:spacing w:line="240" w:lineRule="auto" w:before="168" w:after="0"/>
        <w:ind w:left="1927" w:right="0" w:hanging="681"/>
        <w:jc w:val="left"/>
        <w:rPr>
          <w:rFonts w:ascii="Stone Sans II ITC Std Bk"/>
          <w:b/>
          <w:sz w:val="29"/>
        </w:rPr>
      </w:pPr>
      <w:r>
        <w:rPr>
          <w:rFonts w:ascii="Stone Sans II ITC Std Bk"/>
          <w:b/>
          <w:spacing w:val="3"/>
          <w:w w:val="110"/>
          <w:sz w:val="29"/>
        </w:rPr>
        <w:t>Westminster</w:t>
      </w:r>
      <w:r>
        <w:rPr>
          <w:rFonts w:ascii="Stone Sans II ITC Std Bk"/>
          <w:b/>
          <w:spacing w:val="12"/>
          <w:w w:val="110"/>
          <w:sz w:val="29"/>
        </w:rPr>
        <w:t> </w:t>
      </w:r>
      <w:r>
        <w:rPr>
          <w:rFonts w:ascii="Stone Sans II ITC Std Bk"/>
          <w:b/>
          <w:spacing w:val="4"/>
          <w:w w:val="110"/>
          <w:sz w:val="29"/>
        </w:rPr>
        <w:t>College</w:t>
      </w:r>
    </w:p>
    <w:p>
      <w:pPr>
        <w:pStyle w:val="ListParagraph"/>
        <w:numPr>
          <w:ilvl w:val="1"/>
          <w:numId w:val="89"/>
        </w:numPr>
        <w:tabs>
          <w:tab w:pos="1927" w:val="left" w:leader="none"/>
          <w:tab w:pos="1928" w:val="left" w:leader="none"/>
        </w:tabs>
        <w:spacing w:line="235" w:lineRule="auto" w:before="69" w:after="0"/>
        <w:ind w:left="1247" w:right="2293" w:firstLine="0"/>
        <w:jc w:val="left"/>
        <w:rPr>
          <w:sz w:val="20"/>
        </w:rPr>
      </w:pPr>
      <w:r>
        <w:rPr>
          <w:w w:val="120"/>
          <w:sz w:val="20"/>
        </w:rPr>
        <w:t>God is very good! Our </w:t>
      </w:r>
      <w:r>
        <w:rPr>
          <w:spacing w:val="2"/>
          <w:w w:val="120"/>
          <w:sz w:val="20"/>
        </w:rPr>
        <w:t>story </w:t>
      </w:r>
      <w:r>
        <w:rPr>
          <w:w w:val="120"/>
          <w:sz w:val="20"/>
        </w:rPr>
        <w:t>since </w:t>
      </w:r>
      <w:r>
        <w:rPr>
          <w:spacing w:val="-7"/>
          <w:w w:val="120"/>
          <w:sz w:val="20"/>
        </w:rPr>
        <w:t>2012 </w:t>
      </w:r>
      <w:r>
        <w:rPr>
          <w:w w:val="120"/>
          <w:sz w:val="20"/>
        </w:rPr>
        <w:t>is all about the continuity of faithful service and the transformation, hard work, risk and excitement of new possibilities. Our last Assembly </w:t>
      </w:r>
      <w:r>
        <w:rPr>
          <w:spacing w:val="2"/>
          <w:w w:val="120"/>
          <w:sz w:val="20"/>
        </w:rPr>
        <w:t>report </w:t>
      </w:r>
      <w:r>
        <w:rPr>
          <w:w w:val="120"/>
          <w:sz w:val="20"/>
        </w:rPr>
        <w:t>described changes as we continued to open Westminster  to</w:t>
      </w:r>
      <w:r>
        <w:rPr>
          <w:spacing w:val="7"/>
          <w:w w:val="120"/>
          <w:sz w:val="20"/>
        </w:rPr>
        <w:t> </w:t>
      </w:r>
      <w:r>
        <w:rPr>
          <w:w w:val="120"/>
          <w:sz w:val="20"/>
        </w:rPr>
        <w:t>meet</w:t>
      </w:r>
      <w:r>
        <w:rPr>
          <w:spacing w:val="7"/>
          <w:w w:val="120"/>
          <w:sz w:val="20"/>
        </w:rPr>
        <w:t> </w:t>
      </w:r>
      <w:r>
        <w:rPr>
          <w:w w:val="120"/>
          <w:sz w:val="20"/>
        </w:rPr>
        <w:t>the</w:t>
      </w:r>
      <w:r>
        <w:rPr>
          <w:spacing w:val="8"/>
          <w:w w:val="120"/>
          <w:sz w:val="20"/>
        </w:rPr>
        <w:t> </w:t>
      </w:r>
      <w:r>
        <w:rPr>
          <w:w w:val="120"/>
          <w:sz w:val="20"/>
        </w:rPr>
        <w:t>United</w:t>
      </w:r>
      <w:r>
        <w:rPr>
          <w:spacing w:val="7"/>
          <w:w w:val="120"/>
          <w:sz w:val="20"/>
        </w:rPr>
        <w:t> </w:t>
      </w:r>
      <w:r>
        <w:rPr>
          <w:w w:val="120"/>
          <w:sz w:val="20"/>
        </w:rPr>
        <w:t>Reformed</w:t>
      </w:r>
      <w:r>
        <w:rPr>
          <w:spacing w:val="8"/>
          <w:w w:val="120"/>
          <w:sz w:val="20"/>
        </w:rPr>
        <w:t> </w:t>
      </w:r>
      <w:r>
        <w:rPr>
          <w:spacing w:val="-3"/>
          <w:w w:val="120"/>
          <w:sz w:val="20"/>
        </w:rPr>
        <w:t>Church’s</w:t>
      </w:r>
      <w:r>
        <w:rPr>
          <w:spacing w:val="7"/>
          <w:w w:val="120"/>
          <w:sz w:val="20"/>
        </w:rPr>
        <w:t> </w:t>
      </w:r>
      <w:r>
        <w:rPr>
          <w:w w:val="120"/>
          <w:sz w:val="20"/>
        </w:rPr>
        <w:t>expectations</w:t>
      </w:r>
      <w:r>
        <w:rPr>
          <w:spacing w:val="8"/>
          <w:w w:val="120"/>
          <w:sz w:val="20"/>
        </w:rPr>
        <w:t> </w:t>
      </w:r>
      <w:r>
        <w:rPr>
          <w:w w:val="120"/>
          <w:sz w:val="20"/>
        </w:rPr>
        <w:t>in</w:t>
      </w:r>
      <w:r>
        <w:rPr>
          <w:spacing w:val="7"/>
          <w:w w:val="120"/>
          <w:sz w:val="20"/>
        </w:rPr>
        <w:t> </w:t>
      </w:r>
      <w:r>
        <w:rPr>
          <w:w w:val="120"/>
          <w:sz w:val="20"/>
        </w:rPr>
        <w:t>response</w:t>
      </w:r>
      <w:r>
        <w:rPr>
          <w:spacing w:val="8"/>
          <w:w w:val="120"/>
          <w:sz w:val="20"/>
        </w:rPr>
        <w:t> </w:t>
      </w:r>
      <w:r>
        <w:rPr>
          <w:w w:val="120"/>
          <w:sz w:val="20"/>
        </w:rPr>
        <w:t>to</w:t>
      </w:r>
      <w:r>
        <w:rPr>
          <w:spacing w:val="7"/>
          <w:w w:val="120"/>
          <w:sz w:val="20"/>
        </w:rPr>
        <w:t> </w:t>
      </w:r>
      <w:r>
        <w:rPr>
          <w:w w:val="120"/>
          <w:sz w:val="20"/>
        </w:rPr>
        <w:t>the</w:t>
      </w:r>
      <w:r>
        <w:rPr>
          <w:spacing w:val="8"/>
          <w:w w:val="120"/>
          <w:sz w:val="20"/>
        </w:rPr>
        <w:t> </w:t>
      </w:r>
      <w:r>
        <w:rPr>
          <w:w w:val="120"/>
          <w:sz w:val="20"/>
        </w:rPr>
        <w:t>2006</w:t>
      </w:r>
      <w:r>
        <w:rPr>
          <w:spacing w:val="7"/>
          <w:w w:val="120"/>
          <w:sz w:val="20"/>
        </w:rPr>
        <w:t> </w:t>
      </w:r>
      <w:r>
        <w:rPr>
          <w:w w:val="120"/>
          <w:sz w:val="20"/>
        </w:rPr>
        <w:t>training</w:t>
      </w:r>
    </w:p>
    <w:p>
      <w:pPr>
        <w:pStyle w:val="BodyText"/>
        <w:spacing w:line="235" w:lineRule="auto" w:before="3"/>
        <w:ind w:left="1247" w:right="1820"/>
      </w:pPr>
      <w:r>
        <w:rPr>
          <w:w w:val="120"/>
        </w:rPr>
        <w:t>review. Westminster has never stood still. We have evolved across the generations. That evolution gained added impetus and mandate as one of the United Reformed Church’s resource centres for learning. We wanted to be a better place to visit and to open new opportunities to help the United Reformed Church dance to the Holy Spirit’s music.</w:t>
      </w:r>
    </w:p>
    <w:p>
      <w:pPr>
        <w:pStyle w:val="BodyText"/>
        <w:spacing w:line="243" w:lineRule="exact"/>
        <w:ind w:left="1247"/>
      </w:pPr>
      <w:r>
        <w:rPr>
          <w:w w:val="120"/>
        </w:rPr>
        <w:t>General Assembly wanted that too.</w:t>
      </w:r>
    </w:p>
    <w:p>
      <w:pPr>
        <w:pStyle w:val="BodyText"/>
        <w:spacing w:before="8"/>
        <w:rPr>
          <w:sz w:val="19"/>
        </w:rPr>
      </w:pPr>
    </w:p>
    <w:p>
      <w:pPr>
        <w:pStyle w:val="ListParagraph"/>
        <w:numPr>
          <w:ilvl w:val="1"/>
          <w:numId w:val="89"/>
        </w:numPr>
        <w:tabs>
          <w:tab w:pos="1927" w:val="left" w:leader="none"/>
          <w:tab w:pos="1928" w:val="left" w:leader="none"/>
        </w:tabs>
        <w:spacing w:line="235" w:lineRule="auto" w:before="0" w:after="0"/>
        <w:ind w:left="1247" w:right="2032" w:firstLine="0"/>
        <w:jc w:val="left"/>
        <w:rPr>
          <w:sz w:val="20"/>
        </w:rPr>
      </w:pPr>
      <w:r>
        <w:rPr>
          <w:w w:val="120"/>
          <w:sz w:val="20"/>
        </w:rPr>
        <w:t>So we have continued to devote energy and passion to sustaining our life of worship and prayer, building faithful community at the heart of our work. </w:t>
      </w:r>
      <w:r>
        <w:rPr>
          <w:spacing w:val="3"/>
          <w:w w:val="120"/>
          <w:sz w:val="20"/>
        </w:rPr>
        <w:t>As </w:t>
      </w:r>
      <w:r>
        <w:rPr>
          <w:w w:val="120"/>
          <w:sz w:val="20"/>
        </w:rPr>
        <w:t>change  has multiplied within Westminster and the United Reformed </w:t>
      </w:r>
      <w:r>
        <w:rPr>
          <w:spacing w:val="-3"/>
          <w:w w:val="120"/>
          <w:sz w:val="20"/>
        </w:rPr>
        <w:t>Church’s </w:t>
      </w:r>
      <w:r>
        <w:rPr>
          <w:w w:val="120"/>
          <w:sz w:val="20"/>
        </w:rPr>
        <w:t>contexts, within the Cambridge Theological Federation of which we are a dedicated </w:t>
      </w:r>
      <w:r>
        <w:rPr>
          <w:spacing w:val="2"/>
          <w:w w:val="120"/>
          <w:sz w:val="20"/>
        </w:rPr>
        <w:t>part </w:t>
      </w:r>
      <w:r>
        <w:rPr>
          <w:w w:val="120"/>
          <w:sz w:val="20"/>
        </w:rPr>
        <w:t>and within theological education generally, we have never lost touch with </w:t>
      </w:r>
      <w:r>
        <w:rPr>
          <w:spacing w:val="-3"/>
          <w:w w:val="120"/>
          <w:sz w:val="20"/>
        </w:rPr>
        <w:t>faith’s </w:t>
      </w:r>
      <w:r>
        <w:rPr>
          <w:w w:val="120"/>
          <w:sz w:val="20"/>
        </w:rPr>
        <w:t>roots. Morning and afternoon in term begin with chapel prayers. Bible study and exploring preaching remain staples of the Monday morning timetable. Placements in local congregations and churches across the world remain fundamental to student progress towards call and ordination. In tutor groups and classes, around meal tables, in committees and at the pub we gather to share life and faith amidst the laughter and tears of all that human experience and God’s grace</w:t>
      </w:r>
      <w:r>
        <w:rPr>
          <w:spacing w:val="11"/>
          <w:w w:val="120"/>
          <w:sz w:val="20"/>
        </w:rPr>
        <w:t> </w:t>
      </w:r>
      <w:r>
        <w:rPr>
          <w:w w:val="120"/>
          <w:sz w:val="20"/>
        </w:rPr>
        <w:t>bring.</w:t>
      </w:r>
    </w:p>
    <w:p>
      <w:pPr>
        <w:pStyle w:val="BodyText"/>
        <w:spacing w:before="4"/>
      </w:pPr>
    </w:p>
    <w:p>
      <w:pPr>
        <w:pStyle w:val="ListParagraph"/>
        <w:numPr>
          <w:ilvl w:val="1"/>
          <w:numId w:val="89"/>
        </w:numPr>
        <w:tabs>
          <w:tab w:pos="1927" w:val="left" w:leader="none"/>
          <w:tab w:pos="1928" w:val="left" w:leader="none"/>
        </w:tabs>
        <w:spacing w:line="235" w:lineRule="auto" w:before="0" w:after="0"/>
        <w:ind w:left="1247" w:right="2055" w:firstLine="0"/>
        <w:jc w:val="left"/>
        <w:rPr>
          <w:sz w:val="20"/>
        </w:rPr>
      </w:pPr>
      <w:r>
        <w:rPr>
          <w:w w:val="120"/>
          <w:sz w:val="20"/>
        </w:rPr>
        <w:t>We have continued to welcome a diverse community of students preparing for ordination and independent students deepening their theology. Increasingly we are tailoring courses to individuals, making full use of the suite of undergraduate and post graduate teaching through the Federation. Most of our teaching is ecumenical and we delight in the blessings and challenges of this fundamental strand of Westminster </w:t>
      </w:r>
      <w:r>
        <w:rPr>
          <w:spacing w:val="3"/>
          <w:w w:val="120"/>
          <w:sz w:val="20"/>
        </w:rPr>
        <w:t>DNA. </w:t>
      </w:r>
      <w:r>
        <w:rPr>
          <w:w w:val="120"/>
          <w:sz w:val="20"/>
        </w:rPr>
        <w:t>Sabbatical and shorter stay ministers come from across the denomination and world. Our </w:t>
      </w:r>
      <w:r>
        <w:rPr>
          <w:spacing w:val="2"/>
          <w:w w:val="120"/>
          <w:sz w:val="20"/>
        </w:rPr>
        <w:t>story </w:t>
      </w:r>
      <w:r>
        <w:rPr>
          <w:w w:val="120"/>
          <w:sz w:val="20"/>
        </w:rPr>
        <w:t>is partly a </w:t>
      </w:r>
      <w:r>
        <w:rPr>
          <w:spacing w:val="2"/>
          <w:w w:val="120"/>
          <w:sz w:val="20"/>
        </w:rPr>
        <w:t>story </w:t>
      </w:r>
      <w:r>
        <w:rPr>
          <w:w w:val="120"/>
          <w:sz w:val="20"/>
        </w:rPr>
        <w:t>of</w:t>
      </w:r>
      <w:r>
        <w:rPr>
          <w:spacing w:val="8"/>
          <w:w w:val="120"/>
          <w:sz w:val="20"/>
        </w:rPr>
        <w:t> </w:t>
      </w:r>
      <w:r>
        <w:rPr>
          <w:w w:val="120"/>
          <w:sz w:val="20"/>
        </w:rPr>
        <w:t>continuity.</w:t>
      </w:r>
    </w:p>
    <w:p>
      <w:pPr>
        <w:pStyle w:val="BodyText"/>
        <w:spacing w:before="1"/>
      </w:pPr>
    </w:p>
    <w:p>
      <w:pPr>
        <w:pStyle w:val="ListParagraph"/>
        <w:numPr>
          <w:ilvl w:val="1"/>
          <w:numId w:val="89"/>
        </w:numPr>
        <w:tabs>
          <w:tab w:pos="1927" w:val="left" w:leader="none"/>
          <w:tab w:pos="1928" w:val="left" w:leader="none"/>
        </w:tabs>
        <w:spacing w:line="235" w:lineRule="auto" w:before="0" w:after="0"/>
        <w:ind w:left="1247" w:right="2340" w:firstLine="0"/>
        <w:jc w:val="left"/>
        <w:rPr>
          <w:sz w:val="20"/>
        </w:rPr>
      </w:pPr>
      <w:r>
        <w:rPr>
          <w:w w:val="120"/>
          <w:sz w:val="20"/>
        </w:rPr>
        <w:t>Our </w:t>
      </w:r>
      <w:r>
        <w:rPr>
          <w:spacing w:val="2"/>
          <w:w w:val="120"/>
          <w:sz w:val="20"/>
        </w:rPr>
        <w:t>story </w:t>
      </w:r>
      <w:r>
        <w:rPr>
          <w:w w:val="120"/>
          <w:sz w:val="20"/>
        </w:rPr>
        <w:t>also means transformation. At the last Assembly we hoped that building work would begin in the summer of </w:t>
      </w:r>
      <w:r>
        <w:rPr>
          <w:spacing w:val="-7"/>
          <w:w w:val="120"/>
          <w:sz w:val="20"/>
        </w:rPr>
        <w:t>2013. </w:t>
      </w:r>
      <w:r>
        <w:rPr>
          <w:w w:val="120"/>
          <w:sz w:val="20"/>
        </w:rPr>
        <w:t>It did! At times the process has challenged and tested us as we have adapted to fit temporary accommodation and disjointed routines, and we honour the steadfast good will of students and staff who have risen to tremendous</w:t>
      </w:r>
      <w:r>
        <w:rPr>
          <w:spacing w:val="8"/>
          <w:w w:val="120"/>
          <w:sz w:val="20"/>
        </w:rPr>
        <w:t> </w:t>
      </w:r>
      <w:r>
        <w:rPr>
          <w:w w:val="120"/>
          <w:sz w:val="20"/>
        </w:rPr>
        <w:t>challenges.</w:t>
      </w:r>
    </w:p>
    <w:p>
      <w:pPr>
        <w:pStyle w:val="BodyText"/>
      </w:pPr>
    </w:p>
    <w:p>
      <w:pPr>
        <w:pStyle w:val="ListParagraph"/>
        <w:numPr>
          <w:ilvl w:val="1"/>
          <w:numId w:val="89"/>
        </w:numPr>
        <w:tabs>
          <w:tab w:pos="1927" w:val="left" w:leader="none"/>
          <w:tab w:pos="1928" w:val="left" w:leader="none"/>
        </w:tabs>
        <w:spacing w:line="235" w:lineRule="auto" w:before="0" w:after="0"/>
        <w:ind w:left="1247" w:right="2195" w:firstLine="0"/>
        <w:jc w:val="left"/>
        <w:rPr>
          <w:sz w:val="20"/>
        </w:rPr>
      </w:pPr>
      <w:r>
        <w:rPr>
          <w:w w:val="120"/>
          <w:sz w:val="20"/>
        </w:rPr>
        <w:t>By the time Assembly meets we expect that the builders will have all but finished. Westminster has been refreshed and transformed. En-suite bedrooms, better student flats, wireless internet, new kitchens, improved lighting, disabled access,</w:t>
      </w:r>
      <w:r>
        <w:rPr>
          <w:spacing w:val="39"/>
          <w:w w:val="120"/>
          <w:sz w:val="20"/>
        </w:rPr>
        <w:t> </w:t>
      </w:r>
      <w:r>
        <w:rPr>
          <w:w w:val="120"/>
          <w:sz w:val="20"/>
        </w:rPr>
        <w:t>a</w:t>
      </w:r>
    </w:p>
    <w:p>
      <w:pPr>
        <w:pStyle w:val="BodyText"/>
        <w:spacing w:line="235" w:lineRule="auto" w:before="2"/>
        <w:ind w:left="1247" w:right="2004"/>
      </w:pPr>
      <w:r>
        <w:rPr>
          <w:w w:val="120"/>
        </w:rPr>
        <w:t>lift to bedrooms and library, dramatically modernised teaching rooms, new archive facilities and proper office accommodation all take their place within a building that stands renewed.</w:t>
      </w:r>
    </w:p>
    <w:p>
      <w:pPr>
        <w:spacing w:after="0" w:line="235" w:lineRule="auto"/>
        <w:sectPr>
          <w:headerReference w:type="even" r:id="rId384"/>
          <w:footerReference w:type="even" r:id="rId385"/>
          <w:footerReference w:type="default" r:id="rId386"/>
          <w:pgSz w:w="11910" w:h="16840"/>
          <w:pgMar w:header="0" w:footer="647" w:top="0" w:bottom="840" w:left="0" w:right="0"/>
          <w:pgNumType w:start="166"/>
        </w:sectPr>
      </w:pPr>
    </w:p>
    <w:p>
      <w:pPr>
        <w:pStyle w:val="BodyText"/>
      </w:pPr>
      <w:r>
        <w:rPr/>
        <w:drawing>
          <wp:anchor distT="0" distB="0" distL="0" distR="0" allowOverlap="1" layoutInCell="1" locked="0" behindDoc="0" simplePos="0" relativeHeight="252088320">
            <wp:simplePos x="0" y="0"/>
            <wp:positionH relativeFrom="page">
              <wp:posOffset>6974928</wp:posOffset>
            </wp:positionH>
            <wp:positionV relativeFrom="page">
              <wp:posOffset>0</wp:posOffset>
            </wp:positionV>
            <wp:extent cx="585063" cy="10692003"/>
            <wp:effectExtent l="0" t="0" r="0" b="0"/>
            <wp:wrapNone/>
            <wp:docPr id="311" name="image30.png"/>
            <wp:cNvGraphicFramePr>
              <a:graphicFrameLocks noChangeAspect="1"/>
            </wp:cNvGraphicFramePr>
            <a:graphic>
              <a:graphicData uri="http://schemas.openxmlformats.org/drawingml/2006/picture">
                <pic:pic>
                  <pic:nvPicPr>
                    <pic:cNvPr id="312" name="image30.png"/>
                    <pic:cNvPicPr/>
                  </pic:nvPicPr>
                  <pic:blipFill>
                    <a:blip r:embed="rId357"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pStyle w:val="Heading5"/>
        <w:ind w:left="7814"/>
      </w:pPr>
      <w:r>
        <w:rPr/>
        <w:pict>
          <v:shape style="position:absolute;margin-left:554.141174pt;margin-top:22.593945pt;width:25.9pt;height:237.55pt;mso-position-horizontal-relative:page;mso-position-vertical-relative:paragraph;z-index:252089344" type="#_x0000_t202" filled="false" stroked="false">
            <v:textbox inset="0,0,0,0" style="layout-flow:vertical">
              <w:txbxContent>
                <w:p>
                  <w:pPr>
                    <w:spacing w:before="27"/>
                    <w:ind w:left="20" w:right="0" w:firstLine="0"/>
                    <w:jc w:val="left"/>
                    <w:rPr>
                      <w:sz w:val="39"/>
                    </w:rPr>
                  </w:pPr>
                  <w:r>
                    <w:rPr>
                      <w:color w:val="FFFFFF"/>
                      <w:w w:val="120"/>
                      <w:sz w:val="39"/>
                    </w:rPr>
                    <w:t>Education and learning</w:t>
                  </w:r>
                </w:p>
              </w:txbxContent>
            </v:textbox>
            <w10:wrap type="none"/>
          </v:shape>
        </w:pict>
      </w:r>
      <w:r>
        <w:rPr>
          <w:color w:val="7EAABF"/>
          <w:w w:val="115"/>
        </w:rPr>
        <w:t>Education and learning</w:t>
      </w:r>
    </w:p>
    <w:p>
      <w:pPr>
        <w:pStyle w:val="ListParagraph"/>
        <w:numPr>
          <w:ilvl w:val="1"/>
          <w:numId w:val="89"/>
        </w:numPr>
        <w:tabs>
          <w:tab w:pos="2664" w:val="left" w:leader="none"/>
          <w:tab w:pos="2665" w:val="left" w:leader="none"/>
        </w:tabs>
        <w:spacing w:line="235" w:lineRule="auto" w:before="222" w:after="0"/>
        <w:ind w:left="1984" w:right="1351" w:firstLine="0"/>
        <w:jc w:val="left"/>
        <w:rPr>
          <w:sz w:val="20"/>
        </w:rPr>
      </w:pPr>
      <w:r>
        <w:rPr>
          <w:w w:val="120"/>
          <w:sz w:val="20"/>
        </w:rPr>
        <w:t>All of this has happened thanks to the fabulous response to the appeal </w:t>
      </w:r>
      <w:r>
        <w:rPr>
          <w:spacing w:val="-3"/>
          <w:w w:val="120"/>
          <w:sz w:val="20"/>
        </w:rPr>
        <w:t>(which </w:t>
      </w:r>
      <w:r>
        <w:rPr>
          <w:w w:val="120"/>
          <w:sz w:val="20"/>
        </w:rPr>
        <w:t>stands at </w:t>
      </w:r>
      <w:r>
        <w:rPr>
          <w:spacing w:val="-3"/>
          <w:w w:val="120"/>
          <w:sz w:val="20"/>
        </w:rPr>
        <w:t>£6,768,699 </w:t>
      </w:r>
      <w:r>
        <w:rPr>
          <w:w w:val="120"/>
          <w:sz w:val="20"/>
        </w:rPr>
        <w:t>as January </w:t>
      </w:r>
      <w:r>
        <w:rPr>
          <w:spacing w:val="-4"/>
          <w:w w:val="120"/>
          <w:sz w:val="20"/>
        </w:rPr>
        <w:t>ends). </w:t>
      </w:r>
      <w:r>
        <w:rPr>
          <w:w w:val="120"/>
          <w:sz w:val="20"/>
        </w:rPr>
        <w:t>We have been humbled by donations from across the United Reformed Church and beyond. We have been entrusted with much. We say a sincere ‘thank you’ to all who have given Westminster this future, not least those on our committees who have supported us. We owe special thanks to Brian Long who has led the appeal</w:t>
      </w:r>
      <w:r>
        <w:rPr>
          <w:spacing w:val="10"/>
          <w:w w:val="120"/>
          <w:sz w:val="20"/>
        </w:rPr>
        <w:t> </w:t>
      </w:r>
      <w:r>
        <w:rPr>
          <w:w w:val="120"/>
          <w:sz w:val="20"/>
        </w:rPr>
        <w:t>magnificently.</w:t>
      </w:r>
    </w:p>
    <w:p>
      <w:pPr>
        <w:pStyle w:val="BodyText"/>
      </w:pPr>
    </w:p>
    <w:p>
      <w:pPr>
        <w:pStyle w:val="ListParagraph"/>
        <w:numPr>
          <w:ilvl w:val="1"/>
          <w:numId w:val="89"/>
        </w:numPr>
        <w:tabs>
          <w:tab w:pos="2664" w:val="left" w:leader="none"/>
          <w:tab w:pos="2665" w:val="left" w:leader="none"/>
        </w:tabs>
        <w:spacing w:line="235" w:lineRule="auto" w:before="0" w:after="0"/>
        <w:ind w:left="1984" w:right="1263" w:firstLine="0"/>
        <w:jc w:val="left"/>
        <w:rPr>
          <w:sz w:val="20"/>
        </w:rPr>
      </w:pPr>
      <w:r>
        <w:rPr>
          <w:w w:val="120"/>
          <w:sz w:val="20"/>
        </w:rPr>
        <w:t>Transformation includes changes amongst our people. Last summer Susan  Durber </w:t>
      </w:r>
      <w:r>
        <w:rPr>
          <w:spacing w:val="2"/>
          <w:w w:val="120"/>
          <w:sz w:val="20"/>
        </w:rPr>
        <w:t>left </w:t>
      </w:r>
      <w:r>
        <w:rPr>
          <w:w w:val="120"/>
          <w:sz w:val="20"/>
        </w:rPr>
        <w:t>as principal to begin theological work with Christian Aid. No one connected with Westminster can be in any doubt that we would not be where we are</w:t>
      </w:r>
      <w:r>
        <w:rPr>
          <w:spacing w:val="36"/>
          <w:w w:val="120"/>
          <w:sz w:val="20"/>
        </w:rPr>
        <w:t> </w:t>
      </w:r>
      <w:r>
        <w:rPr>
          <w:w w:val="120"/>
          <w:sz w:val="20"/>
        </w:rPr>
        <w:t>without</w:t>
      </w:r>
    </w:p>
    <w:p>
      <w:pPr>
        <w:pStyle w:val="BodyText"/>
        <w:spacing w:line="235" w:lineRule="auto" w:before="2"/>
        <w:ind w:left="1984" w:right="1352"/>
      </w:pPr>
      <w:r>
        <w:rPr>
          <w:w w:val="120"/>
        </w:rPr>
        <w:t>her talent, vision, courage and leadership. Susan completely embraced our being a resource centre for learning and enabled Westminster to embrace this vision with vigour and verve. The United Reformed Church owes Susan a tremendous debt. Neil Thorogood became Westminster’s principal as 2014 dawned.</w:t>
      </w:r>
    </w:p>
    <w:p>
      <w:pPr>
        <w:pStyle w:val="BodyText"/>
        <w:spacing w:before="11"/>
        <w:rPr>
          <w:sz w:val="19"/>
        </w:rPr>
      </w:pPr>
    </w:p>
    <w:p>
      <w:pPr>
        <w:pStyle w:val="ListParagraph"/>
        <w:numPr>
          <w:ilvl w:val="1"/>
          <w:numId w:val="89"/>
        </w:numPr>
        <w:tabs>
          <w:tab w:pos="2664" w:val="left" w:leader="none"/>
          <w:tab w:pos="2665" w:val="left" w:leader="none"/>
        </w:tabs>
        <w:spacing w:line="235" w:lineRule="auto" w:before="0" w:after="0"/>
        <w:ind w:left="1984" w:right="1475" w:firstLine="0"/>
        <w:jc w:val="left"/>
        <w:rPr>
          <w:sz w:val="20"/>
        </w:rPr>
      </w:pPr>
      <w:r>
        <w:rPr>
          <w:w w:val="120"/>
          <w:sz w:val="20"/>
        </w:rPr>
        <w:t>At Easter </w:t>
      </w:r>
      <w:r>
        <w:rPr>
          <w:spacing w:val="-7"/>
          <w:w w:val="120"/>
          <w:sz w:val="20"/>
        </w:rPr>
        <w:t>2014  </w:t>
      </w:r>
      <w:r>
        <w:rPr>
          <w:spacing w:val="-4"/>
          <w:w w:val="120"/>
          <w:sz w:val="20"/>
        </w:rPr>
        <w:t>Tony </w:t>
      </w:r>
      <w:r>
        <w:rPr>
          <w:w w:val="120"/>
          <w:sz w:val="20"/>
        </w:rPr>
        <w:t>Bottoms steps down as the chair of governors. Our debt  to </w:t>
      </w:r>
      <w:r>
        <w:rPr>
          <w:spacing w:val="-4"/>
          <w:w w:val="120"/>
          <w:sz w:val="20"/>
        </w:rPr>
        <w:t>Tony </w:t>
      </w:r>
      <w:r>
        <w:rPr>
          <w:w w:val="120"/>
          <w:sz w:val="20"/>
        </w:rPr>
        <w:t>is immense and we honour his wise and dedicated service. We are delighted that Nigel Uden now brings the wealth of his experience and </w:t>
      </w:r>
      <w:r>
        <w:rPr>
          <w:spacing w:val="2"/>
          <w:w w:val="120"/>
          <w:sz w:val="20"/>
        </w:rPr>
        <w:t>gifts </w:t>
      </w:r>
      <w:r>
        <w:rPr>
          <w:w w:val="120"/>
          <w:sz w:val="20"/>
        </w:rPr>
        <w:t>to the role. We are appointing a new full-time director of pastoral and church programmes to teach and to develop our resourcing of local congregations, closely collaborating with synods and wider United Reformed Church networks. </w:t>
      </w:r>
      <w:r>
        <w:rPr>
          <w:spacing w:val="3"/>
          <w:w w:val="120"/>
          <w:sz w:val="20"/>
        </w:rPr>
        <w:t>Art </w:t>
      </w:r>
      <w:r>
        <w:rPr>
          <w:w w:val="120"/>
          <w:sz w:val="20"/>
        </w:rPr>
        <w:t>@ Advent in </w:t>
      </w:r>
      <w:r>
        <w:rPr>
          <w:spacing w:val="-8"/>
          <w:w w:val="120"/>
          <w:sz w:val="20"/>
        </w:rPr>
        <w:t>2013 </w:t>
      </w:r>
      <w:r>
        <w:rPr>
          <w:w w:val="120"/>
          <w:sz w:val="20"/>
        </w:rPr>
        <w:t>was the first such new offer and we plan a growing programme delivered at Westminster, taken</w:t>
      </w:r>
      <w:r>
        <w:rPr>
          <w:spacing w:val="17"/>
          <w:w w:val="120"/>
          <w:sz w:val="20"/>
        </w:rPr>
        <w:t> </w:t>
      </w:r>
      <w:r>
        <w:rPr>
          <w:w w:val="120"/>
          <w:sz w:val="20"/>
        </w:rPr>
        <w:t>across</w:t>
      </w:r>
    </w:p>
    <w:p>
      <w:pPr>
        <w:pStyle w:val="BodyText"/>
        <w:spacing w:line="235" w:lineRule="auto" w:before="5"/>
        <w:ind w:left="1984" w:right="1352"/>
      </w:pPr>
      <w:r>
        <w:rPr>
          <w:w w:val="120"/>
        </w:rPr>
        <w:t>the United Reformed Church and made available online. We have welcomed new faces amongst our support staff as we open up to church and commercial use around the clock and throughout the year.</w:t>
      </w:r>
    </w:p>
    <w:p>
      <w:pPr>
        <w:pStyle w:val="BodyText"/>
        <w:spacing w:before="6"/>
        <w:rPr>
          <w:sz w:val="18"/>
        </w:rPr>
      </w:pPr>
    </w:p>
    <w:p>
      <w:pPr>
        <w:pStyle w:val="Heading9"/>
        <w:spacing w:line="240" w:lineRule="auto"/>
        <w:ind w:left="1984" w:firstLine="0"/>
        <w:rPr>
          <w:rFonts w:ascii="Stone Sans II ITC Std X Bd"/>
          <w:b/>
        </w:rPr>
      </w:pPr>
      <w:r>
        <w:rPr>
          <w:rFonts w:ascii="Stone Sans II ITC Std X Bd"/>
          <w:b/>
          <w:w w:val="110"/>
        </w:rPr>
        <w:t>Looking forwards:</w:t>
      </w:r>
    </w:p>
    <w:p>
      <w:pPr>
        <w:pStyle w:val="BodyText"/>
        <w:spacing w:before="10"/>
        <w:rPr>
          <w:rFonts w:ascii="Stone Sans II ITC Std X Bd"/>
          <w:b/>
          <w:sz w:val="16"/>
        </w:rPr>
      </w:pPr>
    </w:p>
    <w:p>
      <w:pPr>
        <w:pStyle w:val="ListParagraph"/>
        <w:numPr>
          <w:ilvl w:val="1"/>
          <w:numId w:val="89"/>
        </w:numPr>
        <w:tabs>
          <w:tab w:pos="2664" w:val="left" w:leader="none"/>
          <w:tab w:pos="2665" w:val="left" w:leader="none"/>
        </w:tabs>
        <w:spacing w:line="235" w:lineRule="auto" w:before="0" w:after="0"/>
        <w:ind w:left="1984" w:right="1611" w:firstLine="0"/>
        <w:jc w:val="left"/>
        <w:rPr>
          <w:sz w:val="20"/>
        </w:rPr>
      </w:pPr>
      <w:r>
        <w:rPr>
          <w:w w:val="120"/>
          <w:sz w:val="20"/>
        </w:rPr>
        <w:t>Westminster is now properly equipped to serve. We will continue to offer rigorous and empowering theological education for those preparing for ministry.   We will build our collaboration within the Federation, especially as we share our premises with the </w:t>
      </w:r>
      <w:r>
        <w:rPr>
          <w:spacing w:val="2"/>
          <w:w w:val="120"/>
          <w:sz w:val="20"/>
        </w:rPr>
        <w:t>Henry Martyn </w:t>
      </w:r>
      <w:r>
        <w:rPr>
          <w:w w:val="120"/>
          <w:sz w:val="20"/>
        </w:rPr>
        <w:t>Centre for mission studies and as we look forward to welcoming, in a new building on our site, the Woolf Institute for the study of relationships between Christians, Jews and Muslims. The Federation begins teaching a new undergraduate common award from September </w:t>
      </w:r>
      <w:r>
        <w:rPr>
          <w:spacing w:val="-7"/>
          <w:w w:val="120"/>
          <w:sz w:val="20"/>
        </w:rPr>
        <w:t>2014, </w:t>
      </w:r>
      <w:r>
        <w:rPr>
          <w:w w:val="120"/>
          <w:sz w:val="20"/>
        </w:rPr>
        <w:t>currently undergoing validation with Durham University. We look forward to its increasing flexibility and potential to meet many of the United Reformed </w:t>
      </w:r>
      <w:r>
        <w:rPr>
          <w:spacing w:val="-3"/>
          <w:w w:val="120"/>
          <w:sz w:val="20"/>
        </w:rPr>
        <w:t>Church’s </w:t>
      </w:r>
      <w:r>
        <w:rPr>
          <w:w w:val="120"/>
          <w:sz w:val="20"/>
        </w:rPr>
        <w:t>needs. Other courses will remain with Anglia Ruskin University and the University of</w:t>
      </w:r>
      <w:r>
        <w:rPr>
          <w:spacing w:val="31"/>
          <w:w w:val="120"/>
          <w:sz w:val="20"/>
        </w:rPr>
        <w:t> </w:t>
      </w:r>
      <w:r>
        <w:rPr>
          <w:w w:val="120"/>
          <w:sz w:val="20"/>
        </w:rPr>
        <w:t>Cambridge.</w:t>
      </w:r>
    </w:p>
    <w:p>
      <w:pPr>
        <w:pStyle w:val="BodyText"/>
        <w:spacing w:before="3"/>
      </w:pPr>
    </w:p>
    <w:p>
      <w:pPr>
        <w:pStyle w:val="ListParagraph"/>
        <w:numPr>
          <w:ilvl w:val="1"/>
          <w:numId w:val="89"/>
        </w:numPr>
        <w:tabs>
          <w:tab w:pos="2664" w:val="left" w:leader="none"/>
          <w:tab w:pos="2665" w:val="left" w:leader="none"/>
        </w:tabs>
        <w:spacing w:line="235" w:lineRule="auto" w:before="0" w:after="0"/>
        <w:ind w:left="1984" w:right="1406" w:firstLine="0"/>
        <w:jc w:val="left"/>
        <w:rPr>
          <w:sz w:val="20"/>
        </w:rPr>
      </w:pPr>
      <w:r>
        <w:rPr>
          <w:w w:val="120"/>
          <w:sz w:val="20"/>
        </w:rPr>
        <w:t>We envisage a widening range of United Reformed Church groups, committees and networks using Westminster, and have devoted time to visits and conversations across the United Reformed Church. Listening has been fundamental to shaping our future programmes. We will increasingly unlock Westminster’s creative potential as venue and resource for the whole Church: equipping leaders, encouraging disciples, being blessed by learning together. We are eager to welcome individuals and groups, committees and whole congregations. We will offer short days and longer stays, engagement with key thinkers and space for retreats. We will </w:t>
      </w:r>
      <w:r>
        <w:rPr>
          <w:spacing w:val="2"/>
          <w:w w:val="120"/>
          <w:sz w:val="20"/>
        </w:rPr>
        <w:t>craft </w:t>
      </w:r>
      <w:r>
        <w:rPr>
          <w:w w:val="120"/>
          <w:sz w:val="20"/>
        </w:rPr>
        <w:t>events or simply offer you wonderful accommodation and hospitality leaving you free to do your own thing. We will provide B &amp; B accommodation throughout the year and cater to big conferences. Whatever your needs might be, please contact us to talk them through. Westminster is your place in</w:t>
      </w:r>
      <w:r>
        <w:rPr>
          <w:spacing w:val="11"/>
          <w:w w:val="120"/>
          <w:sz w:val="20"/>
        </w:rPr>
        <w:t> </w:t>
      </w:r>
      <w:r>
        <w:rPr>
          <w:w w:val="120"/>
          <w:sz w:val="20"/>
        </w:rPr>
        <w:t>Cambridge.</w:t>
      </w:r>
    </w:p>
    <w:p>
      <w:pPr>
        <w:pStyle w:val="BodyText"/>
        <w:spacing w:before="2"/>
        <w:rPr>
          <w:sz w:val="18"/>
        </w:rPr>
      </w:pPr>
    </w:p>
    <w:p>
      <w:pPr>
        <w:pStyle w:val="Heading4"/>
        <w:numPr>
          <w:ilvl w:val="0"/>
          <w:numId w:val="89"/>
        </w:numPr>
        <w:tabs>
          <w:tab w:pos="2755" w:val="left" w:leader="none"/>
          <w:tab w:pos="2756" w:val="left" w:leader="none"/>
        </w:tabs>
        <w:spacing w:line="240" w:lineRule="auto" w:before="0" w:after="0"/>
        <w:ind w:left="2755" w:right="0" w:hanging="772"/>
        <w:jc w:val="left"/>
      </w:pPr>
      <w:r>
        <w:rPr>
          <w:spacing w:val="4"/>
          <w:w w:val="110"/>
        </w:rPr>
        <w:t>The Windermere</w:t>
      </w:r>
      <w:r>
        <w:rPr>
          <w:spacing w:val="21"/>
          <w:w w:val="110"/>
        </w:rPr>
        <w:t> </w:t>
      </w:r>
      <w:r>
        <w:rPr>
          <w:spacing w:val="2"/>
          <w:w w:val="110"/>
        </w:rPr>
        <w:t>Centre</w:t>
      </w:r>
    </w:p>
    <w:p>
      <w:pPr>
        <w:pStyle w:val="ListParagraph"/>
        <w:numPr>
          <w:ilvl w:val="1"/>
          <w:numId w:val="89"/>
        </w:numPr>
        <w:tabs>
          <w:tab w:pos="2664" w:val="left" w:leader="none"/>
          <w:tab w:pos="2665" w:val="left" w:leader="none"/>
        </w:tabs>
        <w:spacing w:line="235" w:lineRule="auto" w:before="69" w:after="0"/>
        <w:ind w:left="1984" w:right="1644" w:firstLine="0"/>
        <w:jc w:val="left"/>
        <w:rPr>
          <w:sz w:val="20"/>
        </w:rPr>
      </w:pPr>
      <w:r>
        <w:rPr>
          <w:w w:val="120"/>
          <w:sz w:val="20"/>
        </w:rPr>
        <w:t>The mission statement is being used to inform all areas of Centre policy, from programme planning to individual team member personal development</w:t>
      </w:r>
      <w:r>
        <w:rPr>
          <w:spacing w:val="10"/>
          <w:w w:val="120"/>
          <w:sz w:val="20"/>
        </w:rPr>
        <w:t> </w:t>
      </w:r>
      <w:r>
        <w:rPr>
          <w:w w:val="120"/>
          <w:sz w:val="20"/>
        </w:rPr>
        <w:t>goals.</w:t>
      </w:r>
    </w:p>
    <w:p>
      <w:pPr>
        <w:pStyle w:val="BodyText"/>
        <w:spacing w:before="9"/>
        <w:rPr>
          <w:sz w:val="19"/>
        </w:rPr>
      </w:pPr>
    </w:p>
    <w:p>
      <w:pPr>
        <w:pStyle w:val="ListParagraph"/>
        <w:numPr>
          <w:ilvl w:val="1"/>
          <w:numId w:val="89"/>
        </w:numPr>
        <w:tabs>
          <w:tab w:pos="2664" w:val="left" w:leader="none"/>
          <w:tab w:pos="2665" w:val="left" w:leader="none"/>
        </w:tabs>
        <w:spacing w:line="235" w:lineRule="auto" w:before="0" w:after="0"/>
        <w:ind w:left="1984" w:right="1819" w:firstLine="0"/>
        <w:jc w:val="left"/>
        <w:rPr>
          <w:sz w:val="20"/>
        </w:rPr>
      </w:pPr>
      <w:r>
        <w:rPr>
          <w:w w:val="120"/>
          <w:sz w:val="20"/>
        </w:rPr>
        <w:t>The work of the Centre continues to draw upon its distinctive setting in the Lake</w:t>
      </w:r>
      <w:r>
        <w:rPr>
          <w:spacing w:val="2"/>
          <w:w w:val="120"/>
          <w:sz w:val="20"/>
        </w:rPr>
        <w:t> </w:t>
      </w:r>
      <w:r>
        <w:rPr>
          <w:w w:val="120"/>
          <w:sz w:val="20"/>
        </w:rPr>
        <w:t>District:</w:t>
      </w:r>
    </w:p>
    <w:p>
      <w:pPr>
        <w:spacing w:after="0" w:line="235" w:lineRule="auto"/>
        <w:jc w:val="left"/>
        <w:rPr>
          <w:sz w:val="20"/>
        </w:rPr>
        <w:sectPr>
          <w:headerReference w:type="default" r:id="rId387"/>
          <w:pgSz w:w="11910" w:h="16840"/>
          <w:pgMar w:header="0" w:footer="647" w:top="0" w:bottom="840" w:left="0" w:right="0"/>
        </w:sectPr>
      </w:pPr>
    </w:p>
    <w:p>
      <w:pPr>
        <w:pStyle w:val="BodyText"/>
      </w:pPr>
      <w:r>
        <w:rPr/>
        <w:drawing>
          <wp:anchor distT="0" distB="0" distL="0" distR="0" allowOverlap="1" layoutInCell="1" locked="0" behindDoc="0" simplePos="0" relativeHeight="252090368">
            <wp:simplePos x="0" y="0"/>
            <wp:positionH relativeFrom="page">
              <wp:posOffset>0</wp:posOffset>
            </wp:positionH>
            <wp:positionV relativeFrom="page">
              <wp:posOffset>0</wp:posOffset>
            </wp:positionV>
            <wp:extent cx="594067" cy="10692003"/>
            <wp:effectExtent l="0" t="0" r="0" b="0"/>
            <wp:wrapNone/>
            <wp:docPr id="313" name="image32.png"/>
            <wp:cNvGraphicFramePr>
              <a:graphicFrameLocks noChangeAspect="1"/>
            </wp:cNvGraphicFramePr>
            <a:graphic>
              <a:graphicData uri="http://schemas.openxmlformats.org/drawingml/2006/picture">
                <pic:pic>
                  <pic:nvPicPr>
                    <pic:cNvPr id="314" name="image32.png"/>
                    <pic:cNvPicPr/>
                  </pic:nvPicPr>
                  <pic:blipFill>
                    <a:blip r:embed="rId362"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shape style="position:absolute;margin-left:20.519100pt;margin-top:22.593945pt;width:25.9pt;height:237.55pt;mso-position-horizontal-relative:page;mso-position-vertical-relative:paragraph;z-index:252091392" type="#_x0000_t202" filled="false" stroked="false">
            <v:textbox inset="0,0,0,0" style="layout-flow:vertical">
              <w:txbxContent>
                <w:p>
                  <w:pPr>
                    <w:spacing w:before="27"/>
                    <w:ind w:left="20" w:right="0" w:firstLine="0"/>
                    <w:jc w:val="left"/>
                    <w:rPr>
                      <w:sz w:val="39"/>
                    </w:rPr>
                  </w:pPr>
                  <w:r>
                    <w:rPr>
                      <w:color w:val="FFFFFF"/>
                      <w:w w:val="120"/>
                      <w:sz w:val="39"/>
                    </w:rPr>
                    <w:t>Education and learning</w:t>
                  </w:r>
                </w:p>
              </w:txbxContent>
            </v:textbox>
            <w10:wrap type="none"/>
          </v:shape>
        </w:pict>
      </w:r>
      <w:r>
        <w:rPr>
          <w:color w:val="7EAABF"/>
          <w:w w:val="115"/>
        </w:rPr>
        <w:t>Education and learning</w:t>
      </w:r>
    </w:p>
    <w:p>
      <w:pPr>
        <w:pStyle w:val="ListParagraph"/>
        <w:numPr>
          <w:ilvl w:val="0"/>
          <w:numId w:val="95"/>
        </w:numPr>
        <w:tabs>
          <w:tab w:pos="1927" w:val="left" w:leader="none"/>
          <w:tab w:pos="1928" w:val="left" w:leader="none"/>
        </w:tabs>
        <w:spacing w:line="235" w:lineRule="auto" w:before="222" w:after="0"/>
        <w:ind w:left="1927" w:right="3140" w:hanging="681"/>
        <w:jc w:val="left"/>
        <w:rPr>
          <w:sz w:val="20"/>
        </w:rPr>
      </w:pPr>
      <w:r>
        <w:rPr>
          <w:w w:val="120"/>
          <w:sz w:val="20"/>
        </w:rPr>
        <w:t>Responding to and resourcing United  Reformed  Church  initiatives </w:t>
      </w:r>
      <w:r>
        <w:rPr>
          <w:spacing w:val="-6"/>
          <w:w w:val="120"/>
          <w:sz w:val="20"/>
        </w:rPr>
        <w:t>(eg </w:t>
      </w:r>
      <w:r>
        <w:rPr>
          <w:i/>
          <w:w w:val="120"/>
          <w:sz w:val="20"/>
        </w:rPr>
        <w:t>vision2020 </w:t>
      </w:r>
      <w:r>
        <w:rPr>
          <w:w w:val="120"/>
          <w:sz w:val="20"/>
        </w:rPr>
        <w:t>has given the Centre programme its shape since</w:t>
      </w:r>
      <w:r>
        <w:rPr>
          <w:spacing w:val="3"/>
          <w:w w:val="120"/>
          <w:sz w:val="20"/>
        </w:rPr>
        <w:t> </w:t>
      </w:r>
      <w:r>
        <w:rPr>
          <w:spacing w:val="-7"/>
          <w:w w:val="120"/>
          <w:sz w:val="20"/>
        </w:rPr>
        <w:t>2012);</w:t>
      </w:r>
    </w:p>
    <w:p>
      <w:pPr>
        <w:pStyle w:val="ListParagraph"/>
        <w:numPr>
          <w:ilvl w:val="0"/>
          <w:numId w:val="95"/>
        </w:numPr>
        <w:tabs>
          <w:tab w:pos="1927" w:val="left" w:leader="none"/>
          <w:tab w:pos="1928" w:val="left" w:leader="none"/>
        </w:tabs>
        <w:spacing w:line="235" w:lineRule="auto" w:before="1" w:after="0"/>
        <w:ind w:left="1927" w:right="2122" w:hanging="681"/>
        <w:jc w:val="left"/>
        <w:rPr>
          <w:sz w:val="20"/>
        </w:rPr>
      </w:pPr>
      <w:r>
        <w:rPr>
          <w:w w:val="120"/>
          <w:sz w:val="20"/>
        </w:rPr>
        <w:t>Creating alliances to devise and deliver sustained programmes for the life of the Church </w:t>
      </w:r>
      <w:r>
        <w:rPr>
          <w:spacing w:val="-6"/>
          <w:w w:val="120"/>
          <w:sz w:val="20"/>
        </w:rPr>
        <w:t>(eg </w:t>
      </w:r>
      <w:r>
        <w:rPr>
          <w:w w:val="120"/>
          <w:sz w:val="20"/>
        </w:rPr>
        <w:t>ageing and spirituality, the Church in a digital age, adventures in  faith and spiritual</w:t>
      </w:r>
      <w:r>
        <w:rPr>
          <w:spacing w:val="5"/>
          <w:w w:val="120"/>
          <w:sz w:val="20"/>
        </w:rPr>
        <w:t> </w:t>
      </w:r>
      <w:r>
        <w:rPr>
          <w:w w:val="120"/>
          <w:sz w:val="20"/>
        </w:rPr>
        <w:t>renewal);</w:t>
      </w:r>
    </w:p>
    <w:p>
      <w:pPr>
        <w:pStyle w:val="ListParagraph"/>
        <w:numPr>
          <w:ilvl w:val="0"/>
          <w:numId w:val="95"/>
        </w:numPr>
        <w:tabs>
          <w:tab w:pos="1927" w:val="left" w:leader="none"/>
          <w:tab w:pos="1928" w:val="left" w:leader="none"/>
        </w:tabs>
        <w:spacing w:line="235" w:lineRule="auto" w:before="2" w:after="0"/>
        <w:ind w:left="1927" w:right="2390" w:hanging="681"/>
        <w:jc w:val="left"/>
        <w:rPr>
          <w:sz w:val="20"/>
        </w:rPr>
      </w:pPr>
      <w:r>
        <w:rPr>
          <w:spacing w:val="2"/>
          <w:w w:val="120"/>
          <w:sz w:val="20"/>
        </w:rPr>
        <w:t>Delivering </w:t>
      </w:r>
      <w:r>
        <w:rPr>
          <w:w w:val="120"/>
          <w:sz w:val="20"/>
        </w:rPr>
        <w:t>core and/or </w:t>
      </w:r>
      <w:r>
        <w:rPr>
          <w:spacing w:val="2"/>
          <w:w w:val="120"/>
          <w:sz w:val="20"/>
        </w:rPr>
        <w:t>hosting </w:t>
      </w:r>
      <w:r>
        <w:rPr>
          <w:w w:val="120"/>
          <w:sz w:val="20"/>
        </w:rPr>
        <w:t>United </w:t>
      </w:r>
      <w:r>
        <w:rPr>
          <w:spacing w:val="2"/>
          <w:w w:val="120"/>
          <w:sz w:val="20"/>
        </w:rPr>
        <w:t>Reformed </w:t>
      </w:r>
      <w:r>
        <w:rPr>
          <w:w w:val="120"/>
          <w:sz w:val="20"/>
        </w:rPr>
        <w:t>Church courses (ministers’ </w:t>
      </w:r>
      <w:r>
        <w:rPr>
          <w:spacing w:val="2"/>
          <w:w w:val="120"/>
          <w:sz w:val="20"/>
        </w:rPr>
        <w:t>pre-retirement </w:t>
      </w:r>
      <w:r>
        <w:rPr>
          <w:w w:val="120"/>
          <w:sz w:val="20"/>
        </w:rPr>
        <w:t>courses, ministers’ </w:t>
      </w:r>
      <w:r>
        <w:rPr>
          <w:spacing w:val="2"/>
          <w:w w:val="120"/>
          <w:sz w:val="20"/>
        </w:rPr>
        <w:t>refresher </w:t>
      </w:r>
      <w:r>
        <w:rPr>
          <w:w w:val="120"/>
          <w:sz w:val="20"/>
        </w:rPr>
        <w:t>courses, welcome  to  the United </w:t>
      </w:r>
      <w:r>
        <w:rPr>
          <w:spacing w:val="2"/>
          <w:w w:val="120"/>
          <w:sz w:val="20"/>
        </w:rPr>
        <w:t>Reformed </w:t>
      </w:r>
      <w:r>
        <w:rPr>
          <w:w w:val="120"/>
          <w:sz w:val="20"/>
        </w:rPr>
        <w:t>Church, </w:t>
      </w:r>
      <w:r>
        <w:rPr>
          <w:spacing w:val="4"/>
          <w:w w:val="120"/>
          <w:sz w:val="20"/>
        </w:rPr>
        <w:t>TLS </w:t>
      </w:r>
      <w:r>
        <w:rPr>
          <w:w w:val="120"/>
          <w:sz w:val="20"/>
        </w:rPr>
        <w:t>weekends, ministerial assessment </w:t>
      </w:r>
      <w:r>
        <w:rPr>
          <w:spacing w:val="2"/>
          <w:w w:val="120"/>
          <w:sz w:val="20"/>
        </w:rPr>
        <w:t>training, </w:t>
      </w:r>
      <w:r>
        <w:rPr>
          <w:w w:val="120"/>
          <w:sz w:val="20"/>
        </w:rPr>
        <w:t>EM1 summer</w:t>
      </w:r>
      <w:r>
        <w:rPr>
          <w:spacing w:val="12"/>
          <w:w w:val="120"/>
          <w:sz w:val="20"/>
        </w:rPr>
        <w:t> </w:t>
      </w:r>
      <w:r>
        <w:rPr>
          <w:w w:val="120"/>
          <w:sz w:val="20"/>
        </w:rPr>
        <w:t>school);</w:t>
      </w:r>
    </w:p>
    <w:p>
      <w:pPr>
        <w:pStyle w:val="ListParagraph"/>
        <w:numPr>
          <w:ilvl w:val="0"/>
          <w:numId w:val="95"/>
        </w:numPr>
        <w:tabs>
          <w:tab w:pos="1927" w:val="left" w:leader="none"/>
          <w:tab w:pos="1928" w:val="left" w:leader="none"/>
        </w:tabs>
        <w:spacing w:line="235" w:lineRule="auto" w:before="3" w:after="0"/>
        <w:ind w:left="1927" w:right="2057" w:hanging="681"/>
        <w:jc w:val="left"/>
        <w:rPr>
          <w:sz w:val="20"/>
        </w:rPr>
      </w:pPr>
      <w:r>
        <w:rPr>
          <w:w w:val="120"/>
          <w:sz w:val="20"/>
        </w:rPr>
        <w:t>Promoting and resourcing an active web presence for local churches via iChurch </w:t>
      </w:r>
      <w:r>
        <w:rPr>
          <w:spacing w:val="-3"/>
          <w:w w:val="120"/>
          <w:sz w:val="20"/>
        </w:rPr>
        <w:t>(http://ichurch.urc.org.uk);</w:t>
      </w:r>
    </w:p>
    <w:p>
      <w:pPr>
        <w:pStyle w:val="ListParagraph"/>
        <w:numPr>
          <w:ilvl w:val="0"/>
          <w:numId w:val="95"/>
        </w:numPr>
        <w:tabs>
          <w:tab w:pos="1927" w:val="left" w:leader="none"/>
          <w:tab w:pos="1928" w:val="left" w:leader="none"/>
        </w:tabs>
        <w:spacing w:line="235" w:lineRule="auto" w:before="2" w:after="0"/>
        <w:ind w:left="1927" w:right="2574" w:hanging="681"/>
        <w:jc w:val="left"/>
        <w:rPr>
          <w:sz w:val="20"/>
        </w:rPr>
      </w:pPr>
      <w:r>
        <w:rPr>
          <w:w w:val="120"/>
          <w:sz w:val="20"/>
        </w:rPr>
        <w:t>Hosting and running church weekends, with a focus on growing and being encouraged in faith and</w:t>
      </w:r>
      <w:r>
        <w:rPr>
          <w:spacing w:val="10"/>
          <w:w w:val="120"/>
          <w:sz w:val="20"/>
        </w:rPr>
        <w:t> </w:t>
      </w:r>
      <w:r>
        <w:rPr>
          <w:w w:val="120"/>
          <w:sz w:val="20"/>
        </w:rPr>
        <w:t>discipleship;</w:t>
      </w:r>
    </w:p>
    <w:p>
      <w:pPr>
        <w:pStyle w:val="ListParagraph"/>
        <w:numPr>
          <w:ilvl w:val="0"/>
          <w:numId w:val="95"/>
        </w:numPr>
        <w:tabs>
          <w:tab w:pos="1927" w:val="left" w:leader="none"/>
          <w:tab w:pos="1928" w:val="left" w:leader="none"/>
        </w:tabs>
        <w:spacing w:line="235" w:lineRule="auto" w:before="1" w:after="0"/>
        <w:ind w:left="1927" w:right="2542" w:hanging="681"/>
        <w:jc w:val="left"/>
        <w:rPr>
          <w:sz w:val="20"/>
        </w:rPr>
      </w:pPr>
      <w:r>
        <w:rPr>
          <w:w w:val="120"/>
          <w:sz w:val="20"/>
        </w:rPr>
        <w:t>Resourcing specific groups within the Church </w:t>
      </w:r>
      <w:r>
        <w:rPr>
          <w:spacing w:val="-6"/>
          <w:w w:val="120"/>
          <w:sz w:val="20"/>
        </w:rPr>
        <w:t>(eg </w:t>
      </w:r>
      <w:r>
        <w:rPr>
          <w:w w:val="120"/>
          <w:sz w:val="20"/>
        </w:rPr>
        <w:t>lay preachers, Bible study leaders, church secretaries, church</w:t>
      </w:r>
      <w:r>
        <w:rPr>
          <w:spacing w:val="5"/>
          <w:w w:val="120"/>
          <w:sz w:val="20"/>
        </w:rPr>
        <w:t> </w:t>
      </w:r>
      <w:r>
        <w:rPr>
          <w:w w:val="120"/>
          <w:sz w:val="20"/>
        </w:rPr>
        <w:t>treasurers);</w:t>
      </w:r>
    </w:p>
    <w:p>
      <w:pPr>
        <w:pStyle w:val="ListParagraph"/>
        <w:numPr>
          <w:ilvl w:val="0"/>
          <w:numId w:val="95"/>
        </w:numPr>
        <w:tabs>
          <w:tab w:pos="1927" w:val="left" w:leader="none"/>
          <w:tab w:pos="1928" w:val="left" w:leader="none"/>
        </w:tabs>
        <w:spacing w:line="240" w:lineRule="exact" w:before="0" w:after="0"/>
        <w:ind w:left="1927" w:right="0" w:hanging="681"/>
        <w:jc w:val="left"/>
        <w:rPr>
          <w:sz w:val="20"/>
        </w:rPr>
      </w:pPr>
      <w:r>
        <w:rPr>
          <w:w w:val="120"/>
          <w:sz w:val="20"/>
        </w:rPr>
        <w:t>Hosting various church networks and</w:t>
      </w:r>
      <w:r>
        <w:rPr>
          <w:spacing w:val="11"/>
          <w:w w:val="120"/>
          <w:sz w:val="20"/>
        </w:rPr>
        <w:t> </w:t>
      </w:r>
      <w:r>
        <w:rPr>
          <w:w w:val="120"/>
          <w:sz w:val="20"/>
        </w:rPr>
        <w:t>committees;</w:t>
      </w:r>
    </w:p>
    <w:p>
      <w:pPr>
        <w:pStyle w:val="ListParagraph"/>
        <w:numPr>
          <w:ilvl w:val="0"/>
          <w:numId w:val="95"/>
        </w:numPr>
        <w:tabs>
          <w:tab w:pos="1927" w:val="left" w:leader="none"/>
          <w:tab w:pos="1928" w:val="left" w:leader="none"/>
        </w:tabs>
        <w:spacing w:line="235" w:lineRule="auto" w:before="2" w:after="0"/>
        <w:ind w:left="1927" w:right="2493" w:hanging="681"/>
        <w:jc w:val="both"/>
        <w:rPr>
          <w:sz w:val="20"/>
        </w:rPr>
      </w:pPr>
      <w:r>
        <w:rPr>
          <w:w w:val="120"/>
          <w:sz w:val="20"/>
        </w:rPr>
        <w:t>Being a resource to wider church networks, committees and groups </w:t>
      </w:r>
      <w:r>
        <w:rPr>
          <w:spacing w:val="-6"/>
          <w:w w:val="120"/>
          <w:sz w:val="20"/>
        </w:rPr>
        <w:t>(eg </w:t>
      </w:r>
      <w:r>
        <w:rPr>
          <w:w w:val="120"/>
          <w:sz w:val="20"/>
        </w:rPr>
        <w:t>the Iona Community executive, the Society of Friends in Japan, the International Ecumenical</w:t>
      </w:r>
      <w:r>
        <w:rPr>
          <w:spacing w:val="1"/>
          <w:w w:val="120"/>
          <w:sz w:val="20"/>
        </w:rPr>
        <w:t> </w:t>
      </w:r>
      <w:r>
        <w:rPr>
          <w:w w:val="120"/>
          <w:sz w:val="20"/>
        </w:rPr>
        <w:t>Forum);</w:t>
      </w:r>
    </w:p>
    <w:p>
      <w:pPr>
        <w:pStyle w:val="ListParagraph"/>
        <w:numPr>
          <w:ilvl w:val="0"/>
          <w:numId w:val="95"/>
        </w:numPr>
        <w:tabs>
          <w:tab w:pos="1927" w:val="left" w:leader="none"/>
          <w:tab w:pos="1928" w:val="left" w:leader="none"/>
        </w:tabs>
        <w:spacing w:line="235" w:lineRule="auto" w:before="2" w:after="0"/>
        <w:ind w:left="1927" w:right="2618" w:hanging="681"/>
        <w:jc w:val="left"/>
        <w:rPr>
          <w:sz w:val="20"/>
        </w:rPr>
      </w:pPr>
      <w:r>
        <w:rPr>
          <w:w w:val="120"/>
          <w:sz w:val="20"/>
        </w:rPr>
        <w:t>Resourcing the spiritual and social life of the Church in the context of faith development through courses and retreats offering a variety of </w:t>
      </w:r>
      <w:r>
        <w:rPr>
          <w:spacing w:val="2"/>
          <w:w w:val="120"/>
          <w:sz w:val="20"/>
        </w:rPr>
        <w:t>arts, crafts, </w:t>
      </w:r>
      <w:r>
        <w:rPr>
          <w:w w:val="120"/>
          <w:sz w:val="20"/>
        </w:rPr>
        <w:t>music and outdoor</w:t>
      </w:r>
      <w:r>
        <w:rPr>
          <w:spacing w:val="6"/>
          <w:w w:val="120"/>
          <w:sz w:val="20"/>
        </w:rPr>
        <w:t> </w:t>
      </w:r>
      <w:r>
        <w:rPr>
          <w:w w:val="120"/>
          <w:sz w:val="20"/>
        </w:rPr>
        <w:t>pursuits.</w:t>
      </w:r>
    </w:p>
    <w:p>
      <w:pPr>
        <w:pStyle w:val="BodyText"/>
        <w:spacing w:before="10"/>
        <w:rPr>
          <w:sz w:val="19"/>
        </w:rPr>
      </w:pPr>
    </w:p>
    <w:p>
      <w:pPr>
        <w:pStyle w:val="ListParagraph"/>
        <w:numPr>
          <w:ilvl w:val="1"/>
          <w:numId w:val="89"/>
        </w:numPr>
        <w:tabs>
          <w:tab w:pos="1927" w:val="left" w:leader="none"/>
          <w:tab w:pos="1928" w:val="left" w:leader="none"/>
        </w:tabs>
        <w:spacing w:line="235" w:lineRule="auto" w:before="0" w:after="0"/>
        <w:ind w:left="1247" w:right="2262" w:firstLine="0"/>
        <w:jc w:val="left"/>
        <w:rPr>
          <w:sz w:val="20"/>
        </w:rPr>
      </w:pPr>
      <w:r>
        <w:rPr>
          <w:w w:val="120"/>
          <w:sz w:val="20"/>
        </w:rPr>
        <w:t>Underneath and alongside the programme planning and delivery, the period since Assembly </w:t>
      </w:r>
      <w:r>
        <w:rPr>
          <w:spacing w:val="-7"/>
          <w:w w:val="120"/>
          <w:sz w:val="20"/>
        </w:rPr>
        <w:t>2012 </w:t>
      </w:r>
      <w:r>
        <w:rPr>
          <w:w w:val="120"/>
          <w:sz w:val="20"/>
        </w:rPr>
        <w:t>has been focused on matters of financial management. The major restructuring of the </w:t>
      </w:r>
      <w:r>
        <w:rPr>
          <w:spacing w:val="-3"/>
          <w:w w:val="120"/>
          <w:sz w:val="20"/>
        </w:rPr>
        <w:t>Church’s </w:t>
      </w:r>
      <w:r>
        <w:rPr>
          <w:spacing w:val="-8"/>
          <w:w w:val="120"/>
          <w:sz w:val="20"/>
        </w:rPr>
        <w:t>2013 </w:t>
      </w:r>
      <w:r>
        <w:rPr>
          <w:w w:val="120"/>
          <w:sz w:val="20"/>
        </w:rPr>
        <w:t>budget required that the Centre implement stringent expenditure controls and identify new income streams in order to meet</w:t>
      </w:r>
      <w:r>
        <w:rPr>
          <w:spacing w:val="42"/>
          <w:w w:val="120"/>
          <w:sz w:val="20"/>
        </w:rPr>
        <w:t> </w:t>
      </w:r>
      <w:r>
        <w:rPr>
          <w:w w:val="120"/>
          <w:sz w:val="20"/>
        </w:rPr>
        <w:t>its</w:t>
      </w:r>
    </w:p>
    <w:p>
      <w:pPr>
        <w:pStyle w:val="BodyText"/>
        <w:spacing w:line="235" w:lineRule="auto" w:before="3"/>
        <w:ind w:left="1247" w:right="2004"/>
      </w:pPr>
      <w:r>
        <w:rPr>
          <w:w w:val="120"/>
        </w:rPr>
        <w:t>budget commitments. A model was required that would ensure the future sustainability of the Centre. To this end, we drew up a business plan covering the period 2013-16</w:t>
      </w:r>
    </w:p>
    <w:p>
      <w:pPr>
        <w:pStyle w:val="BodyText"/>
        <w:spacing w:line="235" w:lineRule="auto" w:before="2"/>
        <w:ind w:left="1247" w:right="2004"/>
      </w:pPr>
      <w:r>
        <w:rPr>
          <w:w w:val="120"/>
        </w:rPr>
        <w:t>and implemented a strategic marketing policy (within the tight limitations of existing resources) based on ‘permission marketing’ in order to build up a customer base that would deliver repeat custom. We have used new and repeat custom as the benchmarks by which to measure the effectiveness of the marketing strategy. The staffing structure at the Centre has reduced to half of its 2009 levels without the need for additional redundancies. Much tighter control of expenditure has been achieved.</w:t>
      </w:r>
    </w:p>
    <w:p>
      <w:pPr>
        <w:pStyle w:val="BodyText"/>
      </w:pPr>
    </w:p>
    <w:p>
      <w:pPr>
        <w:pStyle w:val="ListParagraph"/>
        <w:numPr>
          <w:ilvl w:val="1"/>
          <w:numId w:val="89"/>
        </w:numPr>
        <w:tabs>
          <w:tab w:pos="1927" w:val="left" w:leader="none"/>
          <w:tab w:pos="1928" w:val="left" w:leader="none"/>
        </w:tabs>
        <w:spacing w:line="235" w:lineRule="auto" w:before="0" w:after="0"/>
        <w:ind w:left="1247" w:right="2024" w:firstLine="0"/>
        <w:jc w:val="left"/>
        <w:rPr>
          <w:sz w:val="20"/>
        </w:rPr>
      </w:pPr>
      <w:r>
        <w:rPr>
          <w:w w:val="120"/>
          <w:sz w:val="20"/>
        </w:rPr>
        <w:t>On the income side, </w:t>
      </w:r>
      <w:r>
        <w:rPr>
          <w:spacing w:val="-8"/>
          <w:w w:val="120"/>
          <w:sz w:val="20"/>
        </w:rPr>
        <w:t>2013 </w:t>
      </w:r>
      <w:r>
        <w:rPr>
          <w:w w:val="120"/>
          <w:sz w:val="20"/>
        </w:rPr>
        <w:t>saw an average of </w:t>
      </w:r>
      <w:r>
        <w:rPr>
          <w:spacing w:val="-9"/>
          <w:w w:val="120"/>
          <w:sz w:val="20"/>
        </w:rPr>
        <w:t>11.5  </w:t>
      </w:r>
      <w:r>
        <w:rPr>
          <w:w w:val="120"/>
          <w:sz w:val="20"/>
        </w:rPr>
        <w:t>brand new customers per month attending courses, representing approximately £20,000 in additional income. </w:t>
      </w:r>
      <w:r>
        <w:rPr>
          <w:spacing w:val="-3"/>
          <w:w w:val="120"/>
          <w:sz w:val="20"/>
        </w:rPr>
        <w:t>Targeted </w:t>
      </w:r>
      <w:r>
        <w:rPr>
          <w:w w:val="120"/>
          <w:sz w:val="20"/>
        </w:rPr>
        <w:t>marketing has seen a significant increase in returning custom </w:t>
      </w:r>
      <w:r>
        <w:rPr>
          <w:spacing w:val="-6"/>
          <w:w w:val="120"/>
          <w:sz w:val="20"/>
        </w:rPr>
        <w:t>(eg </w:t>
      </w:r>
      <w:r>
        <w:rPr>
          <w:w w:val="120"/>
          <w:sz w:val="20"/>
        </w:rPr>
        <w:t>church  groups that had stopped using the Centre returning) and repeat custom (particularly in groups and individuals booking again before leaving the</w:t>
      </w:r>
      <w:r>
        <w:rPr>
          <w:spacing w:val="40"/>
          <w:w w:val="120"/>
          <w:sz w:val="20"/>
        </w:rPr>
        <w:t> </w:t>
      </w:r>
      <w:r>
        <w:rPr>
          <w:spacing w:val="-4"/>
          <w:w w:val="120"/>
          <w:sz w:val="20"/>
        </w:rPr>
        <w:t>Centre).</w:t>
      </w:r>
    </w:p>
    <w:p>
      <w:pPr>
        <w:pStyle w:val="BodyText"/>
      </w:pPr>
    </w:p>
    <w:p>
      <w:pPr>
        <w:pStyle w:val="ListParagraph"/>
        <w:numPr>
          <w:ilvl w:val="1"/>
          <w:numId w:val="89"/>
        </w:numPr>
        <w:tabs>
          <w:tab w:pos="1927" w:val="left" w:leader="none"/>
          <w:tab w:pos="1928" w:val="left" w:leader="none"/>
        </w:tabs>
        <w:spacing w:line="235" w:lineRule="auto" w:before="0" w:after="0"/>
        <w:ind w:left="1247" w:right="1995" w:firstLine="0"/>
        <w:jc w:val="left"/>
        <w:rPr>
          <w:sz w:val="20"/>
        </w:rPr>
      </w:pPr>
      <w:r>
        <w:rPr>
          <w:w w:val="120"/>
          <w:sz w:val="20"/>
        </w:rPr>
        <w:t>However, we experienced an unanticipated £33,000 drop in income from United Reformed Church use of the Centre over the period </w:t>
      </w:r>
      <w:r>
        <w:rPr>
          <w:spacing w:val="-10"/>
          <w:w w:val="120"/>
          <w:sz w:val="20"/>
        </w:rPr>
        <w:t>2012-13  </w:t>
      </w:r>
      <w:r>
        <w:rPr>
          <w:w w:val="120"/>
          <w:sz w:val="20"/>
        </w:rPr>
        <w:t>as various departments   and committees of the United Reformed Church met their new budget targets by reducing their use of the Centre. This created a sudden gap in the </w:t>
      </w:r>
      <w:r>
        <w:rPr>
          <w:spacing w:val="-3"/>
          <w:w w:val="120"/>
          <w:sz w:val="20"/>
        </w:rPr>
        <w:t>Centre’s </w:t>
      </w:r>
      <w:r>
        <w:rPr>
          <w:w w:val="120"/>
          <w:sz w:val="20"/>
        </w:rPr>
        <w:t>finances through loss of guaranteed income that could not be closed within the period by marketing within the United Reformed Church</w:t>
      </w:r>
      <w:r>
        <w:rPr>
          <w:spacing w:val="14"/>
          <w:w w:val="120"/>
          <w:sz w:val="20"/>
        </w:rPr>
        <w:t> </w:t>
      </w:r>
      <w:r>
        <w:rPr>
          <w:w w:val="120"/>
          <w:sz w:val="20"/>
        </w:rPr>
        <w:t>alone.</w:t>
      </w:r>
    </w:p>
    <w:p>
      <w:pPr>
        <w:pStyle w:val="BodyText"/>
      </w:pPr>
    </w:p>
    <w:p>
      <w:pPr>
        <w:pStyle w:val="ListParagraph"/>
        <w:numPr>
          <w:ilvl w:val="1"/>
          <w:numId w:val="89"/>
        </w:numPr>
        <w:tabs>
          <w:tab w:pos="1927" w:val="left" w:leader="none"/>
          <w:tab w:pos="1928" w:val="left" w:leader="none"/>
        </w:tabs>
        <w:spacing w:line="235" w:lineRule="auto" w:before="0" w:after="0"/>
        <w:ind w:left="1247" w:right="2294" w:firstLine="0"/>
        <w:jc w:val="left"/>
        <w:rPr>
          <w:sz w:val="20"/>
        </w:rPr>
      </w:pPr>
      <w:r>
        <w:rPr>
          <w:w w:val="120"/>
          <w:sz w:val="20"/>
        </w:rPr>
        <w:t>We are currently in the process of revising the financial model on which the business plan is based. We are actively pursuing the recommendations of the </w:t>
      </w:r>
      <w:r>
        <w:rPr>
          <w:spacing w:val="-8"/>
          <w:w w:val="120"/>
          <w:sz w:val="20"/>
        </w:rPr>
        <w:t>2013 </w:t>
      </w:r>
      <w:r>
        <w:rPr>
          <w:w w:val="120"/>
          <w:sz w:val="20"/>
        </w:rPr>
        <w:t>Windermere Review with appropriate bodies within the United Reformed Church. These included a call for increased investment in marketing over the upcoming three year</w:t>
      </w:r>
      <w:r>
        <w:rPr>
          <w:spacing w:val="2"/>
          <w:w w:val="120"/>
          <w:sz w:val="20"/>
        </w:rPr>
        <w:t> </w:t>
      </w:r>
      <w:r>
        <w:rPr>
          <w:w w:val="120"/>
          <w:sz w:val="20"/>
        </w:rPr>
        <w:t>period.</w:t>
      </w:r>
    </w:p>
    <w:p>
      <w:pPr>
        <w:spacing w:after="0" w:line="235" w:lineRule="auto"/>
        <w:jc w:val="left"/>
        <w:rPr>
          <w:sz w:val="20"/>
        </w:rPr>
        <w:sectPr>
          <w:headerReference w:type="even" r:id="rId388"/>
          <w:footerReference w:type="even" r:id="rId389"/>
          <w:footerReference w:type="default" r:id="rId390"/>
          <w:pgSz w:w="11910" w:h="16840"/>
          <w:pgMar w:header="0" w:footer="647" w:top="0" w:bottom="840" w:left="0" w:right="0"/>
          <w:pgNumType w:start="168"/>
        </w:sectPr>
      </w:pPr>
    </w:p>
    <w:p>
      <w:pPr>
        <w:pStyle w:val="BodyText"/>
      </w:pPr>
      <w:r>
        <w:rPr/>
        <w:drawing>
          <wp:anchor distT="0" distB="0" distL="0" distR="0" allowOverlap="1" layoutInCell="1" locked="0" behindDoc="0" simplePos="0" relativeHeight="252092416">
            <wp:simplePos x="0" y="0"/>
            <wp:positionH relativeFrom="page">
              <wp:posOffset>6974928</wp:posOffset>
            </wp:positionH>
            <wp:positionV relativeFrom="page">
              <wp:posOffset>0</wp:posOffset>
            </wp:positionV>
            <wp:extent cx="585063" cy="10692003"/>
            <wp:effectExtent l="0" t="0" r="0" b="0"/>
            <wp:wrapNone/>
            <wp:docPr id="315" name="image30.png"/>
            <wp:cNvGraphicFramePr>
              <a:graphicFrameLocks noChangeAspect="1"/>
            </wp:cNvGraphicFramePr>
            <a:graphic>
              <a:graphicData uri="http://schemas.openxmlformats.org/drawingml/2006/picture">
                <pic:pic>
                  <pic:nvPicPr>
                    <pic:cNvPr id="316" name="image30.png"/>
                    <pic:cNvPicPr/>
                  </pic:nvPicPr>
                  <pic:blipFill>
                    <a:blip r:embed="rId357"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pStyle w:val="Heading5"/>
        <w:ind w:left="7814"/>
      </w:pPr>
      <w:r>
        <w:rPr/>
        <w:pict>
          <v:shape style="position:absolute;margin-left:554.141174pt;margin-top:22.593945pt;width:25.9pt;height:237.55pt;mso-position-horizontal-relative:page;mso-position-vertical-relative:paragraph;z-index:252093440" type="#_x0000_t202" filled="false" stroked="false">
            <v:textbox inset="0,0,0,0" style="layout-flow:vertical">
              <w:txbxContent>
                <w:p>
                  <w:pPr>
                    <w:spacing w:before="27"/>
                    <w:ind w:left="20" w:right="0" w:firstLine="0"/>
                    <w:jc w:val="left"/>
                    <w:rPr>
                      <w:sz w:val="39"/>
                    </w:rPr>
                  </w:pPr>
                  <w:r>
                    <w:rPr>
                      <w:color w:val="FFFFFF"/>
                      <w:w w:val="120"/>
                      <w:sz w:val="39"/>
                    </w:rPr>
                    <w:t>Education and learning</w:t>
                  </w:r>
                </w:p>
              </w:txbxContent>
            </v:textbox>
            <w10:wrap type="none"/>
          </v:shape>
        </w:pict>
      </w:r>
      <w:r>
        <w:rPr>
          <w:color w:val="7EAABF"/>
          <w:w w:val="115"/>
        </w:rPr>
        <w:t>Education and learning</w:t>
      </w:r>
    </w:p>
    <w:p>
      <w:pPr>
        <w:pStyle w:val="Heading9"/>
        <w:spacing w:line="240" w:lineRule="auto" w:before="205"/>
        <w:ind w:left="1984" w:firstLine="0"/>
        <w:rPr>
          <w:rFonts w:ascii="Stone Sans II ITC Std X Bd"/>
          <w:b/>
        </w:rPr>
      </w:pPr>
      <w:r>
        <w:rPr>
          <w:rFonts w:ascii="Stone Sans II ITC Std X Bd"/>
          <w:b/>
          <w:w w:val="110"/>
        </w:rPr>
        <w:t>Looking forwards:</w:t>
      </w:r>
    </w:p>
    <w:p>
      <w:pPr>
        <w:pStyle w:val="BodyText"/>
        <w:spacing w:before="6"/>
        <w:rPr>
          <w:rFonts w:ascii="Stone Sans II ITC Std X Bd"/>
          <w:b/>
          <w:sz w:val="16"/>
        </w:rPr>
      </w:pPr>
    </w:p>
    <w:p>
      <w:pPr>
        <w:pStyle w:val="ListParagraph"/>
        <w:numPr>
          <w:ilvl w:val="1"/>
          <w:numId w:val="89"/>
        </w:numPr>
        <w:tabs>
          <w:tab w:pos="2664" w:val="left" w:leader="none"/>
          <w:tab w:pos="2665" w:val="left" w:leader="none"/>
        </w:tabs>
        <w:spacing w:line="240" w:lineRule="exact" w:before="0" w:after="0"/>
        <w:ind w:left="2664" w:right="0" w:hanging="681"/>
        <w:jc w:val="left"/>
        <w:rPr>
          <w:sz w:val="20"/>
        </w:rPr>
      </w:pPr>
      <w:r>
        <w:rPr>
          <w:w w:val="120"/>
          <w:sz w:val="20"/>
        </w:rPr>
        <w:t>We have three major</w:t>
      </w:r>
      <w:r>
        <w:rPr>
          <w:spacing w:val="6"/>
          <w:w w:val="120"/>
          <w:sz w:val="20"/>
        </w:rPr>
        <w:t> </w:t>
      </w:r>
      <w:r>
        <w:rPr>
          <w:w w:val="120"/>
          <w:sz w:val="20"/>
        </w:rPr>
        <w:t>priorities:</w:t>
      </w:r>
    </w:p>
    <w:p>
      <w:pPr>
        <w:pStyle w:val="ListParagraph"/>
        <w:numPr>
          <w:ilvl w:val="1"/>
          <w:numId w:val="95"/>
        </w:numPr>
        <w:tabs>
          <w:tab w:pos="2664" w:val="left" w:leader="none"/>
          <w:tab w:pos="2665" w:val="left" w:leader="none"/>
        </w:tabs>
        <w:spacing w:line="242" w:lineRule="exact" w:before="0" w:after="0"/>
        <w:ind w:left="2664" w:right="0" w:hanging="681"/>
        <w:jc w:val="left"/>
        <w:rPr>
          <w:sz w:val="20"/>
        </w:rPr>
      </w:pPr>
      <w:r>
        <w:rPr>
          <w:w w:val="120"/>
          <w:sz w:val="20"/>
        </w:rPr>
        <w:t>extending the customer base beyond the United Reformed</w:t>
      </w:r>
      <w:r>
        <w:rPr>
          <w:spacing w:val="25"/>
          <w:w w:val="120"/>
          <w:sz w:val="20"/>
        </w:rPr>
        <w:t> </w:t>
      </w:r>
      <w:r>
        <w:rPr>
          <w:w w:val="120"/>
          <w:sz w:val="20"/>
        </w:rPr>
        <w:t>Church;</w:t>
      </w:r>
    </w:p>
    <w:p>
      <w:pPr>
        <w:pStyle w:val="ListParagraph"/>
        <w:numPr>
          <w:ilvl w:val="1"/>
          <w:numId w:val="95"/>
        </w:numPr>
        <w:tabs>
          <w:tab w:pos="2664" w:val="left" w:leader="none"/>
          <w:tab w:pos="2665" w:val="left" w:leader="none"/>
        </w:tabs>
        <w:spacing w:line="240" w:lineRule="exact" w:before="0" w:after="0"/>
        <w:ind w:left="2664" w:right="0" w:hanging="681"/>
        <w:jc w:val="left"/>
        <w:rPr>
          <w:sz w:val="20"/>
        </w:rPr>
      </w:pPr>
      <w:r>
        <w:rPr>
          <w:w w:val="120"/>
          <w:sz w:val="20"/>
        </w:rPr>
        <w:t>resourcing the United Reformed Church more</w:t>
      </w:r>
      <w:r>
        <w:rPr>
          <w:spacing w:val="14"/>
          <w:w w:val="120"/>
          <w:sz w:val="20"/>
        </w:rPr>
        <w:t> </w:t>
      </w:r>
      <w:r>
        <w:rPr>
          <w:w w:val="120"/>
          <w:sz w:val="20"/>
        </w:rPr>
        <w:t>effectively;</w:t>
      </w:r>
    </w:p>
    <w:p>
      <w:pPr>
        <w:pStyle w:val="ListParagraph"/>
        <w:numPr>
          <w:ilvl w:val="1"/>
          <w:numId w:val="95"/>
        </w:numPr>
        <w:tabs>
          <w:tab w:pos="2664" w:val="left" w:leader="none"/>
          <w:tab w:pos="2665" w:val="left" w:leader="none"/>
        </w:tabs>
        <w:spacing w:line="235" w:lineRule="auto" w:before="2" w:after="0"/>
        <w:ind w:left="2664" w:right="1831" w:hanging="681"/>
        <w:jc w:val="left"/>
        <w:rPr>
          <w:sz w:val="20"/>
        </w:rPr>
      </w:pPr>
      <w:r>
        <w:rPr>
          <w:w w:val="120"/>
          <w:sz w:val="20"/>
        </w:rPr>
        <w:t>developing closer working relationships with the other resource centres for learning.</w:t>
      </w:r>
    </w:p>
    <w:p>
      <w:pPr>
        <w:pStyle w:val="BodyText"/>
        <w:spacing w:before="9"/>
        <w:rPr>
          <w:sz w:val="19"/>
        </w:rPr>
      </w:pPr>
    </w:p>
    <w:p>
      <w:pPr>
        <w:pStyle w:val="ListParagraph"/>
        <w:numPr>
          <w:ilvl w:val="1"/>
          <w:numId w:val="89"/>
        </w:numPr>
        <w:tabs>
          <w:tab w:pos="2664" w:val="left" w:leader="none"/>
          <w:tab w:pos="2665" w:val="left" w:leader="none"/>
        </w:tabs>
        <w:spacing w:line="235" w:lineRule="auto" w:before="0" w:after="0"/>
        <w:ind w:left="1984" w:right="1594" w:firstLine="0"/>
        <w:jc w:val="left"/>
        <w:rPr>
          <w:sz w:val="20"/>
        </w:rPr>
      </w:pPr>
      <w:r>
        <w:rPr>
          <w:w w:val="120"/>
          <w:sz w:val="20"/>
        </w:rPr>
        <w:t>The immediate priority for the Centre, implementing the review recommendation, is to use the next three years to extend the customer base beyond the confines of the United Reformed</w:t>
      </w:r>
      <w:r>
        <w:rPr>
          <w:spacing w:val="12"/>
          <w:w w:val="120"/>
          <w:sz w:val="20"/>
        </w:rPr>
        <w:t> </w:t>
      </w:r>
      <w:r>
        <w:rPr>
          <w:w w:val="120"/>
          <w:sz w:val="20"/>
        </w:rPr>
        <w:t>Church.</w:t>
      </w:r>
    </w:p>
    <w:p>
      <w:pPr>
        <w:pStyle w:val="ListParagraph"/>
        <w:numPr>
          <w:ilvl w:val="0"/>
          <w:numId w:val="96"/>
        </w:numPr>
        <w:tabs>
          <w:tab w:pos="2664" w:val="left" w:leader="none"/>
          <w:tab w:pos="2665" w:val="left" w:leader="none"/>
        </w:tabs>
        <w:spacing w:line="235" w:lineRule="auto" w:before="2" w:after="0"/>
        <w:ind w:left="2664" w:right="1460" w:hanging="681"/>
        <w:jc w:val="left"/>
        <w:rPr>
          <w:sz w:val="20"/>
        </w:rPr>
      </w:pPr>
      <w:r>
        <w:rPr>
          <w:w w:val="120"/>
          <w:sz w:val="20"/>
        </w:rPr>
        <w:t>Strategically, the marketing priority is not to focus on ‘saturation advertising’ but rather to create new relationships with our ecumenical partners and others through peer recommendation </w:t>
      </w:r>
      <w:r>
        <w:rPr>
          <w:spacing w:val="-6"/>
          <w:w w:val="120"/>
          <w:sz w:val="20"/>
        </w:rPr>
        <w:t>(on </w:t>
      </w:r>
      <w:r>
        <w:rPr>
          <w:w w:val="120"/>
          <w:sz w:val="20"/>
        </w:rPr>
        <w:t>the principle of Facebook ‘likes’). This is by far the most effective way of creating a sustainable customer base and, equally importantly, of extending and creating new ecumenical</w:t>
      </w:r>
      <w:r>
        <w:rPr>
          <w:spacing w:val="29"/>
          <w:w w:val="120"/>
          <w:sz w:val="20"/>
        </w:rPr>
        <w:t> </w:t>
      </w:r>
      <w:r>
        <w:rPr>
          <w:w w:val="120"/>
          <w:sz w:val="20"/>
        </w:rPr>
        <w:t>relationships.</w:t>
      </w:r>
    </w:p>
    <w:p>
      <w:pPr>
        <w:pStyle w:val="ListParagraph"/>
        <w:numPr>
          <w:ilvl w:val="0"/>
          <w:numId w:val="96"/>
        </w:numPr>
        <w:tabs>
          <w:tab w:pos="2664" w:val="left" w:leader="none"/>
          <w:tab w:pos="2665" w:val="left" w:leader="none"/>
        </w:tabs>
        <w:spacing w:line="235" w:lineRule="auto" w:before="4" w:after="0"/>
        <w:ind w:left="2664" w:right="1489" w:hanging="681"/>
        <w:jc w:val="left"/>
        <w:rPr>
          <w:sz w:val="20"/>
        </w:rPr>
      </w:pPr>
      <w:r>
        <w:rPr>
          <w:w w:val="120"/>
          <w:sz w:val="20"/>
        </w:rPr>
        <w:t>The development of the iChurch local church website project, the use of social media (Facebook, </w:t>
      </w:r>
      <w:r>
        <w:rPr>
          <w:spacing w:val="-4"/>
          <w:w w:val="120"/>
          <w:sz w:val="20"/>
        </w:rPr>
        <w:t>Twitter, </w:t>
      </w:r>
      <w:r>
        <w:rPr>
          <w:w w:val="120"/>
          <w:sz w:val="20"/>
        </w:rPr>
        <w:t>LinkedIn, </w:t>
      </w:r>
      <w:r>
        <w:rPr>
          <w:spacing w:val="-5"/>
          <w:w w:val="120"/>
          <w:sz w:val="20"/>
        </w:rPr>
        <w:t>etc) </w:t>
      </w:r>
      <w:r>
        <w:rPr>
          <w:w w:val="120"/>
          <w:sz w:val="20"/>
        </w:rPr>
        <w:t>and the extension of online learning opportunities is proving to be very effective in this regard. The Windermere Online Festival has created an important new working relationship with the Baptist Church, for example. We are monitoring the transition from online contact to residential participation in</w:t>
      </w:r>
      <w:r>
        <w:rPr>
          <w:spacing w:val="10"/>
          <w:w w:val="120"/>
          <w:sz w:val="20"/>
        </w:rPr>
        <w:t> </w:t>
      </w:r>
      <w:r>
        <w:rPr>
          <w:w w:val="120"/>
          <w:sz w:val="20"/>
        </w:rPr>
        <w:t>courses.</w:t>
      </w:r>
    </w:p>
    <w:p>
      <w:pPr>
        <w:pStyle w:val="BodyText"/>
        <w:spacing w:before="9"/>
        <w:rPr>
          <w:sz w:val="19"/>
        </w:rPr>
      </w:pPr>
    </w:p>
    <w:p>
      <w:pPr>
        <w:pStyle w:val="ListParagraph"/>
        <w:numPr>
          <w:ilvl w:val="1"/>
          <w:numId w:val="89"/>
        </w:numPr>
        <w:tabs>
          <w:tab w:pos="2664" w:val="left" w:leader="none"/>
          <w:tab w:pos="2665" w:val="left" w:leader="none"/>
        </w:tabs>
        <w:spacing w:line="242" w:lineRule="exact" w:before="0" w:after="0"/>
        <w:ind w:left="2664" w:right="0" w:hanging="681"/>
        <w:jc w:val="left"/>
        <w:rPr>
          <w:sz w:val="20"/>
        </w:rPr>
      </w:pPr>
      <w:r>
        <w:rPr>
          <w:w w:val="120"/>
          <w:sz w:val="20"/>
        </w:rPr>
        <w:t>The second priority is to resource the United Reformed Church more</w:t>
      </w:r>
      <w:r>
        <w:rPr>
          <w:spacing w:val="29"/>
          <w:w w:val="120"/>
          <w:sz w:val="20"/>
        </w:rPr>
        <w:t> </w:t>
      </w:r>
      <w:r>
        <w:rPr>
          <w:w w:val="120"/>
          <w:sz w:val="20"/>
        </w:rPr>
        <w:t>effectively</w:t>
      </w:r>
    </w:p>
    <w:p>
      <w:pPr>
        <w:pStyle w:val="BodyText"/>
        <w:spacing w:line="235" w:lineRule="auto" w:before="2"/>
        <w:ind w:left="1984" w:right="1352"/>
      </w:pPr>
      <w:r>
        <w:rPr>
          <w:w w:val="120"/>
        </w:rPr>
        <w:t>– both to ‘scratch where the Church is itching’ and also to create itches where they ought to be but do not currently exist. We are focusing on the following areas.</w:t>
      </w:r>
    </w:p>
    <w:p>
      <w:pPr>
        <w:pStyle w:val="ListParagraph"/>
        <w:numPr>
          <w:ilvl w:val="0"/>
          <w:numId w:val="97"/>
        </w:numPr>
        <w:tabs>
          <w:tab w:pos="2664" w:val="left" w:leader="none"/>
          <w:tab w:pos="2665" w:val="left" w:leader="none"/>
        </w:tabs>
        <w:spacing w:line="235" w:lineRule="auto" w:before="1" w:after="0"/>
        <w:ind w:left="2664" w:right="1487" w:hanging="681"/>
        <w:jc w:val="left"/>
        <w:rPr>
          <w:sz w:val="20"/>
        </w:rPr>
      </w:pPr>
      <w:r>
        <w:rPr>
          <w:w w:val="120"/>
          <w:sz w:val="20"/>
        </w:rPr>
        <w:t>When Church and Kingdom collide. Encouraging these explorations and conversations as </w:t>
      </w:r>
      <w:r>
        <w:rPr>
          <w:spacing w:val="2"/>
          <w:w w:val="120"/>
          <w:sz w:val="20"/>
        </w:rPr>
        <w:t>part </w:t>
      </w:r>
      <w:r>
        <w:rPr>
          <w:w w:val="120"/>
          <w:sz w:val="20"/>
        </w:rPr>
        <w:t>of the United Reformed </w:t>
      </w:r>
      <w:r>
        <w:rPr>
          <w:spacing w:val="-3"/>
          <w:w w:val="120"/>
          <w:sz w:val="20"/>
        </w:rPr>
        <w:t>Church’s </w:t>
      </w:r>
      <w:r>
        <w:rPr>
          <w:w w:val="120"/>
          <w:sz w:val="20"/>
        </w:rPr>
        <w:t>wider discussion on the future of the</w:t>
      </w:r>
      <w:r>
        <w:rPr>
          <w:spacing w:val="6"/>
          <w:w w:val="120"/>
          <w:sz w:val="20"/>
        </w:rPr>
        <w:t> </w:t>
      </w:r>
      <w:r>
        <w:rPr>
          <w:w w:val="120"/>
          <w:sz w:val="20"/>
        </w:rPr>
        <w:t>Church.</w:t>
      </w:r>
    </w:p>
    <w:p>
      <w:pPr>
        <w:pStyle w:val="ListParagraph"/>
        <w:numPr>
          <w:ilvl w:val="0"/>
          <w:numId w:val="97"/>
        </w:numPr>
        <w:tabs>
          <w:tab w:pos="2664" w:val="left" w:leader="none"/>
          <w:tab w:pos="2665" w:val="left" w:leader="none"/>
        </w:tabs>
        <w:spacing w:line="235" w:lineRule="auto" w:before="2" w:after="0"/>
        <w:ind w:left="2664" w:right="1442" w:hanging="681"/>
        <w:jc w:val="left"/>
        <w:rPr>
          <w:sz w:val="20"/>
        </w:rPr>
      </w:pPr>
      <w:r>
        <w:rPr>
          <w:w w:val="120"/>
          <w:sz w:val="20"/>
        </w:rPr>
        <w:t>It just works. Sharing and disseminating good practice as a way of encouraging the</w:t>
      </w:r>
      <w:r>
        <w:rPr>
          <w:spacing w:val="6"/>
          <w:w w:val="120"/>
          <w:sz w:val="20"/>
        </w:rPr>
        <w:t> </w:t>
      </w:r>
      <w:r>
        <w:rPr>
          <w:w w:val="120"/>
          <w:sz w:val="20"/>
        </w:rPr>
        <w:t>United</w:t>
      </w:r>
      <w:r>
        <w:rPr>
          <w:spacing w:val="6"/>
          <w:w w:val="120"/>
          <w:sz w:val="20"/>
        </w:rPr>
        <w:t> </w:t>
      </w:r>
      <w:r>
        <w:rPr>
          <w:w w:val="120"/>
          <w:sz w:val="20"/>
        </w:rPr>
        <w:t>Reformed</w:t>
      </w:r>
      <w:r>
        <w:rPr>
          <w:spacing w:val="7"/>
          <w:w w:val="120"/>
          <w:sz w:val="20"/>
        </w:rPr>
        <w:t> </w:t>
      </w:r>
      <w:r>
        <w:rPr>
          <w:w w:val="120"/>
          <w:sz w:val="20"/>
        </w:rPr>
        <w:t>Church</w:t>
      </w:r>
      <w:r>
        <w:rPr>
          <w:spacing w:val="6"/>
          <w:w w:val="120"/>
          <w:sz w:val="20"/>
        </w:rPr>
        <w:t> </w:t>
      </w:r>
      <w:r>
        <w:rPr>
          <w:w w:val="120"/>
          <w:sz w:val="20"/>
        </w:rPr>
        <w:t>to</w:t>
      </w:r>
      <w:r>
        <w:rPr>
          <w:spacing w:val="6"/>
          <w:w w:val="120"/>
          <w:sz w:val="20"/>
        </w:rPr>
        <w:t> </w:t>
      </w:r>
      <w:r>
        <w:rPr>
          <w:w w:val="120"/>
          <w:sz w:val="20"/>
        </w:rPr>
        <w:t>expect</w:t>
      </w:r>
      <w:r>
        <w:rPr>
          <w:spacing w:val="7"/>
          <w:w w:val="120"/>
          <w:sz w:val="20"/>
        </w:rPr>
        <w:t> </w:t>
      </w:r>
      <w:r>
        <w:rPr>
          <w:w w:val="120"/>
          <w:sz w:val="20"/>
        </w:rPr>
        <w:t>to</w:t>
      </w:r>
      <w:r>
        <w:rPr>
          <w:spacing w:val="6"/>
          <w:w w:val="120"/>
          <w:sz w:val="20"/>
        </w:rPr>
        <w:t> </w:t>
      </w:r>
      <w:r>
        <w:rPr>
          <w:spacing w:val="-3"/>
          <w:w w:val="120"/>
          <w:sz w:val="20"/>
        </w:rPr>
        <w:t>grow,</w:t>
      </w:r>
      <w:r>
        <w:rPr>
          <w:spacing w:val="7"/>
          <w:w w:val="120"/>
          <w:sz w:val="20"/>
        </w:rPr>
        <w:t> </w:t>
      </w:r>
      <w:r>
        <w:rPr>
          <w:w w:val="120"/>
          <w:sz w:val="20"/>
        </w:rPr>
        <w:t>rather</w:t>
      </w:r>
      <w:r>
        <w:rPr>
          <w:spacing w:val="6"/>
          <w:w w:val="120"/>
          <w:sz w:val="20"/>
        </w:rPr>
        <w:t> </w:t>
      </w:r>
      <w:r>
        <w:rPr>
          <w:w w:val="120"/>
          <w:sz w:val="20"/>
        </w:rPr>
        <w:t>than</w:t>
      </w:r>
      <w:r>
        <w:rPr>
          <w:spacing w:val="6"/>
          <w:w w:val="120"/>
          <w:sz w:val="20"/>
        </w:rPr>
        <w:t> </w:t>
      </w:r>
      <w:r>
        <w:rPr>
          <w:w w:val="120"/>
          <w:sz w:val="20"/>
        </w:rPr>
        <w:t>simply</w:t>
      </w:r>
      <w:r>
        <w:rPr>
          <w:spacing w:val="7"/>
          <w:w w:val="120"/>
          <w:sz w:val="20"/>
        </w:rPr>
        <w:t> </w:t>
      </w:r>
      <w:r>
        <w:rPr>
          <w:w w:val="120"/>
          <w:sz w:val="20"/>
        </w:rPr>
        <w:t>to</w:t>
      </w:r>
      <w:r>
        <w:rPr>
          <w:spacing w:val="6"/>
          <w:w w:val="120"/>
          <w:sz w:val="20"/>
        </w:rPr>
        <w:t> </w:t>
      </w:r>
      <w:r>
        <w:rPr>
          <w:w w:val="120"/>
          <w:sz w:val="20"/>
        </w:rPr>
        <w:t>decline.</w:t>
      </w:r>
    </w:p>
    <w:p>
      <w:pPr>
        <w:pStyle w:val="ListParagraph"/>
        <w:numPr>
          <w:ilvl w:val="0"/>
          <w:numId w:val="97"/>
        </w:numPr>
        <w:tabs>
          <w:tab w:pos="2664" w:val="left" w:leader="none"/>
          <w:tab w:pos="2665" w:val="left" w:leader="none"/>
        </w:tabs>
        <w:spacing w:line="235" w:lineRule="auto" w:before="2" w:after="0"/>
        <w:ind w:left="2664" w:right="1692" w:hanging="681"/>
        <w:jc w:val="left"/>
        <w:rPr>
          <w:sz w:val="20"/>
        </w:rPr>
      </w:pPr>
      <w:r>
        <w:rPr>
          <w:w w:val="120"/>
          <w:sz w:val="20"/>
        </w:rPr>
        <w:t>Growing new disciples by promoting evangelism and outreach that engages people with no previous Christian background. In this regard, we want to support and extend the United Reformed </w:t>
      </w:r>
      <w:r>
        <w:rPr>
          <w:spacing w:val="-3"/>
          <w:w w:val="120"/>
          <w:sz w:val="20"/>
        </w:rPr>
        <w:t>Church’s </w:t>
      </w:r>
      <w:r>
        <w:rPr>
          <w:w w:val="120"/>
          <w:sz w:val="20"/>
        </w:rPr>
        <w:t>involvement in Fresh Expressions.</w:t>
      </w:r>
    </w:p>
    <w:p>
      <w:pPr>
        <w:pStyle w:val="ListParagraph"/>
        <w:numPr>
          <w:ilvl w:val="0"/>
          <w:numId w:val="97"/>
        </w:numPr>
        <w:tabs>
          <w:tab w:pos="2664" w:val="left" w:leader="none"/>
          <w:tab w:pos="2665" w:val="left" w:leader="none"/>
        </w:tabs>
        <w:spacing w:line="241" w:lineRule="exact" w:before="0" w:after="0"/>
        <w:ind w:left="2664" w:right="0" w:hanging="681"/>
        <w:jc w:val="left"/>
        <w:rPr>
          <w:sz w:val="20"/>
        </w:rPr>
      </w:pPr>
      <w:r>
        <w:rPr>
          <w:w w:val="120"/>
          <w:sz w:val="20"/>
        </w:rPr>
        <w:t>Renewal of faith and deepening</w:t>
      </w:r>
      <w:r>
        <w:rPr>
          <w:spacing w:val="11"/>
          <w:w w:val="120"/>
          <w:sz w:val="20"/>
        </w:rPr>
        <w:t> </w:t>
      </w:r>
      <w:r>
        <w:rPr>
          <w:w w:val="120"/>
          <w:sz w:val="20"/>
        </w:rPr>
        <w:t>discipleship.</w:t>
      </w:r>
    </w:p>
    <w:p>
      <w:pPr>
        <w:pStyle w:val="ListParagraph"/>
        <w:numPr>
          <w:ilvl w:val="0"/>
          <w:numId w:val="97"/>
        </w:numPr>
        <w:tabs>
          <w:tab w:pos="2664" w:val="left" w:leader="none"/>
          <w:tab w:pos="2665" w:val="left" w:leader="none"/>
        </w:tabs>
        <w:spacing w:line="235" w:lineRule="auto" w:before="1" w:after="0"/>
        <w:ind w:left="2664" w:right="1923" w:hanging="681"/>
        <w:jc w:val="left"/>
        <w:rPr>
          <w:sz w:val="20"/>
        </w:rPr>
      </w:pPr>
      <w:r>
        <w:rPr>
          <w:w w:val="120"/>
          <w:sz w:val="20"/>
        </w:rPr>
        <w:t>Seeing an ageing Church as a resource-rich, effective Church rather than a failure.</w:t>
      </w:r>
    </w:p>
    <w:p>
      <w:pPr>
        <w:pStyle w:val="BodyText"/>
        <w:spacing w:before="10"/>
        <w:rPr>
          <w:sz w:val="19"/>
        </w:rPr>
      </w:pPr>
    </w:p>
    <w:p>
      <w:pPr>
        <w:pStyle w:val="ListParagraph"/>
        <w:numPr>
          <w:ilvl w:val="1"/>
          <w:numId w:val="89"/>
        </w:numPr>
        <w:tabs>
          <w:tab w:pos="2664" w:val="left" w:leader="none"/>
          <w:tab w:pos="2665" w:val="left" w:leader="none"/>
        </w:tabs>
        <w:spacing w:line="235" w:lineRule="auto" w:before="0" w:after="0"/>
        <w:ind w:left="1984" w:right="1307" w:firstLine="0"/>
        <w:jc w:val="left"/>
        <w:rPr>
          <w:sz w:val="20"/>
        </w:rPr>
      </w:pPr>
      <w:r>
        <w:rPr>
          <w:w w:val="120"/>
          <w:sz w:val="20"/>
        </w:rPr>
        <w:t>The third priority is to develop </w:t>
      </w:r>
      <w:r>
        <w:rPr>
          <w:spacing w:val="-3"/>
          <w:w w:val="120"/>
          <w:sz w:val="20"/>
        </w:rPr>
        <w:t>closer, </w:t>
      </w:r>
      <w:r>
        <w:rPr>
          <w:w w:val="120"/>
          <w:sz w:val="20"/>
        </w:rPr>
        <w:t>more intentional working relationships with the other three resource centres for learning in order to resource the Church more effectively and reduce the risk of a situation in which the RCLs are in competition with each other for increased share of a shrinking market base. We envisage a strategy that models the learning community that the United Reformed Church has stated it wishes to</w:t>
      </w:r>
      <w:r>
        <w:rPr>
          <w:spacing w:val="2"/>
          <w:w w:val="120"/>
          <w:sz w:val="20"/>
        </w:rPr>
        <w:t> </w:t>
      </w:r>
      <w:r>
        <w:rPr>
          <w:w w:val="120"/>
          <w:sz w:val="20"/>
        </w:rPr>
        <w:t>become.</w:t>
      </w:r>
    </w:p>
    <w:p>
      <w:pPr>
        <w:pStyle w:val="BodyText"/>
      </w:pPr>
    </w:p>
    <w:p>
      <w:pPr>
        <w:pStyle w:val="BodyText"/>
        <w:spacing w:line="235" w:lineRule="auto"/>
        <w:ind w:left="1984" w:right="1352"/>
      </w:pPr>
      <w:r>
        <w:rPr>
          <w:w w:val="120"/>
        </w:rPr>
        <w:t>Please pray that the Centre will continue to be a faithful and significant servant of, and resource to, the United Reformed Church.</w:t>
      </w:r>
    </w:p>
    <w:p>
      <w:pPr>
        <w:spacing w:after="0" w:line="235" w:lineRule="auto"/>
        <w:sectPr>
          <w:headerReference w:type="default" r:id="rId391"/>
          <w:pgSz w:w="11910" w:h="16840"/>
          <w:pgMar w:header="0" w:footer="647" w:top="0" w:bottom="840" w:left="0" w:right="0"/>
        </w:sectPr>
      </w:pPr>
    </w:p>
    <w:p>
      <w:pPr>
        <w:pStyle w:val="BodyText"/>
      </w:pPr>
    </w:p>
    <w:p>
      <w:pPr>
        <w:pStyle w:val="BodyText"/>
        <w:spacing w:before="7"/>
        <w:rPr>
          <w:sz w:val="21"/>
        </w:rPr>
      </w:pPr>
    </w:p>
    <w:p>
      <w:pPr>
        <w:spacing w:after="0"/>
        <w:rPr>
          <w:sz w:val="21"/>
        </w:rPr>
        <w:sectPr>
          <w:headerReference w:type="even" r:id="rId392"/>
          <w:footerReference w:type="even" r:id="rId393"/>
          <w:footerReference w:type="default" r:id="rId394"/>
          <w:pgSz w:w="11910" w:h="16840"/>
          <w:pgMar w:header="0" w:footer="647" w:top="0" w:bottom="840" w:left="0" w:right="0"/>
        </w:sectPr>
      </w:pPr>
    </w:p>
    <w:p>
      <w:pPr>
        <w:pStyle w:val="Heading5"/>
      </w:pPr>
      <w:bookmarkStart w:name="_bookmark30" w:id="34"/>
      <w:bookmarkEnd w:id="34"/>
      <w:r>
        <w:rPr/>
      </w:r>
      <w:r>
        <w:rPr>
          <w:color w:val="7EAABF"/>
          <w:w w:val="115"/>
        </w:rPr>
        <w:t>Education and learning</w:t>
      </w:r>
    </w:p>
    <w:p>
      <w:pPr>
        <w:pStyle w:val="BodyText"/>
        <w:spacing w:before="4"/>
        <w:rPr>
          <w:sz w:val="52"/>
        </w:rPr>
      </w:pPr>
      <w:r>
        <w:rPr/>
        <w:br w:type="column"/>
      </w:r>
      <w:r>
        <w:rPr>
          <w:sz w:val="52"/>
        </w:rPr>
      </w:r>
    </w:p>
    <w:p>
      <w:pPr>
        <w:tabs>
          <w:tab w:pos="531" w:val="left" w:leader="none"/>
          <w:tab w:pos="2842" w:val="left" w:leader="none"/>
        </w:tabs>
        <w:spacing w:before="0"/>
        <w:ind w:left="7" w:right="0" w:firstLine="0"/>
        <w:jc w:val="left"/>
        <w:rPr>
          <w:rFonts w:ascii="Stone Sans II ITC Std X Bd"/>
          <w:b/>
          <w:sz w:val="29"/>
        </w:rPr>
      </w:pPr>
      <w:r>
        <w:rPr>
          <w:rFonts w:ascii="Stone Sans II ITC Std X Bd"/>
          <w:b/>
          <w:w w:val="110"/>
          <w:sz w:val="29"/>
          <w:shd w:fill="D4E9F7" w:color="auto" w:val="clear"/>
        </w:rPr>
        <w:t> </w:t>
      </w:r>
      <w:r>
        <w:rPr>
          <w:rFonts w:ascii="Stone Sans II ITC Std X Bd"/>
          <w:b/>
          <w:sz w:val="29"/>
          <w:shd w:fill="D4E9F7" w:color="auto" w:val="clear"/>
        </w:rPr>
        <w:tab/>
      </w:r>
      <w:r>
        <w:rPr>
          <w:rFonts w:ascii="Stone Sans II ITC Std X Bd"/>
          <w:b/>
          <w:w w:val="110"/>
          <w:sz w:val="29"/>
          <w:shd w:fill="D4E9F7" w:color="auto" w:val="clear"/>
        </w:rPr>
        <w:t>Appendix</w:t>
      </w:r>
      <w:r>
        <w:rPr>
          <w:rFonts w:ascii="Stone Sans II ITC Std X Bd"/>
          <w:b/>
          <w:spacing w:val="-2"/>
          <w:w w:val="110"/>
          <w:sz w:val="29"/>
          <w:shd w:fill="D4E9F7" w:color="auto" w:val="clear"/>
        </w:rPr>
        <w:t> </w:t>
      </w:r>
      <w:r>
        <w:rPr>
          <w:rFonts w:ascii="Stone Sans II ITC Std X Bd"/>
          <w:b/>
          <w:w w:val="110"/>
          <w:sz w:val="29"/>
          <w:shd w:fill="D4E9F7" w:color="auto" w:val="clear"/>
        </w:rPr>
        <w:t>1</w:t>
      </w:r>
      <w:r>
        <w:rPr>
          <w:rFonts w:ascii="Stone Sans II ITC Std X Bd"/>
          <w:b/>
          <w:sz w:val="29"/>
          <w:shd w:fill="D4E9F7" w:color="auto" w:val="clear"/>
        </w:rPr>
        <w:tab/>
      </w:r>
    </w:p>
    <w:p>
      <w:pPr>
        <w:spacing w:after="0"/>
        <w:jc w:val="left"/>
        <w:rPr>
          <w:rFonts w:ascii="Stone Sans II ITC Std X Bd"/>
          <w:sz w:val="29"/>
        </w:rPr>
        <w:sectPr>
          <w:type w:val="continuous"/>
          <w:pgSz w:w="11910" w:h="16840"/>
          <w:pgMar w:top="680" w:bottom="280" w:left="0" w:right="0"/>
          <w:cols w:num="2" w:equalWidth="0">
            <w:col w:w="4091" w:space="40"/>
            <w:col w:w="7779"/>
          </w:cols>
        </w:sectPr>
      </w:pPr>
    </w:p>
    <w:p>
      <w:pPr>
        <w:pStyle w:val="BodyText"/>
        <w:spacing w:before="4"/>
        <w:rPr>
          <w:rFonts w:ascii="Stone Sans II ITC Std X Bd"/>
          <w:b/>
          <w:sz w:val="17"/>
        </w:rPr>
      </w:pPr>
      <w:r>
        <w:rPr/>
        <w:drawing>
          <wp:anchor distT="0" distB="0" distL="0" distR="0" allowOverlap="1" layoutInCell="1" locked="0" behindDoc="0" simplePos="0" relativeHeight="252094464">
            <wp:simplePos x="0" y="0"/>
            <wp:positionH relativeFrom="page">
              <wp:posOffset>0</wp:posOffset>
            </wp:positionH>
            <wp:positionV relativeFrom="page">
              <wp:posOffset>0</wp:posOffset>
            </wp:positionV>
            <wp:extent cx="594067" cy="10692003"/>
            <wp:effectExtent l="0" t="0" r="0" b="0"/>
            <wp:wrapNone/>
            <wp:docPr id="317" name="image32.png"/>
            <wp:cNvGraphicFramePr>
              <a:graphicFrameLocks noChangeAspect="1"/>
            </wp:cNvGraphicFramePr>
            <a:graphic>
              <a:graphicData uri="http://schemas.openxmlformats.org/drawingml/2006/picture">
                <pic:pic>
                  <pic:nvPicPr>
                    <pic:cNvPr id="318" name="image32.png"/>
                    <pic:cNvPicPr/>
                  </pic:nvPicPr>
                  <pic:blipFill>
                    <a:blip r:embed="rId362" cstate="print"/>
                    <a:stretch>
                      <a:fillRect/>
                    </a:stretch>
                  </pic:blipFill>
                  <pic:spPr>
                    <a:xfrm>
                      <a:off x="0" y="0"/>
                      <a:ext cx="594067" cy="10692003"/>
                    </a:xfrm>
                    <a:prstGeom prst="rect">
                      <a:avLst/>
                    </a:prstGeom>
                  </pic:spPr>
                </pic:pic>
              </a:graphicData>
            </a:graphic>
          </wp:anchor>
        </w:drawing>
      </w:r>
    </w:p>
    <w:p>
      <w:pPr>
        <w:spacing w:before="94"/>
        <w:ind w:left="1249" w:right="0" w:firstLine="0"/>
        <w:jc w:val="left"/>
        <w:rPr>
          <w:rFonts w:ascii="Stone Sans II ITC Std X Bd"/>
          <w:b/>
          <w:sz w:val="29"/>
        </w:rPr>
      </w:pPr>
      <w:r>
        <w:rPr/>
        <w:pict>
          <v:shape style="position:absolute;margin-left:20.519100pt;margin-top:-40.625591pt;width:25.9pt;height:379.15pt;mso-position-horizontal-relative:page;mso-position-vertical-relative:paragraph;z-index:252095488" type="#_x0000_t202" filled="false" stroked="false">
            <v:textbox inset="0,0,0,0" style="layout-flow:vertical">
              <w:txbxContent>
                <w:p>
                  <w:pPr>
                    <w:spacing w:before="27"/>
                    <w:ind w:left="20" w:right="0" w:firstLine="0"/>
                    <w:jc w:val="left"/>
                    <w:rPr>
                      <w:sz w:val="39"/>
                    </w:rPr>
                  </w:pPr>
                  <w:r>
                    <w:rPr>
                      <w:color w:val="FFFFFF"/>
                      <w:w w:val="125"/>
                      <w:sz w:val="39"/>
                    </w:rPr>
                    <w:t>Education and learning – </w:t>
                  </w:r>
                  <w:r>
                    <w:rPr>
                      <w:w w:val="125"/>
                      <w:sz w:val="39"/>
                    </w:rPr>
                    <w:t>Appendix 1</w:t>
                  </w:r>
                </w:p>
              </w:txbxContent>
            </v:textbox>
            <w10:wrap type="none"/>
          </v:shape>
        </w:pict>
      </w:r>
      <w:r>
        <w:rPr>
          <w:rFonts w:ascii="Stone Sans II ITC Std X Bd"/>
          <w:b/>
          <w:w w:val="110"/>
          <w:sz w:val="29"/>
        </w:rPr>
        <w:t>Statistics of students in education for ministry phase 1</w:t>
      </w:r>
    </w:p>
    <w:p>
      <w:pPr>
        <w:pStyle w:val="BodyText"/>
        <w:spacing w:before="11"/>
        <w:rPr>
          <w:rFonts w:ascii="Stone Sans II ITC Std X Bd"/>
          <w:b/>
          <w:sz w:val="16"/>
        </w:rPr>
      </w:pPr>
    </w:p>
    <w:tbl>
      <w:tblPr>
        <w:tblW w:w="0" w:type="auto"/>
        <w:jc w:val="left"/>
        <w:tblInd w:w="12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41"/>
        <w:gridCol w:w="726"/>
        <w:gridCol w:w="741"/>
        <w:gridCol w:w="726"/>
        <w:gridCol w:w="726"/>
        <w:gridCol w:w="727"/>
        <w:gridCol w:w="727"/>
        <w:gridCol w:w="1149"/>
      </w:tblGrid>
      <w:tr>
        <w:trPr>
          <w:trHeight w:val="608" w:hRule="atLeast"/>
        </w:trPr>
        <w:tc>
          <w:tcPr>
            <w:tcW w:w="3141" w:type="dxa"/>
            <w:tcBorders>
              <w:top w:val="nil"/>
              <w:left w:val="nil"/>
              <w:bottom w:val="nil"/>
              <w:right w:val="nil"/>
            </w:tcBorders>
            <w:shd w:val="clear" w:color="auto" w:fill="000000"/>
          </w:tcPr>
          <w:p>
            <w:pPr>
              <w:pStyle w:val="TableParagraph"/>
              <w:ind w:left="0"/>
              <w:rPr>
                <w:rFonts w:ascii="Times New Roman"/>
                <w:sz w:val="22"/>
              </w:rPr>
            </w:pPr>
          </w:p>
        </w:tc>
        <w:tc>
          <w:tcPr>
            <w:tcW w:w="2193" w:type="dxa"/>
            <w:gridSpan w:val="3"/>
            <w:tcBorders>
              <w:top w:val="nil"/>
              <w:left w:val="nil"/>
              <w:bottom w:val="nil"/>
              <w:right w:val="nil"/>
            </w:tcBorders>
            <w:shd w:val="clear" w:color="auto" w:fill="000000"/>
          </w:tcPr>
          <w:p>
            <w:pPr>
              <w:pStyle w:val="TableParagraph"/>
              <w:spacing w:before="100"/>
              <w:ind w:left="85"/>
              <w:rPr>
                <w:rFonts w:ascii="Stone Sans II ITC Std Bk"/>
                <w:b/>
                <w:sz w:val="18"/>
              </w:rPr>
            </w:pPr>
            <w:r>
              <w:rPr>
                <w:rFonts w:ascii="Stone Sans II ITC Std Bk"/>
                <w:b/>
                <w:color w:val="FFFFFF"/>
                <w:w w:val="110"/>
                <w:sz w:val="18"/>
              </w:rPr>
              <w:t>Students in Training</w:t>
            </w:r>
          </w:p>
        </w:tc>
        <w:tc>
          <w:tcPr>
            <w:tcW w:w="3329" w:type="dxa"/>
            <w:gridSpan w:val="4"/>
            <w:tcBorders>
              <w:top w:val="nil"/>
              <w:left w:val="nil"/>
              <w:bottom w:val="nil"/>
              <w:right w:val="nil"/>
            </w:tcBorders>
            <w:shd w:val="clear" w:color="auto" w:fill="000000"/>
          </w:tcPr>
          <w:p>
            <w:pPr>
              <w:pStyle w:val="TableParagraph"/>
              <w:spacing w:line="237" w:lineRule="auto" w:before="102"/>
              <w:ind w:left="85" w:right="6"/>
              <w:rPr>
                <w:rFonts w:ascii="Stone Sans II ITC Std Bk"/>
                <w:b/>
                <w:sz w:val="18"/>
              </w:rPr>
            </w:pPr>
            <w:r>
              <w:rPr>
                <w:rFonts w:ascii="Stone Sans II ITC Std Bk"/>
                <w:b/>
                <w:color w:val="FFFFFF"/>
                <w:w w:val="110"/>
                <w:sz w:val="18"/>
              </w:rPr>
              <w:t>Anticipated entry into URC Service</w:t>
            </w:r>
          </w:p>
        </w:tc>
      </w:tr>
      <w:tr>
        <w:trPr>
          <w:trHeight w:val="593" w:hRule="atLeast"/>
        </w:trPr>
        <w:tc>
          <w:tcPr>
            <w:tcW w:w="3141" w:type="dxa"/>
            <w:tcBorders>
              <w:top w:val="nil"/>
            </w:tcBorders>
          </w:tcPr>
          <w:p>
            <w:pPr>
              <w:pStyle w:val="TableParagraph"/>
              <w:ind w:left="0"/>
              <w:rPr>
                <w:rFonts w:ascii="Times New Roman"/>
                <w:sz w:val="22"/>
              </w:rPr>
            </w:pPr>
          </w:p>
        </w:tc>
        <w:tc>
          <w:tcPr>
            <w:tcW w:w="726" w:type="dxa"/>
            <w:tcBorders>
              <w:top w:val="nil"/>
            </w:tcBorders>
          </w:tcPr>
          <w:p>
            <w:pPr>
              <w:pStyle w:val="TableParagraph"/>
              <w:spacing w:line="240" w:lineRule="atLeast" w:before="86"/>
              <w:rPr>
                <w:sz w:val="18"/>
              </w:rPr>
            </w:pPr>
            <w:r>
              <w:rPr>
                <w:w w:val="125"/>
                <w:sz w:val="18"/>
              </w:rPr>
              <w:t>Mar 2012</w:t>
            </w:r>
          </w:p>
        </w:tc>
        <w:tc>
          <w:tcPr>
            <w:tcW w:w="741" w:type="dxa"/>
            <w:tcBorders>
              <w:top w:val="nil"/>
            </w:tcBorders>
          </w:tcPr>
          <w:p>
            <w:pPr>
              <w:pStyle w:val="TableParagraph"/>
              <w:spacing w:line="240" w:lineRule="atLeast" w:before="86"/>
              <w:rPr>
                <w:sz w:val="18"/>
              </w:rPr>
            </w:pPr>
            <w:r>
              <w:rPr>
                <w:w w:val="125"/>
                <w:sz w:val="18"/>
              </w:rPr>
              <w:t>Mar 2013</w:t>
            </w:r>
          </w:p>
        </w:tc>
        <w:tc>
          <w:tcPr>
            <w:tcW w:w="726" w:type="dxa"/>
            <w:tcBorders>
              <w:top w:val="nil"/>
            </w:tcBorders>
          </w:tcPr>
          <w:p>
            <w:pPr>
              <w:pStyle w:val="TableParagraph"/>
              <w:spacing w:line="240" w:lineRule="atLeast" w:before="86"/>
              <w:rPr>
                <w:sz w:val="18"/>
              </w:rPr>
            </w:pPr>
            <w:r>
              <w:rPr>
                <w:w w:val="120"/>
                <w:sz w:val="18"/>
              </w:rPr>
              <w:t>Jan 2014</w:t>
            </w:r>
          </w:p>
        </w:tc>
        <w:tc>
          <w:tcPr>
            <w:tcW w:w="726" w:type="dxa"/>
            <w:tcBorders>
              <w:top w:val="nil"/>
            </w:tcBorders>
          </w:tcPr>
          <w:p>
            <w:pPr>
              <w:pStyle w:val="TableParagraph"/>
              <w:spacing w:before="8"/>
              <w:ind w:left="0"/>
              <w:rPr>
                <w:rFonts w:ascii="Stone Sans II ITC Std X Bd"/>
                <w:b/>
                <w:sz w:val="25"/>
              </w:rPr>
            </w:pPr>
          </w:p>
          <w:p>
            <w:pPr>
              <w:pStyle w:val="TableParagraph"/>
              <w:rPr>
                <w:sz w:val="18"/>
              </w:rPr>
            </w:pPr>
            <w:r>
              <w:rPr>
                <w:w w:val="125"/>
                <w:sz w:val="18"/>
              </w:rPr>
              <w:t>2014</w:t>
            </w:r>
          </w:p>
        </w:tc>
        <w:tc>
          <w:tcPr>
            <w:tcW w:w="727" w:type="dxa"/>
            <w:tcBorders>
              <w:top w:val="nil"/>
            </w:tcBorders>
          </w:tcPr>
          <w:p>
            <w:pPr>
              <w:pStyle w:val="TableParagraph"/>
              <w:spacing w:before="8"/>
              <w:ind w:left="0"/>
              <w:rPr>
                <w:rFonts w:ascii="Stone Sans II ITC Std X Bd"/>
                <w:b/>
                <w:sz w:val="25"/>
              </w:rPr>
            </w:pPr>
          </w:p>
          <w:p>
            <w:pPr>
              <w:pStyle w:val="TableParagraph"/>
              <w:rPr>
                <w:sz w:val="18"/>
              </w:rPr>
            </w:pPr>
            <w:r>
              <w:rPr>
                <w:w w:val="125"/>
                <w:sz w:val="18"/>
              </w:rPr>
              <w:t>2015</w:t>
            </w:r>
          </w:p>
        </w:tc>
        <w:tc>
          <w:tcPr>
            <w:tcW w:w="727" w:type="dxa"/>
            <w:tcBorders>
              <w:top w:val="nil"/>
            </w:tcBorders>
          </w:tcPr>
          <w:p>
            <w:pPr>
              <w:pStyle w:val="TableParagraph"/>
              <w:spacing w:before="8"/>
              <w:ind w:left="0"/>
              <w:rPr>
                <w:rFonts w:ascii="Stone Sans II ITC Std X Bd"/>
                <w:b/>
                <w:sz w:val="25"/>
              </w:rPr>
            </w:pPr>
          </w:p>
          <w:p>
            <w:pPr>
              <w:pStyle w:val="TableParagraph"/>
              <w:rPr>
                <w:sz w:val="18"/>
              </w:rPr>
            </w:pPr>
            <w:r>
              <w:rPr>
                <w:w w:val="125"/>
                <w:sz w:val="18"/>
              </w:rPr>
              <w:t>2016</w:t>
            </w:r>
          </w:p>
        </w:tc>
        <w:tc>
          <w:tcPr>
            <w:tcW w:w="1149" w:type="dxa"/>
            <w:tcBorders>
              <w:top w:val="nil"/>
            </w:tcBorders>
          </w:tcPr>
          <w:p>
            <w:pPr>
              <w:pStyle w:val="TableParagraph"/>
              <w:spacing w:before="8"/>
              <w:ind w:left="0"/>
              <w:rPr>
                <w:rFonts w:ascii="Stone Sans II ITC Std X Bd"/>
                <w:b/>
                <w:sz w:val="25"/>
              </w:rPr>
            </w:pPr>
          </w:p>
          <w:p>
            <w:pPr>
              <w:pStyle w:val="TableParagraph"/>
              <w:rPr>
                <w:sz w:val="18"/>
              </w:rPr>
            </w:pPr>
            <w:r>
              <w:rPr>
                <w:w w:val="125"/>
                <w:sz w:val="18"/>
              </w:rPr>
              <w:t>2017</w:t>
            </w:r>
          </w:p>
        </w:tc>
      </w:tr>
      <w:tr>
        <w:trPr>
          <w:trHeight w:val="271" w:hRule="atLeast"/>
        </w:trPr>
        <w:tc>
          <w:tcPr>
            <w:tcW w:w="3141" w:type="dxa"/>
          </w:tcPr>
          <w:p>
            <w:pPr>
              <w:pStyle w:val="TableParagraph"/>
              <w:ind w:left="0"/>
              <w:rPr>
                <w:rFonts w:ascii="Times New Roman"/>
                <w:sz w:val="20"/>
              </w:rPr>
            </w:pPr>
          </w:p>
        </w:tc>
        <w:tc>
          <w:tcPr>
            <w:tcW w:w="726" w:type="dxa"/>
          </w:tcPr>
          <w:p>
            <w:pPr>
              <w:pStyle w:val="TableParagraph"/>
              <w:ind w:left="0"/>
              <w:rPr>
                <w:rFonts w:ascii="Times New Roman"/>
                <w:sz w:val="20"/>
              </w:rPr>
            </w:pPr>
          </w:p>
        </w:tc>
        <w:tc>
          <w:tcPr>
            <w:tcW w:w="741" w:type="dxa"/>
          </w:tcPr>
          <w:p>
            <w:pPr>
              <w:pStyle w:val="TableParagraph"/>
              <w:ind w:left="0"/>
              <w:rPr>
                <w:rFonts w:ascii="Times New Roman"/>
                <w:sz w:val="20"/>
              </w:rPr>
            </w:pPr>
          </w:p>
        </w:tc>
        <w:tc>
          <w:tcPr>
            <w:tcW w:w="726" w:type="dxa"/>
          </w:tcPr>
          <w:p>
            <w:pPr>
              <w:pStyle w:val="TableParagraph"/>
              <w:ind w:left="0"/>
              <w:rPr>
                <w:rFonts w:ascii="Times New Roman"/>
                <w:sz w:val="20"/>
              </w:rPr>
            </w:pPr>
          </w:p>
        </w:tc>
        <w:tc>
          <w:tcPr>
            <w:tcW w:w="726" w:type="dxa"/>
          </w:tcPr>
          <w:p>
            <w:pPr>
              <w:pStyle w:val="TableParagraph"/>
              <w:ind w:left="0"/>
              <w:rPr>
                <w:rFonts w:ascii="Times New Roman"/>
                <w:sz w:val="20"/>
              </w:rPr>
            </w:pPr>
          </w:p>
        </w:tc>
        <w:tc>
          <w:tcPr>
            <w:tcW w:w="727" w:type="dxa"/>
          </w:tcPr>
          <w:p>
            <w:pPr>
              <w:pStyle w:val="TableParagraph"/>
              <w:ind w:left="0"/>
              <w:rPr>
                <w:rFonts w:ascii="Times New Roman"/>
                <w:sz w:val="20"/>
              </w:rPr>
            </w:pPr>
          </w:p>
        </w:tc>
        <w:tc>
          <w:tcPr>
            <w:tcW w:w="727" w:type="dxa"/>
          </w:tcPr>
          <w:p>
            <w:pPr>
              <w:pStyle w:val="TableParagraph"/>
              <w:ind w:left="0"/>
              <w:rPr>
                <w:rFonts w:ascii="Times New Roman"/>
                <w:sz w:val="20"/>
              </w:rPr>
            </w:pPr>
          </w:p>
        </w:tc>
        <w:tc>
          <w:tcPr>
            <w:tcW w:w="1149" w:type="dxa"/>
          </w:tcPr>
          <w:p>
            <w:pPr>
              <w:pStyle w:val="TableParagraph"/>
              <w:ind w:left="0"/>
              <w:rPr>
                <w:rFonts w:ascii="Times New Roman"/>
                <w:sz w:val="20"/>
              </w:rPr>
            </w:pPr>
          </w:p>
        </w:tc>
      </w:tr>
      <w:tr>
        <w:trPr>
          <w:trHeight w:val="352" w:hRule="atLeast"/>
        </w:trPr>
        <w:tc>
          <w:tcPr>
            <w:tcW w:w="3141" w:type="dxa"/>
          </w:tcPr>
          <w:p>
            <w:pPr>
              <w:pStyle w:val="TableParagraph"/>
              <w:spacing w:before="106"/>
              <w:rPr>
                <w:sz w:val="18"/>
              </w:rPr>
            </w:pPr>
            <w:r>
              <w:rPr>
                <w:w w:val="120"/>
                <w:sz w:val="18"/>
              </w:rPr>
              <w:t>STIPENDIARY</w:t>
            </w:r>
          </w:p>
        </w:tc>
        <w:tc>
          <w:tcPr>
            <w:tcW w:w="726" w:type="dxa"/>
          </w:tcPr>
          <w:p>
            <w:pPr>
              <w:pStyle w:val="TableParagraph"/>
              <w:ind w:left="0"/>
              <w:rPr>
                <w:rFonts w:ascii="Times New Roman"/>
                <w:sz w:val="22"/>
              </w:rPr>
            </w:pPr>
          </w:p>
        </w:tc>
        <w:tc>
          <w:tcPr>
            <w:tcW w:w="741" w:type="dxa"/>
          </w:tcPr>
          <w:p>
            <w:pPr>
              <w:pStyle w:val="TableParagraph"/>
              <w:ind w:left="0"/>
              <w:rPr>
                <w:rFonts w:ascii="Times New Roman"/>
                <w:sz w:val="22"/>
              </w:rPr>
            </w:pPr>
          </w:p>
        </w:tc>
        <w:tc>
          <w:tcPr>
            <w:tcW w:w="726" w:type="dxa"/>
          </w:tcPr>
          <w:p>
            <w:pPr>
              <w:pStyle w:val="TableParagraph"/>
              <w:ind w:left="0"/>
              <w:rPr>
                <w:rFonts w:ascii="Times New Roman"/>
                <w:sz w:val="22"/>
              </w:rPr>
            </w:pPr>
          </w:p>
        </w:tc>
        <w:tc>
          <w:tcPr>
            <w:tcW w:w="726" w:type="dxa"/>
          </w:tcPr>
          <w:p>
            <w:pPr>
              <w:pStyle w:val="TableParagraph"/>
              <w:ind w:left="0"/>
              <w:rPr>
                <w:rFonts w:ascii="Times New Roman"/>
                <w:sz w:val="22"/>
              </w:rPr>
            </w:pPr>
          </w:p>
        </w:tc>
        <w:tc>
          <w:tcPr>
            <w:tcW w:w="727" w:type="dxa"/>
          </w:tcPr>
          <w:p>
            <w:pPr>
              <w:pStyle w:val="TableParagraph"/>
              <w:ind w:left="0"/>
              <w:rPr>
                <w:rFonts w:ascii="Times New Roman"/>
                <w:sz w:val="22"/>
              </w:rPr>
            </w:pPr>
          </w:p>
        </w:tc>
        <w:tc>
          <w:tcPr>
            <w:tcW w:w="727" w:type="dxa"/>
          </w:tcPr>
          <w:p>
            <w:pPr>
              <w:pStyle w:val="TableParagraph"/>
              <w:ind w:left="0"/>
              <w:rPr>
                <w:rFonts w:ascii="Times New Roman"/>
                <w:sz w:val="22"/>
              </w:rPr>
            </w:pPr>
          </w:p>
        </w:tc>
        <w:tc>
          <w:tcPr>
            <w:tcW w:w="1149" w:type="dxa"/>
          </w:tcPr>
          <w:p>
            <w:pPr>
              <w:pStyle w:val="TableParagraph"/>
              <w:ind w:left="0"/>
              <w:rPr>
                <w:rFonts w:ascii="Times New Roman"/>
                <w:sz w:val="22"/>
              </w:rPr>
            </w:pPr>
          </w:p>
        </w:tc>
      </w:tr>
      <w:tr>
        <w:trPr>
          <w:trHeight w:val="271" w:hRule="atLeast"/>
        </w:trPr>
        <w:tc>
          <w:tcPr>
            <w:tcW w:w="3141" w:type="dxa"/>
          </w:tcPr>
          <w:p>
            <w:pPr>
              <w:pStyle w:val="TableParagraph"/>
              <w:ind w:left="0"/>
              <w:rPr>
                <w:rFonts w:ascii="Times New Roman"/>
                <w:sz w:val="20"/>
              </w:rPr>
            </w:pPr>
          </w:p>
        </w:tc>
        <w:tc>
          <w:tcPr>
            <w:tcW w:w="726" w:type="dxa"/>
          </w:tcPr>
          <w:p>
            <w:pPr>
              <w:pStyle w:val="TableParagraph"/>
              <w:ind w:left="0"/>
              <w:rPr>
                <w:rFonts w:ascii="Times New Roman"/>
                <w:sz w:val="20"/>
              </w:rPr>
            </w:pPr>
          </w:p>
        </w:tc>
        <w:tc>
          <w:tcPr>
            <w:tcW w:w="741" w:type="dxa"/>
          </w:tcPr>
          <w:p>
            <w:pPr>
              <w:pStyle w:val="TableParagraph"/>
              <w:ind w:left="0"/>
              <w:rPr>
                <w:rFonts w:ascii="Times New Roman"/>
                <w:sz w:val="20"/>
              </w:rPr>
            </w:pPr>
          </w:p>
        </w:tc>
        <w:tc>
          <w:tcPr>
            <w:tcW w:w="726" w:type="dxa"/>
          </w:tcPr>
          <w:p>
            <w:pPr>
              <w:pStyle w:val="TableParagraph"/>
              <w:ind w:left="0"/>
              <w:rPr>
                <w:rFonts w:ascii="Times New Roman"/>
                <w:sz w:val="20"/>
              </w:rPr>
            </w:pPr>
          </w:p>
        </w:tc>
        <w:tc>
          <w:tcPr>
            <w:tcW w:w="726" w:type="dxa"/>
          </w:tcPr>
          <w:p>
            <w:pPr>
              <w:pStyle w:val="TableParagraph"/>
              <w:ind w:left="0"/>
              <w:rPr>
                <w:rFonts w:ascii="Times New Roman"/>
                <w:sz w:val="20"/>
              </w:rPr>
            </w:pPr>
          </w:p>
        </w:tc>
        <w:tc>
          <w:tcPr>
            <w:tcW w:w="727" w:type="dxa"/>
          </w:tcPr>
          <w:p>
            <w:pPr>
              <w:pStyle w:val="TableParagraph"/>
              <w:ind w:left="0"/>
              <w:rPr>
                <w:rFonts w:ascii="Times New Roman"/>
                <w:sz w:val="20"/>
              </w:rPr>
            </w:pPr>
          </w:p>
        </w:tc>
        <w:tc>
          <w:tcPr>
            <w:tcW w:w="727" w:type="dxa"/>
          </w:tcPr>
          <w:p>
            <w:pPr>
              <w:pStyle w:val="TableParagraph"/>
              <w:ind w:left="0"/>
              <w:rPr>
                <w:rFonts w:ascii="Times New Roman"/>
                <w:sz w:val="20"/>
              </w:rPr>
            </w:pPr>
          </w:p>
        </w:tc>
        <w:tc>
          <w:tcPr>
            <w:tcW w:w="1149" w:type="dxa"/>
          </w:tcPr>
          <w:p>
            <w:pPr>
              <w:pStyle w:val="TableParagraph"/>
              <w:ind w:left="0"/>
              <w:rPr>
                <w:rFonts w:ascii="Times New Roman"/>
                <w:sz w:val="20"/>
              </w:rPr>
            </w:pPr>
          </w:p>
        </w:tc>
      </w:tr>
      <w:tr>
        <w:trPr>
          <w:trHeight w:val="352" w:hRule="atLeast"/>
        </w:trPr>
        <w:tc>
          <w:tcPr>
            <w:tcW w:w="3141" w:type="dxa"/>
          </w:tcPr>
          <w:p>
            <w:pPr>
              <w:pStyle w:val="TableParagraph"/>
              <w:spacing w:before="106"/>
              <w:rPr>
                <w:sz w:val="18"/>
              </w:rPr>
            </w:pPr>
            <w:r>
              <w:rPr>
                <w:w w:val="120"/>
                <w:sz w:val="18"/>
              </w:rPr>
              <w:t>Full-Time Courses</w:t>
            </w:r>
          </w:p>
        </w:tc>
        <w:tc>
          <w:tcPr>
            <w:tcW w:w="726" w:type="dxa"/>
          </w:tcPr>
          <w:p>
            <w:pPr>
              <w:pStyle w:val="TableParagraph"/>
              <w:ind w:left="0"/>
              <w:rPr>
                <w:rFonts w:ascii="Times New Roman"/>
                <w:sz w:val="22"/>
              </w:rPr>
            </w:pPr>
          </w:p>
        </w:tc>
        <w:tc>
          <w:tcPr>
            <w:tcW w:w="741" w:type="dxa"/>
          </w:tcPr>
          <w:p>
            <w:pPr>
              <w:pStyle w:val="TableParagraph"/>
              <w:ind w:left="0"/>
              <w:rPr>
                <w:rFonts w:ascii="Times New Roman"/>
                <w:sz w:val="22"/>
              </w:rPr>
            </w:pPr>
          </w:p>
        </w:tc>
        <w:tc>
          <w:tcPr>
            <w:tcW w:w="726" w:type="dxa"/>
          </w:tcPr>
          <w:p>
            <w:pPr>
              <w:pStyle w:val="TableParagraph"/>
              <w:ind w:left="0"/>
              <w:rPr>
                <w:rFonts w:ascii="Times New Roman"/>
                <w:sz w:val="22"/>
              </w:rPr>
            </w:pPr>
          </w:p>
        </w:tc>
        <w:tc>
          <w:tcPr>
            <w:tcW w:w="726" w:type="dxa"/>
          </w:tcPr>
          <w:p>
            <w:pPr>
              <w:pStyle w:val="TableParagraph"/>
              <w:ind w:left="0"/>
              <w:rPr>
                <w:rFonts w:ascii="Times New Roman"/>
                <w:sz w:val="22"/>
              </w:rPr>
            </w:pPr>
          </w:p>
        </w:tc>
        <w:tc>
          <w:tcPr>
            <w:tcW w:w="727" w:type="dxa"/>
          </w:tcPr>
          <w:p>
            <w:pPr>
              <w:pStyle w:val="TableParagraph"/>
              <w:ind w:left="0"/>
              <w:rPr>
                <w:rFonts w:ascii="Times New Roman"/>
                <w:sz w:val="22"/>
              </w:rPr>
            </w:pPr>
          </w:p>
        </w:tc>
        <w:tc>
          <w:tcPr>
            <w:tcW w:w="727" w:type="dxa"/>
          </w:tcPr>
          <w:p>
            <w:pPr>
              <w:pStyle w:val="TableParagraph"/>
              <w:ind w:left="0"/>
              <w:rPr>
                <w:rFonts w:ascii="Times New Roman"/>
                <w:sz w:val="22"/>
              </w:rPr>
            </w:pPr>
          </w:p>
        </w:tc>
        <w:tc>
          <w:tcPr>
            <w:tcW w:w="1149" w:type="dxa"/>
          </w:tcPr>
          <w:p>
            <w:pPr>
              <w:pStyle w:val="TableParagraph"/>
              <w:ind w:left="0"/>
              <w:rPr>
                <w:rFonts w:ascii="Times New Roman"/>
                <w:sz w:val="22"/>
              </w:rPr>
            </w:pPr>
          </w:p>
        </w:tc>
      </w:tr>
      <w:tr>
        <w:trPr>
          <w:trHeight w:val="352" w:hRule="atLeast"/>
        </w:trPr>
        <w:tc>
          <w:tcPr>
            <w:tcW w:w="3141" w:type="dxa"/>
          </w:tcPr>
          <w:p>
            <w:pPr>
              <w:pStyle w:val="TableParagraph"/>
              <w:spacing w:before="106"/>
              <w:rPr>
                <w:sz w:val="18"/>
              </w:rPr>
            </w:pPr>
            <w:r>
              <w:rPr>
                <w:w w:val="125"/>
                <w:sz w:val="18"/>
              </w:rPr>
              <w:t>Northern College (RCL) MWS</w:t>
            </w:r>
          </w:p>
        </w:tc>
        <w:tc>
          <w:tcPr>
            <w:tcW w:w="726" w:type="dxa"/>
          </w:tcPr>
          <w:p>
            <w:pPr>
              <w:pStyle w:val="TableParagraph"/>
              <w:spacing w:before="106"/>
              <w:rPr>
                <w:sz w:val="18"/>
              </w:rPr>
            </w:pPr>
            <w:r>
              <w:rPr>
                <w:w w:val="125"/>
                <w:sz w:val="18"/>
              </w:rPr>
              <w:t>10</w:t>
            </w:r>
          </w:p>
        </w:tc>
        <w:tc>
          <w:tcPr>
            <w:tcW w:w="741" w:type="dxa"/>
          </w:tcPr>
          <w:p>
            <w:pPr>
              <w:pStyle w:val="TableParagraph"/>
              <w:spacing w:before="106"/>
              <w:rPr>
                <w:sz w:val="18"/>
              </w:rPr>
            </w:pPr>
            <w:r>
              <w:rPr>
                <w:w w:val="126"/>
                <w:sz w:val="18"/>
              </w:rPr>
              <w:t>8</w:t>
            </w:r>
          </w:p>
        </w:tc>
        <w:tc>
          <w:tcPr>
            <w:tcW w:w="726" w:type="dxa"/>
          </w:tcPr>
          <w:p>
            <w:pPr>
              <w:pStyle w:val="TableParagraph"/>
              <w:spacing w:before="106"/>
              <w:rPr>
                <w:sz w:val="18"/>
              </w:rPr>
            </w:pPr>
            <w:r>
              <w:rPr>
                <w:w w:val="126"/>
                <w:sz w:val="18"/>
              </w:rPr>
              <w:t>6</w:t>
            </w:r>
          </w:p>
        </w:tc>
        <w:tc>
          <w:tcPr>
            <w:tcW w:w="726" w:type="dxa"/>
          </w:tcPr>
          <w:p>
            <w:pPr>
              <w:pStyle w:val="TableParagraph"/>
              <w:ind w:left="0"/>
              <w:rPr>
                <w:rFonts w:ascii="Times New Roman"/>
                <w:sz w:val="22"/>
              </w:rPr>
            </w:pPr>
          </w:p>
        </w:tc>
        <w:tc>
          <w:tcPr>
            <w:tcW w:w="727" w:type="dxa"/>
          </w:tcPr>
          <w:p>
            <w:pPr>
              <w:pStyle w:val="TableParagraph"/>
              <w:spacing w:before="106"/>
              <w:rPr>
                <w:sz w:val="18"/>
              </w:rPr>
            </w:pPr>
            <w:r>
              <w:rPr>
                <w:w w:val="126"/>
                <w:sz w:val="18"/>
              </w:rPr>
              <w:t>2</w:t>
            </w:r>
          </w:p>
        </w:tc>
        <w:tc>
          <w:tcPr>
            <w:tcW w:w="727" w:type="dxa"/>
          </w:tcPr>
          <w:p>
            <w:pPr>
              <w:pStyle w:val="TableParagraph"/>
              <w:ind w:left="0"/>
              <w:rPr>
                <w:rFonts w:ascii="Times New Roman"/>
                <w:sz w:val="22"/>
              </w:rPr>
            </w:pPr>
          </w:p>
        </w:tc>
        <w:tc>
          <w:tcPr>
            <w:tcW w:w="1149" w:type="dxa"/>
          </w:tcPr>
          <w:p>
            <w:pPr>
              <w:pStyle w:val="TableParagraph"/>
              <w:spacing w:before="106"/>
              <w:rPr>
                <w:sz w:val="18"/>
              </w:rPr>
            </w:pPr>
            <w:r>
              <w:rPr>
                <w:w w:val="126"/>
                <w:sz w:val="18"/>
              </w:rPr>
              <w:t>4</w:t>
            </w:r>
          </w:p>
        </w:tc>
      </w:tr>
      <w:tr>
        <w:trPr>
          <w:trHeight w:val="353" w:hRule="atLeast"/>
        </w:trPr>
        <w:tc>
          <w:tcPr>
            <w:tcW w:w="3141" w:type="dxa"/>
          </w:tcPr>
          <w:p>
            <w:pPr>
              <w:pStyle w:val="TableParagraph"/>
              <w:spacing w:before="106"/>
              <w:rPr>
                <w:sz w:val="18"/>
              </w:rPr>
            </w:pPr>
            <w:r>
              <w:rPr>
                <w:w w:val="130"/>
                <w:sz w:val="18"/>
              </w:rPr>
              <w:t>Northern College (RCL) CRCW</w:t>
            </w:r>
          </w:p>
        </w:tc>
        <w:tc>
          <w:tcPr>
            <w:tcW w:w="726" w:type="dxa"/>
          </w:tcPr>
          <w:p>
            <w:pPr>
              <w:pStyle w:val="TableParagraph"/>
              <w:spacing w:before="106"/>
              <w:rPr>
                <w:sz w:val="18"/>
              </w:rPr>
            </w:pPr>
            <w:r>
              <w:rPr>
                <w:w w:val="126"/>
                <w:sz w:val="18"/>
              </w:rPr>
              <w:t>1</w:t>
            </w:r>
          </w:p>
        </w:tc>
        <w:tc>
          <w:tcPr>
            <w:tcW w:w="741" w:type="dxa"/>
          </w:tcPr>
          <w:p>
            <w:pPr>
              <w:pStyle w:val="TableParagraph"/>
              <w:spacing w:before="106"/>
              <w:rPr>
                <w:sz w:val="18"/>
              </w:rPr>
            </w:pPr>
            <w:r>
              <w:rPr>
                <w:w w:val="126"/>
                <w:sz w:val="18"/>
              </w:rPr>
              <w:t>2</w:t>
            </w:r>
          </w:p>
        </w:tc>
        <w:tc>
          <w:tcPr>
            <w:tcW w:w="726" w:type="dxa"/>
          </w:tcPr>
          <w:p>
            <w:pPr>
              <w:pStyle w:val="TableParagraph"/>
              <w:spacing w:before="106"/>
              <w:rPr>
                <w:sz w:val="18"/>
              </w:rPr>
            </w:pPr>
            <w:r>
              <w:rPr>
                <w:w w:val="126"/>
                <w:sz w:val="18"/>
              </w:rPr>
              <w:t>3</w:t>
            </w:r>
          </w:p>
        </w:tc>
        <w:tc>
          <w:tcPr>
            <w:tcW w:w="726" w:type="dxa"/>
          </w:tcPr>
          <w:p>
            <w:pPr>
              <w:pStyle w:val="TableParagraph"/>
              <w:ind w:left="0"/>
              <w:rPr>
                <w:rFonts w:ascii="Times New Roman"/>
                <w:sz w:val="22"/>
              </w:rPr>
            </w:pPr>
          </w:p>
        </w:tc>
        <w:tc>
          <w:tcPr>
            <w:tcW w:w="727" w:type="dxa"/>
          </w:tcPr>
          <w:p>
            <w:pPr>
              <w:pStyle w:val="TableParagraph"/>
              <w:spacing w:before="106"/>
              <w:rPr>
                <w:sz w:val="18"/>
              </w:rPr>
            </w:pPr>
            <w:r>
              <w:rPr>
                <w:w w:val="126"/>
                <w:sz w:val="18"/>
              </w:rPr>
              <w:t>1</w:t>
            </w:r>
          </w:p>
        </w:tc>
        <w:tc>
          <w:tcPr>
            <w:tcW w:w="727" w:type="dxa"/>
          </w:tcPr>
          <w:p>
            <w:pPr>
              <w:pStyle w:val="TableParagraph"/>
              <w:spacing w:before="106"/>
              <w:rPr>
                <w:sz w:val="18"/>
              </w:rPr>
            </w:pPr>
            <w:r>
              <w:rPr>
                <w:w w:val="126"/>
                <w:sz w:val="18"/>
              </w:rPr>
              <w:t>1</w:t>
            </w:r>
          </w:p>
        </w:tc>
        <w:tc>
          <w:tcPr>
            <w:tcW w:w="1149" w:type="dxa"/>
          </w:tcPr>
          <w:p>
            <w:pPr>
              <w:pStyle w:val="TableParagraph"/>
              <w:spacing w:before="106"/>
              <w:rPr>
                <w:sz w:val="18"/>
              </w:rPr>
            </w:pPr>
            <w:r>
              <w:rPr>
                <w:w w:val="126"/>
                <w:sz w:val="18"/>
              </w:rPr>
              <w:t>1</w:t>
            </w:r>
          </w:p>
        </w:tc>
      </w:tr>
      <w:tr>
        <w:trPr>
          <w:trHeight w:val="353" w:hRule="atLeast"/>
        </w:trPr>
        <w:tc>
          <w:tcPr>
            <w:tcW w:w="3141" w:type="dxa"/>
          </w:tcPr>
          <w:p>
            <w:pPr>
              <w:pStyle w:val="TableParagraph"/>
              <w:spacing w:before="106"/>
              <w:rPr>
                <w:sz w:val="18"/>
              </w:rPr>
            </w:pPr>
            <w:r>
              <w:rPr>
                <w:w w:val="130"/>
                <w:sz w:val="18"/>
              </w:rPr>
              <w:t>SURCC (RCL)</w:t>
            </w:r>
          </w:p>
        </w:tc>
        <w:tc>
          <w:tcPr>
            <w:tcW w:w="726" w:type="dxa"/>
          </w:tcPr>
          <w:p>
            <w:pPr>
              <w:pStyle w:val="TableParagraph"/>
              <w:spacing w:before="106"/>
              <w:rPr>
                <w:sz w:val="18"/>
              </w:rPr>
            </w:pPr>
            <w:r>
              <w:rPr>
                <w:w w:val="126"/>
                <w:sz w:val="18"/>
              </w:rPr>
              <w:t>4</w:t>
            </w:r>
          </w:p>
        </w:tc>
        <w:tc>
          <w:tcPr>
            <w:tcW w:w="741" w:type="dxa"/>
          </w:tcPr>
          <w:p>
            <w:pPr>
              <w:pStyle w:val="TableParagraph"/>
              <w:spacing w:before="106"/>
              <w:rPr>
                <w:sz w:val="18"/>
              </w:rPr>
            </w:pPr>
            <w:r>
              <w:rPr>
                <w:w w:val="126"/>
                <w:sz w:val="18"/>
              </w:rPr>
              <w:t>2</w:t>
            </w:r>
          </w:p>
        </w:tc>
        <w:tc>
          <w:tcPr>
            <w:tcW w:w="726" w:type="dxa"/>
          </w:tcPr>
          <w:p>
            <w:pPr>
              <w:pStyle w:val="TableParagraph"/>
              <w:spacing w:before="106"/>
              <w:rPr>
                <w:sz w:val="18"/>
              </w:rPr>
            </w:pPr>
            <w:r>
              <w:rPr>
                <w:w w:val="126"/>
                <w:sz w:val="18"/>
              </w:rPr>
              <w:t>3</w:t>
            </w:r>
          </w:p>
        </w:tc>
        <w:tc>
          <w:tcPr>
            <w:tcW w:w="726" w:type="dxa"/>
          </w:tcPr>
          <w:p>
            <w:pPr>
              <w:pStyle w:val="TableParagraph"/>
              <w:spacing w:before="106"/>
              <w:rPr>
                <w:sz w:val="18"/>
              </w:rPr>
            </w:pPr>
            <w:r>
              <w:rPr>
                <w:w w:val="126"/>
                <w:sz w:val="18"/>
              </w:rPr>
              <w:t>1</w:t>
            </w:r>
          </w:p>
        </w:tc>
        <w:tc>
          <w:tcPr>
            <w:tcW w:w="727" w:type="dxa"/>
          </w:tcPr>
          <w:p>
            <w:pPr>
              <w:pStyle w:val="TableParagraph"/>
              <w:spacing w:before="106"/>
              <w:rPr>
                <w:sz w:val="18"/>
              </w:rPr>
            </w:pPr>
            <w:r>
              <w:rPr>
                <w:w w:val="126"/>
                <w:sz w:val="18"/>
              </w:rPr>
              <w:t>1</w:t>
            </w:r>
          </w:p>
        </w:tc>
        <w:tc>
          <w:tcPr>
            <w:tcW w:w="727" w:type="dxa"/>
          </w:tcPr>
          <w:p>
            <w:pPr>
              <w:pStyle w:val="TableParagraph"/>
              <w:spacing w:before="106"/>
              <w:rPr>
                <w:sz w:val="18"/>
              </w:rPr>
            </w:pPr>
            <w:r>
              <w:rPr>
                <w:w w:val="126"/>
                <w:sz w:val="18"/>
              </w:rPr>
              <w:t>1</w:t>
            </w:r>
          </w:p>
        </w:tc>
        <w:tc>
          <w:tcPr>
            <w:tcW w:w="1149" w:type="dxa"/>
          </w:tcPr>
          <w:p>
            <w:pPr>
              <w:pStyle w:val="TableParagraph"/>
              <w:ind w:left="0"/>
              <w:rPr>
                <w:rFonts w:ascii="Times New Roman"/>
                <w:sz w:val="22"/>
              </w:rPr>
            </w:pPr>
          </w:p>
        </w:tc>
      </w:tr>
      <w:tr>
        <w:trPr>
          <w:trHeight w:val="352" w:hRule="atLeast"/>
        </w:trPr>
        <w:tc>
          <w:tcPr>
            <w:tcW w:w="3141" w:type="dxa"/>
          </w:tcPr>
          <w:p>
            <w:pPr>
              <w:pStyle w:val="TableParagraph"/>
              <w:spacing w:before="106"/>
              <w:rPr>
                <w:sz w:val="18"/>
              </w:rPr>
            </w:pPr>
            <w:r>
              <w:rPr>
                <w:w w:val="125"/>
                <w:sz w:val="18"/>
              </w:rPr>
              <w:t>Westminster College (RCL)</w:t>
            </w:r>
          </w:p>
        </w:tc>
        <w:tc>
          <w:tcPr>
            <w:tcW w:w="726" w:type="dxa"/>
          </w:tcPr>
          <w:p>
            <w:pPr>
              <w:pStyle w:val="TableParagraph"/>
              <w:spacing w:before="106"/>
              <w:rPr>
                <w:sz w:val="18"/>
              </w:rPr>
            </w:pPr>
            <w:r>
              <w:rPr>
                <w:w w:val="125"/>
                <w:sz w:val="18"/>
              </w:rPr>
              <w:t>21</w:t>
            </w:r>
          </w:p>
        </w:tc>
        <w:tc>
          <w:tcPr>
            <w:tcW w:w="741" w:type="dxa"/>
          </w:tcPr>
          <w:p>
            <w:pPr>
              <w:pStyle w:val="TableParagraph"/>
              <w:spacing w:before="106"/>
              <w:rPr>
                <w:sz w:val="18"/>
              </w:rPr>
            </w:pPr>
            <w:r>
              <w:rPr>
                <w:w w:val="125"/>
                <w:sz w:val="18"/>
              </w:rPr>
              <w:t>23</w:t>
            </w:r>
          </w:p>
        </w:tc>
        <w:tc>
          <w:tcPr>
            <w:tcW w:w="726" w:type="dxa"/>
          </w:tcPr>
          <w:p>
            <w:pPr>
              <w:pStyle w:val="TableParagraph"/>
              <w:spacing w:before="106"/>
              <w:rPr>
                <w:sz w:val="18"/>
              </w:rPr>
            </w:pPr>
            <w:r>
              <w:rPr>
                <w:w w:val="125"/>
                <w:sz w:val="18"/>
              </w:rPr>
              <w:t>23</w:t>
            </w:r>
          </w:p>
        </w:tc>
        <w:tc>
          <w:tcPr>
            <w:tcW w:w="726" w:type="dxa"/>
          </w:tcPr>
          <w:p>
            <w:pPr>
              <w:pStyle w:val="TableParagraph"/>
              <w:spacing w:before="106"/>
              <w:rPr>
                <w:sz w:val="18"/>
              </w:rPr>
            </w:pPr>
            <w:r>
              <w:rPr>
                <w:w w:val="126"/>
                <w:sz w:val="18"/>
              </w:rPr>
              <w:t>5</w:t>
            </w:r>
          </w:p>
        </w:tc>
        <w:tc>
          <w:tcPr>
            <w:tcW w:w="727" w:type="dxa"/>
          </w:tcPr>
          <w:p>
            <w:pPr>
              <w:pStyle w:val="TableParagraph"/>
              <w:spacing w:before="106"/>
              <w:rPr>
                <w:sz w:val="18"/>
              </w:rPr>
            </w:pPr>
            <w:r>
              <w:rPr>
                <w:w w:val="125"/>
                <w:sz w:val="18"/>
              </w:rPr>
              <w:t>13</w:t>
            </w:r>
          </w:p>
        </w:tc>
        <w:tc>
          <w:tcPr>
            <w:tcW w:w="727" w:type="dxa"/>
          </w:tcPr>
          <w:p>
            <w:pPr>
              <w:pStyle w:val="TableParagraph"/>
              <w:spacing w:before="106"/>
              <w:rPr>
                <w:sz w:val="18"/>
              </w:rPr>
            </w:pPr>
            <w:r>
              <w:rPr>
                <w:w w:val="126"/>
                <w:sz w:val="18"/>
              </w:rPr>
              <w:t>3</w:t>
            </w:r>
          </w:p>
        </w:tc>
        <w:tc>
          <w:tcPr>
            <w:tcW w:w="1149" w:type="dxa"/>
          </w:tcPr>
          <w:p>
            <w:pPr>
              <w:pStyle w:val="TableParagraph"/>
              <w:spacing w:before="106"/>
              <w:rPr>
                <w:sz w:val="18"/>
              </w:rPr>
            </w:pPr>
            <w:r>
              <w:rPr>
                <w:w w:val="126"/>
                <w:sz w:val="18"/>
              </w:rPr>
              <w:t>2</w:t>
            </w:r>
          </w:p>
        </w:tc>
      </w:tr>
      <w:tr>
        <w:trPr>
          <w:trHeight w:val="352" w:hRule="atLeast"/>
        </w:trPr>
        <w:tc>
          <w:tcPr>
            <w:tcW w:w="3141" w:type="dxa"/>
          </w:tcPr>
          <w:p>
            <w:pPr>
              <w:pStyle w:val="TableParagraph"/>
              <w:ind w:left="0"/>
              <w:rPr>
                <w:rFonts w:ascii="Times New Roman"/>
                <w:sz w:val="22"/>
              </w:rPr>
            </w:pPr>
          </w:p>
        </w:tc>
        <w:tc>
          <w:tcPr>
            <w:tcW w:w="726" w:type="dxa"/>
          </w:tcPr>
          <w:p>
            <w:pPr>
              <w:pStyle w:val="TableParagraph"/>
              <w:ind w:left="0"/>
              <w:rPr>
                <w:rFonts w:ascii="Times New Roman"/>
                <w:sz w:val="22"/>
              </w:rPr>
            </w:pPr>
          </w:p>
        </w:tc>
        <w:tc>
          <w:tcPr>
            <w:tcW w:w="741" w:type="dxa"/>
          </w:tcPr>
          <w:p>
            <w:pPr>
              <w:pStyle w:val="TableParagraph"/>
              <w:ind w:left="0"/>
              <w:rPr>
                <w:rFonts w:ascii="Times New Roman"/>
                <w:sz w:val="22"/>
              </w:rPr>
            </w:pPr>
          </w:p>
        </w:tc>
        <w:tc>
          <w:tcPr>
            <w:tcW w:w="726" w:type="dxa"/>
          </w:tcPr>
          <w:p>
            <w:pPr>
              <w:pStyle w:val="TableParagraph"/>
              <w:ind w:left="0"/>
              <w:rPr>
                <w:rFonts w:ascii="Times New Roman"/>
                <w:sz w:val="22"/>
              </w:rPr>
            </w:pPr>
          </w:p>
        </w:tc>
        <w:tc>
          <w:tcPr>
            <w:tcW w:w="726" w:type="dxa"/>
          </w:tcPr>
          <w:p>
            <w:pPr>
              <w:pStyle w:val="TableParagraph"/>
              <w:ind w:left="0"/>
              <w:rPr>
                <w:rFonts w:ascii="Times New Roman"/>
                <w:sz w:val="22"/>
              </w:rPr>
            </w:pPr>
          </w:p>
        </w:tc>
        <w:tc>
          <w:tcPr>
            <w:tcW w:w="727" w:type="dxa"/>
          </w:tcPr>
          <w:p>
            <w:pPr>
              <w:pStyle w:val="TableParagraph"/>
              <w:ind w:left="0"/>
              <w:rPr>
                <w:rFonts w:ascii="Times New Roman"/>
                <w:sz w:val="22"/>
              </w:rPr>
            </w:pPr>
          </w:p>
        </w:tc>
        <w:tc>
          <w:tcPr>
            <w:tcW w:w="727" w:type="dxa"/>
          </w:tcPr>
          <w:p>
            <w:pPr>
              <w:pStyle w:val="TableParagraph"/>
              <w:ind w:left="0"/>
              <w:rPr>
                <w:rFonts w:ascii="Times New Roman"/>
                <w:sz w:val="22"/>
              </w:rPr>
            </w:pPr>
          </w:p>
        </w:tc>
        <w:tc>
          <w:tcPr>
            <w:tcW w:w="1149" w:type="dxa"/>
          </w:tcPr>
          <w:p>
            <w:pPr>
              <w:pStyle w:val="TableParagraph"/>
              <w:ind w:left="0"/>
              <w:rPr>
                <w:rFonts w:ascii="Times New Roman"/>
                <w:sz w:val="22"/>
              </w:rPr>
            </w:pPr>
          </w:p>
        </w:tc>
      </w:tr>
      <w:tr>
        <w:trPr>
          <w:trHeight w:val="353" w:hRule="atLeast"/>
        </w:trPr>
        <w:tc>
          <w:tcPr>
            <w:tcW w:w="3141" w:type="dxa"/>
          </w:tcPr>
          <w:p>
            <w:pPr>
              <w:pStyle w:val="TableParagraph"/>
              <w:spacing w:before="106"/>
              <w:rPr>
                <w:sz w:val="18"/>
              </w:rPr>
            </w:pPr>
            <w:r>
              <w:rPr>
                <w:w w:val="120"/>
                <w:sz w:val="18"/>
              </w:rPr>
              <w:t>Part-time Courses</w:t>
            </w:r>
          </w:p>
        </w:tc>
        <w:tc>
          <w:tcPr>
            <w:tcW w:w="726" w:type="dxa"/>
          </w:tcPr>
          <w:p>
            <w:pPr>
              <w:pStyle w:val="TableParagraph"/>
              <w:ind w:left="0"/>
              <w:rPr>
                <w:rFonts w:ascii="Times New Roman"/>
                <w:sz w:val="22"/>
              </w:rPr>
            </w:pPr>
          </w:p>
        </w:tc>
        <w:tc>
          <w:tcPr>
            <w:tcW w:w="741" w:type="dxa"/>
          </w:tcPr>
          <w:p>
            <w:pPr>
              <w:pStyle w:val="TableParagraph"/>
              <w:ind w:left="0"/>
              <w:rPr>
                <w:rFonts w:ascii="Times New Roman"/>
                <w:sz w:val="22"/>
              </w:rPr>
            </w:pPr>
          </w:p>
        </w:tc>
        <w:tc>
          <w:tcPr>
            <w:tcW w:w="726" w:type="dxa"/>
          </w:tcPr>
          <w:p>
            <w:pPr>
              <w:pStyle w:val="TableParagraph"/>
              <w:ind w:left="0"/>
              <w:rPr>
                <w:rFonts w:ascii="Times New Roman"/>
                <w:sz w:val="22"/>
              </w:rPr>
            </w:pPr>
          </w:p>
        </w:tc>
        <w:tc>
          <w:tcPr>
            <w:tcW w:w="726" w:type="dxa"/>
          </w:tcPr>
          <w:p>
            <w:pPr>
              <w:pStyle w:val="TableParagraph"/>
              <w:ind w:left="0"/>
              <w:rPr>
                <w:rFonts w:ascii="Times New Roman"/>
                <w:sz w:val="22"/>
              </w:rPr>
            </w:pPr>
          </w:p>
        </w:tc>
        <w:tc>
          <w:tcPr>
            <w:tcW w:w="727" w:type="dxa"/>
          </w:tcPr>
          <w:p>
            <w:pPr>
              <w:pStyle w:val="TableParagraph"/>
              <w:ind w:left="0"/>
              <w:rPr>
                <w:rFonts w:ascii="Times New Roman"/>
                <w:sz w:val="22"/>
              </w:rPr>
            </w:pPr>
          </w:p>
        </w:tc>
        <w:tc>
          <w:tcPr>
            <w:tcW w:w="727" w:type="dxa"/>
          </w:tcPr>
          <w:p>
            <w:pPr>
              <w:pStyle w:val="TableParagraph"/>
              <w:ind w:left="0"/>
              <w:rPr>
                <w:rFonts w:ascii="Times New Roman"/>
                <w:sz w:val="22"/>
              </w:rPr>
            </w:pPr>
          </w:p>
        </w:tc>
        <w:tc>
          <w:tcPr>
            <w:tcW w:w="1149" w:type="dxa"/>
          </w:tcPr>
          <w:p>
            <w:pPr>
              <w:pStyle w:val="TableParagraph"/>
              <w:ind w:left="0"/>
              <w:rPr>
                <w:rFonts w:ascii="Times New Roman"/>
                <w:sz w:val="22"/>
              </w:rPr>
            </w:pPr>
          </w:p>
        </w:tc>
      </w:tr>
      <w:tr>
        <w:trPr>
          <w:trHeight w:val="352" w:hRule="atLeast"/>
        </w:trPr>
        <w:tc>
          <w:tcPr>
            <w:tcW w:w="3141" w:type="dxa"/>
          </w:tcPr>
          <w:p>
            <w:pPr>
              <w:pStyle w:val="TableParagraph"/>
              <w:spacing w:before="106"/>
              <w:rPr>
                <w:sz w:val="18"/>
              </w:rPr>
            </w:pPr>
            <w:r>
              <w:rPr>
                <w:w w:val="130"/>
                <w:sz w:val="18"/>
              </w:rPr>
              <w:t>Northern College (RCL)</w:t>
            </w:r>
          </w:p>
        </w:tc>
        <w:tc>
          <w:tcPr>
            <w:tcW w:w="726" w:type="dxa"/>
          </w:tcPr>
          <w:p>
            <w:pPr>
              <w:pStyle w:val="TableParagraph"/>
              <w:spacing w:before="106"/>
              <w:rPr>
                <w:sz w:val="18"/>
              </w:rPr>
            </w:pPr>
            <w:r>
              <w:rPr>
                <w:w w:val="126"/>
                <w:sz w:val="18"/>
              </w:rPr>
              <w:t>3</w:t>
            </w:r>
          </w:p>
        </w:tc>
        <w:tc>
          <w:tcPr>
            <w:tcW w:w="741" w:type="dxa"/>
          </w:tcPr>
          <w:p>
            <w:pPr>
              <w:pStyle w:val="TableParagraph"/>
              <w:spacing w:before="106"/>
              <w:rPr>
                <w:sz w:val="18"/>
              </w:rPr>
            </w:pPr>
            <w:r>
              <w:rPr>
                <w:w w:val="126"/>
                <w:sz w:val="18"/>
              </w:rPr>
              <w:t>4</w:t>
            </w:r>
          </w:p>
        </w:tc>
        <w:tc>
          <w:tcPr>
            <w:tcW w:w="726" w:type="dxa"/>
          </w:tcPr>
          <w:p>
            <w:pPr>
              <w:pStyle w:val="TableParagraph"/>
              <w:spacing w:before="106"/>
              <w:rPr>
                <w:sz w:val="18"/>
              </w:rPr>
            </w:pPr>
            <w:r>
              <w:rPr>
                <w:w w:val="126"/>
                <w:sz w:val="18"/>
              </w:rPr>
              <w:t>4</w:t>
            </w:r>
          </w:p>
        </w:tc>
        <w:tc>
          <w:tcPr>
            <w:tcW w:w="726" w:type="dxa"/>
          </w:tcPr>
          <w:p>
            <w:pPr>
              <w:pStyle w:val="TableParagraph"/>
              <w:spacing w:before="106"/>
              <w:rPr>
                <w:sz w:val="18"/>
              </w:rPr>
            </w:pPr>
            <w:r>
              <w:rPr>
                <w:w w:val="126"/>
                <w:sz w:val="18"/>
              </w:rPr>
              <w:t>2</w:t>
            </w:r>
          </w:p>
        </w:tc>
        <w:tc>
          <w:tcPr>
            <w:tcW w:w="727" w:type="dxa"/>
          </w:tcPr>
          <w:p>
            <w:pPr>
              <w:pStyle w:val="TableParagraph"/>
              <w:spacing w:before="106"/>
              <w:rPr>
                <w:sz w:val="18"/>
              </w:rPr>
            </w:pPr>
            <w:r>
              <w:rPr>
                <w:w w:val="126"/>
                <w:sz w:val="18"/>
              </w:rPr>
              <w:t>1</w:t>
            </w:r>
          </w:p>
        </w:tc>
        <w:tc>
          <w:tcPr>
            <w:tcW w:w="727" w:type="dxa"/>
          </w:tcPr>
          <w:p>
            <w:pPr>
              <w:pStyle w:val="TableParagraph"/>
              <w:spacing w:before="106"/>
              <w:rPr>
                <w:sz w:val="18"/>
              </w:rPr>
            </w:pPr>
            <w:r>
              <w:rPr>
                <w:w w:val="126"/>
                <w:sz w:val="18"/>
              </w:rPr>
              <w:t>1</w:t>
            </w:r>
          </w:p>
        </w:tc>
        <w:tc>
          <w:tcPr>
            <w:tcW w:w="1149" w:type="dxa"/>
          </w:tcPr>
          <w:p>
            <w:pPr>
              <w:pStyle w:val="TableParagraph"/>
              <w:ind w:left="0"/>
              <w:rPr>
                <w:rFonts w:ascii="Times New Roman"/>
                <w:sz w:val="22"/>
              </w:rPr>
            </w:pPr>
          </w:p>
        </w:tc>
      </w:tr>
      <w:tr>
        <w:trPr>
          <w:trHeight w:val="353" w:hRule="atLeast"/>
        </w:trPr>
        <w:tc>
          <w:tcPr>
            <w:tcW w:w="3141" w:type="dxa"/>
          </w:tcPr>
          <w:p>
            <w:pPr>
              <w:pStyle w:val="TableParagraph"/>
              <w:spacing w:before="106"/>
              <w:rPr>
                <w:sz w:val="18"/>
              </w:rPr>
            </w:pPr>
            <w:r>
              <w:rPr>
                <w:w w:val="130"/>
                <w:sz w:val="18"/>
              </w:rPr>
              <w:t>SURCC (RCL)</w:t>
            </w:r>
          </w:p>
        </w:tc>
        <w:tc>
          <w:tcPr>
            <w:tcW w:w="726" w:type="dxa"/>
          </w:tcPr>
          <w:p>
            <w:pPr>
              <w:pStyle w:val="TableParagraph"/>
              <w:ind w:left="0"/>
              <w:rPr>
                <w:rFonts w:ascii="Times New Roman"/>
                <w:sz w:val="22"/>
              </w:rPr>
            </w:pPr>
          </w:p>
        </w:tc>
        <w:tc>
          <w:tcPr>
            <w:tcW w:w="741" w:type="dxa"/>
          </w:tcPr>
          <w:p>
            <w:pPr>
              <w:pStyle w:val="TableParagraph"/>
              <w:ind w:left="0"/>
              <w:rPr>
                <w:rFonts w:ascii="Times New Roman"/>
                <w:sz w:val="22"/>
              </w:rPr>
            </w:pPr>
          </w:p>
        </w:tc>
        <w:tc>
          <w:tcPr>
            <w:tcW w:w="726" w:type="dxa"/>
          </w:tcPr>
          <w:p>
            <w:pPr>
              <w:pStyle w:val="TableParagraph"/>
              <w:spacing w:before="106"/>
              <w:rPr>
                <w:sz w:val="18"/>
              </w:rPr>
            </w:pPr>
            <w:r>
              <w:rPr>
                <w:w w:val="126"/>
                <w:sz w:val="18"/>
              </w:rPr>
              <w:t>1</w:t>
            </w:r>
          </w:p>
        </w:tc>
        <w:tc>
          <w:tcPr>
            <w:tcW w:w="726" w:type="dxa"/>
          </w:tcPr>
          <w:p>
            <w:pPr>
              <w:pStyle w:val="TableParagraph"/>
              <w:ind w:left="0"/>
              <w:rPr>
                <w:rFonts w:ascii="Times New Roman"/>
                <w:sz w:val="22"/>
              </w:rPr>
            </w:pPr>
          </w:p>
        </w:tc>
        <w:tc>
          <w:tcPr>
            <w:tcW w:w="727" w:type="dxa"/>
          </w:tcPr>
          <w:p>
            <w:pPr>
              <w:pStyle w:val="TableParagraph"/>
              <w:ind w:left="0"/>
              <w:rPr>
                <w:rFonts w:ascii="Times New Roman"/>
                <w:sz w:val="22"/>
              </w:rPr>
            </w:pPr>
          </w:p>
        </w:tc>
        <w:tc>
          <w:tcPr>
            <w:tcW w:w="727" w:type="dxa"/>
          </w:tcPr>
          <w:p>
            <w:pPr>
              <w:pStyle w:val="TableParagraph"/>
              <w:ind w:left="0"/>
              <w:rPr>
                <w:rFonts w:ascii="Times New Roman"/>
                <w:sz w:val="22"/>
              </w:rPr>
            </w:pPr>
          </w:p>
        </w:tc>
        <w:tc>
          <w:tcPr>
            <w:tcW w:w="1149" w:type="dxa"/>
          </w:tcPr>
          <w:p>
            <w:pPr>
              <w:pStyle w:val="TableParagraph"/>
              <w:spacing w:before="106"/>
              <w:rPr>
                <w:sz w:val="18"/>
              </w:rPr>
            </w:pPr>
            <w:r>
              <w:rPr>
                <w:w w:val="126"/>
                <w:sz w:val="18"/>
              </w:rPr>
              <w:t>1</w:t>
            </w:r>
          </w:p>
        </w:tc>
      </w:tr>
      <w:tr>
        <w:trPr>
          <w:trHeight w:val="352" w:hRule="atLeast"/>
        </w:trPr>
        <w:tc>
          <w:tcPr>
            <w:tcW w:w="3141" w:type="dxa"/>
          </w:tcPr>
          <w:p>
            <w:pPr>
              <w:pStyle w:val="TableParagraph"/>
              <w:ind w:left="0"/>
              <w:rPr>
                <w:rFonts w:ascii="Times New Roman"/>
                <w:sz w:val="22"/>
              </w:rPr>
            </w:pPr>
          </w:p>
        </w:tc>
        <w:tc>
          <w:tcPr>
            <w:tcW w:w="726" w:type="dxa"/>
          </w:tcPr>
          <w:p>
            <w:pPr>
              <w:pStyle w:val="TableParagraph"/>
              <w:ind w:left="0"/>
              <w:rPr>
                <w:rFonts w:ascii="Times New Roman"/>
                <w:sz w:val="22"/>
              </w:rPr>
            </w:pPr>
          </w:p>
        </w:tc>
        <w:tc>
          <w:tcPr>
            <w:tcW w:w="741" w:type="dxa"/>
          </w:tcPr>
          <w:p>
            <w:pPr>
              <w:pStyle w:val="TableParagraph"/>
              <w:ind w:left="0"/>
              <w:rPr>
                <w:rFonts w:ascii="Times New Roman"/>
                <w:sz w:val="22"/>
              </w:rPr>
            </w:pPr>
          </w:p>
        </w:tc>
        <w:tc>
          <w:tcPr>
            <w:tcW w:w="726" w:type="dxa"/>
          </w:tcPr>
          <w:p>
            <w:pPr>
              <w:pStyle w:val="TableParagraph"/>
              <w:ind w:left="0"/>
              <w:rPr>
                <w:rFonts w:ascii="Times New Roman"/>
                <w:sz w:val="22"/>
              </w:rPr>
            </w:pPr>
          </w:p>
        </w:tc>
        <w:tc>
          <w:tcPr>
            <w:tcW w:w="726" w:type="dxa"/>
          </w:tcPr>
          <w:p>
            <w:pPr>
              <w:pStyle w:val="TableParagraph"/>
              <w:ind w:left="0"/>
              <w:rPr>
                <w:rFonts w:ascii="Times New Roman"/>
                <w:sz w:val="22"/>
              </w:rPr>
            </w:pPr>
          </w:p>
        </w:tc>
        <w:tc>
          <w:tcPr>
            <w:tcW w:w="727" w:type="dxa"/>
          </w:tcPr>
          <w:p>
            <w:pPr>
              <w:pStyle w:val="TableParagraph"/>
              <w:ind w:left="0"/>
              <w:rPr>
                <w:rFonts w:ascii="Times New Roman"/>
                <w:sz w:val="22"/>
              </w:rPr>
            </w:pPr>
          </w:p>
        </w:tc>
        <w:tc>
          <w:tcPr>
            <w:tcW w:w="727" w:type="dxa"/>
          </w:tcPr>
          <w:p>
            <w:pPr>
              <w:pStyle w:val="TableParagraph"/>
              <w:ind w:left="0"/>
              <w:rPr>
                <w:rFonts w:ascii="Times New Roman"/>
                <w:sz w:val="22"/>
              </w:rPr>
            </w:pPr>
          </w:p>
        </w:tc>
        <w:tc>
          <w:tcPr>
            <w:tcW w:w="1149" w:type="dxa"/>
          </w:tcPr>
          <w:p>
            <w:pPr>
              <w:pStyle w:val="TableParagraph"/>
              <w:ind w:left="0"/>
              <w:rPr>
                <w:rFonts w:ascii="Times New Roman"/>
                <w:sz w:val="22"/>
              </w:rPr>
            </w:pPr>
          </w:p>
        </w:tc>
      </w:tr>
      <w:tr>
        <w:trPr>
          <w:trHeight w:val="352" w:hRule="atLeast"/>
        </w:trPr>
        <w:tc>
          <w:tcPr>
            <w:tcW w:w="3141" w:type="dxa"/>
          </w:tcPr>
          <w:p>
            <w:pPr>
              <w:pStyle w:val="TableParagraph"/>
              <w:spacing w:before="106"/>
              <w:rPr>
                <w:sz w:val="18"/>
              </w:rPr>
            </w:pPr>
            <w:r>
              <w:rPr>
                <w:w w:val="120"/>
                <w:sz w:val="18"/>
              </w:rPr>
              <w:t>Subtotal</w:t>
            </w:r>
          </w:p>
        </w:tc>
        <w:tc>
          <w:tcPr>
            <w:tcW w:w="726" w:type="dxa"/>
          </w:tcPr>
          <w:p>
            <w:pPr>
              <w:pStyle w:val="TableParagraph"/>
              <w:spacing w:before="106"/>
              <w:rPr>
                <w:sz w:val="18"/>
              </w:rPr>
            </w:pPr>
            <w:r>
              <w:rPr>
                <w:w w:val="125"/>
                <w:sz w:val="18"/>
              </w:rPr>
              <w:t>39</w:t>
            </w:r>
          </w:p>
        </w:tc>
        <w:tc>
          <w:tcPr>
            <w:tcW w:w="741" w:type="dxa"/>
          </w:tcPr>
          <w:p>
            <w:pPr>
              <w:pStyle w:val="TableParagraph"/>
              <w:spacing w:before="106"/>
              <w:rPr>
                <w:sz w:val="18"/>
              </w:rPr>
            </w:pPr>
            <w:r>
              <w:rPr>
                <w:w w:val="125"/>
                <w:sz w:val="18"/>
              </w:rPr>
              <w:t>39</w:t>
            </w:r>
          </w:p>
        </w:tc>
        <w:tc>
          <w:tcPr>
            <w:tcW w:w="726" w:type="dxa"/>
          </w:tcPr>
          <w:p>
            <w:pPr>
              <w:pStyle w:val="TableParagraph"/>
              <w:spacing w:before="106"/>
              <w:rPr>
                <w:sz w:val="18"/>
              </w:rPr>
            </w:pPr>
            <w:r>
              <w:rPr>
                <w:w w:val="125"/>
                <w:sz w:val="18"/>
              </w:rPr>
              <w:t>40</w:t>
            </w:r>
          </w:p>
        </w:tc>
        <w:tc>
          <w:tcPr>
            <w:tcW w:w="726" w:type="dxa"/>
          </w:tcPr>
          <w:p>
            <w:pPr>
              <w:pStyle w:val="TableParagraph"/>
              <w:spacing w:before="106"/>
              <w:rPr>
                <w:sz w:val="18"/>
              </w:rPr>
            </w:pPr>
            <w:r>
              <w:rPr>
                <w:w w:val="126"/>
                <w:sz w:val="18"/>
              </w:rPr>
              <w:t>8</w:t>
            </w:r>
          </w:p>
        </w:tc>
        <w:tc>
          <w:tcPr>
            <w:tcW w:w="727" w:type="dxa"/>
          </w:tcPr>
          <w:p>
            <w:pPr>
              <w:pStyle w:val="TableParagraph"/>
              <w:spacing w:before="106"/>
              <w:rPr>
                <w:sz w:val="18"/>
              </w:rPr>
            </w:pPr>
            <w:r>
              <w:rPr>
                <w:w w:val="125"/>
                <w:sz w:val="18"/>
              </w:rPr>
              <w:t>18</w:t>
            </w:r>
          </w:p>
        </w:tc>
        <w:tc>
          <w:tcPr>
            <w:tcW w:w="727" w:type="dxa"/>
          </w:tcPr>
          <w:p>
            <w:pPr>
              <w:pStyle w:val="TableParagraph"/>
              <w:spacing w:before="106"/>
              <w:rPr>
                <w:sz w:val="18"/>
              </w:rPr>
            </w:pPr>
            <w:r>
              <w:rPr>
                <w:w w:val="126"/>
                <w:sz w:val="18"/>
              </w:rPr>
              <w:t>6</w:t>
            </w:r>
          </w:p>
        </w:tc>
        <w:tc>
          <w:tcPr>
            <w:tcW w:w="1149" w:type="dxa"/>
          </w:tcPr>
          <w:p>
            <w:pPr>
              <w:pStyle w:val="TableParagraph"/>
              <w:spacing w:before="106"/>
              <w:rPr>
                <w:sz w:val="18"/>
              </w:rPr>
            </w:pPr>
            <w:r>
              <w:rPr>
                <w:w w:val="126"/>
                <w:sz w:val="18"/>
              </w:rPr>
              <w:t>8</w:t>
            </w:r>
          </w:p>
        </w:tc>
      </w:tr>
      <w:tr>
        <w:trPr>
          <w:trHeight w:val="271" w:hRule="atLeast"/>
        </w:trPr>
        <w:tc>
          <w:tcPr>
            <w:tcW w:w="3141" w:type="dxa"/>
          </w:tcPr>
          <w:p>
            <w:pPr>
              <w:pStyle w:val="TableParagraph"/>
              <w:ind w:left="0"/>
              <w:rPr>
                <w:rFonts w:ascii="Times New Roman"/>
                <w:sz w:val="20"/>
              </w:rPr>
            </w:pPr>
          </w:p>
        </w:tc>
        <w:tc>
          <w:tcPr>
            <w:tcW w:w="726" w:type="dxa"/>
          </w:tcPr>
          <w:p>
            <w:pPr>
              <w:pStyle w:val="TableParagraph"/>
              <w:ind w:left="0"/>
              <w:rPr>
                <w:rFonts w:ascii="Times New Roman"/>
                <w:sz w:val="20"/>
              </w:rPr>
            </w:pPr>
          </w:p>
        </w:tc>
        <w:tc>
          <w:tcPr>
            <w:tcW w:w="741" w:type="dxa"/>
          </w:tcPr>
          <w:p>
            <w:pPr>
              <w:pStyle w:val="TableParagraph"/>
              <w:ind w:left="0"/>
              <w:rPr>
                <w:rFonts w:ascii="Times New Roman"/>
                <w:sz w:val="20"/>
              </w:rPr>
            </w:pPr>
          </w:p>
        </w:tc>
        <w:tc>
          <w:tcPr>
            <w:tcW w:w="726" w:type="dxa"/>
          </w:tcPr>
          <w:p>
            <w:pPr>
              <w:pStyle w:val="TableParagraph"/>
              <w:ind w:left="0"/>
              <w:rPr>
                <w:rFonts w:ascii="Times New Roman"/>
                <w:sz w:val="20"/>
              </w:rPr>
            </w:pPr>
          </w:p>
        </w:tc>
        <w:tc>
          <w:tcPr>
            <w:tcW w:w="726" w:type="dxa"/>
          </w:tcPr>
          <w:p>
            <w:pPr>
              <w:pStyle w:val="TableParagraph"/>
              <w:ind w:left="0"/>
              <w:rPr>
                <w:rFonts w:ascii="Times New Roman"/>
                <w:sz w:val="20"/>
              </w:rPr>
            </w:pPr>
          </w:p>
        </w:tc>
        <w:tc>
          <w:tcPr>
            <w:tcW w:w="727" w:type="dxa"/>
          </w:tcPr>
          <w:p>
            <w:pPr>
              <w:pStyle w:val="TableParagraph"/>
              <w:ind w:left="0"/>
              <w:rPr>
                <w:rFonts w:ascii="Times New Roman"/>
                <w:sz w:val="20"/>
              </w:rPr>
            </w:pPr>
          </w:p>
        </w:tc>
        <w:tc>
          <w:tcPr>
            <w:tcW w:w="727" w:type="dxa"/>
          </w:tcPr>
          <w:p>
            <w:pPr>
              <w:pStyle w:val="TableParagraph"/>
              <w:ind w:left="0"/>
              <w:rPr>
                <w:rFonts w:ascii="Times New Roman"/>
                <w:sz w:val="20"/>
              </w:rPr>
            </w:pPr>
          </w:p>
        </w:tc>
        <w:tc>
          <w:tcPr>
            <w:tcW w:w="1149" w:type="dxa"/>
          </w:tcPr>
          <w:p>
            <w:pPr>
              <w:pStyle w:val="TableParagraph"/>
              <w:ind w:left="0"/>
              <w:rPr>
                <w:rFonts w:ascii="Times New Roman"/>
                <w:sz w:val="20"/>
              </w:rPr>
            </w:pPr>
          </w:p>
        </w:tc>
      </w:tr>
      <w:tr>
        <w:trPr>
          <w:trHeight w:val="271" w:hRule="atLeast"/>
        </w:trPr>
        <w:tc>
          <w:tcPr>
            <w:tcW w:w="3141" w:type="dxa"/>
          </w:tcPr>
          <w:p>
            <w:pPr>
              <w:pStyle w:val="TableParagraph"/>
              <w:ind w:left="0"/>
              <w:rPr>
                <w:rFonts w:ascii="Times New Roman"/>
                <w:sz w:val="20"/>
              </w:rPr>
            </w:pPr>
          </w:p>
        </w:tc>
        <w:tc>
          <w:tcPr>
            <w:tcW w:w="726" w:type="dxa"/>
          </w:tcPr>
          <w:p>
            <w:pPr>
              <w:pStyle w:val="TableParagraph"/>
              <w:ind w:left="0"/>
              <w:rPr>
                <w:rFonts w:ascii="Times New Roman"/>
                <w:sz w:val="20"/>
              </w:rPr>
            </w:pPr>
          </w:p>
        </w:tc>
        <w:tc>
          <w:tcPr>
            <w:tcW w:w="741" w:type="dxa"/>
          </w:tcPr>
          <w:p>
            <w:pPr>
              <w:pStyle w:val="TableParagraph"/>
              <w:ind w:left="0"/>
              <w:rPr>
                <w:rFonts w:ascii="Times New Roman"/>
                <w:sz w:val="20"/>
              </w:rPr>
            </w:pPr>
          </w:p>
        </w:tc>
        <w:tc>
          <w:tcPr>
            <w:tcW w:w="726" w:type="dxa"/>
          </w:tcPr>
          <w:p>
            <w:pPr>
              <w:pStyle w:val="TableParagraph"/>
              <w:ind w:left="0"/>
              <w:rPr>
                <w:rFonts w:ascii="Times New Roman"/>
                <w:sz w:val="20"/>
              </w:rPr>
            </w:pPr>
          </w:p>
        </w:tc>
        <w:tc>
          <w:tcPr>
            <w:tcW w:w="726" w:type="dxa"/>
          </w:tcPr>
          <w:p>
            <w:pPr>
              <w:pStyle w:val="TableParagraph"/>
              <w:ind w:left="0"/>
              <w:rPr>
                <w:rFonts w:ascii="Times New Roman"/>
                <w:sz w:val="20"/>
              </w:rPr>
            </w:pPr>
          </w:p>
        </w:tc>
        <w:tc>
          <w:tcPr>
            <w:tcW w:w="727" w:type="dxa"/>
          </w:tcPr>
          <w:p>
            <w:pPr>
              <w:pStyle w:val="TableParagraph"/>
              <w:ind w:left="0"/>
              <w:rPr>
                <w:rFonts w:ascii="Times New Roman"/>
                <w:sz w:val="20"/>
              </w:rPr>
            </w:pPr>
          </w:p>
        </w:tc>
        <w:tc>
          <w:tcPr>
            <w:tcW w:w="727" w:type="dxa"/>
          </w:tcPr>
          <w:p>
            <w:pPr>
              <w:pStyle w:val="TableParagraph"/>
              <w:ind w:left="0"/>
              <w:rPr>
                <w:rFonts w:ascii="Times New Roman"/>
                <w:sz w:val="20"/>
              </w:rPr>
            </w:pPr>
          </w:p>
        </w:tc>
        <w:tc>
          <w:tcPr>
            <w:tcW w:w="1149" w:type="dxa"/>
          </w:tcPr>
          <w:p>
            <w:pPr>
              <w:pStyle w:val="TableParagraph"/>
              <w:ind w:left="0"/>
              <w:rPr>
                <w:rFonts w:ascii="Times New Roman"/>
                <w:sz w:val="20"/>
              </w:rPr>
            </w:pPr>
          </w:p>
        </w:tc>
      </w:tr>
      <w:tr>
        <w:trPr>
          <w:trHeight w:val="353" w:hRule="atLeast"/>
        </w:trPr>
        <w:tc>
          <w:tcPr>
            <w:tcW w:w="3141" w:type="dxa"/>
          </w:tcPr>
          <w:p>
            <w:pPr>
              <w:pStyle w:val="TableParagraph"/>
              <w:spacing w:before="106"/>
              <w:rPr>
                <w:sz w:val="18"/>
              </w:rPr>
            </w:pPr>
            <w:r>
              <w:rPr>
                <w:w w:val="120"/>
                <w:sz w:val="18"/>
              </w:rPr>
              <w:t>NON-STIPENDIARY</w:t>
            </w:r>
          </w:p>
        </w:tc>
        <w:tc>
          <w:tcPr>
            <w:tcW w:w="726" w:type="dxa"/>
          </w:tcPr>
          <w:p>
            <w:pPr>
              <w:pStyle w:val="TableParagraph"/>
              <w:ind w:left="0"/>
              <w:rPr>
                <w:rFonts w:ascii="Times New Roman"/>
                <w:sz w:val="22"/>
              </w:rPr>
            </w:pPr>
          </w:p>
        </w:tc>
        <w:tc>
          <w:tcPr>
            <w:tcW w:w="741" w:type="dxa"/>
          </w:tcPr>
          <w:p>
            <w:pPr>
              <w:pStyle w:val="TableParagraph"/>
              <w:ind w:left="0"/>
              <w:rPr>
                <w:rFonts w:ascii="Times New Roman"/>
                <w:sz w:val="22"/>
              </w:rPr>
            </w:pPr>
          </w:p>
        </w:tc>
        <w:tc>
          <w:tcPr>
            <w:tcW w:w="726" w:type="dxa"/>
          </w:tcPr>
          <w:p>
            <w:pPr>
              <w:pStyle w:val="TableParagraph"/>
              <w:ind w:left="0"/>
              <w:rPr>
                <w:rFonts w:ascii="Times New Roman"/>
                <w:sz w:val="22"/>
              </w:rPr>
            </w:pPr>
          </w:p>
        </w:tc>
        <w:tc>
          <w:tcPr>
            <w:tcW w:w="726" w:type="dxa"/>
          </w:tcPr>
          <w:p>
            <w:pPr>
              <w:pStyle w:val="TableParagraph"/>
              <w:ind w:left="0"/>
              <w:rPr>
                <w:rFonts w:ascii="Times New Roman"/>
                <w:sz w:val="22"/>
              </w:rPr>
            </w:pPr>
          </w:p>
        </w:tc>
        <w:tc>
          <w:tcPr>
            <w:tcW w:w="727" w:type="dxa"/>
          </w:tcPr>
          <w:p>
            <w:pPr>
              <w:pStyle w:val="TableParagraph"/>
              <w:ind w:left="0"/>
              <w:rPr>
                <w:rFonts w:ascii="Times New Roman"/>
                <w:sz w:val="22"/>
              </w:rPr>
            </w:pPr>
          </w:p>
        </w:tc>
        <w:tc>
          <w:tcPr>
            <w:tcW w:w="727" w:type="dxa"/>
          </w:tcPr>
          <w:p>
            <w:pPr>
              <w:pStyle w:val="TableParagraph"/>
              <w:ind w:left="0"/>
              <w:rPr>
                <w:rFonts w:ascii="Times New Roman"/>
                <w:sz w:val="22"/>
              </w:rPr>
            </w:pPr>
          </w:p>
        </w:tc>
        <w:tc>
          <w:tcPr>
            <w:tcW w:w="1149" w:type="dxa"/>
          </w:tcPr>
          <w:p>
            <w:pPr>
              <w:pStyle w:val="TableParagraph"/>
              <w:ind w:left="0"/>
              <w:rPr>
                <w:rFonts w:ascii="Times New Roman"/>
                <w:sz w:val="22"/>
              </w:rPr>
            </w:pPr>
          </w:p>
        </w:tc>
      </w:tr>
      <w:tr>
        <w:trPr>
          <w:trHeight w:val="271" w:hRule="atLeast"/>
        </w:trPr>
        <w:tc>
          <w:tcPr>
            <w:tcW w:w="3141" w:type="dxa"/>
          </w:tcPr>
          <w:p>
            <w:pPr>
              <w:pStyle w:val="TableParagraph"/>
              <w:ind w:left="0"/>
              <w:rPr>
                <w:rFonts w:ascii="Times New Roman"/>
                <w:sz w:val="20"/>
              </w:rPr>
            </w:pPr>
          </w:p>
        </w:tc>
        <w:tc>
          <w:tcPr>
            <w:tcW w:w="726" w:type="dxa"/>
          </w:tcPr>
          <w:p>
            <w:pPr>
              <w:pStyle w:val="TableParagraph"/>
              <w:ind w:left="0"/>
              <w:rPr>
                <w:rFonts w:ascii="Times New Roman"/>
                <w:sz w:val="20"/>
              </w:rPr>
            </w:pPr>
          </w:p>
        </w:tc>
        <w:tc>
          <w:tcPr>
            <w:tcW w:w="741" w:type="dxa"/>
          </w:tcPr>
          <w:p>
            <w:pPr>
              <w:pStyle w:val="TableParagraph"/>
              <w:ind w:left="0"/>
              <w:rPr>
                <w:rFonts w:ascii="Times New Roman"/>
                <w:sz w:val="20"/>
              </w:rPr>
            </w:pPr>
          </w:p>
        </w:tc>
        <w:tc>
          <w:tcPr>
            <w:tcW w:w="726" w:type="dxa"/>
          </w:tcPr>
          <w:p>
            <w:pPr>
              <w:pStyle w:val="TableParagraph"/>
              <w:ind w:left="0"/>
              <w:rPr>
                <w:rFonts w:ascii="Times New Roman"/>
                <w:sz w:val="20"/>
              </w:rPr>
            </w:pPr>
          </w:p>
        </w:tc>
        <w:tc>
          <w:tcPr>
            <w:tcW w:w="726" w:type="dxa"/>
          </w:tcPr>
          <w:p>
            <w:pPr>
              <w:pStyle w:val="TableParagraph"/>
              <w:ind w:left="0"/>
              <w:rPr>
                <w:rFonts w:ascii="Times New Roman"/>
                <w:sz w:val="20"/>
              </w:rPr>
            </w:pPr>
          </w:p>
        </w:tc>
        <w:tc>
          <w:tcPr>
            <w:tcW w:w="727" w:type="dxa"/>
          </w:tcPr>
          <w:p>
            <w:pPr>
              <w:pStyle w:val="TableParagraph"/>
              <w:ind w:left="0"/>
              <w:rPr>
                <w:rFonts w:ascii="Times New Roman"/>
                <w:sz w:val="20"/>
              </w:rPr>
            </w:pPr>
          </w:p>
        </w:tc>
        <w:tc>
          <w:tcPr>
            <w:tcW w:w="727" w:type="dxa"/>
          </w:tcPr>
          <w:p>
            <w:pPr>
              <w:pStyle w:val="TableParagraph"/>
              <w:ind w:left="0"/>
              <w:rPr>
                <w:rFonts w:ascii="Times New Roman"/>
                <w:sz w:val="20"/>
              </w:rPr>
            </w:pPr>
          </w:p>
        </w:tc>
        <w:tc>
          <w:tcPr>
            <w:tcW w:w="1149" w:type="dxa"/>
          </w:tcPr>
          <w:p>
            <w:pPr>
              <w:pStyle w:val="TableParagraph"/>
              <w:ind w:left="0"/>
              <w:rPr>
                <w:rFonts w:ascii="Times New Roman"/>
                <w:sz w:val="20"/>
              </w:rPr>
            </w:pPr>
          </w:p>
        </w:tc>
      </w:tr>
      <w:tr>
        <w:trPr>
          <w:trHeight w:val="352" w:hRule="atLeast"/>
        </w:trPr>
        <w:tc>
          <w:tcPr>
            <w:tcW w:w="3141" w:type="dxa"/>
          </w:tcPr>
          <w:p>
            <w:pPr>
              <w:pStyle w:val="TableParagraph"/>
              <w:spacing w:before="106"/>
              <w:rPr>
                <w:sz w:val="18"/>
              </w:rPr>
            </w:pPr>
            <w:r>
              <w:rPr>
                <w:w w:val="120"/>
                <w:sz w:val="18"/>
              </w:rPr>
              <w:t>Full-Time Courses</w:t>
            </w:r>
          </w:p>
        </w:tc>
        <w:tc>
          <w:tcPr>
            <w:tcW w:w="726" w:type="dxa"/>
          </w:tcPr>
          <w:p>
            <w:pPr>
              <w:pStyle w:val="TableParagraph"/>
              <w:ind w:left="0"/>
              <w:rPr>
                <w:rFonts w:ascii="Times New Roman"/>
                <w:sz w:val="22"/>
              </w:rPr>
            </w:pPr>
          </w:p>
        </w:tc>
        <w:tc>
          <w:tcPr>
            <w:tcW w:w="741" w:type="dxa"/>
          </w:tcPr>
          <w:p>
            <w:pPr>
              <w:pStyle w:val="TableParagraph"/>
              <w:ind w:left="0"/>
              <w:rPr>
                <w:rFonts w:ascii="Times New Roman"/>
                <w:sz w:val="22"/>
              </w:rPr>
            </w:pPr>
          </w:p>
        </w:tc>
        <w:tc>
          <w:tcPr>
            <w:tcW w:w="726" w:type="dxa"/>
          </w:tcPr>
          <w:p>
            <w:pPr>
              <w:pStyle w:val="TableParagraph"/>
              <w:ind w:left="0"/>
              <w:rPr>
                <w:rFonts w:ascii="Times New Roman"/>
                <w:sz w:val="22"/>
              </w:rPr>
            </w:pPr>
          </w:p>
        </w:tc>
        <w:tc>
          <w:tcPr>
            <w:tcW w:w="726" w:type="dxa"/>
          </w:tcPr>
          <w:p>
            <w:pPr>
              <w:pStyle w:val="TableParagraph"/>
              <w:ind w:left="0"/>
              <w:rPr>
                <w:rFonts w:ascii="Times New Roman"/>
                <w:sz w:val="22"/>
              </w:rPr>
            </w:pPr>
          </w:p>
        </w:tc>
        <w:tc>
          <w:tcPr>
            <w:tcW w:w="727" w:type="dxa"/>
          </w:tcPr>
          <w:p>
            <w:pPr>
              <w:pStyle w:val="TableParagraph"/>
              <w:ind w:left="0"/>
              <w:rPr>
                <w:rFonts w:ascii="Times New Roman"/>
                <w:sz w:val="22"/>
              </w:rPr>
            </w:pPr>
          </w:p>
        </w:tc>
        <w:tc>
          <w:tcPr>
            <w:tcW w:w="727" w:type="dxa"/>
          </w:tcPr>
          <w:p>
            <w:pPr>
              <w:pStyle w:val="TableParagraph"/>
              <w:ind w:left="0"/>
              <w:rPr>
                <w:rFonts w:ascii="Times New Roman"/>
                <w:sz w:val="22"/>
              </w:rPr>
            </w:pPr>
          </w:p>
        </w:tc>
        <w:tc>
          <w:tcPr>
            <w:tcW w:w="1149" w:type="dxa"/>
          </w:tcPr>
          <w:p>
            <w:pPr>
              <w:pStyle w:val="TableParagraph"/>
              <w:ind w:left="0"/>
              <w:rPr>
                <w:rFonts w:ascii="Times New Roman"/>
                <w:sz w:val="22"/>
              </w:rPr>
            </w:pPr>
          </w:p>
        </w:tc>
      </w:tr>
      <w:tr>
        <w:trPr>
          <w:trHeight w:val="353" w:hRule="atLeast"/>
        </w:trPr>
        <w:tc>
          <w:tcPr>
            <w:tcW w:w="3141" w:type="dxa"/>
          </w:tcPr>
          <w:p>
            <w:pPr>
              <w:pStyle w:val="TableParagraph"/>
              <w:spacing w:before="106"/>
              <w:rPr>
                <w:sz w:val="18"/>
              </w:rPr>
            </w:pPr>
            <w:r>
              <w:rPr>
                <w:w w:val="125"/>
                <w:sz w:val="18"/>
              </w:rPr>
              <w:t>Westminster College (RCL)</w:t>
            </w:r>
          </w:p>
        </w:tc>
        <w:tc>
          <w:tcPr>
            <w:tcW w:w="726" w:type="dxa"/>
          </w:tcPr>
          <w:p>
            <w:pPr>
              <w:pStyle w:val="TableParagraph"/>
              <w:spacing w:before="106"/>
              <w:rPr>
                <w:sz w:val="18"/>
              </w:rPr>
            </w:pPr>
            <w:r>
              <w:rPr>
                <w:w w:val="126"/>
                <w:sz w:val="18"/>
              </w:rPr>
              <w:t>2</w:t>
            </w:r>
          </w:p>
        </w:tc>
        <w:tc>
          <w:tcPr>
            <w:tcW w:w="741" w:type="dxa"/>
          </w:tcPr>
          <w:p>
            <w:pPr>
              <w:pStyle w:val="TableParagraph"/>
              <w:spacing w:before="106"/>
              <w:rPr>
                <w:sz w:val="18"/>
              </w:rPr>
            </w:pPr>
            <w:r>
              <w:rPr>
                <w:w w:val="126"/>
                <w:sz w:val="18"/>
              </w:rPr>
              <w:t>2</w:t>
            </w:r>
          </w:p>
        </w:tc>
        <w:tc>
          <w:tcPr>
            <w:tcW w:w="726" w:type="dxa"/>
          </w:tcPr>
          <w:p>
            <w:pPr>
              <w:pStyle w:val="TableParagraph"/>
              <w:ind w:left="0"/>
              <w:rPr>
                <w:rFonts w:ascii="Times New Roman"/>
                <w:sz w:val="22"/>
              </w:rPr>
            </w:pPr>
          </w:p>
        </w:tc>
        <w:tc>
          <w:tcPr>
            <w:tcW w:w="726" w:type="dxa"/>
          </w:tcPr>
          <w:p>
            <w:pPr>
              <w:pStyle w:val="TableParagraph"/>
              <w:ind w:left="0"/>
              <w:rPr>
                <w:rFonts w:ascii="Times New Roman"/>
                <w:sz w:val="22"/>
              </w:rPr>
            </w:pPr>
          </w:p>
        </w:tc>
        <w:tc>
          <w:tcPr>
            <w:tcW w:w="727" w:type="dxa"/>
          </w:tcPr>
          <w:p>
            <w:pPr>
              <w:pStyle w:val="TableParagraph"/>
              <w:ind w:left="0"/>
              <w:rPr>
                <w:rFonts w:ascii="Times New Roman"/>
                <w:sz w:val="22"/>
              </w:rPr>
            </w:pPr>
          </w:p>
        </w:tc>
        <w:tc>
          <w:tcPr>
            <w:tcW w:w="727" w:type="dxa"/>
          </w:tcPr>
          <w:p>
            <w:pPr>
              <w:pStyle w:val="TableParagraph"/>
              <w:ind w:left="0"/>
              <w:rPr>
                <w:rFonts w:ascii="Times New Roman"/>
                <w:sz w:val="22"/>
              </w:rPr>
            </w:pPr>
          </w:p>
        </w:tc>
        <w:tc>
          <w:tcPr>
            <w:tcW w:w="1149" w:type="dxa"/>
          </w:tcPr>
          <w:p>
            <w:pPr>
              <w:pStyle w:val="TableParagraph"/>
              <w:ind w:left="0"/>
              <w:rPr>
                <w:rFonts w:ascii="Times New Roman"/>
                <w:sz w:val="22"/>
              </w:rPr>
            </w:pPr>
          </w:p>
        </w:tc>
      </w:tr>
      <w:tr>
        <w:trPr>
          <w:trHeight w:val="352" w:hRule="atLeast"/>
        </w:trPr>
        <w:tc>
          <w:tcPr>
            <w:tcW w:w="3141" w:type="dxa"/>
          </w:tcPr>
          <w:p>
            <w:pPr>
              <w:pStyle w:val="TableParagraph"/>
              <w:ind w:left="0"/>
              <w:rPr>
                <w:rFonts w:ascii="Times New Roman"/>
                <w:sz w:val="22"/>
              </w:rPr>
            </w:pPr>
          </w:p>
        </w:tc>
        <w:tc>
          <w:tcPr>
            <w:tcW w:w="726" w:type="dxa"/>
          </w:tcPr>
          <w:p>
            <w:pPr>
              <w:pStyle w:val="TableParagraph"/>
              <w:ind w:left="0"/>
              <w:rPr>
                <w:rFonts w:ascii="Times New Roman"/>
                <w:sz w:val="22"/>
              </w:rPr>
            </w:pPr>
          </w:p>
        </w:tc>
        <w:tc>
          <w:tcPr>
            <w:tcW w:w="741" w:type="dxa"/>
          </w:tcPr>
          <w:p>
            <w:pPr>
              <w:pStyle w:val="TableParagraph"/>
              <w:ind w:left="0"/>
              <w:rPr>
                <w:rFonts w:ascii="Times New Roman"/>
                <w:sz w:val="22"/>
              </w:rPr>
            </w:pPr>
          </w:p>
        </w:tc>
        <w:tc>
          <w:tcPr>
            <w:tcW w:w="726" w:type="dxa"/>
          </w:tcPr>
          <w:p>
            <w:pPr>
              <w:pStyle w:val="TableParagraph"/>
              <w:ind w:left="0"/>
              <w:rPr>
                <w:rFonts w:ascii="Times New Roman"/>
                <w:sz w:val="22"/>
              </w:rPr>
            </w:pPr>
          </w:p>
        </w:tc>
        <w:tc>
          <w:tcPr>
            <w:tcW w:w="726" w:type="dxa"/>
          </w:tcPr>
          <w:p>
            <w:pPr>
              <w:pStyle w:val="TableParagraph"/>
              <w:ind w:left="0"/>
              <w:rPr>
                <w:rFonts w:ascii="Times New Roman"/>
                <w:sz w:val="22"/>
              </w:rPr>
            </w:pPr>
          </w:p>
        </w:tc>
        <w:tc>
          <w:tcPr>
            <w:tcW w:w="727" w:type="dxa"/>
          </w:tcPr>
          <w:p>
            <w:pPr>
              <w:pStyle w:val="TableParagraph"/>
              <w:ind w:left="0"/>
              <w:rPr>
                <w:rFonts w:ascii="Times New Roman"/>
                <w:sz w:val="22"/>
              </w:rPr>
            </w:pPr>
          </w:p>
        </w:tc>
        <w:tc>
          <w:tcPr>
            <w:tcW w:w="727" w:type="dxa"/>
          </w:tcPr>
          <w:p>
            <w:pPr>
              <w:pStyle w:val="TableParagraph"/>
              <w:ind w:left="0"/>
              <w:rPr>
                <w:rFonts w:ascii="Times New Roman"/>
                <w:sz w:val="22"/>
              </w:rPr>
            </w:pPr>
          </w:p>
        </w:tc>
        <w:tc>
          <w:tcPr>
            <w:tcW w:w="1149" w:type="dxa"/>
          </w:tcPr>
          <w:p>
            <w:pPr>
              <w:pStyle w:val="TableParagraph"/>
              <w:ind w:left="0"/>
              <w:rPr>
                <w:rFonts w:ascii="Times New Roman"/>
                <w:sz w:val="22"/>
              </w:rPr>
            </w:pPr>
          </w:p>
        </w:tc>
      </w:tr>
      <w:tr>
        <w:trPr>
          <w:trHeight w:val="353" w:hRule="atLeast"/>
        </w:trPr>
        <w:tc>
          <w:tcPr>
            <w:tcW w:w="3141" w:type="dxa"/>
          </w:tcPr>
          <w:p>
            <w:pPr>
              <w:pStyle w:val="TableParagraph"/>
              <w:spacing w:before="106"/>
              <w:rPr>
                <w:sz w:val="18"/>
              </w:rPr>
            </w:pPr>
            <w:r>
              <w:rPr>
                <w:w w:val="120"/>
                <w:sz w:val="18"/>
              </w:rPr>
              <w:t>Part-Time Courses</w:t>
            </w:r>
          </w:p>
        </w:tc>
        <w:tc>
          <w:tcPr>
            <w:tcW w:w="726" w:type="dxa"/>
          </w:tcPr>
          <w:p>
            <w:pPr>
              <w:pStyle w:val="TableParagraph"/>
              <w:ind w:left="0"/>
              <w:rPr>
                <w:rFonts w:ascii="Times New Roman"/>
                <w:sz w:val="22"/>
              </w:rPr>
            </w:pPr>
          </w:p>
        </w:tc>
        <w:tc>
          <w:tcPr>
            <w:tcW w:w="741" w:type="dxa"/>
          </w:tcPr>
          <w:p>
            <w:pPr>
              <w:pStyle w:val="TableParagraph"/>
              <w:ind w:left="0"/>
              <w:rPr>
                <w:rFonts w:ascii="Times New Roman"/>
                <w:sz w:val="22"/>
              </w:rPr>
            </w:pPr>
          </w:p>
        </w:tc>
        <w:tc>
          <w:tcPr>
            <w:tcW w:w="726" w:type="dxa"/>
          </w:tcPr>
          <w:p>
            <w:pPr>
              <w:pStyle w:val="TableParagraph"/>
              <w:ind w:left="0"/>
              <w:rPr>
                <w:rFonts w:ascii="Times New Roman"/>
                <w:sz w:val="22"/>
              </w:rPr>
            </w:pPr>
          </w:p>
        </w:tc>
        <w:tc>
          <w:tcPr>
            <w:tcW w:w="726" w:type="dxa"/>
          </w:tcPr>
          <w:p>
            <w:pPr>
              <w:pStyle w:val="TableParagraph"/>
              <w:ind w:left="0"/>
              <w:rPr>
                <w:rFonts w:ascii="Times New Roman"/>
                <w:sz w:val="22"/>
              </w:rPr>
            </w:pPr>
          </w:p>
        </w:tc>
        <w:tc>
          <w:tcPr>
            <w:tcW w:w="727" w:type="dxa"/>
          </w:tcPr>
          <w:p>
            <w:pPr>
              <w:pStyle w:val="TableParagraph"/>
              <w:ind w:left="0"/>
              <w:rPr>
                <w:rFonts w:ascii="Times New Roman"/>
                <w:sz w:val="22"/>
              </w:rPr>
            </w:pPr>
          </w:p>
        </w:tc>
        <w:tc>
          <w:tcPr>
            <w:tcW w:w="727" w:type="dxa"/>
          </w:tcPr>
          <w:p>
            <w:pPr>
              <w:pStyle w:val="TableParagraph"/>
              <w:ind w:left="0"/>
              <w:rPr>
                <w:rFonts w:ascii="Times New Roman"/>
                <w:sz w:val="22"/>
              </w:rPr>
            </w:pPr>
          </w:p>
        </w:tc>
        <w:tc>
          <w:tcPr>
            <w:tcW w:w="1149" w:type="dxa"/>
          </w:tcPr>
          <w:p>
            <w:pPr>
              <w:pStyle w:val="TableParagraph"/>
              <w:ind w:left="0"/>
              <w:rPr>
                <w:rFonts w:ascii="Times New Roman"/>
                <w:sz w:val="22"/>
              </w:rPr>
            </w:pPr>
          </w:p>
        </w:tc>
      </w:tr>
      <w:tr>
        <w:trPr>
          <w:trHeight w:val="352" w:hRule="atLeast"/>
        </w:trPr>
        <w:tc>
          <w:tcPr>
            <w:tcW w:w="3141" w:type="dxa"/>
          </w:tcPr>
          <w:p>
            <w:pPr>
              <w:pStyle w:val="TableParagraph"/>
              <w:spacing w:before="106"/>
              <w:rPr>
                <w:sz w:val="18"/>
              </w:rPr>
            </w:pPr>
            <w:r>
              <w:rPr>
                <w:w w:val="130"/>
                <w:sz w:val="18"/>
              </w:rPr>
              <w:t>Northern College (RCL)</w:t>
            </w:r>
          </w:p>
        </w:tc>
        <w:tc>
          <w:tcPr>
            <w:tcW w:w="726" w:type="dxa"/>
          </w:tcPr>
          <w:p>
            <w:pPr>
              <w:pStyle w:val="TableParagraph"/>
              <w:spacing w:before="106"/>
              <w:rPr>
                <w:sz w:val="18"/>
              </w:rPr>
            </w:pPr>
            <w:r>
              <w:rPr>
                <w:w w:val="126"/>
                <w:sz w:val="18"/>
              </w:rPr>
              <w:t>6</w:t>
            </w:r>
          </w:p>
        </w:tc>
        <w:tc>
          <w:tcPr>
            <w:tcW w:w="741" w:type="dxa"/>
          </w:tcPr>
          <w:p>
            <w:pPr>
              <w:pStyle w:val="TableParagraph"/>
              <w:spacing w:before="106"/>
              <w:rPr>
                <w:sz w:val="18"/>
              </w:rPr>
            </w:pPr>
            <w:r>
              <w:rPr>
                <w:w w:val="126"/>
                <w:sz w:val="18"/>
              </w:rPr>
              <w:t>5</w:t>
            </w:r>
          </w:p>
        </w:tc>
        <w:tc>
          <w:tcPr>
            <w:tcW w:w="726" w:type="dxa"/>
          </w:tcPr>
          <w:p>
            <w:pPr>
              <w:pStyle w:val="TableParagraph"/>
              <w:spacing w:before="106"/>
              <w:rPr>
                <w:sz w:val="18"/>
              </w:rPr>
            </w:pPr>
            <w:r>
              <w:rPr>
                <w:w w:val="126"/>
                <w:sz w:val="18"/>
              </w:rPr>
              <w:t>3</w:t>
            </w:r>
          </w:p>
        </w:tc>
        <w:tc>
          <w:tcPr>
            <w:tcW w:w="726" w:type="dxa"/>
          </w:tcPr>
          <w:p>
            <w:pPr>
              <w:pStyle w:val="TableParagraph"/>
              <w:spacing w:before="106"/>
              <w:rPr>
                <w:sz w:val="18"/>
              </w:rPr>
            </w:pPr>
            <w:r>
              <w:rPr>
                <w:w w:val="126"/>
                <w:sz w:val="18"/>
              </w:rPr>
              <w:t>2</w:t>
            </w:r>
          </w:p>
        </w:tc>
        <w:tc>
          <w:tcPr>
            <w:tcW w:w="727" w:type="dxa"/>
          </w:tcPr>
          <w:p>
            <w:pPr>
              <w:pStyle w:val="TableParagraph"/>
              <w:spacing w:before="106"/>
              <w:rPr>
                <w:sz w:val="18"/>
              </w:rPr>
            </w:pPr>
            <w:r>
              <w:rPr>
                <w:w w:val="126"/>
                <w:sz w:val="18"/>
              </w:rPr>
              <w:t>1</w:t>
            </w:r>
          </w:p>
        </w:tc>
        <w:tc>
          <w:tcPr>
            <w:tcW w:w="727" w:type="dxa"/>
          </w:tcPr>
          <w:p>
            <w:pPr>
              <w:pStyle w:val="TableParagraph"/>
              <w:ind w:left="0"/>
              <w:rPr>
                <w:rFonts w:ascii="Times New Roman"/>
                <w:sz w:val="22"/>
              </w:rPr>
            </w:pPr>
          </w:p>
        </w:tc>
        <w:tc>
          <w:tcPr>
            <w:tcW w:w="1149" w:type="dxa"/>
          </w:tcPr>
          <w:p>
            <w:pPr>
              <w:pStyle w:val="TableParagraph"/>
              <w:ind w:left="0"/>
              <w:rPr>
                <w:rFonts w:ascii="Times New Roman"/>
                <w:sz w:val="22"/>
              </w:rPr>
            </w:pPr>
          </w:p>
        </w:tc>
      </w:tr>
      <w:tr>
        <w:trPr>
          <w:trHeight w:val="352" w:hRule="atLeast"/>
        </w:trPr>
        <w:tc>
          <w:tcPr>
            <w:tcW w:w="3141" w:type="dxa"/>
          </w:tcPr>
          <w:p>
            <w:pPr>
              <w:pStyle w:val="TableParagraph"/>
              <w:spacing w:before="106"/>
              <w:rPr>
                <w:sz w:val="18"/>
              </w:rPr>
            </w:pPr>
            <w:r>
              <w:rPr>
                <w:w w:val="130"/>
                <w:sz w:val="18"/>
              </w:rPr>
              <w:t>SURCC (RCL)</w:t>
            </w:r>
          </w:p>
        </w:tc>
        <w:tc>
          <w:tcPr>
            <w:tcW w:w="726" w:type="dxa"/>
          </w:tcPr>
          <w:p>
            <w:pPr>
              <w:pStyle w:val="TableParagraph"/>
              <w:spacing w:before="106"/>
              <w:rPr>
                <w:sz w:val="18"/>
              </w:rPr>
            </w:pPr>
            <w:r>
              <w:rPr>
                <w:w w:val="126"/>
                <w:sz w:val="18"/>
              </w:rPr>
              <w:t>1</w:t>
            </w:r>
          </w:p>
        </w:tc>
        <w:tc>
          <w:tcPr>
            <w:tcW w:w="741" w:type="dxa"/>
          </w:tcPr>
          <w:p>
            <w:pPr>
              <w:pStyle w:val="TableParagraph"/>
              <w:spacing w:before="106"/>
              <w:rPr>
                <w:sz w:val="18"/>
              </w:rPr>
            </w:pPr>
            <w:r>
              <w:rPr>
                <w:w w:val="126"/>
                <w:sz w:val="18"/>
              </w:rPr>
              <w:t>1</w:t>
            </w:r>
          </w:p>
        </w:tc>
        <w:tc>
          <w:tcPr>
            <w:tcW w:w="726" w:type="dxa"/>
          </w:tcPr>
          <w:p>
            <w:pPr>
              <w:pStyle w:val="TableParagraph"/>
              <w:ind w:left="0"/>
              <w:rPr>
                <w:rFonts w:ascii="Times New Roman"/>
                <w:sz w:val="22"/>
              </w:rPr>
            </w:pPr>
          </w:p>
        </w:tc>
        <w:tc>
          <w:tcPr>
            <w:tcW w:w="726" w:type="dxa"/>
          </w:tcPr>
          <w:p>
            <w:pPr>
              <w:pStyle w:val="TableParagraph"/>
              <w:ind w:left="0"/>
              <w:rPr>
                <w:rFonts w:ascii="Times New Roman"/>
                <w:sz w:val="22"/>
              </w:rPr>
            </w:pPr>
          </w:p>
        </w:tc>
        <w:tc>
          <w:tcPr>
            <w:tcW w:w="727" w:type="dxa"/>
          </w:tcPr>
          <w:p>
            <w:pPr>
              <w:pStyle w:val="TableParagraph"/>
              <w:ind w:left="0"/>
              <w:rPr>
                <w:rFonts w:ascii="Times New Roman"/>
                <w:sz w:val="22"/>
              </w:rPr>
            </w:pPr>
          </w:p>
        </w:tc>
        <w:tc>
          <w:tcPr>
            <w:tcW w:w="727" w:type="dxa"/>
          </w:tcPr>
          <w:p>
            <w:pPr>
              <w:pStyle w:val="TableParagraph"/>
              <w:ind w:left="0"/>
              <w:rPr>
                <w:rFonts w:ascii="Times New Roman"/>
                <w:sz w:val="22"/>
              </w:rPr>
            </w:pPr>
          </w:p>
        </w:tc>
        <w:tc>
          <w:tcPr>
            <w:tcW w:w="1149" w:type="dxa"/>
          </w:tcPr>
          <w:p>
            <w:pPr>
              <w:pStyle w:val="TableParagraph"/>
              <w:ind w:left="0"/>
              <w:rPr>
                <w:rFonts w:ascii="Times New Roman"/>
                <w:sz w:val="22"/>
              </w:rPr>
            </w:pPr>
          </w:p>
        </w:tc>
      </w:tr>
      <w:tr>
        <w:trPr>
          <w:trHeight w:val="353" w:hRule="atLeast"/>
        </w:trPr>
        <w:tc>
          <w:tcPr>
            <w:tcW w:w="3141" w:type="dxa"/>
          </w:tcPr>
          <w:p>
            <w:pPr>
              <w:pStyle w:val="TableParagraph"/>
              <w:spacing w:before="106"/>
              <w:rPr>
                <w:sz w:val="18"/>
              </w:rPr>
            </w:pPr>
            <w:r>
              <w:rPr>
                <w:w w:val="125"/>
                <w:sz w:val="18"/>
              </w:rPr>
              <w:t>Westminster College (RCL)</w:t>
            </w:r>
          </w:p>
        </w:tc>
        <w:tc>
          <w:tcPr>
            <w:tcW w:w="726" w:type="dxa"/>
          </w:tcPr>
          <w:p>
            <w:pPr>
              <w:pStyle w:val="TableParagraph"/>
              <w:spacing w:before="106"/>
              <w:rPr>
                <w:sz w:val="18"/>
              </w:rPr>
            </w:pPr>
            <w:r>
              <w:rPr>
                <w:w w:val="126"/>
                <w:sz w:val="18"/>
              </w:rPr>
              <w:t>3</w:t>
            </w:r>
          </w:p>
        </w:tc>
        <w:tc>
          <w:tcPr>
            <w:tcW w:w="741" w:type="dxa"/>
          </w:tcPr>
          <w:p>
            <w:pPr>
              <w:pStyle w:val="TableParagraph"/>
              <w:spacing w:before="106"/>
              <w:rPr>
                <w:sz w:val="18"/>
              </w:rPr>
            </w:pPr>
            <w:r>
              <w:rPr>
                <w:w w:val="126"/>
                <w:sz w:val="18"/>
              </w:rPr>
              <w:t>3</w:t>
            </w:r>
          </w:p>
        </w:tc>
        <w:tc>
          <w:tcPr>
            <w:tcW w:w="726" w:type="dxa"/>
          </w:tcPr>
          <w:p>
            <w:pPr>
              <w:pStyle w:val="TableParagraph"/>
              <w:spacing w:before="106"/>
              <w:rPr>
                <w:sz w:val="18"/>
              </w:rPr>
            </w:pPr>
            <w:r>
              <w:rPr>
                <w:w w:val="126"/>
                <w:sz w:val="18"/>
              </w:rPr>
              <w:t>2</w:t>
            </w:r>
          </w:p>
        </w:tc>
        <w:tc>
          <w:tcPr>
            <w:tcW w:w="726" w:type="dxa"/>
          </w:tcPr>
          <w:p>
            <w:pPr>
              <w:pStyle w:val="TableParagraph"/>
              <w:spacing w:before="106"/>
              <w:rPr>
                <w:sz w:val="18"/>
              </w:rPr>
            </w:pPr>
            <w:r>
              <w:rPr>
                <w:w w:val="126"/>
                <w:sz w:val="18"/>
              </w:rPr>
              <w:t>1</w:t>
            </w:r>
          </w:p>
        </w:tc>
        <w:tc>
          <w:tcPr>
            <w:tcW w:w="727" w:type="dxa"/>
          </w:tcPr>
          <w:p>
            <w:pPr>
              <w:pStyle w:val="TableParagraph"/>
              <w:spacing w:before="106"/>
              <w:rPr>
                <w:sz w:val="18"/>
              </w:rPr>
            </w:pPr>
            <w:r>
              <w:rPr>
                <w:w w:val="126"/>
                <w:sz w:val="18"/>
              </w:rPr>
              <w:t>1</w:t>
            </w:r>
          </w:p>
        </w:tc>
        <w:tc>
          <w:tcPr>
            <w:tcW w:w="727" w:type="dxa"/>
          </w:tcPr>
          <w:p>
            <w:pPr>
              <w:pStyle w:val="TableParagraph"/>
              <w:ind w:left="0"/>
              <w:rPr>
                <w:rFonts w:ascii="Times New Roman"/>
                <w:sz w:val="22"/>
              </w:rPr>
            </w:pPr>
          </w:p>
        </w:tc>
        <w:tc>
          <w:tcPr>
            <w:tcW w:w="1149" w:type="dxa"/>
          </w:tcPr>
          <w:p>
            <w:pPr>
              <w:pStyle w:val="TableParagraph"/>
              <w:ind w:left="0"/>
              <w:rPr>
                <w:rFonts w:ascii="Times New Roman"/>
                <w:sz w:val="22"/>
              </w:rPr>
            </w:pPr>
          </w:p>
        </w:tc>
      </w:tr>
      <w:tr>
        <w:trPr>
          <w:trHeight w:val="271" w:hRule="atLeast"/>
        </w:trPr>
        <w:tc>
          <w:tcPr>
            <w:tcW w:w="3141" w:type="dxa"/>
          </w:tcPr>
          <w:p>
            <w:pPr>
              <w:pStyle w:val="TableParagraph"/>
              <w:ind w:left="0"/>
              <w:rPr>
                <w:rFonts w:ascii="Times New Roman"/>
                <w:sz w:val="20"/>
              </w:rPr>
            </w:pPr>
          </w:p>
        </w:tc>
        <w:tc>
          <w:tcPr>
            <w:tcW w:w="726" w:type="dxa"/>
          </w:tcPr>
          <w:p>
            <w:pPr>
              <w:pStyle w:val="TableParagraph"/>
              <w:ind w:left="0"/>
              <w:rPr>
                <w:rFonts w:ascii="Times New Roman"/>
                <w:sz w:val="20"/>
              </w:rPr>
            </w:pPr>
          </w:p>
        </w:tc>
        <w:tc>
          <w:tcPr>
            <w:tcW w:w="741" w:type="dxa"/>
          </w:tcPr>
          <w:p>
            <w:pPr>
              <w:pStyle w:val="TableParagraph"/>
              <w:ind w:left="0"/>
              <w:rPr>
                <w:rFonts w:ascii="Times New Roman"/>
                <w:sz w:val="20"/>
              </w:rPr>
            </w:pPr>
          </w:p>
        </w:tc>
        <w:tc>
          <w:tcPr>
            <w:tcW w:w="726" w:type="dxa"/>
          </w:tcPr>
          <w:p>
            <w:pPr>
              <w:pStyle w:val="TableParagraph"/>
              <w:ind w:left="0"/>
              <w:rPr>
                <w:rFonts w:ascii="Times New Roman"/>
                <w:sz w:val="20"/>
              </w:rPr>
            </w:pPr>
          </w:p>
        </w:tc>
        <w:tc>
          <w:tcPr>
            <w:tcW w:w="726" w:type="dxa"/>
          </w:tcPr>
          <w:p>
            <w:pPr>
              <w:pStyle w:val="TableParagraph"/>
              <w:ind w:left="0"/>
              <w:rPr>
                <w:rFonts w:ascii="Times New Roman"/>
                <w:sz w:val="20"/>
              </w:rPr>
            </w:pPr>
          </w:p>
        </w:tc>
        <w:tc>
          <w:tcPr>
            <w:tcW w:w="727" w:type="dxa"/>
          </w:tcPr>
          <w:p>
            <w:pPr>
              <w:pStyle w:val="TableParagraph"/>
              <w:ind w:left="0"/>
              <w:rPr>
                <w:rFonts w:ascii="Times New Roman"/>
                <w:sz w:val="20"/>
              </w:rPr>
            </w:pPr>
          </w:p>
        </w:tc>
        <w:tc>
          <w:tcPr>
            <w:tcW w:w="727" w:type="dxa"/>
          </w:tcPr>
          <w:p>
            <w:pPr>
              <w:pStyle w:val="TableParagraph"/>
              <w:ind w:left="0"/>
              <w:rPr>
                <w:rFonts w:ascii="Times New Roman"/>
                <w:sz w:val="20"/>
              </w:rPr>
            </w:pPr>
          </w:p>
        </w:tc>
        <w:tc>
          <w:tcPr>
            <w:tcW w:w="1149" w:type="dxa"/>
          </w:tcPr>
          <w:p>
            <w:pPr>
              <w:pStyle w:val="TableParagraph"/>
              <w:ind w:left="0"/>
              <w:rPr>
                <w:rFonts w:ascii="Times New Roman"/>
                <w:sz w:val="20"/>
              </w:rPr>
            </w:pPr>
          </w:p>
        </w:tc>
      </w:tr>
      <w:tr>
        <w:trPr>
          <w:trHeight w:val="353" w:hRule="atLeast"/>
        </w:trPr>
        <w:tc>
          <w:tcPr>
            <w:tcW w:w="3141" w:type="dxa"/>
          </w:tcPr>
          <w:p>
            <w:pPr>
              <w:pStyle w:val="TableParagraph"/>
              <w:spacing w:before="106"/>
              <w:rPr>
                <w:sz w:val="18"/>
              </w:rPr>
            </w:pPr>
            <w:r>
              <w:rPr>
                <w:w w:val="120"/>
                <w:sz w:val="18"/>
              </w:rPr>
              <w:t>Subtotal</w:t>
            </w:r>
          </w:p>
        </w:tc>
        <w:tc>
          <w:tcPr>
            <w:tcW w:w="726" w:type="dxa"/>
          </w:tcPr>
          <w:p>
            <w:pPr>
              <w:pStyle w:val="TableParagraph"/>
              <w:spacing w:before="106"/>
              <w:rPr>
                <w:sz w:val="18"/>
              </w:rPr>
            </w:pPr>
            <w:r>
              <w:rPr>
                <w:w w:val="125"/>
                <w:sz w:val="18"/>
              </w:rPr>
              <w:t>12</w:t>
            </w:r>
          </w:p>
        </w:tc>
        <w:tc>
          <w:tcPr>
            <w:tcW w:w="741" w:type="dxa"/>
          </w:tcPr>
          <w:p>
            <w:pPr>
              <w:pStyle w:val="TableParagraph"/>
              <w:spacing w:before="106"/>
              <w:rPr>
                <w:sz w:val="18"/>
              </w:rPr>
            </w:pPr>
            <w:r>
              <w:rPr>
                <w:w w:val="125"/>
                <w:sz w:val="18"/>
              </w:rPr>
              <w:t>11</w:t>
            </w:r>
          </w:p>
        </w:tc>
        <w:tc>
          <w:tcPr>
            <w:tcW w:w="726" w:type="dxa"/>
          </w:tcPr>
          <w:p>
            <w:pPr>
              <w:pStyle w:val="TableParagraph"/>
              <w:spacing w:before="106"/>
              <w:rPr>
                <w:sz w:val="18"/>
              </w:rPr>
            </w:pPr>
            <w:r>
              <w:rPr>
                <w:w w:val="126"/>
                <w:sz w:val="18"/>
              </w:rPr>
              <w:t>5</w:t>
            </w:r>
          </w:p>
        </w:tc>
        <w:tc>
          <w:tcPr>
            <w:tcW w:w="726" w:type="dxa"/>
          </w:tcPr>
          <w:p>
            <w:pPr>
              <w:pStyle w:val="TableParagraph"/>
              <w:spacing w:before="106"/>
              <w:rPr>
                <w:sz w:val="18"/>
              </w:rPr>
            </w:pPr>
            <w:r>
              <w:rPr>
                <w:w w:val="126"/>
                <w:sz w:val="18"/>
              </w:rPr>
              <w:t>3</w:t>
            </w:r>
          </w:p>
        </w:tc>
        <w:tc>
          <w:tcPr>
            <w:tcW w:w="727" w:type="dxa"/>
          </w:tcPr>
          <w:p>
            <w:pPr>
              <w:pStyle w:val="TableParagraph"/>
              <w:spacing w:before="106"/>
              <w:rPr>
                <w:sz w:val="18"/>
              </w:rPr>
            </w:pPr>
            <w:r>
              <w:rPr>
                <w:w w:val="126"/>
                <w:sz w:val="18"/>
              </w:rPr>
              <w:t>2</w:t>
            </w:r>
          </w:p>
        </w:tc>
        <w:tc>
          <w:tcPr>
            <w:tcW w:w="727" w:type="dxa"/>
          </w:tcPr>
          <w:p>
            <w:pPr>
              <w:pStyle w:val="TableParagraph"/>
              <w:ind w:left="0"/>
              <w:rPr>
                <w:rFonts w:ascii="Times New Roman"/>
                <w:sz w:val="22"/>
              </w:rPr>
            </w:pPr>
          </w:p>
        </w:tc>
        <w:tc>
          <w:tcPr>
            <w:tcW w:w="1149" w:type="dxa"/>
          </w:tcPr>
          <w:p>
            <w:pPr>
              <w:pStyle w:val="TableParagraph"/>
              <w:ind w:left="0"/>
              <w:rPr>
                <w:rFonts w:ascii="Times New Roman"/>
                <w:sz w:val="22"/>
              </w:rPr>
            </w:pPr>
          </w:p>
        </w:tc>
      </w:tr>
      <w:tr>
        <w:trPr>
          <w:trHeight w:val="271" w:hRule="atLeast"/>
        </w:trPr>
        <w:tc>
          <w:tcPr>
            <w:tcW w:w="3141" w:type="dxa"/>
          </w:tcPr>
          <w:p>
            <w:pPr>
              <w:pStyle w:val="TableParagraph"/>
              <w:ind w:left="0"/>
              <w:rPr>
                <w:rFonts w:ascii="Times New Roman"/>
                <w:sz w:val="20"/>
              </w:rPr>
            </w:pPr>
          </w:p>
        </w:tc>
        <w:tc>
          <w:tcPr>
            <w:tcW w:w="726" w:type="dxa"/>
          </w:tcPr>
          <w:p>
            <w:pPr>
              <w:pStyle w:val="TableParagraph"/>
              <w:ind w:left="0"/>
              <w:rPr>
                <w:rFonts w:ascii="Times New Roman"/>
                <w:sz w:val="20"/>
              </w:rPr>
            </w:pPr>
          </w:p>
        </w:tc>
        <w:tc>
          <w:tcPr>
            <w:tcW w:w="741" w:type="dxa"/>
          </w:tcPr>
          <w:p>
            <w:pPr>
              <w:pStyle w:val="TableParagraph"/>
              <w:ind w:left="0"/>
              <w:rPr>
                <w:rFonts w:ascii="Times New Roman"/>
                <w:sz w:val="20"/>
              </w:rPr>
            </w:pPr>
          </w:p>
        </w:tc>
        <w:tc>
          <w:tcPr>
            <w:tcW w:w="726" w:type="dxa"/>
          </w:tcPr>
          <w:p>
            <w:pPr>
              <w:pStyle w:val="TableParagraph"/>
              <w:ind w:left="0"/>
              <w:rPr>
                <w:rFonts w:ascii="Times New Roman"/>
                <w:sz w:val="20"/>
              </w:rPr>
            </w:pPr>
          </w:p>
        </w:tc>
        <w:tc>
          <w:tcPr>
            <w:tcW w:w="726" w:type="dxa"/>
          </w:tcPr>
          <w:p>
            <w:pPr>
              <w:pStyle w:val="TableParagraph"/>
              <w:ind w:left="0"/>
              <w:rPr>
                <w:rFonts w:ascii="Times New Roman"/>
                <w:sz w:val="20"/>
              </w:rPr>
            </w:pPr>
          </w:p>
        </w:tc>
        <w:tc>
          <w:tcPr>
            <w:tcW w:w="727" w:type="dxa"/>
          </w:tcPr>
          <w:p>
            <w:pPr>
              <w:pStyle w:val="TableParagraph"/>
              <w:ind w:left="0"/>
              <w:rPr>
                <w:rFonts w:ascii="Times New Roman"/>
                <w:sz w:val="20"/>
              </w:rPr>
            </w:pPr>
          </w:p>
        </w:tc>
        <w:tc>
          <w:tcPr>
            <w:tcW w:w="727" w:type="dxa"/>
          </w:tcPr>
          <w:p>
            <w:pPr>
              <w:pStyle w:val="TableParagraph"/>
              <w:ind w:left="0"/>
              <w:rPr>
                <w:rFonts w:ascii="Times New Roman"/>
                <w:sz w:val="20"/>
              </w:rPr>
            </w:pPr>
          </w:p>
        </w:tc>
        <w:tc>
          <w:tcPr>
            <w:tcW w:w="1149" w:type="dxa"/>
          </w:tcPr>
          <w:p>
            <w:pPr>
              <w:pStyle w:val="TableParagraph"/>
              <w:ind w:left="0"/>
              <w:rPr>
                <w:rFonts w:ascii="Times New Roman"/>
                <w:sz w:val="20"/>
              </w:rPr>
            </w:pPr>
          </w:p>
        </w:tc>
      </w:tr>
      <w:tr>
        <w:trPr>
          <w:trHeight w:val="353" w:hRule="atLeast"/>
        </w:trPr>
        <w:tc>
          <w:tcPr>
            <w:tcW w:w="3141" w:type="dxa"/>
          </w:tcPr>
          <w:p>
            <w:pPr>
              <w:pStyle w:val="TableParagraph"/>
              <w:spacing w:line="238" w:lineRule="exact" w:before="95"/>
              <w:rPr>
                <w:rFonts w:ascii="Stone Sans II ITC Std Bk"/>
                <w:b/>
                <w:sz w:val="18"/>
              </w:rPr>
            </w:pPr>
            <w:r>
              <w:rPr>
                <w:rFonts w:ascii="Stone Sans II ITC Std Bk"/>
                <w:b/>
                <w:w w:val="110"/>
                <w:sz w:val="18"/>
              </w:rPr>
              <w:t>GRAND TOTAL</w:t>
            </w:r>
          </w:p>
        </w:tc>
        <w:tc>
          <w:tcPr>
            <w:tcW w:w="726" w:type="dxa"/>
          </w:tcPr>
          <w:p>
            <w:pPr>
              <w:pStyle w:val="TableParagraph"/>
              <w:spacing w:line="238" w:lineRule="exact" w:before="95"/>
              <w:rPr>
                <w:rFonts w:ascii="Stone Sans II ITC Std Bk"/>
                <w:b/>
                <w:sz w:val="18"/>
              </w:rPr>
            </w:pPr>
            <w:r>
              <w:rPr>
                <w:rFonts w:ascii="Stone Sans II ITC Std Bk"/>
                <w:b/>
                <w:w w:val="110"/>
                <w:sz w:val="18"/>
              </w:rPr>
              <w:t>51</w:t>
            </w:r>
          </w:p>
        </w:tc>
        <w:tc>
          <w:tcPr>
            <w:tcW w:w="741" w:type="dxa"/>
          </w:tcPr>
          <w:p>
            <w:pPr>
              <w:pStyle w:val="TableParagraph"/>
              <w:spacing w:line="238" w:lineRule="exact" w:before="95"/>
              <w:rPr>
                <w:rFonts w:ascii="Stone Sans II ITC Std Bk"/>
                <w:b/>
                <w:sz w:val="18"/>
              </w:rPr>
            </w:pPr>
            <w:r>
              <w:rPr>
                <w:rFonts w:ascii="Stone Sans II ITC Std Bk"/>
                <w:b/>
                <w:w w:val="110"/>
                <w:sz w:val="18"/>
              </w:rPr>
              <w:t>50</w:t>
            </w:r>
          </w:p>
        </w:tc>
        <w:tc>
          <w:tcPr>
            <w:tcW w:w="726" w:type="dxa"/>
          </w:tcPr>
          <w:p>
            <w:pPr>
              <w:pStyle w:val="TableParagraph"/>
              <w:spacing w:line="238" w:lineRule="exact" w:before="95"/>
              <w:rPr>
                <w:rFonts w:ascii="Stone Sans II ITC Std Bk"/>
                <w:b/>
                <w:sz w:val="18"/>
              </w:rPr>
            </w:pPr>
            <w:r>
              <w:rPr>
                <w:rFonts w:ascii="Stone Sans II ITC Std Bk"/>
                <w:b/>
                <w:w w:val="110"/>
                <w:sz w:val="18"/>
              </w:rPr>
              <w:t>45</w:t>
            </w:r>
          </w:p>
        </w:tc>
        <w:tc>
          <w:tcPr>
            <w:tcW w:w="726" w:type="dxa"/>
          </w:tcPr>
          <w:p>
            <w:pPr>
              <w:pStyle w:val="TableParagraph"/>
              <w:spacing w:line="238" w:lineRule="exact" w:before="95"/>
              <w:rPr>
                <w:rFonts w:ascii="Stone Sans II ITC Std Bk"/>
                <w:b/>
                <w:sz w:val="18"/>
              </w:rPr>
            </w:pPr>
            <w:r>
              <w:rPr>
                <w:rFonts w:ascii="Stone Sans II ITC Std Bk"/>
                <w:b/>
                <w:w w:val="110"/>
                <w:sz w:val="18"/>
              </w:rPr>
              <w:t>11</w:t>
            </w:r>
          </w:p>
        </w:tc>
        <w:tc>
          <w:tcPr>
            <w:tcW w:w="727" w:type="dxa"/>
          </w:tcPr>
          <w:p>
            <w:pPr>
              <w:pStyle w:val="TableParagraph"/>
              <w:spacing w:line="238" w:lineRule="exact" w:before="95"/>
              <w:rPr>
                <w:rFonts w:ascii="Stone Sans II ITC Std Bk"/>
                <w:b/>
                <w:sz w:val="18"/>
              </w:rPr>
            </w:pPr>
            <w:r>
              <w:rPr>
                <w:rFonts w:ascii="Stone Sans II ITC Std Bk"/>
                <w:b/>
                <w:w w:val="110"/>
                <w:sz w:val="18"/>
              </w:rPr>
              <w:t>20</w:t>
            </w:r>
          </w:p>
        </w:tc>
        <w:tc>
          <w:tcPr>
            <w:tcW w:w="727" w:type="dxa"/>
          </w:tcPr>
          <w:p>
            <w:pPr>
              <w:pStyle w:val="TableParagraph"/>
              <w:spacing w:line="238" w:lineRule="exact" w:before="95"/>
              <w:rPr>
                <w:rFonts w:ascii="Stone Sans II ITC Std Bk"/>
                <w:b/>
                <w:sz w:val="18"/>
              </w:rPr>
            </w:pPr>
            <w:r>
              <w:rPr>
                <w:rFonts w:ascii="Stone Sans II ITC Std Bk"/>
                <w:b/>
                <w:w w:val="111"/>
                <w:sz w:val="18"/>
              </w:rPr>
              <w:t>6</w:t>
            </w:r>
          </w:p>
        </w:tc>
        <w:tc>
          <w:tcPr>
            <w:tcW w:w="1149" w:type="dxa"/>
          </w:tcPr>
          <w:p>
            <w:pPr>
              <w:pStyle w:val="TableParagraph"/>
              <w:spacing w:line="238" w:lineRule="exact" w:before="95"/>
              <w:rPr>
                <w:rFonts w:ascii="Stone Sans II ITC Std Bk"/>
                <w:b/>
                <w:sz w:val="18"/>
              </w:rPr>
            </w:pPr>
            <w:r>
              <w:rPr>
                <w:rFonts w:ascii="Stone Sans II ITC Std Bk"/>
                <w:b/>
                <w:w w:val="111"/>
                <w:sz w:val="18"/>
              </w:rPr>
              <w:t>8</w:t>
            </w:r>
          </w:p>
        </w:tc>
      </w:tr>
    </w:tbl>
    <w:p>
      <w:pPr>
        <w:pStyle w:val="BodyText"/>
        <w:tabs>
          <w:tab w:pos="2154" w:val="left" w:leader="none"/>
        </w:tabs>
        <w:spacing w:line="235" w:lineRule="auto" w:before="213"/>
        <w:ind w:left="1247" w:right="4379"/>
      </w:pPr>
      <w:r>
        <w:rPr>
          <w:w w:val="125"/>
        </w:rPr>
        <w:t>SURCC</w:t>
        <w:tab/>
        <w:t>Scottish</w:t>
      </w:r>
      <w:r>
        <w:rPr>
          <w:spacing w:val="-21"/>
          <w:w w:val="125"/>
        </w:rPr>
        <w:t> </w:t>
      </w:r>
      <w:r>
        <w:rPr>
          <w:w w:val="125"/>
        </w:rPr>
        <w:t>United</w:t>
      </w:r>
      <w:r>
        <w:rPr>
          <w:spacing w:val="-21"/>
          <w:w w:val="125"/>
        </w:rPr>
        <w:t> </w:t>
      </w:r>
      <w:r>
        <w:rPr>
          <w:w w:val="125"/>
        </w:rPr>
        <w:t>Reformed</w:t>
      </w:r>
      <w:r>
        <w:rPr>
          <w:spacing w:val="-20"/>
          <w:w w:val="125"/>
        </w:rPr>
        <w:t> </w:t>
      </w:r>
      <w:r>
        <w:rPr>
          <w:w w:val="125"/>
        </w:rPr>
        <w:t>and</w:t>
      </w:r>
      <w:r>
        <w:rPr>
          <w:spacing w:val="-21"/>
          <w:w w:val="125"/>
        </w:rPr>
        <w:t> </w:t>
      </w:r>
      <w:r>
        <w:rPr>
          <w:w w:val="125"/>
        </w:rPr>
        <w:t>Congregational</w:t>
      </w:r>
      <w:r>
        <w:rPr>
          <w:spacing w:val="-20"/>
          <w:w w:val="125"/>
        </w:rPr>
        <w:t> </w:t>
      </w:r>
      <w:r>
        <w:rPr>
          <w:w w:val="125"/>
        </w:rPr>
        <w:t>College </w:t>
      </w:r>
      <w:r>
        <w:rPr>
          <w:spacing w:val="-3"/>
          <w:w w:val="125"/>
        </w:rPr>
        <w:t>(RCL)</w:t>
        <w:tab/>
      </w:r>
      <w:r>
        <w:rPr>
          <w:w w:val="125"/>
        </w:rPr>
        <w:t>Resource Centre for</w:t>
      </w:r>
      <w:r>
        <w:rPr>
          <w:spacing w:val="-8"/>
          <w:w w:val="125"/>
        </w:rPr>
        <w:t> </w:t>
      </w:r>
      <w:r>
        <w:rPr>
          <w:w w:val="125"/>
        </w:rPr>
        <w:t>Learning</w:t>
      </w:r>
    </w:p>
    <w:p>
      <w:pPr>
        <w:pStyle w:val="BodyText"/>
        <w:tabs>
          <w:tab w:pos="2154" w:val="left" w:leader="none"/>
        </w:tabs>
        <w:spacing w:line="235" w:lineRule="auto" w:before="2"/>
        <w:ind w:left="1247" w:right="6240"/>
      </w:pPr>
      <w:r>
        <w:rPr>
          <w:w w:val="120"/>
        </w:rPr>
        <w:t>MWS</w:t>
        <w:tab/>
        <w:t>Ministry of Word and Sacraments CRCW</w:t>
        <w:tab/>
        <w:t>Church Related Community</w:t>
      </w:r>
      <w:r>
        <w:rPr>
          <w:spacing w:val="24"/>
          <w:w w:val="120"/>
        </w:rPr>
        <w:t> </w:t>
      </w:r>
      <w:r>
        <w:rPr>
          <w:w w:val="120"/>
        </w:rPr>
        <w:t>Worker</w:t>
      </w:r>
    </w:p>
    <w:p>
      <w:pPr>
        <w:pStyle w:val="BodyText"/>
        <w:spacing w:before="9"/>
        <w:rPr>
          <w:sz w:val="19"/>
        </w:rPr>
      </w:pPr>
    </w:p>
    <w:p>
      <w:pPr>
        <w:pStyle w:val="BodyText"/>
        <w:spacing w:line="235" w:lineRule="auto"/>
        <w:ind w:left="1247" w:right="2004"/>
      </w:pPr>
      <w:r>
        <w:rPr>
          <w:w w:val="120"/>
        </w:rPr>
        <w:t>Anticipated entry does not take into account those who have been selected at recent Assessment Conferences but who have not yet formally begun their studies at an RCL.</w:t>
      </w:r>
    </w:p>
    <w:p>
      <w:pPr>
        <w:spacing w:after="0" w:line="235" w:lineRule="auto"/>
        <w:sectPr>
          <w:type w:val="continuous"/>
          <w:pgSz w:w="11910" w:h="16840"/>
          <w:pgMar w:top="680" w:bottom="280" w:left="0" w:right="0"/>
        </w:sectPr>
      </w:pPr>
    </w:p>
    <w:p>
      <w:pPr>
        <w:pStyle w:val="BodyText"/>
      </w:pPr>
      <w:r>
        <w:rPr/>
        <w:drawing>
          <wp:anchor distT="0" distB="0" distL="0" distR="0" allowOverlap="1" layoutInCell="1" locked="0" behindDoc="0" simplePos="0" relativeHeight="252096512">
            <wp:simplePos x="0" y="0"/>
            <wp:positionH relativeFrom="page">
              <wp:posOffset>6974928</wp:posOffset>
            </wp:positionH>
            <wp:positionV relativeFrom="page">
              <wp:posOffset>0</wp:posOffset>
            </wp:positionV>
            <wp:extent cx="585063" cy="10692003"/>
            <wp:effectExtent l="0" t="0" r="0" b="0"/>
            <wp:wrapNone/>
            <wp:docPr id="319" name="image30.png"/>
            <wp:cNvGraphicFramePr>
              <a:graphicFrameLocks noChangeAspect="1"/>
            </wp:cNvGraphicFramePr>
            <a:graphic>
              <a:graphicData uri="http://schemas.openxmlformats.org/drawingml/2006/picture">
                <pic:pic>
                  <pic:nvPicPr>
                    <pic:cNvPr id="320" name="image30.png"/>
                    <pic:cNvPicPr/>
                  </pic:nvPicPr>
                  <pic:blipFill>
                    <a:blip r:embed="rId357"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pStyle w:val="Heading5"/>
        <w:ind w:left="7814"/>
      </w:pPr>
      <w:r>
        <w:rPr/>
        <w:pict>
          <v:shape style="position:absolute;margin-left:554.141174pt;margin-top:22.593945pt;width:25.9pt;height:379.15pt;mso-position-horizontal-relative:page;mso-position-vertical-relative:paragraph;z-index:252097536" type="#_x0000_t202" filled="false" stroked="false">
            <v:textbox inset="0,0,0,0" style="layout-flow:vertical">
              <w:txbxContent>
                <w:p>
                  <w:pPr>
                    <w:spacing w:before="27"/>
                    <w:ind w:left="20" w:right="0" w:firstLine="0"/>
                    <w:jc w:val="left"/>
                    <w:rPr>
                      <w:sz w:val="39"/>
                    </w:rPr>
                  </w:pPr>
                  <w:r>
                    <w:rPr>
                      <w:color w:val="FFFFFF"/>
                      <w:w w:val="125"/>
                      <w:sz w:val="39"/>
                    </w:rPr>
                    <w:t>Education and learning – </w:t>
                  </w:r>
                  <w:r>
                    <w:rPr>
                      <w:w w:val="125"/>
                      <w:sz w:val="39"/>
                    </w:rPr>
                    <w:t>Appendix 2</w:t>
                  </w:r>
                </w:p>
              </w:txbxContent>
            </v:textbox>
            <w10:wrap type="none"/>
          </v:shape>
        </w:pict>
      </w:r>
      <w:bookmarkStart w:name="_bookmark31" w:id="35"/>
      <w:bookmarkEnd w:id="35"/>
      <w:r>
        <w:rPr/>
      </w:r>
      <w:r>
        <w:rPr>
          <w:color w:val="7EAABF"/>
          <w:w w:val="115"/>
        </w:rPr>
        <w:t>Education and learning</w:t>
      </w:r>
    </w:p>
    <w:p>
      <w:pPr>
        <w:tabs>
          <w:tab w:pos="1421" w:val="left" w:leader="none"/>
          <w:tab w:pos="3741" w:val="left" w:leader="none"/>
        </w:tabs>
        <w:spacing w:before="215"/>
        <w:ind w:left="907" w:right="0" w:firstLine="0"/>
        <w:jc w:val="center"/>
        <w:rPr>
          <w:rFonts w:ascii="Stone Sans II ITC Std X Bd"/>
          <w:b/>
          <w:sz w:val="29"/>
        </w:rPr>
      </w:pPr>
      <w:r>
        <w:rPr>
          <w:rFonts w:ascii="Stone Sans II ITC Std X Bd"/>
          <w:b/>
          <w:w w:val="110"/>
          <w:sz w:val="29"/>
          <w:shd w:fill="D4E9F7" w:color="auto" w:val="clear"/>
        </w:rPr>
        <w:t> </w:t>
      </w:r>
      <w:r>
        <w:rPr>
          <w:rFonts w:ascii="Stone Sans II ITC Std X Bd"/>
          <w:b/>
          <w:sz w:val="29"/>
          <w:shd w:fill="D4E9F7" w:color="auto" w:val="clear"/>
        </w:rPr>
        <w:tab/>
      </w:r>
      <w:r>
        <w:rPr>
          <w:rFonts w:ascii="Stone Sans II ITC Std X Bd"/>
          <w:b/>
          <w:w w:val="110"/>
          <w:sz w:val="29"/>
          <w:shd w:fill="D4E9F7" w:color="auto" w:val="clear"/>
        </w:rPr>
        <w:t>Appendix</w:t>
      </w:r>
      <w:r>
        <w:rPr>
          <w:rFonts w:ascii="Stone Sans II ITC Std X Bd"/>
          <w:b/>
          <w:spacing w:val="-2"/>
          <w:w w:val="110"/>
          <w:sz w:val="29"/>
          <w:shd w:fill="D4E9F7" w:color="auto" w:val="clear"/>
        </w:rPr>
        <w:t> </w:t>
      </w:r>
      <w:r>
        <w:rPr>
          <w:rFonts w:ascii="Stone Sans II ITC Std X Bd"/>
          <w:b/>
          <w:w w:val="110"/>
          <w:sz w:val="29"/>
          <w:shd w:fill="D4E9F7" w:color="auto" w:val="clear"/>
        </w:rPr>
        <w:t>2</w:t>
      </w:r>
      <w:r>
        <w:rPr>
          <w:rFonts w:ascii="Stone Sans II ITC Std X Bd"/>
          <w:b/>
          <w:sz w:val="29"/>
          <w:shd w:fill="D4E9F7" w:color="auto" w:val="clear"/>
        </w:rPr>
        <w:tab/>
      </w:r>
    </w:p>
    <w:p>
      <w:pPr>
        <w:pStyle w:val="BodyText"/>
        <w:spacing w:before="10"/>
        <w:rPr>
          <w:rFonts w:ascii="Stone Sans II ITC Std X Bd"/>
          <w:b/>
          <w:sz w:val="26"/>
        </w:rPr>
      </w:pPr>
    </w:p>
    <w:p>
      <w:pPr>
        <w:pStyle w:val="Heading4"/>
        <w:ind w:left="946" w:firstLine="0"/>
        <w:jc w:val="center"/>
      </w:pPr>
      <w:bookmarkStart w:name="_TOC_250007" w:id="36"/>
      <w:bookmarkEnd w:id="36"/>
      <w:r>
        <w:rPr>
          <w:w w:val="110"/>
        </w:rPr>
        <w:t>Students sent by synod</w:t>
      </w:r>
    </w:p>
    <w:p>
      <w:pPr>
        <w:pStyle w:val="Heading9"/>
        <w:numPr>
          <w:ilvl w:val="0"/>
          <w:numId w:val="98"/>
        </w:numPr>
        <w:tabs>
          <w:tab w:pos="2117" w:val="left" w:leader="none"/>
        </w:tabs>
        <w:spacing w:line="240" w:lineRule="auto" w:before="293" w:after="0"/>
        <w:ind w:left="2116" w:right="0" w:hanging="332"/>
        <w:jc w:val="left"/>
      </w:pPr>
      <w:r>
        <w:rPr>
          <w:w w:val="110"/>
        </w:rPr>
        <w:t>Northern</w:t>
      </w:r>
    </w:p>
    <w:p>
      <w:pPr>
        <w:pStyle w:val="BodyText"/>
        <w:spacing w:before="5"/>
        <w:rPr>
          <w:rFonts w:ascii="Stone Sans II ITC Std Bk"/>
          <w:b/>
          <w:sz w:val="16"/>
        </w:rPr>
      </w:pPr>
    </w:p>
    <w:p>
      <w:pPr>
        <w:spacing w:line="242" w:lineRule="exact" w:before="1"/>
        <w:ind w:left="2466" w:right="0" w:firstLine="0"/>
        <w:jc w:val="left"/>
        <w:rPr>
          <w:i/>
          <w:sz w:val="20"/>
        </w:rPr>
      </w:pPr>
      <w:r>
        <w:rPr>
          <w:i/>
          <w:w w:val="110"/>
          <w:sz w:val="20"/>
        </w:rPr>
        <w:t>Stipendiary</w:t>
      </w:r>
    </w:p>
    <w:p>
      <w:pPr>
        <w:pStyle w:val="BodyText"/>
        <w:tabs>
          <w:tab w:pos="5385" w:val="left" w:leader="none"/>
        </w:tabs>
        <w:spacing w:line="242" w:lineRule="exact"/>
        <w:ind w:left="2466"/>
      </w:pPr>
      <w:r>
        <w:rPr>
          <w:w w:val="120"/>
        </w:rPr>
        <w:t>Elaine</w:t>
      </w:r>
      <w:r>
        <w:rPr>
          <w:spacing w:val="8"/>
          <w:w w:val="120"/>
        </w:rPr>
        <w:t> </w:t>
      </w:r>
      <w:r>
        <w:rPr>
          <w:w w:val="120"/>
        </w:rPr>
        <w:t>Colechin</w:t>
        <w:tab/>
        <w:t>Westminster</w:t>
      </w:r>
      <w:r>
        <w:rPr>
          <w:spacing w:val="2"/>
          <w:w w:val="120"/>
        </w:rPr>
        <w:t> </w:t>
      </w:r>
      <w:r>
        <w:rPr>
          <w:w w:val="120"/>
        </w:rPr>
        <w:t>College</w:t>
      </w:r>
    </w:p>
    <w:p>
      <w:pPr>
        <w:pStyle w:val="BodyText"/>
        <w:spacing w:before="3"/>
        <w:rPr>
          <w:sz w:val="18"/>
        </w:rPr>
      </w:pPr>
    </w:p>
    <w:p>
      <w:pPr>
        <w:pStyle w:val="Heading9"/>
        <w:numPr>
          <w:ilvl w:val="0"/>
          <w:numId w:val="98"/>
        </w:numPr>
        <w:tabs>
          <w:tab w:pos="2121" w:val="left" w:leader="none"/>
        </w:tabs>
        <w:spacing w:line="240" w:lineRule="auto" w:before="0" w:after="0"/>
        <w:ind w:left="2120" w:right="0" w:hanging="336"/>
        <w:jc w:val="left"/>
      </w:pPr>
      <w:r>
        <w:rPr>
          <w:spacing w:val="2"/>
          <w:w w:val="110"/>
        </w:rPr>
        <w:t>North</w:t>
      </w:r>
      <w:r>
        <w:rPr>
          <w:spacing w:val="-1"/>
          <w:w w:val="110"/>
        </w:rPr>
        <w:t> </w:t>
      </w:r>
      <w:r>
        <w:rPr>
          <w:w w:val="110"/>
        </w:rPr>
        <w:t>Western</w:t>
      </w:r>
    </w:p>
    <w:p>
      <w:pPr>
        <w:pStyle w:val="BodyText"/>
        <w:spacing w:before="6"/>
        <w:rPr>
          <w:rFonts w:ascii="Stone Sans II ITC Std Bk"/>
          <w:b/>
          <w:sz w:val="16"/>
        </w:rPr>
      </w:pPr>
    </w:p>
    <w:p>
      <w:pPr>
        <w:spacing w:line="242" w:lineRule="exact" w:before="0"/>
        <w:ind w:left="2466" w:right="0" w:firstLine="0"/>
        <w:jc w:val="left"/>
        <w:rPr>
          <w:i/>
          <w:sz w:val="20"/>
        </w:rPr>
      </w:pPr>
      <w:r>
        <w:rPr>
          <w:i/>
          <w:w w:val="110"/>
          <w:sz w:val="20"/>
        </w:rPr>
        <w:t>Stipendiary</w:t>
      </w:r>
    </w:p>
    <w:p>
      <w:pPr>
        <w:pStyle w:val="BodyText"/>
        <w:tabs>
          <w:tab w:pos="5385" w:val="left" w:leader="none"/>
        </w:tabs>
        <w:spacing w:line="240" w:lineRule="exact"/>
        <w:ind w:left="2466"/>
      </w:pPr>
      <w:r>
        <w:rPr>
          <w:w w:val="120"/>
        </w:rPr>
        <w:t>Samantha</w:t>
      </w:r>
      <w:r>
        <w:rPr>
          <w:spacing w:val="-2"/>
          <w:w w:val="120"/>
        </w:rPr>
        <w:t> </w:t>
      </w:r>
      <w:r>
        <w:rPr>
          <w:w w:val="120"/>
        </w:rPr>
        <w:t>Aspinall</w:t>
        <w:tab/>
        <w:t>Westminster</w:t>
      </w:r>
      <w:r>
        <w:rPr>
          <w:spacing w:val="2"/>
          <w:w w:val="120"/>
        </w:rPr>
        <w:t> </w:t>
      </w:r>
      <w:r>
        <w:rPr>
          <w:w w:val="120"/>
        </w:rPr>
        <w:t>College</w:t>
      </w:r>
    </w:p>
    <w:p>
      <w:pPr>
        <w:pStyle w:val="BodyText"/>
        <w:tabs>
          <w:tab w:pos="5385" w:val="left" w:leader="none"/>
        </w:tabs>
        <w:spacing w:line="240" w:lineRule="exact"/>
        <w:ind w:left="2466"/>
      </w:pPr>
      <w:r>
        <w:rPr>
          <w:w w:val="120"/>
        </w:rPr>
        <w:t>Linda</w:t>
      </w:r>
      <w:r>
        <w:rPr>
          <w:spacing w:val="2"/>
          <w:w w:val="120"/>
        </w:rPr>
        <w:t> </w:t>
      </w:r>
      <w:r>
        <w:rPr>
          <w:w w:val="120"/>
        </w:rPr>
        <w:t>Rayner</w:t>
        <w:tab/>
      </w:r>
      <w:r>
        <w:rPr>
          <w:spacing w:val="2"/>
          <w:w w:val="120"/>
        </w:rPr>
        <w:t>Northern</w:t>
      </w:r>
      <w:r>
        <w:rPr>
          <w:spacing w:val="43"/>
          <w:w w:val="120"/>
        </w:rPr>
        <w:t> </w:t>
      </w:r>
      <w:r>
        <w:rPr>
          <w:w w:val="120"/>
        </w:rPr>
        <w:t>College</w:t>
      </w:r>
    </w:p>
    <w:p>
      <w:pPr>
        <w:pStyle w:val="BodyText"/>
        <w:tabs>
          <w:tab w:pos="5385" w:val="left" w:leader="none"/>
        </w:tabs>
        <w:spacing w:line="240" w:lineRule="exact"/>
        <w:ind w:left="2466"/>
      </w:pPr>
      <w:r>
        <w:rPr>
          <w:w w:val="120"/>
        </w:rPr>
        <w:t>Jim</w:t>
      </w:r>
      <w:r>
        <w:rPr>
          <w:spacing w:val="-9"/>
          <w:w w:val="120"/>
        </w:rPr>
        <w:t> </w:t>
      </w:r>
      <w:r>
        <w:rPr>
          <w:w w:val="120"/>
        </w:rPr>
        <w:t>Williams</w:t>
        <w:tab/>
      </w:r>
      <w:r>
        <w:rPr>
          <w:spacing w:val="2"/>
          <w:w w:val="120"/>
        </w:rPr>
        <w:t>Northern</w:t>
      </w:r>
      <w:r>
        <w:rPr>
          <w:spacing w:val="43"/>
          <w:w w:val="120"/>
        </w:rPr>
        <w:t> </w:t>
      </w:r>
      <w:r>
        <w:rPr>
          <w:w w:val="120"/>
        </w:rPr>
        <w:t>College</w:t>
      </w:r>
    </w:p>
    <w:p>
      <w:pPr>
        <w:pStyle w:val="BodyText"/>
        <w:tabs>
          <w:tab w:pos="5385" w:val="left" w:leader="none"/>
        </w:tabs>
        <w:spacing w:line="240" w:lineRule="exact"/>
        <w:ind w:left="2466"/>
      </w:pPr>
      <w:r>
        <w:rPr>
          <w:w w:val="120"/>
        </w:rPr>
        <w:t>Nick Jones</w:t>
        <w:tab/>
        <w:t>Westminster</w:t>
      </w:r>
      <w:r>
        <w:rPr>
          <w:spacing w:val="2"/>
          <w:w w:val="120"/>
        </w:rPr>
        <w:t> </w:t>
      </w:r>
      <w:r>
        <w:rPr>
          <w:w w:val="120"/>
        </w:rPr>
        <w:t>College</w:t>
      </w:r>
    </w:p>
    <w:p>
      <w:pPr>
        <w:pStyle w:val="BodyText"/>
        <w:tabs>
          <w:tab w:pos="5385" w:val="left" w:leader="none"/>
        </w:tabs>
        <w:spacing w:line="240" w:lineRule="exact"/>
        <w:ind w:left="2466"/>
      </w:pPr>
      <w:r>
        <w:rPr>
          <w:w w:val="120"/>
        </w:rPr>
        <w:t>Daleen</w:t>
      </w:r>
      <w:r>
        <w:rPr>
          <w:spacing w:val="6"/>
          <w:w w:val="120"/>
        </w:rPr>
        <w:t> </w:t>
      </w:r>
      <w:r>
        <w:rPr>
          <w:spacing w:val="-5"/>
          <w:w w:val="120"/>
        </w:rPr>
        <w:t>Ten</w:t>
      </w:r>
      <w:r>
        <w:rPr>
          <w:spacing w:val="7"/>
          <w:w w:val="120"/>
        </w:rPr>
        <w:t> </w:t>
      </w:r>
      <w:r>
        <w:rPr>
          <w:w w:val="120"/>
        </w:rPr>
        <w:t>Cate</w:t>
        <w:tab/>
      </w:r>
      <w:r>
        <w:rPr>
          <w:spacing w:val="2"/>
          <w:w w:val="120"/>
        </w:rPr>
        <w:t>Northern</w:t>
      </w:r>
      <w:r>
        <w:rPr>
          <w:spacing w:val="3"/>
          <w:w w:val="120"/>
        </w:rPr>
        <w:t> </w:t>
      </w:r>
      <w:r>
        <w:rPr>
          <w:w w:val="120"/>
        </w:rPr>
        <w:t>College</w:t>
      </w:r>
    </w:p>
    <w:p>
      <w:pPr>
        <w:pStyle w:val="BodyText"/>
        <w:tabs>
          <w:tab w:pos="5385" w:val="left" w:leader="none"/>
        </w:tabs>
        <w:spacing w:line="242" w:lineRule="exact"/>
        <w:ind w:left="2466"/>
      </w:pPr>
      <w:r>
        <w:rPr>
          <w:w w:val="120"/>
        </w:rPr>
        <w:t>Alison</w:t>
      </w:r>
      <w:r>
        <w:rPr>
          <w:spacing w:val="4"/>
          <w:w w:val="120"/>
        </w:rPr>
        <w:t> </w:t>
      </w:r>
      <w:r>
        <w:rPr>
          <w:w w:val="120"/>
        </w:rPr>
        <w:t>Claire</w:t>
      </w:r>
      <w:r>
        <w:rPr>
          <w:spacing w:val="4"/>
          <w:w w:val="120"/>
        </w:rPr>
        <w:t> </w:t>
      </w:r>
      <w:r>
        <w:rPr>
          <w:w w:val="120"/>
        </w:rPr>
        <w:t>Smith</w:t>
        <w:tab/>
        <w:t>Westminster</w:t>
      </w:r>
      <w:r>
        <w:rPr>
          <w:spacing w:val="3"/>
          <w:w w:val="120"/>
        </w:rPr>
        <w:t> </w:t>
      </w:r>
      <w:r>
        <w:rPr>
          <w:w w:val="120"/>
        </w:rPr>
        <w:t>College</w:t>
      </w:r>
    </w:p>
    <w:p>
      <w:pPr>
        <w:pStyle w:val="BodyText"/>
        <w:spacing w:before="3"/>
        <w:rPr>
          <w:sz w:val="18"/>
        </w:rPr>
      </w:pPr>
    </w:p>
    <w:p>
      <w:pPr>
        <w:pStyle w:val="Heading9"/>
        <w:numPr>
          <w:ilvl w:val="0"/>
          <w:numId w:val="98"/>
        </w:numPr>
        <w:tabs>
          <w:tab w:pos="2120" w:val="left" w:leader="none"/>
        </w:tabs>
        <w:spacing w:line="240" w:lineRule="auto" w:before="1" w:after="0"/>
        <w:ind w:left="2119" w:right="0" w:hanging="335"/>
        <w:jc w:val="left"/>
      </w:pPr>
      <w:r>
        <w:rPr>
          <w:w w:val="110"/>
        </w:rPr>
        <w:t>Mersey</w:t>
      </w:r>
    </w:p>
    <w:p>
      <w:pPr>
        <w:pStyle w:val="BodyText"/>
        <w:spacing w:before="5"/>
        <w:rPr>
          <w:rFonts w:ascii="Stone Sans II ITC Std Bk"/>
          <w:b/>
          <w:sz w:val="16"/>
        </w:rPr>
      </w:pPr>
    </w:p>
    <w:p>
      <w:pPr>
        <w:spacing w:line="242" w:lineRule="exact" w:before="0"/>
        <w:ind w:left="2466" w:right="0" w:firstLine="0"/>
        <w:jc w:val="left"/>
        <w:rPr>
          <w:i/>
          <w:sz w:val="20"/>
        </w:rPr>
      </w:pPr>
      <w:r>
        <w:rPr>
          <w:i/>
          <w:w w:val="110"/>
          <w:sz w:val="20"/>
        </w:rPr>
        <w:t>Stipendiary</w:t>
      </w:r>
    </w:p>
    <w:p>
      <w:pPr>
        <w:pStyle w:val="BodyText"/>
        <w:tabs>
          <w:tab w:pos="5385" w:val="left" w:leader="none"/>
        </w:tabs>
        <w:spacing w:line="240" w:lineRule="exact"/>
        <w:ind w:left="2466"/>
      </w:pPr>
      <w:r>
        <w:rPr>
          <w:w w:val="120"/>
        </w:rPr>
        <w:t>Alison</w:t>
      </w:r>
      <w:r>
        <w:rPr>
          <w:spacing w:val="1"/>
          <w:w w:val="120"/>
        </w:rPr>
        <w:t> </w:t>
      </w:r>
      <w:r>
        <w:rPr>
          <w:w w:val="120"/>
        </w:rPr>
        <w:t>Micklem</w:t>
        <w:tab/>
      </w:r>
      <w:r>
        <w:rPr>
          <w:spacing w:val="2"/>
          <w:w w:val="120"/>
        </w:rPr>
        <w:t>Northern</w:t>
      </w:r>
      <w:r>
        <w:rPr>
          <w:spacing w:val="43"/>
          <w:w w:val="120"/>
        </w:rPr>
        <w:t> </w:t>
      </w:r>
      <w:r>
        <w:rPr>
          <w:w w:val="120"/>
        </w:rPr>
        <w:t>College</w:t>
      </w:r>
    </w:p>
    <w:p>
      <w:pPr>
        <w:pStyle w:val="BodyText"/>
        <w:tabs>
          <w:tab w:pos="5385" w:val="left" w:leader="none"/>
        </w:tabs>
        <w:spacing w:line="235" w:lineRule="auto" w:before="2"/>
        <w:ind w:left="2466" w:right="1055"/>
      </w:pPr>
      <w:r>
        <w:rPr>
          <w:w w:val="120"/>
        </w:rPr>
        <w:t>Diane</w:t>
      </w:r>
      <w:r>
        <w:rPr>
          <w:spacing w:val="-2"/>
          <w:w w:val="120"/>
        </w:rPr>
        <w:t> </w:t>
      </w:r>
      <w:r>
        <w:rPr>
          <w:w w:val="120"/>
        </w:rPr>
        <w:t>Farquhar</w:t>
        <w:tab/>
        <w:t>Scottish </w:t>
      </w:r>
      <w:r>
        <w:rPr>
          <w:spacing w:val="2"/>
          <w:w w:val="120"/>
        </w:rPr>
        <w:t>Congregational </w:t>
      </w:r>
      <w:r>
        <w:rPr>
          <w:w w:val="120"/>
        </w:rPr>
        <w:t>and United </w:t>
      </w:r>
      <w:r>
        <w:rPr>
          <w:spacing w:val="2"/>
          <w:w w:val="120"/>
        </w:rPr>
        <w:t>Reformed </w:t>
      </w:r>
      <w:r>
        <w:rPr>
          <w:w w:val="120"/>
        </w:rPr>
        <w:t>College Angela</w:t>
      </w:r>
      <w:r>
        <w:rPr>
          <w:spacing w:val="15"/>
          <w:w w:val="120"/>
        </w:rPr>
        <w:t> </w:t>
      </w:r>
      <w:r>
        <w:rPr>
          <w:w w:val="120"/>
        </w:rPr>
        <w:t>Rigby</w:t>
        <w:tab/>
      </w:r>
      <w:r>
        <w:rPr>
          <w:spacing w:val="2"/>
          <w:w w:val="120"/>
        </w:rPr>
        <w:t>Northern </w:t>
      </w:r>
      <w:r>
        <w:rPr>
          <w:w w:val="120"/>
        </w:rPr>
        <w:t>College</w:t>
      </w:r>
    </w:p>
    <w:p>
      <w:pPr>
        <w:pStyle w:val="BodyText"/>
        <w:spacing w:before="5"/>
        <w:rPr>
          <w:sz w:val="18"/>
        </w:rPr>
      </w:pPr>
    </w:p>
    <w:p>
      <w:pPr>
        <w:pStyle w:val="Heading9"/>
        <w:numPr>
          <w:ilvl w:val="0"/>
          <w:numId w:val="98"/>
        </w:numPr>
        <w:tabs>
          <w:tab w:pos="2129" w:val="left" w:leader="none"/>
        </w:tabs>
        <w:spacing w:line="240" w:lineRule="auto" w:before="1" w:after="0"/>
        <w:ind w:left="2128" w:right="0" w:hanging="344"/>
        <w:jc w:val="left"/>
      </w:pPr>
      <w:r>
        <w:rPr>
          <w:w w:val="110"/>
        </w:rPr>
        <w:t>Yorkshire</w:t>
      </w:r>
    </w:p>
    <w:p>
      <w:pPr>
        <w:pStyle w:val="BodyText"/>
        <w:spacing w:before="5"/>
        <w:rPr>
          <w:rFonts w:ascii="Stone Sans II ITC Std Bk"/>
          <w:b/>
          <w:sz w:val="16"/>
        </w:rPr>
      </w:pPr>
    </w:p>
    <w:p>
      <w:pPr>
        <w:spacing w:line="242" w:lineRule="exact" w:before="0"/>
        <w:ind w:left="2466" w:right="0" w:firstLine="0"/>
        <w:jc w:val="left"/>
        <w:rPr>
          <w:i/>
          <w:sz w:val="20"/>
        </w:rPr>
      </w:pPr>
      <w:r>
        <w:rPr>
          <w:i/>
          <w:w w:val="115"/>
          <w:sz w:val="20"/>
        </w:rPr>
        <w:t>CRCW</w:t>
      </w:r>
    </w:p>
    <w:p>
      <w:pPr>
        <w:pStyle w:val="BodyText"/>
        <w:tabs>
          <w:tab w:pos="5385" w:val="left" w:leader="none"/>
        </w:tabs>
        <w:spacing w:line="242" w:lineRule="exact"/>
        <w:ind w:left="2466"/>
      </w:pPr>
      <w:r>
        <w:rPr>
          <w:w w:val="120"/>
        </w:rPr>
        <w:t>Lisa</w:t>
      </w:r>
      <w:r>
        <w:rPr>
          <w:spacing w:val="1"/>
          <w:w w:val="120"/>
        </w:rPr>
        <w:t> </w:t>
      </w:r>
      <w:r>
        <w:rPr>
          <w:w w:val="120"/>
        </w:rPr>
        <w:t>Marie</w:t>
      </w:r>
      <w:r>
        <w:rPr>
          <w:spacing w:val="1"/>
          <w:w w:val="120"/>
        </w:rPr>
        <w:t> </w:t>
      </w:r>
      <w:r>
        <w:rPr>
          <w:w w:val="120"/>
        </w:rPr>
        <w:t>Wigfield</w:t>
        <w:tab/>
      </w:r>
      <w:r>
        <w:rPr>
          <w:spacing w:val="2"/>
          <w:w w:val="120"/>
        </w:rPr>
        <w:t>Northern</w:t>
      </w:r>
      <w:r>
        <w:rPr>
          <w:spacing w:val="3"/>
          <w:w w:val="120"/>
        </w:rPr>
        <w:t> </w:t>
      </w:r>
      <w:r>
        <w:rPr>
          <w:w w:val="120"/>
        </w:rPr>
        <w:t>College</w:t>
      </w:r>
    </w:p>
    <w:p>
      <w:pPr>
        <w:pStyle w:val="BodyText"/>
        <w:spacing w:before="4"/>
        <w:rPr>
          <w:sz w:val="19"/>
        </w:rPr>
      </w:pPr>
    </w:p>
    <w:p>
      <w:pPr>
        <w:spacing w:line="242" w:lineRule="exact" w:before="0"/>
        <w:ind w:left="2466" w:right="0" w:firstLine="0"/>
        <w:jc w:val="left"/>
        <w:rPr>
          <w:i/>
          <w:sz w:val="20"/>
        </w:rPr>
      </w:pPr>
      <w:r>
        <w:rPr>
          <w:i/>
          <w:w w:val="110"/>
          <w:sz w:val="20"/>
        </w:rPr>
        <w:t>Non-Stipendiary</w:t>
      </w:r>
    </w:p>
    <w:p>
      <w:pPr>
        <w:pStyle w:val="BodyText"/>
        <w:tabs>
          <w:tab w:pos="5385" w:val="left" w:leader="none"/>
        </w:tabs>
        <w:spacing w:line="242" w:lineRule="exact"/>
        <w:ind w:left="2466"/>
      </w:pPr>
      <w:r>
        <w:rPr>
          <w:w w:val="120"/>
        </w:rPr>
        <w:t>Angela</w:t>
      </w:r>
      <w:r>
        <w:rPr>
          <w:spacing w:val="9"/>
          <w:w w:val="120"/>
        </w:rPr>
        <w:t> </w:t>
      </w:r>
      <w:r>
        <w:rPr>
          <w:w w:val="120"/>
        </w:rPr>
        <w:t>Lawson</w:t>
        <w:tab/>
      </w:r>
      <w:r>
        <w:rPr>
          <w:spacing w:val="2"/>
          <w:w w:val="120"/>
        </w:rPr>
        <w:t>Northern</w:t>
      </w:r>
      <w:r>
        <w:rPr>
          <w:spacing w:val="3"/>
          <w:w w:val="120"/>
        </w:rPr>
        <w:t> </w:t>
      </w:r>
      <w:r>
        <w:rPr>
          <w:w w:val="120"/>
        </w:rPr>
        <w:t>College</w:t>
      </w:r>
    </w:p>
    <w:p>
      <w:pPr>
        <w:pStyle w:val="BodyText"/>
        <w:spacing w:before="4"/>
        <w:rPr>
          <w:sz w:val="19"/>
        </w:rPr>
      </w:pPr>
    </w:p>
    <w:p>
      <w:pPr>
        <w:spacing w:line="242" w:lineRule="exact" w:before="0"/>
        <w:ind w:left="2466" w:right="0" w:firstLine="0"/>
        <w:jc w:val="left"/>
        <w:rPr>
          <w:i/>
          <w:sz w:val="20"/>
        </w:rPr>
      </w:pPr>
      <w:r>
        <w:rPr>
          <w:i/>
          <w:w w:val="110"/>
          <w:sz w:val="20"/>
        </w:rPr>
        <w:t>Stipendiary</w:t>
      </w:r>
    </w:p>
    <w:p>
      <w:pPr>
        <w:pStyle w:val="BodyText"/>
        <w:tabs>
          <w:tab w:pos="5385" w:val="left" w:leader="none"/>
        </w:tabs>
        <w:spacing w:line="242" w:lineRule="exact"/>
        <w:ind w:left="2466"/>
      </w:pPr>
      <w:r>
        <w:rPr>
          <w:w w:val="120"/>
        </w:rPr>
        <w:t>Catherine</w:t>
      </w:r>
      <w:r>
        <w:rPr>
          <w:spacing w:val="4"/>
          <w:w w:val="120"/>
        </w:rPr>
        <w:t> </w:t>
      </w:r>
      <w:r>
        <w:rPr>
          <w:w w:val="120"/>
        </w:rPr>
        <w:t>Lewis-Smith</w:t>
        <w:tab/>
        <w:t>Westminster</w:t>
      </w:r>
      <w:r>
        <w:rPr>
          <w:spacing w:val="2"/>
          <w:w w:val="120"/>
        </w:rPr>
        <w:t> </w:t>
      </w:r>
      <w:r>
        <w:rPr>
          <w:w w:val="120"/>
        </w:rPr>
        <w:t>College</w:t>
      </w:r>
    </w:p>
    <w:p>
      <w:pPr>
        <w:pStyle w:val="BodyText"/>
        <w:spacing w:before="4"/>
        <w:rPr>
          <w:sz w:val="18"/>
        </w:rPr>
      </w:pPr>
    </w:p>
    <w:p>
      <w:pPr>
        <w:pStyle w:val="Heading9"/>
        <w:numPr>
          <w:ilvl w:val="0"/>
          <w:numId w:val="98"/>
        </w:numPr>
        <w:tabs>
          <w:tab w:pos="2122" w:val="left" w:leader="none"/>
        </w:tabs>
        <w:spacing w:line="240" w:lineRule="auto" w:before="0" w:after="0"/>
        <w:ind w:left="2121" w:right="0" w:hanging="337"/>
        <w:jc w:val="left"/>
      </w:pPr>
      <w:r>
        <w:rPr>
          <w:w w:val="110"/>
        </w:rPr>
        <w:t>East</w:t>
      </w:r>
      <w:r>
        <w:rPr>
          <w:spacing w:val="-1"/>
          <w:w w:val="110"/>
        </w:rPr>
        <w:t> </w:t>
      </w:r>
      <w:r>
        <w:rPr>
          <w:w w:val="110"/>
        </w:rPr>
        <w:t>Midlands</w:t>
      </w:r>
    </w:p>
    <w:p>
      <w:pPr>
        <w:pStyle w:val="BodyText"/>
        <w:spacing w:before="6"/>
        <w:rPr>
          <w:rFonts w:ascii="Stone Sans II ITC Std Bk"/>
          <w:b/>
          <w:sz w:val="16"/>
        </w:rPr>
      </w:pPr>
    </w:p>
    <w:p>
      <w:pPr>
        <w:spacing w:line="242" w:lineRule="exact" w:before="0"/>
        <w:ind w:left="2466" w:right="0" w:firstLine="0"/>
        <w:jc w:val="left"/>
        <w:rPr>
          <w:i/>
          <w:sz w:val="20"/>
        </w:rPr>
      </w:pPr>
      <w:r>
        <w:rPr>
          <w:i/>
          <w:w w:val="110"/>
          <w:sz w:val="20"/>
        </w:rPr>
        <w:t>Stipendiary</w:t>
      </w:r>
    </w:p>
    <w:p>
      <w:pPr>
        <w:pStyle w:val="BodyText"/>
        <w:tabs>
          <w:tab w:pos="5385" w:val="left" w:leader="none"/>
        </w:tabs>
        <w:spacing w:line="240" w:lineRule="exact"/>
        <w:ind w:left="2466"/>
      </w:pPr>
      <w:r>
        <w:rPr>
          <w:w w:val="120"/>
        </w:rPr>
        <w:t>Liz</w:t>
      </w:r>
      <w:r>
        <w:rPr>
          <w:spacing w:val="5"/>
          <w:w w:val="120"/>
        </w:rPr>
        <w:t> </w:t>
      </w:r>
      <w:r>
        <w:rPr>
          <w:w w:val="120"/>
        </w:rPr>
        <w:t>Adams</w:t>
        <w:tab/>
      </w:r>
      <w:r>
        <w:rPr>
          <w:spacing w:val="2"/>
          <w:w w:val="120"/>
        </w:rPr>
        <w:t>Northern</w:t>
      </w:r>
      <w:r>
        <w:rPr>
          <w:spacing w:val="3"/>
          <w:w w:val="120"/>
        </w:rPr>
        <w:t> </w:t>
      </w:r>
      <w:r>
        <w:rPr>
          <w:w w:val="120"/>
        </w:rPr>
        <w:t>College</w:t>
      </w:r>
    </w:p>
    <w:p>
      <w:pPr>
        <w:pStyle w:val="BodyText"/>
        <w:tabs>
          <w:tab w:pos="5385" w:val="left" w:leader="none"/>
        </w:tabs>
        <w:spacing w:line="242" w:lineRule="exact"/>
        <w:ind w:left="2466"/>
      </w:pPr>
      <w:r>
        <w:rPr>
          <w:w w:val="120"/>
        </w:rPr>
        <w:t>Henriette</w:t>
      </w:r>
      <w:r>
        <w:rPr>
          <w:spacing w:val="-4"/>
          <w:w w:val="120"/>
        </w:rPr>
        <w:t> </w:t>
      </w:r>
      <w:r>
        <w:rPr>
          <w:w w:val="120"/>
        </w:rPr>
        <w:t>Wentink</w:t>
        <w:tab/>
        <w:t>Westminster</w:t>
      </w:r>
      <w:r>
        <w:rPr>
          <w:spacing w:val="2"/>
          <w:w w:val="120"/>
        </w:rPr>
        <w:t> </w:t>
      </w:r>
      <w:r>
        <w:rPr>
          <w:w w:val="120"/>
        </w:rPr>
        <w:t>College</w:t>
      </w:r>
    </w:p>
    <w:p>
      <w:pPr>
        <w:pStyle w:val="BodyText"/>
        <w:spacing w:before="3"/>
        <w:rPr>
          <w:sz w:val="18"/>
        </w:rPr>
      </w:pPr>
    </w:p>
    <w:p>
      <w:pPr>
        <w:pStyle w:val="Heading9"/>
        <w:numPr>
          <w:ilvl w:val="0"/>
          <w:numId w:val="98"/>
        </w:numPr>
        <w:tabs>
          <w:tab w:pos="2128" w:val="left" w:leader="none"/>
        </w:tabs>
        <w:spacing w:line="240" w:lineRule="auto" w:before="0" w:after="0"/>
        <w:ind w:left="2127" w:right="0" w:hanging="343"/>
        <w:jc w:val="left"/>
      </w:pPr>
      <w:r>
        <w:rPr>
          <w:w w:val="110"/>
        </w:rPr>
        <w:t>West</w:t>
      </w:r>
      <w:r>
        <w:rPr>
          <w:spacing w:val="-1"/>
          <w:w w:val="110"/>
        </w:rPr>
        <w:t> </w:t>
      </w:r>
      <w:r>
        <w:rPr>
          <w:w w:val="110"/>
        </w:rPr>
        <w:t>Midlands</w:t>
      </w:r>
    </w:p>
    <w:p>
      <w:pPr>
        <w:pStyle w:val="BodyText"/>
        <w:spacing w:before="6"/>
        <w:rPr>
          <w:rFonts w:ascii="Stone Sans II ITC Std Bk"/>
          <w:b/>
          <w:sz w:val="16"/>
        </w:rPr>
      </w:pPr>
    </w:p>
    <w:p>
      <w:pPr>
        <w:spacing w:line="242" w:lineRule="exact" w:before="0"/>
        <w:ind w:left="2466" w:right="0" w:firstLine="0"/>
        <w:jc w:val="left"/>
        <w:rPr>
          <w:i/>
          <w:sz w:val="20"/>
        </w:rPr>
      </w:pPr>
      <w:r>
        <w:rPr>
          <w:i/>
          <w:w w:val="115"/>
          <w:sz w:val="20"/>
        </w:rPr>
        <w:t>CRCW</w:t>
      </w:r>
    </w:p>
    <w:p>
      <w:pPr>
        <w:pStyle w:val="BodyText"/>
        <w:tabs>
          <w:tab w:pos="5385" w:val="left" w:leader="none"/>
        </w:tabs>
        <w:spacing w:line="240" w:lineRule="exact"/>
        <w:ind w:left="2466"/>
      </w:pPr>
      <w:r>
        <w:rPr>
          <w:w w:val="120"/>
        </w:rPr>
        <w:t>Kirsty</w:t>
      </w:r>
      <w:r>
        <w:rPr>
          <w:spacing w:val="5"/>
          <w:w w:val="120"/>
        </w:rPr>
        <w:t> </w:t>
      </w:r>
      <w:r>
        <w:rPr>
          <w:w w:val="120"/>
        </w:rPr>
        <w:t>Mabbott</w:t>
        <w:tab/>
      </w:r>
      <w:r>
        <w:rPr>
          <w:spacing w:val="2"/>
          <w:w w:val="120"/>
        </w:rPr>
        <w:t>Northern</w:t>
      </w:r>
      <w:r>
        <w:rPr>
          <w:spacing w:val="45"/>
          <w:w w:val="120"/>
        </w:rPr>
        <w:t> </w:t>
      </w:r>
      <w:r>
        <w:rPr>
          <w:w w:val="120"/>
        </w:rPr>
        <w:t>College</w:t>
      </w:r>
    </w:p>
    <w:p>
      <w:pPr>
        <w:pStyle w:val="BodyText"/>
        <w:tabs>
          <w:tab w:pos="5385" w:val="left" w:leader="none"/>
        </w:tabs>
        <w:spacing w:line="242" w:lineRule="exact"/>
        <w:ind w:left="2466"/>
      </w:pPr>
      <w:r>
        <w:rPr>
          <w:w w:val="125"/>
        </w:rPr>
        <w:t>Vicky</w:t>
      </w:r>
      <w:r>
        <w:rPr>
          <w:spacing w:val="-1"/>
          <w:w w:val="125"/>
        </w:rPr>
        <w:t> </w:t>
      </w:r>
      <w:r>
        <w:rPr>
          <w:w w:val="125"/>
        </w:rPr>
        <w:t>Longbone</w:t>
        <w:tab/>
      </w:r>
      <w:r>
        <w:rPr>
          <w:spacing w:val="2"/>
          <w:w w:val="125"/>
        </w:rPr>
        <w:t>Northern</w:t>
      </w:r>
      <w:r>
        <w:rPr>
          <w:spacing w:val="-26"/>
          <w:w w:val="125"/>
        </w:rPr>
        <w:t> </w:t>
      </w:r>
      <w:r>
        <w:rPr>
          <w:w w:val="125"/>
        </w:rPr>
        <w:t>College</w:t>
      </w:r>
    </w:p>
    <w:p>
      <w:pPr>
        <w:pStyle w:val="BodyText"/>
        <w:spacing w:before="4"/>
        <w:rPr>
          <w:sz w:val="19"/>
        </w:rPr>
      </w:pPr>
    </w:p>
    <w:p>
      <w:pPr>
        <w:spacing w:line="242" w:lineRule="exact" w:before="0"/>
        <w:ind w:left="2466" w:right="0" w:firstLine="0"/>
        <w:jc w:val="left"/>
        <w:rPr>
          <w:i/>
          <w:sz w:val="20"/>
        </w:rPr>
      </w:pPr>
      <w:r>
        <w:rPr>
          <w:i/>
          <w:w w:val="110"/>
          <w:sz w:val="20"/>
        </w:rPr>
        <w:t>Non-Stipendiary</w:t>
      </w:r>
    </w:p>
    <w:p>
      <w:pPr>
        <w:pStyle w:val="BodyText"/>
        <w:tabs>
          <w:tab w:pos="5385" w:val="left" w:leader="none"/>
        </w:tabs>
        <w:spacing w:line="240" w:lineRule="exact"/>
        <w:ind w:left="2466"/>
      </w:pPr>
      <w:r>
        <w:rPr>
          <w:w w:val="120"/>
        </w:rPr>
        <w:t>Peter Kimberley</w:t>
        <w:tab/>
      </w:r>
      <w:r>
        <w:rPr>
          <w:spacing w:val="2"/>
          <w:w w:val="120"/>
        </w:rPr>
        <w:t>Northern</w:t>
      </w:r>
      <w:r>
        <w:rPr>
          <w:spacing w:val="43"/>
          <w:w w:val="120"/>
        </w:rPr>
        <w:t> </w:t>
      </w:r>
      <w:r>
        <w:rPr>
          <w:w w:val="120"/>
        </w:rPr>
        <w:t>College</w:t>
      </w:r>
    </w:p>
    <w:p>
      <w:pPr>
        <w:pStyle w:val="BodyText"/>
        <w:tabs>
          <w:tab w:pos="5385" w:val="left" w:leader="none"/>
        </w:tabs>
        <w:spacing w:line="242" w:lineRule="exact"/>
        <w:ind w:left="2466"/>
      </w:pPr>
      <w:r>
        <w:rPr>
          <w:w w:val="120"/>
        </w:rPr>
        <w:t>Elaine</w:t>
      </w:r>
      <w:r>
        <w:rPr>
          <w:spacing w:val="3"/>
          <w:w w:val="120"/>
        </w:rPr>
        <w:t> </w:t>
      </w:r>
      <w:r>
        <w:rPr>
          <w:w w:val="120"/>
        </w:rPr>
        <w:t>Hutchinson</w:t>
        <w:tab/>
      </w:r>
      <w:r>
        <w:rPr>
          <w:spacing w:val="2"/>
          <w:w w:val="120"/>
        </w:rPr>
        <w:t>Northern</w:t>
      </w:r>
      <w:r>
        <w:rPr>
          <w:spacing w:val="43"/>
          <w:w w:val="120"/>
        </w:rPr>
        <w:t> </w:t>
      </w:r>
      <w:r>
        <w:rPr>
          <w:w w:val="120"/>
        </w:rPr>
        <w:t>College</w:t>
      </w:r>
    </w:p>
    <w:p>
      <w:pPr>
        <w:pStyle w:val="BodyText"/>
        <w:spacing w:before="4"/>
        <w:rPr>
          <w:sz w:val="19"/>
        </w:rPr>
      </w:pPr>
    </w:p>
    <w:p>
      <w:pPr>
        <w:spacing w:line="242" w:lineRule="exact" w:before="0"/>
        <w:ind w:left="2466" w:right="0" w:firstLine="0"/>
        <w:jc w:val="left"/>
        <w:rPr>
          <w:i/>
          <w:sz w:val="20"/>
        </w:rPr>
      </w:pPr>
      <w:r>
        <w:rPr>
          <w:i/>
          <w:w w:val="110"/>
          <w:sz w:val="20"/>
        </w:rPr>
        <w:t>Stipendiary</w:t>
      </w:r>
    </w:p>
    <w:p>
      <w:pPr>
        <w:pStyle w:val="BodyText"/>
        <w:tabs>
          <w:tab w:pos="5385" w:val="left" w:leader="none"/>
        </w:tabs>
        <w:spacing w:line="240" w:lineRule="exact"/>
        <w:ind w:left="2466"/>
      </w:pPr>
      <w:r>
        <w:rPr>
          <w:w w:val="125"/>
        </w:rPr>
        <w:t>Chris</w:t>
      </w:r>
      <w:r>
        <w:rPr>
          <w:spacing w:val="-1"/>
          <w:w w:val="125"/>
        </w:rPr>
        <w:t> </w:t>
      </w:r>
      <w:r>
        <w:rPr>
          <w:w w:val="125"/>
        </w:rPr>
        <w:t>Dowd</w:t>
        <w:tab/>
        <w:t>Westminster</w:t>
      </w:r>
      <w:r>
        <w:rPr>
          <w:spacing w:val="-2"/>
          <w:w w:val="125"/>
        </w:rPr>
        <w:t> </w:t>
      </w:r>
      <w:r>
        <w:rPr>
          <w:w w:val="125"/>
        </w:rPr>
        <w:t>College</w:t>
      </w:r>
    </w:p>
    <w:p>
      <w:pPr>
        <w:pStyle w:val="BodyText"/>
        <w:tabs>
          <w:tab w:pos="5385" w:val="left" w:leader="none"/>
        </w:tabs>
        <w:spacing w:line="242" w:lineRule="exact"/>
        <w:ind w:left="2466"/>
      </w:pPr>
      <w:r>
        <w:rPr>
          <w:w w:val="120"/>
        </w:rPr>
        <w:t>Zaidie</w:t>
      </w:r>
      <w:r>
        <w:rPr>
          <w:spacing w:val="12"/>
          <w:w w:val="120"/>
        </w:rPr>
        <w:t> </w:t>
      </w:r>
      <w:r>
        <w:rPr>
          <w:w w:val="120"/>
        </w:rPr>
        <w:t>Orr</w:t>
        <w:tab/>
      </w:r>
      <w:r>
        <w:rPr>
          <w:spacing w:val="2"/>
          <w:w w:val="120"/>
        </w:rPr>
        <w:t>Northern </w:t>
      </w:r>
      <w:r>
        <w:rPr>
          <w:w w:val="120"/>
        </w:rPr>
        <w:t>College</w:t>
      </w:r>
    </w:p>
    <w:p>
      <w:pPr>
        <w:spacing w:after="0" w:line="242" w:lineRule="exact"/>
        <w:sectPr>
          <w:headerReference w:type="default" r:id="rId395"/>
          <w:pgSz w:w="11910" w:h="16840"/>
          <w:pgMar w:header="0" w:footer="647" w:top="0" w:bottom="840" w:left="0" w:right="0"/>
        </w:sectPr>
      </w:pPr>
    </w:p>
    <w:p>
      <w:pPr>
        <w:pStyle w:val="BodyText"/>
      </w:pPr>
      <w:r>
        <w:rPr/>
        <w:drawing>
          <wp:anchor distT="0" distB="0" distL="0" distR="0" allowOverlap="1" layoutInCell="1" locked="0" behindDoc="0" simplePos="0" relativeHeight="252098560">
            <wp:simplePos x="0" y="0"/>
            <wp:positionH relativeFrom="page">
              <wp:posOffset>0</wp:posOffset>
            </wp:positionH>
            <wp:positionV relativeFrom="page">
              <wp:posOffset>0</wp:posOffset>
            </wp:positionV>
            <wp:extent cx="594067" cy="10692003"/>
            <wp:effectExtent l="0" t="0" r="0" b="0"/>
            <wp:wrapNone/>
            <wp:docPr id="321" name="image32.png"/>
            <wp:cNvGraphicFramePr>
              <a:graphicFrameLocks noChangeAspect="1"/>
            </wp:cNvGraphicFramePr>
            <a:graphic>
              <a:graphicData uri="http://schemas.openxmlformats.org/drawingml/2006/picture">
                <pic:pic>
                  <pic:nvPicPr>
                    <pic:cNvPr id="322" name="image32.png"/>
                    <pic:cNvPicPr/>
                  </pic:nvPicPr>
                  <pic:blipFill>
                    <a:blip r:embed="rId362"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shape style="position:absolute;margin-left:20.519100pt;margin-top:22.593945pt;width:25.9pt;height:379.15pt;mso-position-horizontal-relative:page;mso-position-vertical-relative:paragraph;z-index:252099584" type="#_x0000_t202" filled="false" stroked="false">
            <v:textbox inset="0,0,0,0" style="layout-flow:vertical">
              <w:txbxContent>
                <w:p>
                  <w:pPr>
                    <w:spacing w:before="27"/>
                    <w:ind w:left="20" w:right="0" w:firstLine="0"/>
                    <w:jc w:val="left"/>
                    <w:rPr>
                      <w:sz w:val="39"/>
                    </w:rPr>
                  </w:pPr>
                  <w:r>
                    <w:rPr>
                      <w:color w:val="FFFFFF"/>
                      <w:w w:val="125"/>
                      <w:sz w:val="39"/>
                    </w:rPr>
                    <w:t>Education and learning – </w:t>
                  </w:r>
                  <w:r>
                    <w:rPr>
                      <w:w w:val="125"/>
                      <w:sz w:val="39"/>
                    </w:rPr>
                    <w:t>Appendix 2</w:t>
                  </w:r>
                </w:p>
              </w:txbxContent>
            </v:textbox>
            <w10:wrap type="none"/>
          </v:shape>
        </w:pict>
      </w:r>
      <w:r>
        <w:rPr>
          <w:color w:val="7EAABF"/>
          <w:w w:val="115"/>
        </w:rPr>
        <w:t>Education and learning</w:t>
      </w:r>
    </w:p>
    <w:p>
      <w:pPr>
        <w:pStyle w:val="Heading9"/>
        <w:numPr>
          <w:ilvl w:val="0"/>
          <w:numId w:val="98"/>
        </w:numPr>
        <w:tabs>
          <w:tab w:pos="1579" w:val="left" w:leader="none"/>
        </w:tabs>
        <w:spacing w:line="240" w:lineRule="auto" w:before="205" w:after="0"/>
        <w:ind w:left="1578" w:right="0" w:hanging="332"/>
        <w:jc w:val="left"/>
      </w:pPr>
      <w:r>
        <w:rPr>
          <w:w w:val="110"/>
        </w:rPr>
        <w:t>Eastern</w:t>
      </w:r>
    </w:p>
    <w:p>
      <w:pPr>
        <w:pStyle w:val="BodyText"/>
        <w:spacing w:before="6"/>
        <w:rPr>
          <w:rFonts w:ascii="Stone Sans II ITC Std Bk"/>
          <w:b/>
          <w:sz w:val="16"/>
        </w:rPr>
      </w:pPr>
    </w:p>
    <w:p>
      <w:pPr>
        <w:spacing w:line="242" w:lineRule="exact" w:before="0"/>
        <w:ind w:left="1927" w:right="0" w:firstLine="0"/>
        <w:jc w:val="left"/>
        <w:rPr>
          <w:i/>
          <w:sz w:val="20"/>
        </w:rPr>
      </w:pPr>
      <w:r>
        <w:rPr>
          <w:i/>
          <w:w w:val="110"/>
          <w:sz w:val="20"/>
        </w:rPr>
        <w:t>Stipendiary</w:t>
      </w:r>
    </w:p>
    <w:p>
      <w:pPr>
        <w:pStyle w:val="BodyText"/>
        <w:tabs>
          <w:tab w:pos="4847" w:val="left" w:leader="none"/>
        </w:tabs>
        <w:spacing w:line="240" w:lineRule="exact"/>
        <w:ind w:left="1927"/>
      </w:pPr>
      <w:r>
        <w:rPr>
          <w:w w:val="120"/>
        </w:rPr>
        <w:t>Bruno</w:t>
      </w:r>
      <w:r>
        <w:rPr>
          <w:spacing w:val="6"/>
          <w:w w:val="120"/>
        </w:rPr>
        <w:t> </w:t>
      </w:r>
      <w:r>
        <w:rPr>
          <w:w w:val="120"/>
        </w:rPr>
        <w:t>Boldrini</w:t>
        <w:tab/>
        <w:t>Westminster</w:t>
      </w:r>
      <w:r>
        <w:rPr>
          <w:spacing w:val="8"/>
          <w:w w:val="120"/>
        </w:rPr>
        <w:t> </w:t>
      </w:r>
      <w:r>
        <w:rPr>
          <w:w w:val="120"/>
        </w:rPr>
        <w:t>College</w:t>
      </w:r>
    </w:p>
    <w:p>
      <w:pPr>
        <w:pStyle w:val="BodyText"/>
        <w:tabs>
          <w:tab w:pos="4847" w:val="left" w:leader="none"/>
        </w:tabs>
        <w:spacing w:line="240" w:lineRule="exact"/>
        <w:ind w:left="1927"/>
      </w:pPr>
      <w:r>
        <w:rPr>
          <w:w w:val="120"/>
        </w:rPr>
        <w:t>Gillian</w:t>
      </w:r>
      <w:r>
        <w:rPr>
          <w:spacing w:val="8"/>
          <w:w w:val="120"/>
        </w:rPr>
        <w:t> </w:t>
      </w:r>
      <w:r>
        <w:rPr>
          <w:w w:val="120"/>
        </w:rPr>
        <w:t>Thomson</w:t>
        <w:tab/>
        <w:t>Westminster</w:t>
      </w:r>
      <w:r>
        <w:rPr>
          <w:spacing w:val="7"/>
          <w:w w:val="120"/>
        </w:rPr>
        <w:t> </w:t>
      </w:r>
      <w:r>
        <w:rPr>
          <w:w w:val="120"/>
        </w:rPr>
        <w:t>College</w:t>
      </w:r>
    </w:p>
    <w:p>
      <w:pPr>
        <w:pStyle w:val="BodyText"/>
        <w:tabs>
          <w:tab w:pos="4847" w:val="left" w:leader="none"/>
        </w:tabs>
        <w:spacing w:line="240" w:lineRule="exact"/>
        <w:ind w:left="1927"/>
      </w:pPr>
      <w:r>
        <w:rPr>
          <w:spacing w:val="3"/>
          <w:w w:val="120"/>
        </w:rPr>
        <w:t>Bryn</w:t>
      </w:r>
      <w:r>
        <w:rPr>
          <w:spacing w:val="-2"/>
          <w:w w:val="120"/>
        </w:rPr>
        <w:t> </w:t>
      </w:r>
      <w:r>
        <w:rPr>
          <w:w w:val="120"/>
        </w:rPr>
        <w:t>Rickards</w:t>
        <w:tab/>
        <w:t>Westminster</w:t>
      </w:r>
      <w:r>
        <w:rPr>
          <w:spacing w:val="7"/>
          <w:w w:val="120"/>
        </w:rPr>
        <w:t> </w:t>
      </w:r>
      <w:r>
        <w:rPr>
          <w:w w:val="120"/>
        </w:rPr>
        <w:t>College</w:t>
      </w:r>
    </w:p>
    <w:p>
      <w:pPr>
        <w:pStyle w:val="BodyText"/>
        <w:tabs>
          <w:tab w:pos="4847" w:val="left" w:leader="none"/>
        </w:tabs>
        <w:spacing w:line="242" w:lineRule="exact"/>
        <w:ind w:left="1927"/>
      </w:pPr>
      <w:r>
        <w:rPr>
          <w:w w:val="120"/>
        </w:rPr>
        <w:t>Martin</w:t>
      </w:r>
      <w:r>
        <w:rPr>
          <w:spacing w:val="2"/>
          <w:w w:val="120"/>
        </w:rPr>
        <w:t> </w:t>
      </w:r>
      <w:r>
        <w:rPr>
          <w:w w:val="120"/>
        </w:rPr>
        <w:t>Belgrove</w:t>
        <w:tab/>
        <w:t>Westminster</w:t>
      </w:r>
      <w:r>
        <w:rPr>
          <w:spacing w:val="8"/>
          <w:w w:val="120"/>
        </w:rPr>
        <w:t> </w:t>
      </w:r>
      <w:r>
        <w:rPr>
          <w:w w:val="120"/>
        </w:rPr>
        <w:t>College</w:t>
      </w:r>
    </w:p>
    <w:p>
      <w:pPr>
        <w:pStyle w:val="BodyText"/>
        <w:spacing w:before="3"/>
        <w:rPr>
          <w:sz w:val="18"/>
        </w:rPr>
      </w:pPr>
    </w:p>
    <w:p>
      <w:pPr>
        <w:pStyle w:val="Heading9"/>
        <w:numPr>
          <w:ilvl w:val="0"/>
          <w:numId w:val="98"/>
        </w:numPr>
        <w:tabs>
          <w:tab w:pos="1589" w:val="left" w:leader="none"/>
        </w:tabs>
        <w:spacing w:line="240" w:lineRule="auto" w:before="1" w:after="0"/>
        <w:ind w:left="1588" w:right="0" w:hanging="342"/>
        <w:jc w:val="left"/>
      </w:pPr>
      <w:r>
        <w:rPr>
          <w:w w:val="110"/>
        </w:rPr>
        <w:t>South</w:t>
      </w:r>
      <w:r>
        <w:rPr>
          <w:spacing w:val="-1"/>
          <w:w w:val="110"/>
        </w:rPr>
        <w:t> </w:t>
      </w:r>
      <w:r>
        <w:rPr>
          <w:w w:val="110"/>
        </w:rPr>
        <w:t>Western</w:t>
      </w:r>
    </w:p>
    <w:p>
      <w:pPr>
        <w:pStyle w:val="BodyText"/>
        <w:spacing w:before="5"/>
        <w:rPr>
          <w:rFonts w:ascii="Stone Sans II ITC Std Bk"/>
          <w:b/>
          <w:sz w:val="16"/>
        </w:rPr>
      </w:pPr>
    </w:p>
    <w:p>
      <w:pPr>
        <w:spacing w:line="242" w:lineRule="exact" w:before="0"/>
        <w:ind w:left="1927" w:right="0" w:firstLine="0"/>
        <w:jc w:val="left"/>
        <w:rPr>
          <w:i/>
          <w:sz w:val="20"/>
        </w:rPr>
      </w:pPr>
      <w:r>
        <w:rPr>
          <w:i/>
          <w:w w:val="110"/>
          <w:sz w:val="20"/>
        </w:rPr>
        <w:t>Stipendiary</w:t>
      </w:r>
    </w:p>
    <w:p>
      <w:pPr>
        <w:pStyle w:val="BodyText"/>
        <w:tabs>
          <w:tab w:pos="4847" w:val="left" w:leader="none"/>
        </w:tabs>
        <w:spacing w:line="242" w:lineRule="exact"/>
        <w:ind w:left="1927"/>
      </w:pPr>
      <w:r>
        <w:rPr>
          <w:w w:val="120"/>
        </w:rPr>
        <w:t>Janine</w:t>
      </w:r>
      <w:r>
        <w:rPr>
          <w:spacing w:val="-7"/>
          <w:w w:val="120"/>
        </w:rPr>
        <w:t> </w:t>
      </w:r>
      <w:r>
        <w:rPr>
          <w:w w:val="120"/>
        </w:rPr>
        <w:t>Atkinson</w:t>
        <w:tab/>
        <w:t>Westminster</w:t>
      </w:r>
      <w:r>
        <w:rPr>
          <w:spacing w:val="2"/>
          <w:w w:val="120"/>
        </w:rPr>
        <w:t> </w:t>
      </w:r>
      <w:r>
        <w:rPr>
          <w:w w:val="120"/>
        </w:rPr>
        <w:t>College</w:t>
      </w:r>
    </w:p>
    <w:p>
      <w:pPr>
        <w:pStyle w:val="BodyText"/>
        <w:spacing w:before="4"/>
        <w:rPr>
          <w:sz w:val="18"/>
        </w:rPr>
      </w:pPr>
    </w:p>
    <w:p>
      <w:pPr>
        <w:pStyle w:val="Heading9"/>
        <w:numPr>
          <w:ilvl w:val="0"/>
          <w:numId w:val="98"/>
        </w:numPr>
        <w:tabs>
          <w:tab w:pos="1589" w:val="left" w:leader="none"/>
        </w:tabs>
        <w:spacing w:line="240" w:lineRule="auto" w:before="0" w:after="0"/>
        <w:ind w:left="1588" w:right="0" w:hanging="342"/>
        <w:jc w:val="left"/>
      </w:pPr>
      <w:r>
        <w:rPr>
          <w:w w:val="110"/>
        </w:rPr>
        <w:t>Wessex</w:t>
      </w:r>
    </w:p>
    <w:p>
      <w:pPr>
        <w:pStyle w:val="BodyText"/>
        <w:spacing w:before="6"/>
        <w:rPr>
          <w:rFonts w:ascii="Stone Sans II ITC Std Bk"/>
          <w:b/>
          <w:sz w:val="16"/>
        </w:rPr>
      </w:pPr>
    </w:p>
    <w:p>
      <w:pPr>
        <w:spacing w:line="242" w:lineRule="exact" w:before="0"/>
        <w:ind w:left="1927" w:right="0" w:firstLine="0"/>
        <w:jc w:val="left"/>
        <w:rPr>
          <w:i/>
          <w:sz w:val="20"/>
        </w:rPr>
      </w:pPr>
      <w:r>
        <w:rPr>
          <w:i/>
          <w:w w:val="110"/>
          <w:sz w:val="20"/>
        </w:rPr>
        <w:t>Stipendiary</w:t>
      </w:r>
    </w:p>
    <w:p>
      <w:pPr>
        <w:pStyle w:val="BodyText"/>
        <w:tabs>
          <w:tab w:pos="4847" w:val="left" w:leader="none"/>
        </w:tabs>
        <w:spacing w:line="240" w:lineRule="exact"/>
        <w:ind w:left="1927"/>
      </w:pPr>
      <w:r>
        <w:rPr>
          <w:w w:val="120"/>
        </w:rPr>
        <w:t>Joshua</w:t>
      </w:r>
      <w:r>
        <w:rPr>
          <w:spacing w:val="-5"/>
          <w:w w:val="120"/>
        </w:rPr>
        <w:t> </w:t>
      </w:r>
      <w:r>
        <w:rPr>
          <w:w w:val="120"/>
        </w:rPr>
        <w:t>Norris</w:t>
        <w:tab/>
        <w:t>Westminster</w:t>
      </w:r>
      <w:r>
        <w:rPr>
          <w:spacing w:val="8"/>
          <w:w w:val="120"/>
        </w:rPr>
        <w:t> </w:t>
      </w:r>
      <w:r>
        <w:rPr>
          <w:w w:val="120"/>
        </w:rPr>
        <w:t>College</w:t>
      </w:r>
    </w:p>
    <w:p>
      <w:pPr>
        <w:pStyle w:val="BodyText"/>
        <w:tabs>
          <w:tab w:pos="4847" w:val="left" w:leader="none"/>
        </w:tabs>
        <w:spacing w:line="240" w:lineRule="exact"/>
        <w:ind w:left="1927"/>
      </w:pPr>
      <w:r>
        <w:rPr>
          <w:w w:val="120"/>
        </w:rPr>
        <w:t>Richard Stein</w:t>
        <w:tab/>
        <w:t>Westminster</w:t>
      </w:r>
      <w:r>
        <w:rPr>
          <w:spacing w:val="7"/>
          <w:w w:val="120"/>
        </w:rPr>
        <w:t> </w:t>
      </w:r>
      <w:r>
        <w:rPr>
          <w:w w:val="120"/>
        </w:rPr>
        <w:t>College</w:t>
      </w:r>
    </w:p>
    <w:p>
      <w:pPr>
        <w:pStyle w:val="BodyText"/>
        <w:tabs>
          <w:tab w:pos="4847" w:val="left" w:leader="none"/>
        </w:tabs>
        <w:spacing w:line="240" w:lineRule="exact"/>
        <w:ind w:left="1927"/>
      </w:pPr>
      <w:r>
        <w:rPr>
          <w:w w:val="120"/>
        </w:rPr>
        <w:t>Ruth</w:t>
      </w:r>
      <w:r>
        <w:rPr>
          <w:spacing w:val="-3"/>
          <w:w w:val="120"/>
        </w:rPr>
        <w:t> </w:t>
      </w:r>
      <w:r>
        <w:rPr>
          <w:w w:val="120"/>
        </w:rPr>
        <w:t>Wilson</w:t>
        <w:tab/>
        <w:t>Westminster</w:t>
      </w:r>
      <w:r>
        <w:rPr>
          <w:spacing w:val="8"/>
          <w:w w:val="120"/>
        </w:rPr>
        <w:t> </w:t>
      </w:r>
      <w:r>
        <w:rPr>
          <w:w w:val="120"/>
        </w:rPr>
        <w:t>College</w:t>
      </w:r>
    </w:p>
    <w:p>
      <w:pPr>
        <w:pStyle w:val="BodyText"/>
        <w:tabs>
          <w:tab w:pos="4847" w:val="left" w:leader="none"/>
        </w:tabs>
        <w:spacing w:line="242" w:lineRule="exact"/>
        <w:ind w:left="1927"/>
      </w:pPr>
      <w:r>
        <w:rPr>
          <w:w w:val="120"/>
        </w:rPr>
        <w:t>Paul</w:t>
      </w:r>
      <w:r>
        <w:rPr>
          <w:spacing w:val="11"/>
          <w:w w:val="120"/>
        </w:rPr>
        <w:t> </w:t>
      </w:r>
      <w:r>
        <w:rPr>
          <w:w w:val="120"/>
        </w:rPr>
        <w:t>O’Connor</w:t>
        <w:tab/>
      </w:r>
      <w:r>
        <w:rPr>
          <w:spacing w:val="2"/>
          <w:w w:val="120"/>
        </w:rPr>
        <w:t>Northern </w:t>
      </w:r>
      <w:r>
        <w:rPr>
          <w:w w:val="120"/>
        </w:rPr>
        <w:t>College</w:t>
      </w:r>
    </w:p>
    <w:p>
      <w:pPr>
        <w:pStyle w:val="BodyText"/>
        <w:spacing w:before="3"/>
        <w:rPr>
          <w:sz w:val="18"/>
        </w:rPr>
      </w:pPr>
    </w:p>
    <w:p>
      <w:pPr>
        <w:pStyle w:val="Heading9"/>
        <w:numPr>
          <w:ilvl w:val="0"/>
          <w:numId w:val="99"/>
        </w:numPr>
        <w:tabs>
          <w:tab w:pos="1577" w:val="left" w:leader="none"/>
        </w:tabs>
        <w:spacing w:line="240" w:lineRule="auto" w:before="0" w:after="0"/>
        <w:ind w:left="1576" w:right="0" w:hanging="330"/>
        <w:jc w:val="left"/>
      </w:pPr>
      <w:r>
        <w:rPr>
          <w:w w:val="110"/>
        </w:rPr>
        <w:t>Thames</w:t>
      </w:r>
      <w:r>
        <w:rPr>
          <w:spacing w:val="-1"/>
          <w:w w:val="110"/>
        </w:rPr>
        <w:t> </w:t>
      </w:r>
      <w:r>
        <w:rPr>
          <w:spacing w:val="2"/>
          <w:w w:val="110"/>
        </w:rPr>
        <w:t>North</w:t>
      </w:r>
    </w:p>
    <w:p>
      <w:pPr>
        <w:pStyle w:val="BodyText"/>
        <w:spacing w:before="6"/>
        <w:rPr>
          <w:rFonts w:ascii="Stone Sans II ITC Std Bk"/>
          <w:b/>
          <w:sz w:val="16"/>
        </w:rPr>
      </w:pPr>
    </w:p>
    <w:p>
      <w:pPr>
        <w:spacing w:line="242" w:lineRule="exact" w:before="0"/>
        <w:ind w:left="1927" w:right="0" w:firstLine="0"/>
        <w:jc w:val="left"/>
        <w:rPr>
          <w:i/>
          <w:sz w:val="20"/>
        </w:rPr>
      </w:pPr>
      <w:r>
        <w:rPr>
          <w:i/>
          <w:w w:val="110"/>
          <w:sz w:val="20"/>
        </w:rPr>
        <w:t>Stipendiary</w:t>
      </w:r>
    </w:p>
    <w:p>
      <w:pPr>
        <w:pStyle w:val="BodyText"/>
        <w:tabs>
          <w:tab w:pos="4847" w:val="left" w:leader="none"/>
        </w:tabs>
        <w:spacing w:line="240" w:lineRule="exact"/>
        <w:ind w:left="1927"/>
      </w:pPr>
      <w:r>
        <w:rPr>
          <w:w w:val="120"/>
        </w:rPr>
        <w:t>Catherine</w:t>
      </w:r>
      <w:r>
        <w:rPr>
          <w:spacing w:val="2"/>
          <w:w w:val="120"/>
        </w:rPr>
        <w:t> </w:t>
      </w:r>
      <w:r>
        <w:rPr>
          <w:w w:val="120"/>
        </w:rPr>
        <w:t>McFie</w:t>
        <w:tab/>
        <w:t>Westminster</w:t>
      </w:r>
      <w:r>
        <w:rPr>
          <w:spacing w:val="7"/>
          <w:w w:val="120"/>
        </w:rPr>
        <w:t> </w:t>
      </w:r>
      <w:r>
        <w:rPr>
          <w:w w:val="120"/>
        </w:rPr>
        <w:t>College</w:t>
      </w:r>
    </w:p>
    <w:p>
      <w:pPr>
        <w:pStyle w:val="BodyText"/>
        <w:tabs>
          <w:tab w:pos="4847" w:val="left" w:leader="none"/>
        </w:tabs>
        <w:spacing w:line="240" w:lineRule="exact"/>
        <w:ind w:left="1927"/>
      </w:pPr>
      <w:r>
        <w:rPr>
          <w:w w:val="120"/>
        </w:rPr>
        <w:t>Matthew</w:t>
      </w:r>
      <w:r>
        <w:rPr>
          <w:spacing w:val="-8"/>
          <w:w w:val="120"/>
        </w:rPr>
        <w:t> </w:t>
      </w:r>
      <w:r>
        <w:rPr>
          <w:w w:val="120"/>
        </w:rPr>
        <w:t>Prevett</w:t>
        <w:tab/>
        <w:t>Westminster</w:t>
      </w:r>
      <w:r>
        <w:rPr>
          <w:spacing w:val="7"/>
          <w:w w:val="120"/>
        </w:rPr>
        <w:t> </w:t>
      </w:r>
      <w:r>
        <w:rPr>
          <w:w w:val="120"/>
        </w:rPr>
        <w:t>College</w:t>
      </w:r>
    </w:p>
    <w:p>
      <w:pPr>
        <w:pStyle w:val="BodyText"/>
        <w:tabs>
          <w:tab w:pos="4847" w:val="left" w:leader="none"/>
        </w:tabs>
        <w:spacing w:line="240" w:lineRule="exact"/>
        <w:ind w:left="1927"/>
      </w:pPr>
      <w:r>
        <w:rPr>
          <w:spacing w:val="-3"/>
          <w:w w:val="120"/>
        </w:rPr>
        <w:t>Trevor</w:t>
      </w:r>
      <w:r>
        <w:rPr>
          <w:spacing w:val="5"/>
          <w:w w:val="120"/>
        </w:rPr>
        <w:t> </w:t>
      </w:r>
      <w:r>
        <w:rPr>
          <w:w w:val="120"/>
        </w:rPr>
        <w:t>Hahn</w:t>
        <w:tab/>
        <w:t>Westminster</w:t>
      </w:r>
      <w:r>
        <w:rPr>
          <w:spacing w:val="7"/>
          <w:w w:val="120"/>
        </w:rPr>
        <w:t> </w:t>
      </w:r>
      <w:r>
        <w:rPr>
          <w:w w:val="120"/>
        </w:rPr>
        <w:t>College</w:t>
      </w:r>
    </w:p>
    <w:p>
      <w:pPr>
        <w:pStyle w:val="BodyText"/>
        <w:tabs>
          <w:tab w:pos="4847" w:val="left" w:leader="none"/>
        </w:tabs>
        <w:spacing w:line="240" w:lineRule="exact"/>
        <w:ind w:left="1927"/>
      </w:pPr>
      <w:r>
        <w:rPr>
          <w:w w:val="120"/>
        </w:rPr>
        <w:t>Memona</w:t>
      </w:r>
      <w:r>
        <w:rPr>
          <w:spacing w:val="3"/>
          <w:w w:val="120"/>
        </w:rPr>
        <w:t> </w:t>
      </w:r>
      <w:r>
        <w:rPr>
          <w:w w:val="120"/>
        </w:rPr>
        <w:t>Shahbaz</w:t>
        <w:tab/>
        <w:t>Westminster</w:t>
      </w:r>
      <w:r>
        <w:rPr>
          <w:spacing w:val="7"/>
          <w:w w:val="120"/>
        </w:rPr>
        <w:t> </w:t>
      </w:r>
      <w:r>
        <w:rPr>
          <w:w w:val="120"/>
        </w:rPr>
        <w:t>College</w:t>
      </w:r>
    </w:p>
    <w:p>
      <w:pPr>
        <w:pStyle w:val="BodyText"/>
        <w:tabs>
          <w:tab w:pos="4847" w:val="left" w:leader="none"/>
        </w:tabs>
        <w:spacing w:line="240" w:lineRule="exact"/>
        <w:ind w:left="1927"/>
      </w:pPr>
      <w:r>
        <w:rPr>
          <w:w w:val="120"/>
        </w:rPr>
        <w:t>Rebecca</w:t>
      </w:r>
      <w:r>
        <w:rPr>
          <w:spacing w:val="-1"/>
          <w:w w:val="120"/>
        </w:rPr>
        <w:t> </w:t>
      </w:r>
      <w:r>
        <w:rPr>
          <w:w w:val="120"/>
        </w:rPr>
        <w:t>Plunkett</w:t>
        <w:tab/>
      </w:r>
      <w:r>
        <w:rPr>
          <w:spacing w:val="2"/>
          <w:w w:val="120"/>
        </w:rPr>
        <w:t>Northern </w:t>
      </w:r>
      <w:r>
        <w:rPr>
          <w:w w:val="120"/>
        </w:rPr>
        <w:t>College</w:t>
      </w:r>
    </w:p>
    <w:p>
      <w:pPr>
        <w:pStyle w:val="BodyText"/>
        <w:tabs>
          <w:tab w:pos="4847" w:val="left" w:leader="none"/>
        </w:tabs>
        <w:spacing w:line="242" w:lineRule="exact"/>
        <w:ind w:left="1927"/>
      </w:pPr>
      <w:r>
        <w:rPr>
          <w:w w:val="120"/>
        </w:rPr>
        <w:t>Sally</w:t>
      </w:r>
      <w:r>
        <w:rPr>
          <w:spacing w:val="-5"/>
          <w:w w:val="120"/>
        </w:rPr>
        <w:t> </w:t>
      </w:r>
      <w:r>
        <w:rPr>
          <w:w w:val="120"/>
        </w:rPr>
        <w:t>Bateman</w:t>
        <w:tab/>
        <w:t>Westminster</w:t>
      </w:r>
      <w:r>
        <w:rPr>
          <w:spacing w:val="2"/>
          <w:w w:val="120"/>
        </w:rPr>
        <w:t> </w:t>
      </w:r>
      <w:r>
        <w:rPr>
          <w:w w:val="120"/>
        </w:rPr>
        <w:t>College</w:t>
      </w:r>
    </w:p>
    <w:p>
      <w:pPr>
        <w:pStyle w:val="BodyText"/>
        <w:spacing w:before="4"/>
        <w:rPr>
          <w:sz w:val="18"/>
        </w:rPr>
      </w:pPr>
    </w:p>
    <w:p>
      <w:pPr>
        <w:pStyle w:val="Heading9"/>
        <w:numPr>
          <w:ilvl w:val="0"/>
          <w:numId w:val="99"/>
        </w:numPr>
        <w:tabs>
          <w:tab w:pos="1565" w:val="left" w:leader="none"/>
        </w:tabs>
        <w:spacing w:line="240" w:lineRule="auto" w:before="0" w:after="0"/>
        <w:ind w:left="1564" w:right="0" w:hanging="318"/>
        <w:jc w:val="left"/>
      </w:pPr>
      <w:r>
        <w:rPr>
          <w:w w:val="110"/>
        </w:rPr>
        <w:t>Southern</w:t>
      </w:r>
    </w:p>
    <w:p>
      <w:pPr>
        <w:pStyle w:val="BodyText"/>
        <w:spacing w:before="6"/>
        <w:rPr>
          <w:rFonts w:ascii="Stone Sans II ITC Std Bk"/>
          <w:b/>
          <w:sz w:val="16"/>
        </w:rPr>
      </w:pPr>
    </w:p>
    <w:p>
      <w:pPr>
        <w:spacing w:line="242" w:lineRule="exact" w:before="0"/>
        <w:ind w:left="1927" w:right="0" w:firstLine="0"/>
        <w:jc w:val="left"/>
        <w:rPr>
          <w:i/>
          <w:sz w:val="20"/>
        </w:rPr>
      </w:pPr>
      <w:r>
        <w:rPr>
          <w:i/>
          <w:w w:val="110"/>
          <w:sz w:val="20"/>
        </w:rPr>
        <w:t>Non-Stipendiary</w:t>
      </w:r>
    </w:p>
    <w:p>
      <w:pPr>
        <w:pStyle w:val="BodyText"/>
        <w:tabs>
          <w:tab w:pos="4847" w:val="left" w:leader="none"/>
        </w:tabs>
        <w:spacing w:line="235" w:lineRule="auto" w:before="1"/>
        <w:ind w:left="1927" w:right="5011"/>
      </w:pPr>
      <w:r>
        <w:rPr>
          <w:w w:val="120"/>
        </w:rPr>
        <w:t>Tim</w:t>
      </w:r>
      <w:r>
        <w:rPr>
          <w:spacing w:val="2"/>
          <w:w w:val="120"/>
        </w:rPr>
        <w:t> </w:t>
      </w:r>
      <w:r>
        <w:rPr>
          <w:w w:val="120"/>
        </w:rPr>
        <w:t>Reith</w:t>
        <w:tab/>
        <w:t>Westminster College Lisa-Maria</w:t>
      </w:r>
      <w:r>
        <w:rPr>
          <w:spacing w:val="3"/>
          <w:w w:val="120"/>
        </w:rPr>
        <w:t> </w:t>
      </w:r>
      <w:r>
        <w:rPr>
          <w:w w:val="120"/>
        </w:rPr>
        <w:t>Browning</w:t>
        <w:tab/>
        <w:t>Westminster</w:t>
      </w:r>
      <w:r>
        <w:rPr>
          <w:spacing w:val="6"/>
          <w:w w:val="120"/>
        </w:rPr>
        <w:t> </w:t>
      </w:r>
      <w:r>
        <w:rPr>
          <w:w w:val="120"/>
        </w:rPr>
        <w:t>College</w:t>
      </w:r>
    </w:p>
    <w:p>
      <w:pPr>
        <w:pStyle w:val="BodyText"/>
        <w:spacing w:before="6"/>
        <w:rPr>
          <w:sz w:val="19"/>
        </w:rPr>
      </w:pPr>
    </w:p>
    <w:p>
      <w:pPr>
        <w:spacing w:line="242" w:lineRule="exact" w:before="0"/>
        <w:ind w:left="1927" w:right="0" w:firstLine="0"/>
        <w:jc w:val="left"/>
        <w:rPr>
          <w:i/>
          <w:sz w:val="20"/>
        </w:rPr>
      </w:pPr>
      <w:r>
        <w:rPr>
          <w:i/>
          <w:w w:val="110"/>
          <w:sz w:val="20"/>
        </w:rPr>
        <w:t>Stipendiary</w:t>
      </w:r>
    </w:p>
    <w:p>
      <w:pPr>
        <w:pStyle w:val="BodyText"/>
        <w:tabs>
          <w:tab w:pos="4847" w:val="left" w:leader="none"/>
        </w:tabs>
        <w:spacing w:line="240" w:lineRule="exact"/>
        <w:ind w:left="1927"/>
      </w:pPr>
      <w:r>
        <w:rPr>
          <w:w w:val="120"/>
        </w:rPr>
        <w:t>Phil</w:t>
      </w:r>
      <w:r>
        <w:rPr>
          <w:spacing w:val="-6"/>
          <w:w w:val="120"/>
        </w:rPr>
        <w:t> </w:t>
      </w:r>
      <w:r>
        <w:rPr>
          <w:w w:val="120"/>
        </w:rPr>
        <w:t>Wall</w:t>
        <w:tab/>
        <w:t>Westminster</w:t>
      </w:r>
      <w:r>
        <w:rPr>
          <w:spacing w:val="8"/>
          <w:w w:val="120"/>
        </w:rPr>
        <w:t> </w:t>
      </w:r>
      <w:r>
        <w:rPr>
          <w:w w:val="120"/>
        </w:rPr>
        <w:t>College</w:t>
      </w:r>
    </w:p>
    <w:p>
      <w:pPr>
        <w:pStyle w:val="BodyText"/>
        <w:tabs>
          <w:tab w:pos="4847" w:val="left" w:leader="none"/>
        </w:tabs>
        <w:spacing w:line="242" w:lineRule="exact"/>
        <w:ind w:left="1927"/>
      </w:pPr>
      <w:r>
        <w:rPr>
          <w:w w:val="120"/>
        </w:rPr>
        <w:t>Martin</w:t>
      </w:r>
      <w:r>
        <w:rPr>
          <w:spacing w:val="-7"/>
          <w:w w:val="120"/>
        </w:rPr>
        <w:t> </w:t>
      </w:r>
      <w:r>
        <w:rPr>
          <w:w w:val="120"/>
        </w:rPr>
        <w:t>Ferris</w:t>
        <w:tab/>
        <w:t>Westminster</w:t>
      </w:r>
      <w:r>
        <w:rPr>
          <w:spacing w:val="8"/>
          <w:w w:val="120"/>
        </w:rPr>
        <w:t> </w:t>
      </w:r>
      <w:r>
        <w:rPr>
          <w:w w:val="120"/>
        </w:rPr>
        <w:t>College</w:t>
      </w:r>
    </w:p>
    <w:p>
      <w:pPr>
        <w:pStyle w:val="BodyText"/>
        <w:spacing w:before="4"/>
        <w:rPr>
          <w:sz w:val="18"/>
        </w:rPr>
      </w:pPr>
    </w:p>
    <w:p>
      <w:pPr>
        <w:pStyle w:val="Heading9"/>
        <w:numPr>
          <w:ilvl w:val="0"/>
          <w:numId w:val="99"/>
        </w:numPr>
        <w:tabs>
          <w:tab w:pos="1570" w:val="left" w:leader="none"/>
        </w:tabs>
        <w:spacing w:line="240" w:lineRule="auto" w:before="0" w:after="0"/>
        <w:ind w:left="1569" w:right="0" w:hanging="323"/>
        <w:jc w:val="left"/>
      </w:pPr>
      <w:r>
        <w:rPr>
          <w:w w:val="110"/>
        </w:rPr>
        <w:t>Wales</w:t>
      </w:r>
    </w:p>
    <w:p>
      <w:pPr>
        <w:pStyle w:val="BodyText"/>
        <w:spacing w:before="5"/>
        <w:rPr>
          <w:rFonts w:ascii="Stone Sans II ITC Std Bk"/>
          <w:b/>
          <w:sz w:val="16"/>
        </w:rPr>
      </w:pPr>
    </w:p>
    <w:p>
      <w:pPr>
        <w:spacing w:line="242" w:lineRule="exact" w:before="1"/>
        <w:ind w:left="1927" w:right="0" w:firstLine="0"/>
        <w:jc w:val="left"/>
        <w:rPr>
          <w:i/>
          <w:sz w:val="20"/>
        </w:rPr>
      </w:pPr>
      <w:r>
        <w:rPr>
          <w:i/>
          <w:w w:val="110"/>
          <w:sz w:val="20"/>
        </w:rPr>
        <w:t>Stipendiary</w:t>
      </w:r>
    </w:p>
    <w:p>
      <w:pPr>
        <w:pStyle w:val="BodyText"/>
        <w:tabs>
          <w:tab w:pos="4847" w:val="left" w:leader="none"/>
        </w:tabs>
        <w:spacing w:line="240" w:lineRule="exact"/>
        <w:ind w:left="1927"/>
      </w:pPr>
      <w:r>
        <w:rPr>
          <w:w w:val="120"/>
        </w:rPr>
        <w:t>Branwen</w:t>
      </w:r>
      <w:r>
        <w:rPr>
          <w:spacing w:val="-5"/>
          <w:w w:val="120"/>
        </w:rPr>
        <w:t> </w:t>
      </w:r>
      <w:r>
        <w:rPr>
          <w:w w:val="120"/>
        </w:rPr>
        <w:t>Rees</w:t>
        <w:tab/>
        <w:t>Westminster</w:t>
      </w:r>
      <w:r>
        <w:rPr>
          <w:spacing w:val="2"/>
          <w:w w:val="120"/>
        </w:rPr>
        <w:t> </w:t>
      </w:r>
      <w:r>
        <w:rPr>
          <w:w w:val="120"/>
        </w:rPr>
        <w:t>College</w:t>
      </w:r>
    </w:p>
    <w:p>
      <w:pPr>
        <w:pStyle w:val="BodyText"/>
        <w:tabs>
          <w:tab w:pos="4847" w:val="left" w:leader="none"/>
        </w:tabs>
        <w:spacing w:line="240" w:lineRule="exact"/>
        <w:ind w:left="1927"/>
      </w:pPr>
      <w:r>
        <w:rPr>
          <w:w w:val="120"/>
        </w:rPr>
        <w:t>Stephen Best</w:t>
        <w:tab/>
      </w:r>
      <w:r>
        <w:rPr>
          <w:spacing w:val="2"/>
          <w:w w:val="120"/>
        </w:rPr>
        <w:t>Northern </w:t>
      </w:r>
      <w:r>
        <w:rPr>
          <w:w w:val="120"/>
        </w:rPr>
        <w:t>College</w:t>
      </w:r>
    </w:p>
    <w:p>
      <w:pPr>
        <w:pStyle w:val="BodyText"/>
        <w:tabs>
          <w:tab w:pos="4847" w:val="left" w:leader="none"/>
        </w:tabs>
        <w:spacing w:line="240" w:lineRule="exact"/>
        <w:ind w:left="1927"/>
      </w:pPr>
      <w:r>
        <w:rPr>
          <w:w w:val="120"/>
        </w:rPr>
        <w:t>Nadene</w:t>
      </w:r>
      <w:r>
        <w:rPr>
          <w:spacing w:val="8"/>
          <w:w w:val="120"/>
        </w:rPr>
        <w:t> </w:t>
      </w:r>
      <w:r>
        <w:rPr>
          <w:w w:val="120"/>
        </w:rPr>
        <w:t>Dorothy</w:t>
      </w:r>
      <w:r>
        <w:rPr>
          <w:spacing w:val="8"/>
          <w:w w:val="120"/>
        </w:rPr>
        <w:t> </w:t>
      </w:r>
      <w:r>
        <w:rPr>
          <w:w w:val="120"/>
        </w:rPr>
        <w:t>Snyman</w:t>
        <w:tab/>
        <w:t>Scottish Congregational and</w:t>
      </w:r>
      <w:r>
        <w:rPr>
          <w:spacing w:val="9"/>
          <w:w w:val="120"/>
        </w:rPr>
        <w:t> </w:t>
      </w:r>
      <w:r>
        <w:rPr>
          <w:w w:val="120"/>
        </w:rPr>
        <w:t>United</w:t>
      </w:r>
    </w:p>
    <w:p>
      <w:pPr>
        <w:pStyle w:val="BodyText"/>
        <w:spacing w:line="242" w:lineRule="exact"/>
        <w:ind w:left="4847"/>
      </w:pPr>
      <w:r>
        <w:rPr>
          <w:w w:val="120"/>
        </w:rPr>
        <w:t>Reformed College</w:t>
      </w:r>
    </w:p>
    <w:p>
      <w:pPr>
        <w:pStyle w:val="BodyText"/>
        <w:spacing w:before="8"/>
        <w:rPr>
          <w:sz w:val="10"/>
        </w:rPr>
      </w:pPr>
    </w:p>
    <w:p>
      <w:pPr>
        <w:pStyle w:val="Heading9"/>
        <w:numPr>
          <w:ilvl w:val="0"/>
          <w:numId w:val="99"/>
        </w:numPr>
        <w:tabs>
          <w:tab w:pos="1569" w:val="left" w:leader="none"/>
        </w:tabs>
        <w:spacing w:line="240" w:lineRule="auto" w:before="93" w:after="0"/>
        <w:ind w:left="1568" w:right="0" w:hanging="322"/>
        <w:jc w:val="left"/>
      </w:pPr>
      <w:r>
        <w:rPr>
          <w:w w:val="110"/>
        </w:rPr>
        <w:t>Scotland</w:t>
      </w:r>
    </w:p>
    <w:p>
      <w:pPr>
        <w:pStyle w:val="BodyText"/>
        <w:spacing w:before="5"/>
        <w:rPr>
          <w:rFonts w:ascii="Stone Sans II ITC Std Bk"/>
          <w:b/>
          <w:sz w:val="16"/>
        </w:rPr>
      </w:pPr>
    </w:p>
    <w:p>
      <w:pPr>
        <w:spacing w:line="242" w:lineRule="exact" w:before="1"/>
        <w:ind w:left="1927" w:right="0" w:firstLine="0"/>
        <w:jc w:val="left"/>
        <w:rPr>
          <w:i/>
          <w:sz w:val="20"/>
        </w:rPr>
      </w:pPr>
      <w:r>
        <w:rPr>
          <w:i/>
          <w:w w:val="110"/>
          <w:sz w:val="20"/>
        </w:rPr>
        <w:t>Stipendiary</w:t>
      </w:r>
    </w:p>
    <w:p>
      <w:pPr>
        <w:pStyle w:val="BodyText"/>
        <w:tabs>
          <w:tab w:pos="4127" w:val="left" w:leader="none"/>
        </w:tabs>
        <w:spacing w:line="235" w:lineRule="auto" w:before="1"/>
        <w:ind w:left="1927" w:right="2406"/>
      </w:pPr>
      <w:r>
        <w:rPr>
          <w:w w:val="125"/>
        </w:rPr>
        <w:t>Stewart</w:t>
      </w:r>
      <w:r>
        <w:rPr>
          <w:spacing w:val="-18"/>
          <w:w w:val="125"/>
        </w:rPr>
        <w:t> </w:t>
      </w:r>
      <w:r>
        <w:rPr>
          <w:w w:val="125"/>
        </w:rPr>
        <w:t>Cutler</w:t>
        <w:tab/>
        <w:t>Scottish</w:t>
      </w:r>
      <w:r>
        <w:rPr>
          <w:spacing w:val="-21"/>
          <w:w w:val="125"/>
        </w:rPr>
        <w:t> </w:t>
      </w:r>
      <w:r>
        <w:rPr>
          <w:w w:val="125"/>
        </w:rPr>
        <w:t>Congregational</w:t>
      </w:r>
      <w:r>
        <w:rPr>
          <w:spacing w:val="-20"/>
          <w:w w:val="125"/>
        </w:rPr>
        <w:t> </w:t>
      </w:r>
      <w:r>
        <w:rPr>
          <w:w w:val="125"/>
        </w:rPr>
        <w:t>and</w:t>
      </w:r>
      <w:r>
        <w:rPr>
          <w:spacing w:val="-21"/>
          <w:w w:val="125"/>
        </w:rPr>
        <w:t> </w:t>
      </w:r>
      <w:r>
        <w:rPr>
          <w:w w:val="125"/>
        </w:rPr>
        <w:t>United</w:t>
      </w:r>
      <w:r>
        <w:rPr>
          <w:spacing w:val="-20"/>
          <w:w w:val="125"/>
        </w:rPr>
        <w:t> </w:t>
      </w:r>
      <w:r>
        <w:rPr>
          <w:w w:val="125"/>
        </w:rPr>
        <w:t>Reformed</w:t>
      </w:r>
      <w:r>
        <w:rPr>
          <w:spacing w:val="-21"/>
          <w:w w:val="125"/>
        </w:rPr>
        <w:t> </w:t>
      </w:r>
      <w:r>
        <w:rPr>
          <w:w w:val="125"/>
        </w:rPr>
        <w:t>College Jake</w:t>
      </w:r>
      <w:r>
        <w:rPr>
          <w:spacing w:val="-24"/>
          <w:w w:val="125"/>
        </w:rPr>
        <w:t> </w:t>
      </w:r>
      <w:r>
        <w:rPr>
          <w:spacing w:val="-3"/>
          <w:w w:val="125"/>
        </w:rPr>
        <w:t>Tatton</w:t>
        <w:tab/>
      </w:r>
      <w:r>
        <w:rPr>
          <w:w w:val="125"/>
        </w:rPr>
        <w:t>Scottish</w:t>
      </w:r>
      <w:r>
        <w:rPr>
          <w:spacing w:val="-20"/>
          <w:w w:val="125"/>
        </w:rPr>
        <w:t> </w:t>
      </w:r>
      <w:r>
        <w:rPr>
          <w:w w:val="125"/>
        </w:rPr>
        <w:t>Congregational</w:t>
      </w:r>
      <w:r>
        <w:rPr>
          <w:spacing w:val="-21"/>
          <w:w w:val="125"/>
        </w:rPr>
        <w:t> </w:t>
      </w:r>
      <w:r>
        <w:rPr>
          <w:w w:val="125"/>
        </w:rPr>
        <w:t>and</w:t>
      </w:r>
      <w:r>
        <w:rPr>
          <w:spacing w:val="-21"/>
          <w:w w:val="125"/>
        </w:rPr>
        <w:t> </w:t>
      </w:r>
      <w:r>
        <w:rPr>
          <w:w w:val="125"/>
        </w:rPr>
        <w:t>United</w:t>
      </w:r>
      <w:r>
        <w:rPr>
          <w:spacing w:val="-20"/>
          <w:w w:val="125"/>
        </w:rPr>
        <w:t> </w:t>
      </w:r>
      <w:r>
        <w:rPr>
          <w:w w:val="125"/>
        </w:rPr>
        <w:t>Reformed</w:t>
      </w:r>
      <w:r>
        <w:rPr>
          <w:spacing w:val="-21"/>
          <w:w w:val="125"/>
        </w:rPr>
        <w:t> </w:t>
      </w:r>
      <w:r>
        <w:rPr>
          <w:w w:val="125"/>
        </w:rPr>
        <w:t>College</w:t>
      </w:r>
    </w:p>
    <w:p>
      <w:pPr>
        <w:pStyle w:val="BodyText"/>
        <w:rPr>
          <w:sz w:val="24"/>
        </w:rPr>
      </w:pPr>
    </w:p>
    <w:p>
      <w:pPr>
        <w:pStyle w:val="BodyText"/>
        <w:spacing w:before="185"/>
        <w:ind w:left="1247"/>
      </w:pPr>
      <w:r>
        <w:rPr>
          <w:w w:val="120"/>
        </w:rPr>
        <w:t>Total Students 45</w:t>
      </w:r>
    </w:p>
    <w:p>
      <w:pPr>
        <w:spacing w:after="0"/>
        <w:sectPr>
          <w:headerReference w:type="even" r:id="rId396"/>
          <w:footerReference w:type="even" r:id="rId397"/>
          <w:footerReference w:type="default" r:id="rId398"/>
          <w:pgSz w:w="11910" w:h="16840"/>
          <w:pgMar w:header="0" w:footer="647" w:top="0" w:bottom="840" w:left="0" w:right="0"/>
          <w:pgNumType w:start="172"/>
        </w:sectPr>
      </w:pPr>
    </w:p>
    <w:p>
      <w:pPr>
        <w:pStyle w:val="BodyText"/>
      </w:pPr>
      <w:r>
        <w:rPr/>
        <w:drawing>
          <wp:anchor distT="0" distB="0" distL="0" distR="0" allowOverlap="1" layoutInCell="1" locked="0" behindDoc="0" simplePos="0" relativeHeight="252100608">
            <wp:simplePos x="0" y="0"/>
            <wp:positionH relativeFrom="page">
              <wp:posOffset>6974928</wp:posOffset>
            </wp:positionH>
            <wp:positionV relativeFrom="page">
              <wp:posOffset>0</wp:posOffset>
            </wp:positionV>
            <wp:extent cx="585063" cy="10692003"/>
            <wp:effectExtent l="0" t="0" r="0" b="0"/>
            <wp:wrapNone/>
            <wp:docPr id="323" name="image30.png"/>
            <wp:cNvGraphicFramePr>
              <a:graphicFrameLocks noChangeAspect="1"/>
            </wp:cNvGraphicFramePr>
            <a:graphic>
              <a:graphicData uri="http://schemas.openxmlformats.org/drawingml/2006/picture">
                <pic:pic>
                  <pic:nvPicPr>
                    <pic:cNvPr id="324" name="image30.png"/>
                    <pic:cNvPicPr/>
                  </pic:nvPicPr>
                  <pic:blipFill>
                    <a:blip r:embed="rId357"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5"/>
        <w:rPr>
          <w:sz w:val="28"/>
        </w:rPr>
      </w:pPr>
    </w:p>
    <w:p>
      <w:pPr>
        <w:pStyle w:val="Heading2"/>
        <w:spacing w:line="213" w:lineRule="auto"/>
        <w:ind w:left="1984" w:right="2004"/>
        <w:rPr>
          <w:b/>
        </w:rPr>
      </w:pPr>
      <w:r>
        <w:rPr/>
        <w:pict>
          <v:shape style="position:absolute;margin-left:554.141174pt;margin-top:-5.989334pt;width:25.9pt;height:98.65pt;mso-position-horizontal-relative:page;mso-position-vertical-relative:paragraph;z-index:252101632" type="#_x0000_t202" filled="false" stroked="false">
            <v:textbox inset="0,0,0,0" style="layout-flow:vertical">
              <w:txbxContent>
                <w:p>
                  <w:pPr>
                    <w:spacing w:before="27"/>
                    <w:ind w:left="20" w:right="0" w:firstLine="0"/>
                    <w:jc w:val="left"/>
                    <w:rPr>
                      <w:sz w:val="39"/>
                    </w:rPr>
                  </w:pPr>
                  <w:r>
                    <w:rPr>
                      <w:color w:val="FFFFFF"/>
                      <w:w w:val="120"/>
                      <w:sz w:val="39"/>
                    </w:rPr>
                    <w:t>Equalities</w:t>
                  </w:r>
                </w:p>
              </w:txbxContent>
            </v:textbox>
            <w10:wrap type="none"/>
          </v:shape>
        </w:pict>
      </w:r>
      <w:bookmarkStart w:name="_bookmark32" w:id="37"/>
      <w:bookmarkEnd w:id="37"/>
      <w:r>
        <w:rPr>
          <w:b w:val="0"/>
        </w:rPr>
      </w:r>
      <w:r>
        <w:rPr>
          <w:b/>
          <w:w w:val="110"/>
        </w:rPr>
        <w:t>Equalities committee: Equalities means everyone</w:t>
      </w:r>
    </w:p>
    <w:p>
      <w:pPr>
        <w:spacing w:line="261" w:lineRule="auto" w:before="157"/>
        <w:ind w:left="1984" w:right="1352" w:firstLine="0"/>
        <w:jc w:val="left"/>
        <w:rPr>
          <w:sz w:val="18"/>
        </w:rPr>
      </w:pPr>
      <w:r>
        <w:rPr>
          <w:color w:val="87888A"/>
          <w:w w:val="120"/>
          <w:sz w:val="18"/>
        </w:rPr>
        <w:t>The equalities committee is responsible for reminding the United Reformed Church that equality is enshrined in its theology, life and work, and challenging the practice of the United Reformed Church where appropriate. This includes:</w:t>
      </w:r>
    </w:p>
    <w:p>
      <w:pPr>
        <w:pStyle w:val="ListParagraph"/>
        <w:numPr>
          <w:ilvl w:val="1"/>
          <w:numId w:val="99"/>
        </w:numPr>
        <w:tabs>
          <w:tab w:pos="2664" w:val="left" w:leader="none"/>
          <w:tab w:pos="2665" w:val="left" w:leader="none"/>
        </w:tabs>
        <w:spacing w:line="261" w:lineRule="auto" w:before="2" w:after="0"/>
        <w:ind w:left="2664" w:right="2089" w:hanging="681"/>
        <w:jc w:val="left"/>
        <w:rPr>
          <w:sz w:val="18"/>
        </w:rPr>
      </w:pPr>
      <w:r>
        <w:rPr>
          <w:color w:val="87888A"/>
          <w:w w:val="120"/>
          <w:sz w:val="18"/>
        </w:rPr>
        <w:t>Taking action to assist in the development of equal opportunities throughout the United Reformed Church within the context of a diverse</w:t>
      </w:r>
      <w:r>
        <w:rPr>
          <w:color w:val="87888A"/>
          <w:spacing w:val="15"/>
          <w:w w:val="120"/>
          <w:sz w:val="18"/>
        </w:rPr>
        <w:t> </w:t>
      </w:r>
      <w:r>
        <w:rPr>
          <w:color w:val="87888A"/>
          <w:w w:val="120"/>
          <w:sz w:val="18"/>
        </w:rPr>
        <w:t>society</w:t>
      </w:r>
    </w:p>
    <w:p>
      <w:pPr>
        <w:pStyle w:val="ListParagraph"/>
        <w:numPr>
          <w:ilvl w:val="1"/>
          <w:numId w:val="99"/>
        </w:numPr>
        <w:tabs>
          <w:tab w:pos="2664" w:val="left" w:leader="none"/>
          <w:tab w:pos="2665" w:val="left" w:leader="none"/>
        </w:tabs>
        <w:spacing w:line="240" w:lineRule="auto" w:before="1" w:after="0"/>
        <w:ind w:left="2664" w:right="0" w:hanging="681"/>
        <w:jc w:val="left"/>
        <w:rPr>
          <w:sz w:val="18"/>
        </w:rPr>
      </w:pPr>
      <w:r>
        <w:rPr>
          <w:color w:val="87888A"/>
          <w:w w:val="120"/>
          <w:sz w:val="18"/>
        </w:rPr>
        <w:t>Monitoring of the equal opportunities policy and updating it when</w:t>
      </w:r>
      <w:r>
        <w:rPr>
          <w:color w:val="87888A"/>
          <w:spacing w:val="29"/>
          <w:w w:val="120"/>
          <w:sz w:val="18"/>
        </w:rPr>
        <w:t> </w:t>
      </w:r>
      <w:r>
        <w:rPr>
          <w:color w:val="87888A"/>
          <w:w w:val="120"/>
          <w:sz w:val="18"/>
        </w:rPr>
        <w:t>appropriate</w:t>
      </w:r>
    </w:p>
    <w:p>
      <w:pPr>
        <w:pStyle w:val="ListParagraph"/>
        <w:numPr>
          <w:ilvl w:val="1"/>
          <w:numId w:val="99"/>
        </w:numPr>
        <w:tabs>
          <w:tab w:pos="2664" w:val="left" w:leader="none"/>
          <w:tab w:pos="2665" w:val="left" w:leader="none"/>
        </w:tabs>
        <w:spacing w:line="240" w:lineRule="auto" w:before="20" w:after="0"/>
        <w:ind w:left="2664" w:right="0" w:hanging="681"/>
        <w:jc w:val="left"/>
        <w:rPr>
          <w:sz w:val="18"/>
        </w:rPr>
      </w:pPr>
      <w:r>
        <w:rPr>
          <w:color w:val="87888A"/>
          <w:w w:val="120"/>
          <w:sz w:val="18"/>
        </w:rPr>
        <w:t>Promoting training programmes in equality and</w:t>
      </w:r>
      <w:r>
        <w:rPr>
          <w:color w:val="87888A"/>
          <w:spacing w:val="12"/>
          <w:w w:val="120"/>
          <w:sz w:val="18"/>
        </w:rPr>
        <w:t> </w:t>
      </w:r>
      <w:r>
        <w:rPr>
          <w:color w:val="87888A"/>
          <w:w w:val="120"/>
          <w:sz w:val="18"/>
        </w:rPr>
        <w:t>diversity</w:t>
      </w:r>
    </w:p>
    <w:p>
      <w:pPr>
        <w:pStyle w:val="ListParagraph"/>
        <w:numPr>
          <w:ilvl w:val="1"/>
          <w:numId w:val="99"/>
        </w:numPr>
        <w:tabs>
          <w:tab w:pos="2664" w:val="left" w:leader="none"/>
          <w:tab w:pos="2665" w:val="left" w:leader="none"/>
        </w:tabs>
        <w:spacing w:line="261" w:lineRule="auto" w:before="20" w:after="0"/>
        <w:ind w:left="2664" w:right="1523" w:hanging="681"/>
        <w:jc w:val="left"/>
        <w:rPr>
          <w:sz w:val="18"/>
        </w:rPr>
      </w:pPr>
      <w:r>
        <w:rPr>
          <w:color w:val="87888A"/>
          <w:w w:val="120"/>
          <w:sz w:val="18"/>
        </w:rPr>
        <w:t>Promoting, supporting and encouraging the United Reformed Church’s contribution to equality in the wider life of our</w:t>
      </w:r>
      <w:r>
        <w:rPr>
          <w:color w:val="87888A"/>
          <w:spacing w:val="11"/>
          <w:w w:val="120"/>
          <w:sz w:val="18"/>
        </w:rPr>
        <w:t> </w:t>
      </w:r>
      <w:r>
        <w:rPr>
          <w:color w:val="87888A"/>
          <w:w w:val="120"/>
          <w:sz w:val="18"/>
        </w:rPr>
        <w:t>society</w:t>
      </w:r>
    </w:p>
    <w:p>
      <w:pPr>
        <w:pStyle w:val="ListParagraph"/>
        <w:numPr>
          <w:ilvl w:val="1"/>
          <w:numId w:val="99"/>
        </w:numPr>
        <w:tabs>
          <w:tab w:pos="2664" w:val="left" w:leader="none"/>
          <w:tab w:pos="2665" w:val="left" w:leader="none"/>
        </w:tabs>
        <w:spacing w:line="240" w:lineRule="auto" w:before="1" w:after="0"/>
        <w:ind w:left="2664" w:right="0" w:hanging="681"/>
        <w:jc w:val="left"/>
        <w:rPr>
          <w:sz w:val="18"/>
        </w:rPr>
      </w:pPr>
      <w:r>
        <w:rPr>
          <w:color w:val="87888A"/>
          <w:w w:val="120"/>
          <w:sz w:val="18"/>
        </w:rPr>
        <w:t>Reporting to General</w:t>
      </w:r>
      <w:r>
        <w:rPr>
          <w:color w:val="87888A"/>
          <w:spacing w:val="6"/>
          <w:w w:val="120"/>
          <w:sz w:val="18"/>
        </w:rPr>
        <w:t> </w:t>
      </w:r>
      <w:r>
        <w:rPr>
          <w:color w:val="87888A"/>
          <w:w w:val="120"/>
          <w:sz w:val="18"/>
        </w:rPr>
        <w:t>Assembly</w:t>
      </w:r>
    </w:p>
    <w:p>
      <w:pPr>
        <w:pStyle w:val="BodyText"/>
        <w:spacing w:before="4"/>
        <w:rPr>
          <w:sz w:val="21"/>
        </w:rPr>
      </w:pPr>
    </w:p>
    <w:p>
      <w:pPr>
        <w:spacing w:before="0"/>
        <w:ind w:left="1984" w:right="0" w:firstLine="0"/>
        <w:jc w:val="left"/>
        <w:rPr>
          <w:sz w:val="18"/>
        </w:rPr>
      </w:pPr>
      <w:r>
        <w:rPr>
          <w:color w:val="87888A"/>
          <w:w w:val="120"/>
          <w:sz w:val="18"/>
        </w:rPr>
        <w:t>Committee members:</w:t>
      </w:r>
    </w:p>
    <w:p>
      <w:pPr>
        <w:spacing w:before="21"/>
        <w:ind w:left="1984" w:right="0" w:firstLine="0"/>
        <w:jc w:val="left"/>
        <w:rPr>
          <w:sz w:val="18"/>
        </w:rPr>
      </w:pPr>
      <w:r>
        <w:rPr>
          <w:color w:val="87888A"/>
          <w:w w:val="120"/>
          <w:sz w:val="18"/>
        </w:rPr>
        <w:t>Convener: Elizabeth Nash</w:t>
      </w:r>
    </w:p>
    <w:p>
      <w:pPr>
        <w:spacing w:line="261" w:lineRule="auto" w:before="20"/>
        <w:ind w:left="1984" w:right="1617" w:firstLine="0"/>
        <w:jc w:val="left"/>
        <w:rPr>
          <w:sz w:val="18"/>
        </w:rPr>
      </w:pPr>
      <w:r>
        <w:rPr>
          <w:color w:val="87888A"/>
          <w:w w:val="120"/>
          <w:sz w:val="18"/>
        </w:rPr>
        <w:t>Members: </w:t>
      </w:r>
      <w:r>
        <w:rPr>
          <w:color w:val="87888A"/>
          <w:spacing w:val="-4"/>
          <w:w w:val="120"/>
          <w:sz w:val="18"/>
        </w:rPr>
        <w:t>Tom </w:t>
      </w:r>
      <w:r>
        <w:rPr>
          <w:color w:val="87888A"/>
          <w:w w:val="120"/>
          <w:sz w:val="18"/>
        </w:rPr>
        <w:t>Arthur, Tine Ashitey </w:t>
      </w:r>
      <w:r>
        <w:rPr>
          <w:color w:val="87888A"/>
          <w:spacing w:val="-5"/>
          <w:w w:val="120"/>
          <w:sz w:val="18"/>
        </w:rPr>
        <w:t>(to </w:t>
      </w:r>
      <w:r>
        <w:rPr>
          <w:color w:val="87888A"/>
          <w:w w:val="120"/>
          <w:sz w:val="18"/>
        </w:rPr>
        <w:t>July </w:t>
      </w:r>
      <w:r>
        <w:rPr>
          <w:color w:val="87888A"/>
          <w:spacing w:val="-8"/>
          <w:w w:val="120"/>
          <w:sz w:val="18"/>
        </w:rPr>
        <w:t>2013), </w:t>
      </w:r>
      <w:r>
        <w:rPr>
          <w:color w:val="87888A"/>
          <w:spacing w:val="-3"/>
          <w:w w:val="120"/>
          <w:sz w:val="18"/>
        </w:rPr>
        <w:t>Tunde </w:t>
      </w:r>
      <w:r>
        <w:rPr>
          <w:color w:val="87888A"/>
          <w:w w:val="120"/>
          <w:sz w:val="18"/>
        </w:rPr>
        <w:t>Biyi, Adrian Bulley (secretary from  July </w:t>
      </w:r>
      <w:r>
        <w:rPr>
          <w:color w:val="87888A"/>
          <w:spacing w:val="-8"/>
          <w:w w:val="120"/>
          <w:sz w:val="18"/>
        </w:rPr>
        <w:t>2013), </w:t>
      </w:r>
      <w:r>
        <w:rPr>
          <w:color w:val="87888A"/>
          <w:w w:val="120"/>
          <w:sz w:val="18"/>
        </w:rPr>
        <w:t>Susan Flynn (from July </w:t>
      </w:r>
      <w:r>
        <w:rPr>
          <w:color w:val="87888A"/>
          <w:spacing w:val="-8"/>
          <w:w w:val="120"/>
          <w:sz w:val="18"/>
        </w:rPr>
        <w:t>2013), </w:t>
      </w:r>
      <w:r>
        <w:rPr>
          <w:color w:val="87888A"/>
          <w:w w:val="120"/>
          <w:sz w:val="18"/>
        </w:rPr>
        <w:t>Andrew Jack (secretary to July </w:t>
      </w:r>
      <w:r>
        <w:rPr>
          <w:color w:val="87888A"/>
          <w:spacing w:val="-8"/>
          <w:w w:val="120"/>
          <w:sz w:val="18"/>
        </w:rPr>
        <w:t>2013), </w:t>
      </w:r>
      <w:r>
        <w:rPr>
          <w:color w:val="87888A"/>
          <w:w w:val="120"/>
          <w:sz w:val="18"/>
        </w:rPr>
        <w:t>Michael Jagessar (secretary for racial justice and intercultural ministry), Iain McDonald, Helen M Mee</w:t>
      </w:r>
      <w:r>
        <w:rPr>
          <w:color w:val="87888A"/>
          <w:spacing w:val="-34"/>
          <w:w w:val="120"/>
          <w:sz w:val="18"/>
        </w:rPr>
        <w:t> </w:t>
      </w:r>
      <w:r>
        <w:rPr>
          <w:color w:val="87888A"/>
          <w:spacing w:val="-3"/>
          <w:w w:val="120"/>
          <w:sz w:val="18"/>
        </w:rPr>
        <w:t>(convener-</w:t>
      </w:r>
    </w:p>
    <w:p>
      <w:pPr>
        <w:spacing w:before="1"/>
        <w:ind w:left="1984" w:right="0" w:firstLine="0"/>
        <w:jc w:val="left"/>
        <w:rPr>
          <w:sz w:val="18"/>
        </w:rPr>
      </w:pPr>
      <w:r>
        <w:rPr>
          <w:color w:val="87888A"/>
          <w:w w:val="120"/>
          <w:sz w:val="18"/>
        </w:rPr>
        <w:t>elect), Maria Mills (from July 2013), Adella Pritchard, Margaret Telfer, Gwyneth Tilley (to July 2013).</w:t>
      </w:r>
    </w:p>
    <w:p>
      <w:pPr>
        <w:pStyle w:val="BodyText"/>
        <w:rPr>
          <w:sz w:val="22"/>
        </w:rPr>
      </w:pPr>
    </w:p>
    <w:p>
      <w:pPr>
        <w:pStyle w:val="BodyText"/>
        <w:spacing w:before="9"/>
        <w:rPr>
          <w:sz w:val="17"/>
        </w:rPr>
      </w:pPr>
    </w:p>
    <w:p>
      <w:pPr>
        <w:pStyle w:val="ListParagraph"/>
        <w:numPr>
          <w:ilvl w:val="0"/>
          <w:numId w:val="100"/>
        </w:numPr>
        <w:tabs>
          <w:tab w:pos="2664" w:val="left" w:leader="none"/>
          <w:tab w:pos="2665" w:val="left" w:leader="none"/>
        </w:tabs>
        <w:spacing w:line="235" w:lineRule="auto" w:before="0" w:after="0"/>
        <w:ind w:left="1984" w:right="1639" w:firstLine="0"/>
        <w:jc w:val="left"/>
        <w:rPr>
          <w:sz w:val="20"/>
        </w:rPr>
      </w:pPr>
      <w:r>
        <w:rPr>
          <w:w w:val="120"/>
          <w:sz w:val="20"/>
        </w:rPr>
        <w:t>The equalities committee has continued to work on its remit, which was agreed in May </w:t>
      </w:r>
      <w:r>
        <w:rPr>
          <w:spacing w:val="-6"/>
          <w:w w:val="120"/>
          <w:sz w:val="20"/>
        </w:rPr>
        <w:t>2012. </w:t>
      </w:r>
      <w:r>
        <w:rPr>
          <w:w w:val="120"/>
          <w:sz w:val="20"/>
        </w:rPr>
        <w:t>This has been helpful because it has enabled us to broaden the scope of our work, which has increased in response to the change in our name from equal opportunities to the equalities. We are grateful for the increase in committee membership from eight to ten which has enabled us to connect with each Assembly committee, monitoring their equality activity and helping them to ensure that ’equalities means</w:t>
      </w:r>
      <w:r>
        <w:rPr>
          <w:spacing w:val="3"/>
          <w:w w:val="120"/>
          <w:sz w:val="20"/>
        </w:rPr>
        <w:t> </w:t>
      </w:r>
      <w:r>
        <w:rPr>
          <w:w w:val="120"/>
          <w:sz w:val="20"/>
        </w:rPr>
        <w:t>everyone’.</w:t>
      </w:r>
    </w:p>
    <w:p>
      <w:pPr>
        <w:pStyle w:val="BodyText"/>
        <w:spacing w:before="1"/>
      </w:pPr>
    </w:p>
    <w:p>
      <w:pPr>
        <w:pStyle w:val="ListParagraph"/>
        <w:numPr>
          <w:ilvl w:val="0"/>
          <w:numId w:val="100"/>
        </w:numPr>
        <w:tabs>
          <w:tab w:pos="2664" w:val="left" w:leader="none"/>
          <w:tab w:pos="2665" w:val="left" w:leader="none"/>
        </w:tabs>
        <w:spacing w:line="235" w:lineRule="auto" w:before="0" w:after="0"/>
        <w:ind w:left="1984" w:right="1445" w:firstLine="0"/>
        <w:jc w:val="left"/>
        <w:rPr>
          <w:sz w:val="20"/>
        </w:rPr>
      </w:pPr>
      <w:r>
        <w:rPr>
          <w:w w:val="120"/>
          <w:sz w:val="20"/>
        </w:rPr>
        <w:t>We have produced a number of papers which are on the United Reformed Church web site </w:t>
      </w:r>
      <w:r>
        <w:rPr>
          <w:spacing w:val="-4"/>
          <w:w w:val="120"/>
          <w:sz w:val="20"/>
        </w:rPr>
        <w:t>(see </w:t>
      </w:r>
      <w:r>
        <w:rPr>
          <w:w w:val="120"/>
          <w:sz w:val="20"/>
        </w:rPr>
        <w:t>URC resources/equalities). They are designed to help church members, church meetings, synods and other enquirers to see the ways in which they can improve equality. The documents on the website are</w:t>
      </w:r>
      <w:r>
        <w:rPr>
          <w:spacing w:val="21"/>
          <w:w w:val="120"/>
          <w:sz w:val="20"/>
        </w:rPr>
        <w:t> </w:t>
      </w:r>
      <w:r>
        <w:rPr>
          <w:w w:val="120"/>
          <w:sz w:val="20"/>
        </w:rPr>
        <w:t>currently:</w:t>
      </w:r>
    </w:p>
    <w:p>
      <w:pPr>
        <w:pStyle w:val="BodyText"/>
        <w:spacing w:line="235" w:lineRule="auto" w:before="3"/>
        <w:ind w:left="2664" w:right="4235"/>
      </w:pPr>
      <w:r>
        <w:rPr>
          <w:w w:val="120"/>
        </w:rPr>
        <w:t>Equal Opportunities Guidance 2008, updated 2011 Equal Opportunities Policy 2008</w:t>
      </w:r>
    </w:p>
    <w:p>
      <w:pPr>
        <w:pStyle w:val="BodyText"/>
        <w:spacing w:line="235" w:lineRule="auto" w:before="2"/>
        <w:ind w:left="2664" w:right="2823"/>
      </w:pPr>
      <w:r>
        <w:rPr>
          <w:w w:val="120"/>
        </w:rPr>
        <w:t>Accessibility Resources Methodist and Church of England 2010 Suggested Equal Opportunities response to difficult statements Training in Equal Opportunities for churches in vacancy 2011 Remit of Equal Opportunities Committee 2012</w:t>
      </w:r>
    </w:p>
    <w:p>
      <w:pPr>
        <w:pStyle w:val="BodyText"/>
        <w:spacing w:line="241" w:lineRule="exact"/>
        <w:ind w:left="2664"/>
      </w:pPr>
      <w:r>
        <w:rPr>
          <w:w w:val="120"/>
        </w:rPr>
        <w:t>Taking Action on Bullying and Harassment 2012</w:t>
      </w:r>
    </w:p>
    <w:p>
      <w:pPr>
        <w:pStyle w:val="BodyText"/>
        <w:spacing w:line="235" w:lineRule="auto" w:before="1"/>
        <w:ind w:left="2891" w:right="2412" w:hanging="227"/>
      </w:pPr>
      <w:r>
        <w:rPr>
          <w:w w:val="120"/>
        </w:rPr>
        <w:t>United Reformed Church and Synods policy relating to the Equalities Act 2010, 2014</w:t>
      </w:r>
    </w:p>
    <w:p>
      <w:pPr>
        <w:pStyle w:val="BodyText"/>
        <w:spacing w:before="10"/>
        <w:rPr>
          <w:sz w:val="19"/>
        </w:rPr>
      </w:pPr>
    </w:p>
    <w:p>
      <w:pPr>
        <w:pStyle w:val="ListParagraph"/>
        <w:numPr>
          <w:ilvl w:val="0"/>
          <w:numId w:val="100"/>
        </w:numPr>
        <w:tabs>
          <w:tab w:pos="2664" w:val="left" w:leader="none"/>
          <w:tab w:pos="2665" w:val="left" w:leader="none"/>
        </w:tabs>
        <w:spacing w:line="235" w:lineRule="auto" w:before="0" w:after="0"/>
        <w:ind w:left="1984" w:right="1711" w:firstLine="0"/>
        <w:jc w:val="left"/>
        <w:rPr>
          <w:sz w:val="20"/>
        </w:rPr>
      </w:pPr>
      <w:r>
        <w:rPr>
          <w:w w:val="120"/>
          <w:sz w:val="20"/>
        </w:rPr>
        <w:t>We have an ongoing concern about the balance of membership of Assembly committees, although we know that the nominations committee works very hard on this issue. We were pleased that Mission Council responded so positively to</w:t>
      </w:r>
      <w:r>
        <w:rPr>
          <w:spacing w:val="24"/>
          <w:w w:val="120"/>
          <w:sz w:val="20"/>
        </w:rPr>
        <w:t> </w:t>
      </w:r>
      <w:r>
        <w:rPr>
          <w:w w:val="120"/>
          <w:sz w:val="20"/>
        </w:rPr>
        <w:t>our</w:t>
      </w:r>
    </w:p>
    <w:p>
      <w:pPr>
        <w:pStyle w:val="BodyText"/>
        <w:spacing w:line="235" w:lineRule="auto" w:before="2"/>
        <w:ind w:left="1984" w:right="1352"/>
      </w:pPr>
      <w:r>
        <w:rPr>
          <w:w w:val="120"/>
        </w:rPr>
        <w:t>concern that trustees in the United Reformed Church are so unbalanced – 25% women and 2% black minority ethnic. They agreed to ensure that more women than men are nominated as United Reformed Church trustees until there are equal numbers and</w:t>
      </w:r>
    </w:p>
    <w:p>
      <w:pPr>
        <w:pStyle w:val="BodyText"/>
        <w:spacing w:line="235" w:lineRule="auto" w:before="2"/>
        <w:ind w:left="1984" w:right="1693"/>
      </w:pPr>
      <w:r>
        <w:rPr>
          <w:w w:val="120"/>
        </w:rPr>
        <w:t>that minority groups </w:t>
      </w:r>
      <w:r>
        <w:rPr>
          <w:spacing w:val="-5"/>
          <w:w w:val="120"/>
        </w:rPr>
        <w:t>(e.g. </w:t>
      </w:r>
      <w:r>
        <w:rPr>
          <w:w w:val="120"/>
        </w:rPr>
        <w:t>young people, black minority ethnic people, people with disabilities, lesbian, </w:t>
      </w:r>
      <w:r>
        <w:rPr>
          <w:spacing w:val="-4"/>
          <w:w w:val="120"/>
        </w:rPr>
        <w:t>gay, </w:t>
      </w:r>
      <w:r>
        <w:rPr>
          <w:w w:val="120"/>
        </w:rPr>
        <w:t>bisexual and transgender people) are included. We hope that synods will also work towards equality in their trustees. The question of equal representation in all the areas of our life and work together is one which needs to be monitored constantly. Otherwise, we find that equality has slipped </w:t>
      </w:r>
      <w:r>
        <w:rPr>
          <w:spacing w:val="-4"/>
          <w:w w:val="120"/>
        </w:rPr>
        <w:t>away. </w:t>
      </w:r>
      <w:r>
        <w:rPr>
          <w:w w:val="120"/>
        </w:rPr>
        <w:t>We</w:t>
      </w:r>
      <w:r>
        <w:rPr>
          <w:spacing w:val="34"/>
          <w:w w:val="120"/>
        </w:rPr>
        <w:t> </w:t>
      </w:r>
      <w:r>
        <w:rPr>
          <w:w w:val="120"/>
        </w:rPr>
        <w:t>are</w:t>
      </w:r>
    </w:p>
    <w:p>
      <w:pPr>
        <w:pStyle w:val="BodyText"/>
        <w:spacing w:line="235" w:lineRule="auto" w:before="4"/>
        <w:ind w:left="1984" w:right="1352"/>
      </w:pPr>
      <w:r>
        <w:rPr>
          <w:w w:val="120"/>
        </w:rPr>
        <w:t>currently concerned at the low level of black minority ethnic representation including church house staff. Equalities means everyone.</w:t>
      </w:r>
    </w:p>
    <w:p>
      <w:pPr>
        <w:spacing w:after="0" w:line="235" w:lineRule="auto"/>
        <w:sectPr>
          <w:headerReference w:type="default" r:id="rId399"/>
          <w:pgSz w:w="11910" w:h="16840"/>
          <w:pgMar w:header="0" w:footer="647" w:top="0" w:bottom="840" w:left="0" w:right="0"/>
        </w:sectPr>
      </w:pPr>
    </w:p>
    <w:p>
      <w:pPr>
        <w:pStyle w:val="BodyText"/>
      </w:pPr>
      <w:r>
        <w:rPr/>
        <w:drawing>
          <wp:anchor distT="0" distB="0" distL="0" distR="0" allowOverlap="1" layoutInCell="1" locked="0" behindDoc="0" simplePos="0" relativeHeight="252102656">
            <wp:simplePos x="0" y="0"/>
            <wp:positionH relativeFrom="page">
              <wp:posOffset>0</wp:posOffset>
            </wp:positionH>
            <wp:positionV relativeFrom="page">
              <wp:posOffset>0</wp:posOffset>
            </wp:positionV>
            <wp:extent cx="594067" cy="10692003"/>
            <wp:effectExtent l="0" t="0" r="0" b="0"/>
            <wp:wrapNone/>
            <wp:docPr id="325" name="image32.png"/>
            <wp:cNvGraphicFramePr>
              <a:graphicFrameLocks noChangeAspect="1"/>
            </wp:cNvGraphicFramePr>
            <a:graphic>
              <a:graphicData uri="http://schemas.openxmlformats.org/drawingml/2006/picture">
                <pic:pic>
                  <pic:nvPicPr>
                    <pic:cNvPr id="326" name="image32.png"/>
                    <pic:cNvPicPr/>
                  </pic:nvPicPr>
                  <pic:blipFill>
                    <a:blip r:embed="rId362"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shape style="position:absolute;margin-left:20.519100pt;margin-top:22.593945pt;width:25.9pt;height:98.65pt;mso-position-horizontal-relative:page;mso-position-vertical-relative:paragraph;z-index:252103680" type="#_x0000_t202" filled="false" stroked="false">
            <v:textbox inset="0,0,0,0" style="layout-flow:vertical">
              <w:txbxContent>
                <w:p>
                  <w:pPr>
                    <w:spacing w:before="27"/>
                    <w:ind w:left="20" w:right="0" w:firstLine="0"/>
                    <w:jc w:val="left"/>
                    <w:rPr>
                      <w:sz w:val="39"/>
                    </w:rPr>
                  </w:pPr>
                  <w:r>
                    <w:rPr>
                      <w:color w:val="FFFFFF"/>
                      <w:w w:val="120"/>
                      <w:sz w:val="39"/>
                    </w:rPr>
                    <w:t>Equalities</w:t>
                  </w:r>
                </w:p>
              </w:txbxContent>
            </v:textbox>
            <w10:wrap type="none"/>
          </v:shape>
        </w:pict>
      </w:r>
      <w:bookmarkStart w:name="_TOC_250006" w:id="38"/>
      <w:bookmarkEnd w:id="38"/>
      <w:r>
        <w:rPr>
          <w:color w:val="7EAABF"/>
          <w:w w:val="115"/>
        </w:rPr>
        <w:t>Equalities</w:t>
      </w:r>
    </w:p>
    <w:p>
      <w:pPr>
        <w:pStyle w:val="ListParagraph"/>
        <w:numPr>
          <w:ilvl w:val="0"/>
          <w:numId w:val="100"/>
        </w:numPr>
        <w:tabs>
          <w:tab w:pos="1927" w:val="left" w:leader="none"/>
          <w:tab w:pos="1928" w:val="left" w:leader="none"/>
        </w:tabs>
        <w:spacing w:line="235" w:lineRule="auto" w:before="222" w:after="0"/>
        <w:ind w:left="1247" w:right="2024" w:firstLine="0"/>
        <w:jc w:val="left"/>
        <w:rPr>
          <w:sz w:val="20"/>
        </w:rPr>
      </w:pPr>
      <w:r>
        <w:rPr>
          <w:w w:val="120"/>
          <w:sz w:val="20"/>
        </w:rPr>
        <w:t>Are children and young people included in all the structures of the United Reformed Church, including General Assembly? We are very </w:t>
      </w:r>
      <w:r>
        <w:rPr>
          <w:spacing w:val="2"/>
          <w:w w:val="120"/>
          <w:sz w:val="20"/>
        </w:rPr>
        <w:t>sorry </w:t>
      </w:r>
      <w:r>
        <w:rPr>
          <w:w w:val="120"/>
          <w:sz w:val="20"/>
        </w:rPr>
        <w:t>that there will not be a </w:t>
      </w:r>
      <w:r>
        <w:rPr>
          <w:spacing w:val="-3"/>
          <w:w w:val="120"/>
          <w:sz w:val="20"/>
        </w:rPr>
        <w:t>children’s </w:t>
      </w:r>
      <w:r>
        <w:rPr>
          <w:w w:val="120"/>
          <w:sz w:val="20"/>
        </w:rPr>
        <w:t>assembly in </w:t>
      </w:r>
      <w:r>
        <w:rPr>
          <w:spacing w:val="-6"/>
          <w:w w:val="120"/>
          <w:sz w:val="20"/>
        </w:rPr>
        <w:t>2014. </w:t>
      </w:r>
      <w:r>
        <w:rPr>
          <w:w w:val="120"/>
          <w:sz w:val="20"/>
        </w:rPr>
        <w:t>Equalities means</w:t>
      </w:r>
      <w:r>
        <w:rPr>
          <w:spacing w:val="25"/>
          <w:w w:val="120"/>
          <w:sz w:val="20"/>
        </w:rPr>
        <w:t> </w:t>
      </w:r>
      <w:r>
        <w:rPr>
          <w:w w:val="120"/>
          <w:sz w:val="20"/>
        </w:rPr>
        <w:t>everyone.</w:t>
      </w:r>
    </w:p>
    <w:p>
      <w:pPr>
        <w:pStyle w:val="BodyText"/>
        <w:spacing w:before="10"/>
        <w:rPr>
          <w:sz w:val="19"/>
        </w:rPr>
      </w:pPr>
    </w:p>
    <w:p>
      <w:pPr>
        <w:pStyle w:val="ListParagraph"/>
        <w:numPr>
          <w:ilvl w:val="0"/>
          <w:numId w:val="100"/>
        </w:numPr>
        <w:tabs>
          <w:tab w:pos="1927" w:val="left" w:leader="none"/>
          <w:tab w:pos="1928" w:val="left" w:leader="none"/>
        </w:tabs>
        <w:spacing w:line="235" w:lineRule="auto" w:before="0" w:after="0"/>
        <w:ind w:left="1247" w:right="2108" w:firstLine="0"/>
        <w:jc w:val="left"/>
        <w:rPr>
          <w:sz w:val="20"/>
        </w:rPr>
      </w:pPr>
      <w:r>
        <w:rPr>
          <w:w w:val="120"/>
          <w:sz w:val="20"/>
        </w:rPr>
        <w:t>With the synod moderators we are exploring ways of monitoring equality in the movement of ministers. Equalities means</w:t>
      </w:r>
      <w:r>
        <w:rPr>
          <w:spacing w:val="7"/>
          <w:w w:val="120"/>
          <w:sz w:val="20"/>
        </w:rPr>
        <w:t> </w:t>
      </w:r>
      <w:r>
        <w:rPr>
          <w:w w:val="120"/>
          <w:sz w:val="20"/>
        </w:rPr>
        <w:t>everyone.</w:t>
      </w:r>
    </w:p>
    <w:p>
      <w:pPr>
        <w:pStyle w:val="BodyText"/>
        <w:spacing w:before="9"/>
        <w:rPr>
          <w:sz w:val="19"/>
        </w:rPr>
      </w:pPr>
    </w:p>
    <w:p>
      <w:pPr>
        <w:pStyle w:val="ListParagraph"/>
        <w:numPr>
          <w:ilvl w:val="0"/>
          <w:numId w:val="100"/>
        </w:numPr>
        <w:tabs>
          <w:tab w:pos="1927" w:val="left" w:leader="none"/>
          <w:tab w:pos="1928" w:val="left" w:leader="none"/>
        </w:tabs>
        <w:spacing w:line="235" w:lineRule="auto" w:before="0" w:after="0"/>
        <w:ind w:left="1247" w:right="2071" w:firstLine="0"/>
        <w:jc w:val="left"/>
        <w:rPr>
          <w:sz w:val="20"/>
        </w:rPr>
      </w:pPr>
      <w:r>
        <w:rPr>
          <w:w w:val="120"/>
          <w:sz w:val="20"/>
        </w:rPr>
        <w:t>We have started to work on the questions of inclusive and expansive language. We are only at the beginning but it is 23 years since </w:t>
      </w:r>
      <w:r>
        <w:rPr>
          <w:i/>
          <w:w w:val="120"/>
          <w:sz w:val="20"/>
        </w:rPr>
        <w:t>Rejoice and Sing </w:t>
      </w:r>
      <w:r>
        <w:rPr>
          <w:w w:val="120"/>
          <w:sz w:val="20"/>
        </w:rPr>
        <w:t>was published</w:t>
      </w:r>
      <w:r>
        <w:rPr>
          <w:spacing w:val="-37"/>
          <w:w w:val="120"/>
          <w:sz w:val="20"/>
        </w:rPr>
        <w:t> </w:t>
      </w:r>
      <w:r>
        <w:rPr>
          <w:w w:val="120"/>
          <w:sz w:val="20"/>
        </w:rPr>
        <w:t>with a commitment to use inclusive language wherever possible. Since then some of our churches have become accustomed to avoiding male language for God, while many others have not changed the habits of </w:t>
      </w:r>
      <w:r>
        <w:rPr>
          <w:spacing w:val="-6"/>
          <w:w w:val="120"/>
          <w:sz w:val="20"/>
        </w:rPr>
        <w:t>1972. </w:t>
      </w:r>
      <w:r>
        <w:rPr>
          <w:w w:val="120"/>
          <w:sz w:val="20"/>
        </w:rPr>
        <w:t>Equalities means</w:t>
      </w:r>
      <w:r>
        <w:rPr>
          <w:spacing w:val="30"/>
          <w:w w:val="120"/>
          <w:sz w:val="20"/>
        </w:rPr>
        <w:t> </w:t>
      </w:r>
      <w:r>
        <w:rPr>
          <w:w w:val="120"/>
          <w:sz w:val="20"/>
        </w:rPr>
        <w:t>everyone.</w:t>
      </w:r>
    </w:p>
    <w:p>
      <w:pPr>
        <w:pStyle w:val="BodyText"/>
      </w:pPr>
    </w:p>
    <w:p>
      <w:pPr>
        <w:pStyle w:val="ListParagraph"/>
        <w:numPr>
          <w:ilvl w:val="0"/>
          <w:numId w:val="100"/>
        </w:numPr>
        <w:tabs>
          <w:tab w:pos="1927" w:val="left" w:leader="none"/>
          <w:tab w:pos="1928" w:val="left" w:leader="none"/>
        </w:tabs>
        <w:spacing w:line="235" w:lineRule="auto" w:before="0" w:after="0"/>
        <w:ind w:left="1247" w:right="1981" w:firstLine="0"/>
        <w:jc w:val="left"/>
        <w:rPr>
          <w:i/>
          <w:sz w:val="20"/>
        </w:rPr>
      </w:pPr>
      <w:r>
        <w:rPr>
          <w:w w:val="115"/>
          <w:sz w:val="20"/>
        </w:rPr>
        <w:t>We have been working on  the  inclusion  and  development  of  women  in leadership through </w:t>
      </w:r>
      <w:r>
        <w:rPr>
          <w:i/>
          <w:w w:val="115"/>
          <w:sz w:val="20"/>
        </w:rPr>
        <w:t>The Leading Question – women in leadership in churches and ecumenical </w:t>
      </w:r>
      <w:r>
        <w:rPr>
          <w:i/>
          <w:w w:val="115"/>
          <w:sz w:val="20"/>
        </w:rPr>
        <w:t>organisations</w:t>
      </w:r>
      <w:r>
        <w:rPr>
          <w:w w:val="115"/>
          <w:sz w:val="20"/>
        </w:rPr>
        <w:t>,</w:t>
      </w:r>
      <w:r>
        <w:rPr>
          <w:spacing w:val="10"/>
          <w:w w:val="115"/>
          <w:sz w:val="20"/>
        </w:rPr>
        <w:t> </w:t>
      </w:r>
      <w:r>
        <w:rPr>
          <w:w w:val="115"/>
          <w:sz w:val="20"/>
        </w:rPr>
        <w:t>produced</w:t>
      </w:r>
      <w:r>
        <w:rPr>
          <w:spacing w:val="11"/>
          <w:w w:val="115"/>
          <w:sz w:val="20"/>
        </w:rPr>
        <w:t> </w:t>
      </w:r>
      <w:r>
        <w:rPr>
          <w:w w:val="115"/>
          <w:sz w:val="20"/>
        </w:rPr>
        <w:t>by</w:t>
      </w:r>
      <w:r>
        <w:rPr>
          <w:spacing w:val="11"/>
          <w:w w:val="115"/>
          <w:sz w:val="20"/>
        </w:rPr>
        <w:t> </w:t>
      </w:r>
      <w:r>
        <w:rPr>
          <w:w w:val="115"/>
          <w:sz w:val="20"/>
        </w:rPr>
        <w:t>the</w:t>
      </w:r>
      <w:r>
        <w:rPr>
          <w:spacing w:val="10"/>
          <w:w w:val="115"/>
          <w:sz w:val="20"/>
        </w:rPr>
        <w:t> </w:t>
      </w:r>
      <w:r>
        <w:rPr>
          <w:w w:val="115"/>
          <w:sz w:val="20"/>
        </w:rPr>
        <w:t>Baptist</w:t>
      </w:r>
      <w:r>
        <w:rPr>
          <w:spacing w:val="11"/>
          <w:w w:val="115"/>
          <w:sz w:val="20"/>
        </w:rPr>
        <w:t> </w:t>
      </w:r>
      <w:r>
        <w:rPr>
          <w:w w:val="115"/>
          <w:sz w:val="20"/>
        </w:rPr>
        <w:t>Union</w:t>
      </w:r>
      <w:r>
        <w:rPr>
          <w:spacing w:val="11"/>
          <w:w w:val="115"/>
          <w:sz w:val="20"/>
        </w:rPr>
        <w:t> </w:t>
      </w:r>
      <w:r>
        <w:rPr>
          <w:w w:val="115"/>
          <w:sz w:val="20"/>
        </w:rPr>
        <w:t>of</w:t>
      </w:r>
      <w:r>
        <w:rPr>
          <w:spacing w:val="10"/>
          <w:w w:val="115"/>
          <w:sz w:val="20"/>
        </w:rPr>
        <w:t> </w:t>
      </w:r>
      <w:r>
        <w:rPr>
          <w:w w:val="115"/>
          <w:sz w:val="20"/>
        </w:rPr>
        <w:t>Great</w:t>
      </w:r>
      <w:r>
        <w:rPr>
          <w:spacing w:val="11"/>
          <w:w w:val="115"/>
          <w:sz w:val="20"/>
        </w:rPr>
        <w:t> </w:t>
      </w:r>
      <w:r>
        <w:rPr>
          <w:w w:val="115"/>
          <w:sz w:val="20"/>
        </w:rPr>
        <w:t>Britain</w:t>
      </w:r>
      <w:r>
        <w:rPr>
          <w:spacing w:val="11"/>
          <w:w w:val="115"/>
          <w:sz w:val="20"/>
        </w:rPr>
        <w:t> </w:t>
      </w:r>
      <w:r>
        <w:rPr>
          <w:w w:val="115"/>
          <w:sz w:val="20"/>
        </w:rPr>
        <w:t>and</w:t>
      </w:r>
      <w:r>
        <w:rPr>
          <w:spacing w:val="11"/>
          <w:w w:val="115"/>
          <w:sz w:val="20"/>
        </w:rPr>
        <w:t> </w:t>
      </w:r>
      <w:r>
        <w:rPr>
          <w:i/>
          <w:w w:val="115"/>
          <w:sz w:val="20"/>
        </w:rPr>
        <w:t>The</w:t>
      </w:r>
      <w:r>
        <w:rPr>
          <w:i/>
          <w:spacing w:val="7"/>
          <w:w w:val="115"/>
          <w:sz w:val="20"/>
        </w:rPr>
        <w:t> </w:t>
      </w:r>
      <w:r>
        <w:rPr>
          <w:i/>
          <w:w w:val="115"/>
          <w:sz w:val="20"/>
        </w:rPr>
        <w:t>Seven</w:t>
      </w:r>
      <w:r>
        <w:rPr>
          <w:i/>
          <w:spacing w:val="7"/>
          <w:w w:val="115"/>
          <w:sz w:val="20"/>
        </w:rPr>
        <w:t> </w:t>
      </w:r>
      <w:r>
        <w:rPr>
          <w:i/>
          <w:w w:val="115"/>
          <w:sz w:val="20"/>
        </w:rPr>
        <w:t>Deadly</w:t>
      </w:r>
      <w:r>
        <w:rPr>
          <w:i/>
          <w:spacing w:val="8"/>
          <w:w w:val="115"/>
          <w:sz w:val="20"/>
        </w:rPr>
        <w:t> </w:t>
      </w:r>
      <w:r>
        <w:rPr>
          <w:i/>
          <w:w w:val="115"/>
          <w:sz w:val="20"/>
        </w:rPr>
        <w:t>Sins</w:t>
      </w:r>
    </w:p>
    <w:p>
      <w:pPr>
        <w:pStyle w:val="BodyText"/>
        <w:spacing w:line="235" w:lineRule="auto" w:before="2"/>
        <w:ind w:left="1247" w:right="2004"/>
      </w:pPr>
      <w:r>
        <w:rPr>
          <w:i/>
          <w:w w:val="120"/>
        </w:rPr>
        <w:t>of</w:t>
      </w:r>
      <w:r>
        <w:rPr>
          <w:i/>
          <w:spacing w:val="-11"/>
          <w:w w:val="120"/>
        </w:rPr>
        <w:t> </w:t>
      </w:r>
      <w:r>
        <w:rPr>
          <w:i/>
          <w:w w:val="120"/>
        </w:rPr>
        <w:t>Women</w:t>
      </w:r>
      <w:r>
        <w:rPr>
          <w:i/>
          <w:spacing w:val="-10"/>
          <w:w w:val="120"/>
        </w:rPr>
        <w:t> </w:t>
      </w:r>
      <w:r>
        <w:rPr>
          <w:i/>
          <w:w w:val="120"/>
        </w:rPr>
        <w:t>in</w:t>
      </w:r>
      <w:r>
        <w:rPr>
          <w:i/>
          <w:spacing w:val="-10"/>
          <w:w w:val="120"/>
        </w:rPr>
        <w:t> </w:t>
      </w:r>
      <w:r>
        <w:rPr>
          <w:i/>
          <w:w w:val="120"/>
        </w:rPr>
        <w:t>Leadership</w:t>
      </w:r>
      <w:r>
        <w:rPr>
          <w:i/>
          <w:spacing w:val="-8"/>
          <w:w w:val="120"/>
        </w:rPr>
        <w:t> </w:t>
      </w:r>
      <w:r>
        <w:rPr>
          <w:w w:val="120"/>
        </w:rPr>
        <w:t>by</w:t>
      </w:r>
      <w:r>
        <w:rPr>
          <w:spacing w:val="-8"/>
          <w:w w:val="120"/>
        </w:rPr>
        <w:t> </w:t>
      </w:r>
      <w:r>
        <w:rPr>
          <w:w w:val="120"/>
        </w:rPr>
        <w:t>Kate</w:t>
      </w:r>
      <w:r>
        <w:rPr>
          <w:spacing w:val="-8"/>
          <w:w w:val="120"/>
        </w:rPr>
        <w:t> </w:t>
      </w:r>
      <w:r>
        <w:rPr>
          <w:w w:val="120"/>
        </w:rPr>
        <w:t>Coleman.</w:t>
      </w:r>
      <w:r>
        <w:rPr>
          <w:spacing w:val="-8"/>
          <w:w w:val="120"/>
        </w:rPr>
        <w:t> </w:t>
      </w:r>
      <w:r>
        <w:rPr>
          <w:w w:val="120"/>
        </w:rPr>
        <w:t>We</w:t>
      </w:r>
      <w:r>
        <w:rPr>
          <w:spacing w:val="-8"/>
          <w:w w:val="120"/>
        </w:rPr>
        <w:t> </w:t>
      </w:r>
      <w:r>
        <w:rPr>
          <w:w w:val="120"/>
        </w:rPr>
        <w:t>look</w:t>
      </w:r>
      <w:r>
        <w:rPr>
          <w:spacing w:val="-7"/>
          <w:w w:val="120"/>
        </w:rPr>
        <w:t> </w:t>
      </w:r>
      <w:r>
        <w:rPr>
          <w:w w:val="120"/>
        </w:rPr>
        <w:t>forward</w:t>
      </w:r>
      <w:r>
        <w:rPr>
          <w:spacing w:val="-8"/>
          <w:w w:val="120"/>
        </w:rPr>
        <w:t> </w:t>
      </w:r>
      <w:r>
        <w:rPr>
          <w:w w:val="120"/>
        </w:rPr>
        <w:t>to</w:t>
      </w:r>
      <w:r>
        <w:rPr>
          <w:spacing w:val="-8"/>
          <w:w w:val="120"/>
        </w:rPr>
        <w:t> </w:t>
      </w:r>
      <w:r>
        <w:rPr>
          <w:w w:val="120"/>
        </w:rPr>
        <w:t>the</w:t>
      </w:r>
      <w:r>
        <w:rPr>
          <w:spacing w:val="-8"/>
          <w:w w:val="120"/>
        </w:rPr>
        <w:t> </w:t>
      </w:r>
      <w:r>
        <w:rPr>
          <w:w w:val="120"/>
        </w:rPr>
        <w:t>possibility</w:t>
      </w:r>
      <w:r>
        <w:rPr>
          <w:spacing w:val="-8"/>
          <w:w w:val="120"/>
        </w:rPr>
        <w:t> </w:t>
      </w:r>
      <w:r>
        <w:rPr>
          <w:w w:val="120"/>
        </w:rPr>
        <w:t>of</w:t>
      </w:r>
      <w:r>
        <w:rPr>
          <w:spacing w:val="-8"/>
          <w:w w:val="120"/>
        </w:rPr>
        <w:t> </w:t>
      </w:r>
      <w:r>
        <w:rPr>
          <w:w w:val="120"/>
        </w:rPr>
        <w:t>offering further training for women as our leaders. Equalities means</w:t>
      </w:r>
      <w:r>
        <w:rPr>
          <w:spacing w:val="12"/>
          <w:w w:val="120"/>
        </w:rPr>
        <w:t> </w:t>
      </w:r>
      <w:r>
        <w:rPr>
          <w:w w:val="120"/>
        </w:rPr>
        <w:t>everyone.</w:t>
      </w:r>
    </w:p>
    <w:p>
      <w:pPr>
        <w:pStyle w:val="BodyText"/>
        <w:spacing w:before="10"/>
        <w:rPr>
          <w:sz w:val="19"/>
        </w:rPr>
      </w:pPr>
    </w:p>
    <w:p>
      <w:pPr>
        <w:pStyle w:val="ListParagraph"/>
        <w:numPr>
          <w:ilvl w:val="0"/>
          <w:numId w:val="100"/>
        </w:numPr>
        <w:tabs>
          <w:tab w:pos="1927" w:val="left" w:leader="none"/>
          <w:tab w:pos="1928" w:val="left" w:leader="none"/>
        </w:tabs>
        <w:spacing w:line="235" w:lineRule="auto" w:before="0" w:after="0"/>
        <w:ind w:left="1247" w:right="2891" w:firstLine="0"/>
        <w:jc w:val="left"/>
        <w:rPr>
          <w:sz w:val="20"/>
        </w:rPr>
      </w:pPr>
      <w:r>
        <w:rPr>
          <w:w w:val="120"/>
          <w:sz w:val="20"/>
        </w:rPr>
        <w:t>We are beginning to lay plans for the celebration of the centenary of  the ordination of women in England, Constance Coltman </w:t>
      </w:r>
      <w:r>
        <w:rPr>
          <w:spacing w:val="-4"/>
          <w:w w:val="120"/>
          <w:sz w:val="20"/>
        </w:rPr>
        <w:t>(nee </w:t>
      </w:r>
      <w:r>
        <w:rPr>
          <w:spacing w:val="-3"/>
          <w:w w:val="120"/>
          <w:sz w:val="20"/>
        </w:rPr>
        <w:t>Todd) </w:t>
      </w:r>
      <w:r>
        <w:rPr>
          <w:spacing w:val="-15"/>
          <w:w w:val="120"/>
          <w:sz w:val="20"/>
        </w:rPr>
        <w:t>1917,</w:t>
      </w:r>
      <w:r>
        <w:rPr>
          <w:spacing w:val="18"/>
          <w:w w:val="120"/>
          <w:sz w:val="20"/>
        </w:rPr>
        <w:t> </w:t>
      </w:r>
      <w:r>
        <w:rPr>
          <w:w w:val="120"/>
          <w:sz w:val="20"/>
        </w:rPr>
        <w:t>also</w:t>
      </w:r>
    </w:p>
    <w:p>
      <w:pPr>
        <w:pStyle w:val="BodyText"/>
        <w:spacing w:line="235" w:lineRule="auto" w:before="1"/>
        <w:ind w:left="1247" w:right="2280"/>
      </w:pPr>
      <w:r>
        <w:rPr>
          <w:w w:val="120"/>
        </w:rPr>
        <w:t>remembering Susannah Rankin (nee Ellis) in Wales 1925, and Vera Kenmure (nee Findlay) in Scotland 1928. We hope that every synod will create its own celebration and that all local churches will participate. We look forward to some wonderful ways of celebrating that equalities means everyone.</w:t>
      </w:r>
    </w:p>
    <w:p>
      <w:pPr>
        <w:spacing w:after="0" w:line="235" w:lineRule="auto"/>
        <w:sectPr>
          <w:headerReference w:type="even" r:id="rId400"/>
          <w:footerReference w:type="even" r:id="rId401"/>
          <w:footerReference w:type="default" r:id="rId402"/>
          <w:pgSz w:w="11910" w:h="16840"/>
          <w:pgMar w:header="0" w:footer="647" w:top="0" w:bottom="840" w:left="0" w:right="0"/>
          <w:pgNumType w:start="174"/>
        </w:sectPr>
      </w:pPr>
    </w:p>
    <w:p>
      <w:pPr>
        <w:pStyle w:val="BodyText"/>
      </w:pPr>
      <w:r>
        <w:rPr/>
        <w:drawing>
          <wp:anchor distT="0" distB="0" distL="0" distR="0" allowOverlap="1" layoutInCell="1" locked="0" behindDoc="0" simplePos="0" relativeHeight="252104704">
            <wp:simplePos x="0" y="0"/>
            <wp:positionH relativeFrom="page">
              <wp:posOffset>6974928</wp:posOffset>
            </wp:positionH>
            <wp:positionV relativeFrom="page">
              <wp:posOffset>0</wp:posOffset>
            </wp:positionV>
            <wp:extent cx="585063" cy="10692003"/>
            <wp:effectExtent l="0" t="0" r="0" b="0"/>
            <wp:wrapNone/>
            <wp:docPr id="327" name="image30.png"/>
            <wp:cNvGraphicFramePr>
              <a:graphicFrameLocks noChangeAspect="1"/>
            </wp:cNvGraphicFramePr>
            <a:graphic>
              <a:graphicData uri="http://schemas.openxmlformats.org/drawingml/2006/picture">
                <pic:pic>
                  <pic:nvPicPr>
                    <pic:cNvPr id="328" name="image30.png"/>
                    <pic:cNvPicPr/>
                  </pic:nvPicPr>
                  <pic:blipFill>
                    <a:blip r:embed="rId357"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5"/>
        <w:rPr>
          <w:sz w:val="28"/>
        </w:rPr>
      </w:pPr>
    </w:p>
    <w:p>
      <w:pPr>
        <w:pStyle w:val="Heading2"/>
        <w:spacing w:before="97"/>
        <w:ind w:left="1984"/>
        <w:rPr>
          <w:b/>
        </w:rPr>
      </w:pPr>
      <w:r>
        <w:rPr/>
        <w:pict>
          <v:shape style="position:absolute;margin-left:554.141174pt;margin-top:-5.998084pt;width:25.9pt;height:156.35pt;mso-position-horizontal-relative:page;mso-position-vertical-relative:paragraph;z-index:252105728" type="#_x0000_t202" filled="false" stroked="false">
            <v:textbox inset="0,0,0,0" style="layout-flow:vertical">
              <w:txbxContent>
                <w:p>
                  <w:pPr>
                    <w:spacing w:before="27"/>
                    <w:ind w:left="20" w:right="0" w:firstLine="0"/>
                    <w:jc w:val="left"/>
                    <w:rPr>
                      <w:sz w:val="39"/>
                    </w:rPr>
                  </w:pPr>
                  <w:r>
                    <w:rPr>
                      <w:color w:val="FFFFFF"/>
                      <w:w w:val="120"/>
                      <w:sz w:val="39"/>
                    </w:rPr>
                    <w:t>Faith and order</w:t>
                  </w:r>
                </w:p>
              </w:txbxContent>
            </v:textbox>
            <w10:wrap type="none"/>
          </v:shape>
        </w:pict>
      </w:r>
      <w:bookmarkStart w:name="_bookmark33" w:id="39"/>
      <w:bookmarkEnd w:id="39"/>
      <w:r>
        <w:rPr>
          <w:b w:val="0"/>
        </w:rPr>
      </w:r>
      <w:r>
        <w:rPr>
          <w:b/>
          <w:w w:val="110"/>
        </w:rPr>
        <w:t>Faith and order committee</w:t>
      </w:r>
    </w:p>
    <w:p>
      <w:pPr>
        <w:spacing w:before="141"/>
        <w:ind w:left="1984" w:right="0" w:firstLine="0"/>
        <w:jc w:val="left"/>
        <w:rPr>
          <w:sz w:val="18"/>
        </w:rPr>
      </w:pPr>
      <w:r>
        <w:rPr>
          <w:color w:val="87888A"/>
          <w:w w:val="120"/>
          <w:sz w:val="18"/>
        </w:rPr>
        <w:t>The faith and order committee exists:</w:t>
      </w:r>
    </w:p>
    <w:p>
      <w:pPr>
        <w:pStyle w:val="ListParagraph"/>
        <w:numPr>
          <w:ilvl w:val="1"/>
          <w:numId w:val="99"/>
        </w:numPr>
        <w:tabs>
          <w:tab w:pos="2664" w:val="left" w:leader="none"/>
          <w:tab w:pos="2665" w:val="left" w:leader="none"/>
        </w:tabs>
        <w:spacing w:line="240" w:lineRule="auto" w:before="20" w:after="0"/>
        <w:ind w:left="2664" w:right="0" w:hanging="681"/>
        <w:jc w:val="left"/>
        <w:rPr>
          <w:sz w:val="18"/>
        </w:rPr>
      </w:pPr>
      <w:r>
        <w:rPr>
          <w:color w:val="87888A"/>
          <w:w w:val="115"/>
          <w:sz w:val="18"/>
        </w:rPr>
        <w:t>to</w:t>
      </w:r>
      <w:r>
        <w:rPr>
          <w:color w:val="87888A"/>
          <w:spacing w:val="5"/>
          <w:w w:val="115"/>
          <w:sz w:val="18"/>
        </w:rPr>
        <w:t> </w:t>
      </w:r>
      <w:r>
        <w:rPr>
          <w:color w:val="87888A"/>
          <w:w w:val="115"/>
          <w:sz w:val="18"/>
        </w:rPr>
        <w:t>address</w:t>
      </w:r>
      <w:r>
        <w:rPr>
          <w:color w:val="87888A"/>
          <w:spacing w:val="5"/>
          <w:w w:val="115"/>
          <w:sz w:val="18"/>
        </w:rPr>
        <w:t> </w:t>
      </w:r>
      <w:r>
        <w:rPr>
          <w:color w:val="87888A"/>
          <w:w w:val="115"/>
          <w:sz w:val="18"/>
        </w:rPr>
        <w:t>issues</w:t>
      </w:r>
      <w:r>
        <w:rPr>
          <w:color w:val="87888A"/>
          <w:spacing w:val="5"/>
          <w:w w:val="115"/>
          <w:sz w:val="18"/>
        </w:rPr>
        <w:t> </w:t>
      </w:r>
      <w:r>
        <w:rPr>
          <w:color w:val="87888A"/>
          <w:w w:val="115"/>
          <w:sz w:val="18"/>
        </w:rPr>
        <w:t>of</w:t>
      </w:r>
      <w:r>
        <w:rPr>
          <w:color w:val="87888A"/>
          <w:spacing w:val="6"/>
          <w:w w:val="115"/>
          <w:sz w:val="18"/>
        </w:rPr>
        <w:t> </w:t>
      </w:r>
      <w:r>
        <w:rPr>
          <w:color w:val="87888A"/>
          <w:w w:val="115"/>
          <w:sz w:val="18"/>
        </w:rPr>
        <w:t>faith</w:t>
      </w:r>
      <w:r>
        <w:rPr>
          <w:color w:val="87888A"/>
          <w:spacing w:val="5"/>
          <w:w w:val="115"/>
          <w:sz w:val="18"/>
        </w:rPr>
        <w:t> </w:t>
      </w:r>
      <w:r>
        <w:rPr>
          <w:color w:val="87888A"/>
          <w:w w:val="115"/>
          <w:sz w:val="18"/>
        </w:rPr>
        <w:t>and</w:t>
      </w:r>
      <w:r>
        <w:rPr>
          <w:color w:val="87888A"/>
          <w:spacing w:val="5"/>
          <w:w w:val="115"/>
          <w:sz w:val="18"/>
        </w:rPr>
        <w:t> </w:t>
      </w:r>
      <w:r>
        <w:rPr>
          <w:color w:val="87888A"/>
          <w:w w:val="115"/>
          <w:sz w:val="18"/>
        </w:rPr>
        <w:t>order</w:t>
      </w:r>
      <w:r>
        <w:rPr>
          <w:color w:val="87888A"/>
          <w:spacing w:val="6"/>
          <w:w w:val="115"/>
          <w:sz w:val="18"/>
        </w:rPr>
        <w:t> </w:t>
      </w:r>
      <w:r>
        <w:rPr>
          <w:color w:val="87888A"/>
          <w:w w:val="115"/>
          <w:sz w:val="18"/>
        </w:rPr>
        <w:t>on</w:t>
      </w:r>
      <w:r>
        <w:rPr>
          <w:color w:val="87888A"/>
          <w:spacing w:val="5"/>
          <w:w w:val="115"/>
          <w:sz w:val="18"/>
        </w:rPr>
        <w:t> </w:t>
      </w:r>
      <w:r>
        <w:rPr>
          <w:color w:val="87888A"/>
          <w:w w:val="115"/>
          <w:sz w:val="18"/>
        </w:rPr>
        <w:t>behalf</w:t>
      </w:r>
      <w:r>
        <w:rPr>
          <w:color w:val="87888A"/>
          <w:spacing w:val="5"/>
          <w:w w:val="115"/>
          <w:sz w:val="18"/>
        </w:rPr>
        <w:t> </w:t>
      </w:r>
      <w:r>
        <w:rPr>
          <w:color w:val="87888A"/>
          <w:w w:val="115"/>
          <w:sz w:val="18"/>
        </w:rPr>
        <w:t>of</w:t>
      </w:r>
      <w:r>
        <w:rPr>
          <w:color w:val="87888A"/>
          <w:spacing w:val="5"/>
          <w:w w:val="115"/>
          <w:sz w:val="18"/>
        </w:rPr>
        <w:t> </w:t>
      </w:r>
      <w:r>
        <w:rPr>
          <w:color w:val="87888A"/>
          <w:w w:val="115"/>
          <w:sz w:val="18"/>
        </w:rPr>
        <w:t>the</w:t>
      </w:r>
      <w:r>
        <w:rPr>
          <w:color w:val="87888A"/>
          <w:spacing w:val="6"/>
          <w:w w:val="115"/>
          <w:sz w:val="18"/>
        </w:rPr>
        <w:t> </w:t>
      </w:r>
      <w:r>
        <w:rPr>
          <w:color w:val="87888A"/>
          <w:w w:val="115"/>
          <w:sz w:val="18"/>
        </w:rPr>
        <w:t>URC;</w:t>
      </w:r>
    </w:p>
    <w:p>
      <w:pPr>
        <w:pStyle w:val="ListParagraph"/>
        <w:numPr>
          <w:ilvl w:val="1"/>
          <w:numId w:val="99"/>
        </w:numPr>
        <w:tabs>
          <w:tab w:pos="2664" w:val="left" w:leader="none"/>
          <w:tab w:pos="2665" w:val="left" w:leader="none"/>
        </w:tabs>
        <w:spacing w:line="261" w:lineRule="auto" w:before="20" w:after="0"/>
        <w:ind w:left="2664" w:right="1938" w:hanging="681"/>
        <w:jc w:val="left"/>
        <w:rPr>
          <w:sz w:val="18"/>
        </w:rPr>
      </w:pPr>
      <w:r>
        <w:rPr>
          <w:color w:val="87888A"/>
          <w:w w:val="120"/>
          <w:sz w:val="18"/>
        </w:rPr>
        <w:t>to participate in and respond to ecumenical and inter-faith discussions on faith and order</w:t>
      </w:r>
      <w:r>
        <w:rPr>
          <w:color w:val="87888A"/>
          <w:spacing w:val="1"/>
          <w:w w:val="120"/>
          <w:sz w:val="18"/>
        </w:rPr>
        <w:t> </w:t>
      </w:r>
      <w:r>
        <w:rPr>
          <w:color w:val="87888A"/>
          <w:w w:val="120"/>
          <w:sz w:val="18"/>
        </w:rPr>
        <w:t>issues;</w:t>
      </w:r>
    </w:p>
    <w:p>
      <w:pPr>
        <w:pStyle w:val="ListParagraph"/>
        <w:numPr>
          <w:ilvl w:val="1"/>
          <w:numId w:val="99"/>
        </w:numPr>
        <w:tabs>
          <w:tab w:pos="2664" w:val="left" w:leader="none"/>
          <w:tab w:pos="2665" w:val="left" w:leader="none"/>
        </w:tabs>
        <w:spacing w:line="240" w:lineRule="auto" w:before="1" w:after="0"/>
        <w:ind w:left="2664" w:right="0" w:hanging="681"/>
        <w:jc w:val="left"/>
        <w:rPr>
          <w:sz w:val="18"/>
        </w:rPr>
      </w:pPr>
      <w:r>
        <w:rPr>
          <w:color w:val="87888A"/>
          <w:w w:val="115"/>
          <w:sz w:val="18"/>
        </w:rPr>
        <w:t>to</w:t>
      </w:r>
      <w:r>
        <w:rPr>
          <w:color w:val="87888A"/>
          <w:spacing w:val="7"/>
          <w:w w:val="115"/>
          <w:sz w:val="18"/>
        </w:rPr>
        <w:t> </w:t>
      </w:r>
      <w:r>
        <w:rPr>
          <w:color w:val="87888A"/>
          <w:w w:val="115"/>
          <w:sz w:val="18"/>
        </w:rPr>
        <w:t>advise</w:t>
      </w:r>
      <w:r>
        <w:rPr>
          <w:color w:val="87888A"/>
          <w:spacing w:val="7"/>
          <w:w w:val="115"/>
          <w:sz w:val="18"/>
        </w:rPr>
        <w:t> </w:t>
      </w:r>
      <w:r>
        <w:rPr>
          <w:color w:val="87888A"/>
          <w:w w:val="115"/>
          <w:sz w:val="18"/>
        </w:rPr>
        <w:t>the</w:t>
      </w:r>
      <w:r>
        <w:rPr>
          <w:color w:val="87888A"/>
          <w:spacing w:val="8"/>
          <w:w w:val="115"/>
          <w:sz w:val="18"/>
        </w:rPr>
        <w:t> </w:t>
      </w:r>
      <w:r>
        <w:rPr>
          <w:color w:val="87888A"/>
          <w:w w:val="115"/>
          <w:sz w:val="18"/>
        </w:rPr>
        <w:t>assembly,</w:t>
      </w:r>
      <w:r>
        <w:rPr>
          <w:color w:val="87888A"/>
          <w:spacing w:val="7"/>
          <w:w w:val="115"/>
          <w:sz w:val="18"/>
        </w:rPr>
        <w:t> </w:t>
      </w:r>
      <w:r>
        <w:rPr>
          <w:color w:val="87888A"/>
          <w:w w:val="115"/>
          <w:sz w:val="18"/>
        </w:rPr>
        <w:t>its</w:t>
      </w:r>
      <w:r>
        <w:rPr>
          <w:color w:val="87888A"/>
          <w:spacing w:val="8"/>
          <w:w w:val="115"/>
          <w:sz w:val="18"/>
        </w:rPr>
        <w:t> </w:t>
      </w:r>
      <w:r>
        <w:rPr>
          <w:color w:val="87888A"/>
          <w:w w:val="115"/>
          <w:sz w:val="18"/>
        </w:rPr>
        <w:t>officers</w:t>
      </w:r>
      <w:r>
        <w:rPr>
          <w:color w:val="87888A"/>
          <w:spacing w:val="7"/>
          <w:w w:val="115"/>
          <w:sz w:val="18"/>
        </w:rPr>
        <w:t> </w:t>
      </w:r>
      <w:r>
        <w:rPr>
          <w:color w:val="87888A"/>
          <w:w w:val="115"/>
          <w:sz w:val="18"/>
        </w:rPr>
        <w:t>and</w:t>
      </w:r>
      <w:r>
        <w:rPr>
          <w:color w:val="87888A"/>
          <w:spacing w:val="8"/>
          <w:w w:val="115"/>
          <w:sz w:val="18"/>
        </w:rPr>
        <w:t> </w:t>
      </w:r>
      <w:r>
        <w:rPr>
          <w:color w:val="87888A"/>
          <w:w w:val="115"/>
          <w:sz w:val="18"/>
        </w:rPr>
        <w:t>committees</w:t>
      </w:r>
      <w:r>
        <w:rPr>
          <w:color w:val="87888A"/>
          <w:spacing w:val="7"/>
          <w:w w:val="115"/>
          <w:sz w:val="18"/>
        </w:rPr>
        <w:t> </w:t>
      </w:r>
      <w:r>
        <w:rPr>
          <w:color w:val="87888A"/>
          <w:w w:val="115"/>
          <w:sz w:val="18"/>
        </w:rPr>
        <w:t>on</w:t>
      </w:r>
      <w:r>
        <w:rPr>
          <w:color w:val="87888A"/>
          <w:spacing w:val="8"/>
          <w:w w:val="115"/>
          <w:sz w:val="18"/>
        </w:rPr>
        <w:t> </w:t>
      </w:r>
      <w:r>
        <w:rPr>
          <w:color w:val="87888A"/>
          <w:w w:val="115"/>
          <w:sz w:val="18"/>
        </w:rPr>
        <w:t>questions</w:t>
      </w:r>
      <w:r>
        <w:rPr>
          <w:color w:val="87888A"/>
          <w:spacing w:val="7"/>
          <w:w w:val="115"/>
          <w:sz w:val="18"/>
        </w:rPr>
        <w:t> </w:t>
      </w:r>
      <w:r>
        <w:rPr>
          <w:color w:val="87888A"/>
          <w:w w:val="115"/>
          <w:sz w:val="18"/>
        </w:rPr>
        <w:t>of</w:t>
      </w:r>
      <w:r>
        <w:rPr>
          <w:color w:val="87888A"/>
          <w:spacing w:val="8"/>
          <w:w w:val="115"/>
          <w:sz w:val="18"/>
        </w:rPr>
        <w:t> </w:t>
      </w:r>
      <w:r>
        <w:rPr>
          <w:color w:val="87888A"/>
          <w:w w:val="115"/>
          <w:sz w:val="18"/>
        </w:rPr>
        <w:t>faith</w:t>
      </w:r>
      <w:r>
        <w:rPr>
          <w:color w:val="87888A"/>
          <w:spacing w:val="7"/>
          <w:w w:val="115"/>
          <w:sz w:val="18"/>
        </w:rPr>
        <w:t> </w:t>
      </w:r>
      <w:r>
        <w:rPr>
          <w:color w:val="87888A"/>
          <w:w w:val="115"/>
          <w:sz w:val="18"/>
        </w:rPr>
        <w:t>and</w:t>
      </w:r>
      <w:r>
        <w:rPr>
          <w:color w:val="87888A"/>
          <w:spacing w:val="8"/>
          <w:w w:val="115"/>
          <w:sz w:val="18"/>
        </w:rPr>
        <w:t> </w:t>
      </w:r>
      <w:r>
        <w:rPr>
          <w:color w:val="87888A"/>
          <w:w w:val="115"/>
          <w:sz w:val="18"/>
        </w:rPr>
        <w:t>order;</w:t>
      </w:r>
    </w:p>
    <w:p>
      <w:pPr>
        <w:pStyle w:val="ListParagraph"/>
        <w:numPr>
          <w:ilvl w:val="1"/>
          <w:numId w:val="99"/>
        </w:numPr>
        <w:tabs>
          <w:tab w:pos="2664" w:val="left" w:leader="none"/>
          <w:tab w:pos="2665" w:val="left" w:leader="none"/>
        </w:tabs>
        <w:spacing w:line="261" w:lineRule="auto" w:before="20" w:after="0"/>
        <w:ind w:left="2664" w:right="1957" w:hanging="681"/>
        <w:jc w:val="left"/>
        <w:rPr>
          <w:sz w:val="18"/>
        </w:rPr>
      </w:pPr>
      <w:r>
        <w:rPr>
          <w:color w:val="87888A"/>
          <w:w w:val="120"/>
          <w:sz w:val="18"/>
        </w:rPr>
        <w:t>to listen to concerns raised by local churches, synods and individuals and to advise as</w:t>
      </w:r>
      <w:r>
        <w:rPr>
          <w:color w:val="87888A"/>
          <w:spacing w:val="1"/>
          <w:w w:val="120"/>
          <w:sz w:val="18"/>
        </w:rPr>
        <w:t> </w:t>
      </w:r>
      <w:r>
        <w:rPr>
          <w:color w:val="87888A"/>
          <w:w w:val="120"/>
          <w:sz w:val="18"/>
        </w:rPr>
        <w:t>appropriate;</w:t>
      </w:r>
    </w:p>
    <w:p>
      <w:pPr>
        <w:pStyle w:val="ListParagraph"/>
        <w:numPr>
          <w:ilvl w:val="1"/>
          <w:numId w:val="99"/>
        </w:numPr>
        <w:tabs>
          <w:tab w:pos="2664" w:val="left" w:leader="none"/>
          <w:tab w:pos="2665" w:val="left" w:leader="none"/>
        </w:tabs>
        <w:spacing w:line="240" w:lineRule="auto" w:before="1" w:after="0"/>
        <w:ind w:left="2664" w:right="0" w:hanging="681"/>
        <w:jc w:val="left"/>
        <w:rPr>
          <w:sz w:val="18"/>
        </w:rPr>
      </w:pPr>
      <w:r>
        <w:rPr>
          <w:color w:val="87888A"/>
          <w:w w:val="120"/>
          <w:sz w:val="18"/>
        </w:rPr>
        <w:t>to publish and disseminate occasional materials relating to questions of faith and</w:t>
      </w:r>
      <w:r>
        <w:rPr>
          <w:color w:val="87888A"/>
          <w:spacing w:val="-4"/>
          <w:w w:val="120"/>
          <w:sz w:val="18"/>
        </w:rPr>
        <w:t> </w:t>
      </w:r>
      <w:r>
        <w:rPr>
          <w:color w:val="87888A"/>
          <w:w w:val="120"/>
          <w:sz w:val="18"/>
        </w:rPr>
        <w:t>order.</w:t>
      </w:r>
    </w:p>
    <w:p>
      <w:pPr>
        <w:pStyle w:val="BodyText"/>
        <w:spacing w:before="4"/>
        <w:rPr>
          <w:sz w:val="21"/>
        </w:rPr>
      </w:pPr>
    </w:p>
    <w:p>
      <w:pPr>
        <w:spacing w:before="0"/>
        <w:ind w:left="1984" w:right="0" w:firstLine="0"/>
        <w:jc w:val="left"/>
        <w:rPr>
          <w:sz w:val="18"/>
        </w:rPr>
      </w:pPr>
      <w:r>
        <w:rPr>
          <w:color w:val="87888A"/>
          <w:w w:val="120"/>
          <w:sz w:val="18"/>
        </w:rPr>
        <w:t>Committee members:</w:t>
      </w:r>
    </w:p>
    <w:p>
      <w:pPr>
        <w:spacing w:line="261" w:lineRule="auto" w:before="21"/>
        <w:ind w:left="1984" w:right="6841" w:firstLine="0"/>
        <w:jc w:val="left"/>
        <w:rPr>
          <w:sz w:val="18"/>
        </w:rPr>
      </w:pPr>
      <w:r>
        <w:rPr>
          <w:color w:val="87888A"/>
          <w:w w:val="120"/>
          <w:sz w:val="18"/>
        </w:rPr>
        <w:t>Convener: Elizabeth Welch Secretary: David Tatem</w:t>
      </w:r>
    </w:p>
    <w:p>
      <w:pPr>
        <w:spacing w:line="261" w:lineRule="auto" w:before="1"/>
        <w:ind w:left="1984" w:right="1352" w:firstLine="0"/>
        <w:jc w:val="left"/>
        <w:rPr>
          <w:sz w:val="18"/>
        </w:rPr>
      </w:pPr>
      <w:r>
        <w:rPr>
          <w:color w:val="87888A"/>
          <w:w w:val="120"/>
          <w:sz w:val="18"/>
        </w:rPr>
        <w:t>John Bradbury (co-opted), Susan Durber (to 2013), Sarah Hall, Michael Jagessar, Tim Meadows, Richard Mortimer (to 2013), Neil Messer, Malachie Munyaneza, Stephen Orchard (co-opted), Augur Pearce, Sally Thomas</w:t>
      </w:r>
    </w:p>
    <w:p>
      <w:pPr>
        <w:pStyle w:val="BodyText"/>
        <w:rPr>
          <w:sz w:val="22"/>
        </w:rPr>
      </w:pPr>
    </w:p>
    <w:p>
      <w:pPr>
        <w:pStyle w:val="Heading4"/>
        <w:numPr>
          <w:ilvl w:val="1"/>
          <w:numId w:val="100"/>
        </w:numPr>
        <w:tabs>
          <w:tab w:pos="2755" w:val="left" w:leader="none"/>
          <w:tab w:pos="2756" w:val="left" w:leader="none"/>
        </w:tabs>
        <w:spacing w:line="240" w:lineRule="auto" w:before="170" w:after="0"/>
        <w:ind w:left="2755" w:right="0" w:hanging="772"/>
        <w:jc w:val="left"/>
      </w:pPr>
      <w:r>
        <w:rPr>
          <w:spacing w:val="4"/>
          <w:w w:val="110"/>
        </w:rPr>
        <w:t>Introduction</w:t>
      </w:r>
    </w:p>
    <w:p>
      <w:pPr>
        <w:pStyle w:val="ListParagraph"/>
        <w:numPr>
          <w:ilvl w:val="2"/>
          <w:numId w:val="100"/>
        </w:numPr>
        <w:tabs>
          <w:tab w:pos="2664" w:val="left" w:leader="none"/>
          <w:tab w:pos="2665" w:val="left" w:leader="none"/>
        </w:tabs>
        <w:spacing w:line="235" w:lineRule="auto" w:before="69" w:after="0"/>
        <w:ind w:left="1984" w:right="1691" w:firstLine="0"/>
        <w:jc w:val="left"/>
        <w:rPr>
          <w:sz w:val="20"/>
        </w:rPr>
      </w:pPr>
      <w:r>
        <w:rPr>
          <w:w w:val="120"/>
          <w:sz w:val="20"/>
        </w:rPr>
        <w:t>The </w:t>
      </w:r>
      <w:r>
        <w:rPr>
          <w:spacing w:val="-7"/>
          <w:w w:val="120"/>
          <w:sz w:val="20"/>
        </w:rPr>
        <w:t>2012 </w:t>
      </w:r>
      <w:r>
        <w:rPr>
          <w:w w:val="120"/>
          <w:sz w:val="20"/>
        </w:rPr>
        <w:t>General Assembly agreed to the creation of the faith and order committee to replace the previous, informal faith and order reference group. This is therefore the first </w:t>
      </w:r>
      <w:r>
        <w:rPr>
          <w:spacing w:val="2"/>
          <w:w w:val="120"/>
          <w:sz w:val="20"/>
        </w:rPr>
        <w:t>report </w:t>
      </w:r>
      <w:r>
        <w:rPr>
          <w:w w:val="120"/>
          <w:sz w:val="20"/>
        </w:rPr>
        <w:t>from the</w:t>
      </w:r>
      <w:r>
        <w:rPr>
          <w:spacing w:val="5"/>
          <w:w w:val="120"/>
          <w:sz w:val="20"/>
        </w:rPr>
        <w:t> </w:t>
      </w:r>
      <w:r>
        <w:rPr>
          <w:w w:val="120"/>
          <w:sz w:val="20"/>
        </w:rPr>
        <w:t>committee.</w:t>
      </w:r>
    </w:p>
    <w:p>
      <w:pPr>
        <w:pStyle w:val="BodyText"/>
        <w:spacing w:before="10"/>
        <w:rPr>
          <w:sz w:val="19"/>
        </w:rPr>
      </w:pPr>
    </w:p>
    <w:p>
      <w:pPr>
        <w:pStyle w:val="ListParagraph"/>
        <w:numPr>
          <w:ilvl w:val="2"/>
          <w:numId w:val="100"/>
        </w:numPr>
        <w:tabs>
          <w:tab w:pos="2664" w:val="left" w:leader="none"/>
          <w:tab w:pos="2665" w:val="left" w:leader="none"/>
        </w:tabs>
        <w:spacing w:line="235" w:lineRule="auto" w:before="0" w:after="0"/>
        <w:ind w:left="1984" w:right="1273" w:firstLine="0"/>
        <w:jc w:val="left"/>
        <w:rPr>
          <w:sz w:val="20"/>
        </w:rPr>
      </w:pPr>
      <w:r>
        <w:rPr>
          <w:w w:val="120"/>
          <w:sz w:val="20"/>
        </w:rPr>
        <w:t>There have been six meetings since the last Assembly, normally taking place over a </w:t>
      </w:r>
      <w:r>
        <w:rPr>
          <w:spacing w:val="-5"/>
          <w:w w:val="120"/>
          <w:sz w:val="20"/>
        </w:rPr>
        <w:t>24 </w:t>
      </w:r>
      <w:r>
        <w:rPr>
          <w:w w:val="120"/>
          <w:sz w:val="20"/>
        </w:rPr>
        <w:t>hour period at Westminster</w:t>
      </w:r>
      <w:r>
        <w:rPr>
          <w:spacing w:val="18"/>
          <w:w w:val="120"/>
          <w:sz w:val="20"/>
        </w:rPr>
        <w:t> </w:t>
      </w:r>
      <w:r>
        <w:rPr>
          <w:w w:val="120"/>
          <w:sz w:val="20"/>
        </w:rPr>
        <w:t>College.</w:t>
      </w:r>
    </w:p>
    <w:p>
      <w:pPr>
        <w:pStyle w:val="BodyText"/>
        <w:spacing w:before="9"/>
        <w:rPr>
          <w:sz w:val="19"/>
        </w:rPr>
      </w:pPr>
    </w:p>
    <w:p>
      <w:pPr>
        <w:pStyle w:val="ListParagraph"/>
        <w:numPr>
          <w:ilvl w:val="2"/>
          <w:numId w:val="100"/>
        </w:numPr>
        <w:tabs>
          <w:tab w:pos="2664" w:val="left" w:leader="none"/>
          <w:tab w:pos="2665" w:val="left" w:leader="none"/>
        </w:tabs>
        <w:spacing w:line="235" w:lineRule="auto" w:before="0" w:after="0"/>
        <w:ind w:left="1984" w:right="1336" w:firstLine="0"/>
        <w:jc w:val="left"/>
        <w:rPr>
          <w:sz w:val="20"/>
        </w:rPr>
      </w:pPr>
      <w:r>
        <w:rPr>
          <w:w w:val="120"/>
          <w:sz w:val="20"/>
        </w:rPr>
        <w:t>Members of the committee and others serve on a number of other faith and order bodies. John Bradbury serves on the World Communion of Reformed Churches’ dialogue group with the Roman Catholic Church. Susan Durber has served on the Faith and Order Commission of the World Council of Churches and has been nominated to serve for a further term. Neil Messer serves on the ethics committee of the Community of Protestant Churches in Europe and Augur Pearce serves on the Methodist Church Faith and Order Committee. David </w:t>
      </w:r>
      <w:r>
        <w:rPr>
          <w:spacing w:val="-4"/>
          <w:w w:val="120"/>
          <w:sz w:val="20"/>
        </w:rPr>
        <w:t>Tatem </w:t>
      </w:r>
      <w:r>
        <w:rPr>
          <w:w w:val="120"/>
          <w:sz w:val="20"/>
        </w:rPr>
        <w:t>serves on the Churches Together in England Theology and Unity Group of which David Thompson is </w:t>
      </w:r>
      <w:r>
        <w:rPr>
          <w:spacing w:val="-3"/>
          <w:w w:val="120"/>
          <w:sz w:val="20"/>
        </w:rPr>
        <w:t>convener, </w:t>
      </w:r>
      <w:r>
        <w:rPr>
          <w:w w:val="120"/>
          <w:sz w:val="20"/>
        </w:rPr>
        <w:t>the Church of  England Council for Christian Unity, the Joint Implementation Commission and the Methodist Anglican Panel on Unity and Mission of the Anglican / Methodist Covenant. (For details of bilateral conversations see </w:t>
      </w:r>
      <w:r>
        <w:rPr>
          <w:spacing w:val="-11"/>
          <w:w w:val="120"/>
          <w:sz w:val="20"/>
        </w:rPr>
        <w:t>3.1.1 </w:t>
      </w:r>
      <w:r>
        <w:rPr>
          <w:w w:val="120"/>
          <w:sz w:val="20"/>
        </w:rPr>
        <w:t>and</w:t>
      </w:r>
      <w:r>
        <w:rPr>
          <w:spacing w:val="-14"/>
          <w:w w:val="120"/>
          <w:sz w:val="20"/>
        </w:rPr>
        <w:t> </w:t>
      </w:r>
      <w:r>
        <w:rPr>
          <w:spacing w:val="-7"/>
          <w:w w:val="120"/>
          <w:sz w:val="20"/>
        </w:rPr>
        <w:t>3.1.6)</w:t>
      </w:r>
    </w:p>
    <w:p>
      <w:pPr>
        <w:pStyle w:val="BodyText"/>
        <w:spacing w:before="4"/>
      </w:pPr>
    </w:p>
    <w:p>
      <w:pPr>
        <w:pStyle w:val="ListParagraph"/>
        <w:numPr>
          <w:ilvl w:val="2"/>
          <w:numId w:val="100"/>
        </w:numPr>
        <w:tabs>
          <w:tab w:pos="2664" w:val="left" w:leader="none"/>
          <w:tab w:pos="2665" w:val="left" w:leader="none"/>
        </w:tabs>
        <w:spacing w:line="235" w:lineRule="auto" w:before="0" w:after="0"/>
        <w:ind w:left="1984" w:right="1720" w:firstLine="0"/>
        <w:jc w:val="left"/>
        <w:rPr>
          <w:sz w:val="20"/>
        </w:rPr>
      </w:pPr>
      <w:r>
        <w:rPr>
          <w:w w:val="120"/>
          <w:sz w:val="20"/>
        </w:rPr>
        <w:t>At present no members of other denominations serve on our faith and order committee but this is being</w:t>
      </w:r>
      <w:r>
        <w:rPr>
          <w:spacing w:val="11"/>
          <w:w w:val="120"/>
          <w:sz w:val="20"/>
        </w:rPr>
        <w:t> </w:t>
      </w:r>
      <w:r>
        <w:rPr>
          <w:w w:val="120"/>
          <w:sz w:val="20"/>
        </w:rPr>
        <w:t>addressed.</w:t>
      </w:r>
    </w:p>
    <w:p>
      <w:pPr>
        <w:pStyle w:val="Heading4"/>
        <w:numPr>
          <w:ilvl w:val="1"/>
          <w:numId w:val="100"/>
        </w:numPr>
        <w:tabs>
          <w:tab w:pos="2755" w:val="left" w:leader="none"/>
          <w:tab w:pos="2756" w:val="left" w:leader="none"/>
        </w:tabs>
        <w:spacing w:line="240" w:lineRule="auto" w:before="214" w:after="0"/>
        <w:ind w:left="2755" w:right="0" w:hanging="772"/>
        <w:jc w:val="left"/>
      </w:pPr>
      <w:r>
        <w:rPr>
          <w:spacing w:val="4"/>
          <w:w w:val="110"/>
        </w:rPr>
        <w:t>The agenda </w:t>
      </w:r>
      <w:r>
        <w:rPr>
          <w:w w:val="110"/>
        </w:rPr>
        <w:t>of </w:t>
      </w:r>
      <w:r>
        <w:rPr>
          <w:spacing w:val="2"/>
          <w:w w:val="110"/>
        </w:rPr>
        <w:t>the</w:t>
      </w:r>
      <w:r>
        <w:rPr>
          <w:spacing w:val="43"/>
          <w:w w:val="110"/>
        </w:rPr>
        <w:t> </w:t>
      </w:r>
      <w:r>
        <w:rPr>
          <w:spacing w:val="4"/>
          <w:w w:val="110"/>
        </w:rPr>
        <w:t>committee</w:t>
      </w:r>
    </w:p>
    <w:p>
      <w:pPr>
        <w:pStyle w:val="ListParagraph"/>
        <w:numPr>
          <w:ilvl w:val="2"/>
          <w:numId w:val="100"/>
        </w:numPr>
        <w:tabs>
          <w:tab w:pos="2664" w:val="left" w:leader="none"/>
          <w:tab w:pos="2665" w:val="left" w:leader="none"/>
        </w:tabs>
        <w:spacing w:line="235" w:lineRule="auto" w:before="69" w:after="0"/>
        <w:ind w:left="1984" w:right="1267" w:firstLine="0"/>
        <w:jc w:val="left"/>
        <w:rPr>
          <w:sz w:val="20"/>
        </w:rPr>
      </w:pPr>
      <w:r>
        <w:rPr>
          <w:w w:val="120"/>
          <w:sz w:val="20"/>
        </w:rPr>
        <w:t>The work of the committee is generated in three ways. Work may be referred from within the Church, from local congregations, synods or  by  General  Assembly itself. Work is also referred from the wider bodies to which the Church belongs, notably the Community of Protestant Churches in Europe, the Council for World Mission, the World Communion of Reformed Churches and the World Council of Churches. Lastly,  the committee itself may identify new pieces of work to assist the Church in being more effective in its theological engagement with issues in the wider</w:t>
      </w:r>
      <w:r>
        <w:rPr>
          <w:spacing w:val="29"/>
          <w:w w:val="120"/>
          <w:sz w:val="20"/>
        </w:rPr>
        <w:t> </w:t>
      </w:r>
      <w:r>
        <w:rPr>
          <w:w w:val="120"/>
          <w:sz w:val="20"/>
        </w:rPr>
        <w:t>society.</w:t>
      </w:r>
    </w:p>
    <w:p>
      <w:pPr>
        <w:pStyle w:val="BodyText"/>
        <w:spacing w:before="1"/>
      </w:pPr>
    </w:p>
    <w:p>
      <w:pPr>
        <w:pStyle w:val="ListParagraph"/>
        <w:numPr>
          <w:ilvl w:val="2"/>
          <w:numId w:val="100"/>
        </w:numPr>
        <w:tabs>
          <w:tab w:pos="2664" w:val="left" w:leader="none"/>
          <w:tab w:pos="2665" w:val="left" w:leader="none"/>
        </w:tabs>
        <w:spacing w:line="235" w:lineRule="auto" w:before="0" w:after="0"/>
        <w:ind w:left="1984" w:right="1412" w:firstLine="0"/>
        <w:jc w:val="left"/>
        <w:rPr>
          <w:sz w:val="20"/>
        </w:rPr>
      </w:pPr>
      <w:r>
        <w:rPr>
          <w:w w:val="120"/>
          <w:sz w:val="20"/>
        </w:rPr>
        <w:t>The committee has continued work on issues inherited from the faith and order reference group. New issues have also been addressed. One of these in</w:t>
      </w:r>
      <w:r>
        <w:rPr>
          <w:spacing w:val="24"/>
          <w:w w:val="120"/>
          <w:sz w:val="20"/>
        </w:rPr>
        <w:t> </w:t>
      </w:r>
      <w:r>
        <w:rPr>
          <w:w w:val="120"/>
          <w:sz w:val="20"/>
        </w:rPr>
        <w:t>particular,</w:t>
      </w:r>
    </w:p>
    <w:p>
      <w:pPr>
        <w:pStyle w:val="BodyText"/>
        <w:spacing w:line="235" w:lineRule="auto" w:before="2"/>
        <w:ind w:left="1984" w:right="1352"/>
      </w:pPr>
      <w:r>
        <w:rPr>
          <w:w w:val="120"/>
        </w:rPr>
        <w:t>the future of the Church, has taken a major amount of time and focus. This will be the subject of three separate reports to Assembly. This report gives an overview of the full range of the committee’s work.</w:t>
      </w:r>
    </w:p>
    <w:p>
      <w:pPr>
        <w:spacing w:after="0" w:line="235" w:lineRule="auto"/>
        <w:sectPr>
          <w:headerReference w:type="default" r:id="rId403"/>
          <w:pgSz w:w="11910" w:h="16840"/>
          <w:pgMar w:header="0" w:footer="647" w:top="0" w:bottom="840" w:left="0" w:right="0"/>
        </w:sectPr>
      </w:pPr>
    </w:p>
    <w:p>
      <w:pPr>
        <w:pStyle w:val="BodyText"/>
      </w:pPr>
      <w:r>
        <w:rPr/>
        <w:drawing>
          <wp:anchor distT="0" distB="0" distL="0" distR="0" allowOverlap="1" layoutInCell="1" locked="0" behindDoc="0" simplePos="0" relativeHeight="252106752">
            <wp:simplePos x="0" y="0"/>
            <wp:positionH relativeFrom="page">
              <wp:posOffset>0</wp:posOffset>
            </wp:positionH>
            <wp:positionV relativeFrom="page">
              <wp:posOffset>0</wp:posOffset>
            </wp:positionV>
            <wp:extent cx="594067" cy="10692003"/>
            <wp:effectExtent l="0" t="0" r="0" b="0"/>
            <wp:wrapNone/>
            <wp:docPr id="329" name="image32.png"/>
            <wp:cNvGraphicFramePr>
              <a:graphicFrameLocks noChangeAspect="1"/>
            </wp:cNvGraphicFramePr>
            <a:graphic>
              <a:graphicData uri="http://schemas.openxmlformats.org/drawingml/2006/picture">
                <pic:pic>
                  <pic:nvPicPr>
                    <pic:cNvPr id="330" name="image32.png"/>
                    <pic:cNvPicPr/>
                  </pic:nvPicPr>
                  <pic:blipFill>
                    <a:blip r:embed="rId362"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shape style="position:absolute;margin-left:20.519100pt;margin-top:22.593945pt;width:25.9pt;height:156.35pt;mso-position-horizontal-relative:page;mso-position-vertical-relative:paragraph;z-index:252107776" type="#_x0000_t202" filled="false" stroked="false">
            <v:textbox inset="0,0,0,0" style="layout-flow:vertical">
              <w:txbxContent>
                <w:p>
                  <w:pPr>
                    <w:spacing w:before="27"/>
                    <w:ind w:left="20" w:right="0" w:firstLine="0"/>
                    <w:jc w:val="left"/>
                    <w:rPr>
                      <w:sz w:val="39"/>
                    </w:rPr>
                  </w:pPr>
                  <w:r>
                    <w:rPr>
                      <w:color w:val="FFFFFF"/>
                      <w:w w:val="120"/>
                      <w:sz w:val="39"/>
                    </w:rPr>
                    <w:t>Faith and order</w:t>
                  </w:r>
                </w:p>
              </w:txbxContent>
            </v:textbox>
            <w10:wrap type="none"/>
          </v:shape>
        </w:pict>
      </w:r>
      <w:bookmarkStart w:name="_TOC_250005" w:id="40"/>
      <w:bookmarkEnd w:id="40"/>
      <w:r>
        <w:rPr>
          <w:color w:val="7EAABF"/>
          <w:w w:val="115"/>
        </w:rPr>
        <w:t>Faith and order</w:t>
      </w:r>
    </w:p>
    <w:p>
      <w:pPr>
        <w:pStyle w:val="ListParagraph"/>
        <w:numPr>
          <w:ilvl w:val="1"/>
          <w:numId w:val="100"/>
        </w:numPr>
        <w:tabs>
          <w:tab w:pos="1927" w:val="left" w:leader="none"/>
          <w:tab w:pos="1928" w:val="left" w:leader="none"/>
        </w:tabs>
        <w:spacing w:line="240" w:lineRule="auto" w:before="215" w:after="0"/>
        <w:ind w:left="1927" w:right="0" w:hanging="681"/>
        <w:jc w:val="left"/>
        <w:rPr>
          <w:rFonts w:ascii="Stone Sans II ITC Std Bk"/>
          <w:b/>
          <w:sz w:val="29"/>
        </w:rPr>
      </w:pPr>
      <w:r>
        <w:rPr>
          <w:rFonts w:ascii="Stone Sans II ITC Std Bk"/>
          <w:b/>
          <w:spacing w:val="3"/>
          <w:w w:val="110"/>
          <w:sz w:val="29"/>
        </w:rPr>
        <w:t>Ecumenical </w:t>
      </w:r>
      <w:r>
        <w:rPr>
          <w:rFonts w:ascii="Stone Sans II ITC Std Bk"/>
          <w:b/>
          <w:spacing w:val="4"/>
          <w:w w:val="110"/>
          <w:sz w:val="29"/>
        </w:rPr>
        <w:t>documents </w:t>
      </w:r>
      <w:r>
        <w:rPr>
          <w:rFonts w:ascii="Stone Sans II ITC Std Bk"/>
          <w:b/>
          <w:spacing w:val="3"/>
          <w:w w:val="110"/>
          <w:sz w:val="29"/>
        </w:rPr>
        <w:t>and</w:t>
      </w:r>
      <w:r>
        <w:rPr>
          <w:rFonts w:ascii="Stone Sans II ITC Std Bk"/>
          <w:b/>
          <w:spacing w:val="32"/>
          <w:w w:val="110"/>
          <w:sz w:val="29"/>
        </w:rPr>
        <w:t> </w:t>
      </w:r>
      <w:r>
        <w:rPr>
          <w:rFonts w:ascii="Stone Sans II ITC Std Bk"/>
          <w:b/>
          <w:spacing w:val="3"/>
          <w:w w:val="110"/>
          <w:sz w:val="29"/>
        </w:rPr>
        <w:t>conversations</w:t>
      </w:r>
    </w:p>
    <w:p>
      <w:pPr>
        <w:pStyle w:val="Heading9"/>
        <w:numPr>
          <w:ilvl w:val="2"/>
          <w:numId w:val="100"/>
        </w:numPr>
        <w:tabs>
          <w:tab w:pos="1927" w:val="left" w:leader="none"/>
          <w:tab w:pos="1928" w:val="left" w:leader="none"/>
        </w:tabs>
        <w:spacing w:line="261" w:lineRule="exact" w:before="53" w:after="0"/>
        <w:ind w:left="1927" w:right="0" w:hanging="681"/>
        <w:jc w:val="left"/>
      </w:pPr>
      <w:r>
        <w:rPr>
          <w:w w:val="110"/>
        </w:rPr>
        <w:t>Church of England</w:t>
      </w:r>
      <w:r>
        <w:rPr>
          <w:spacing w:val="-1"/>
          <w:w w:val="110"/>
        </w:rPr>
        <w:t> </w:t>
      </w:r>
      <w:r>
        <w:rPr>
          <w:w w:val="110"/>
        </w:rPr>
        <w:t>conversations</w:t>
      </w:r>
    </w:p>
    <w:p>
      <w:pPr>
        <w:pStyle w:val="BodyText"/>
        <w:spacing w:line="235" w:lineRule="auto"/>
        <w:ind w:left="1247" w:right="2004"/>
      </w:pPr>
      <w:r>
        <w:rPr>
          <w:w w:val="120"/>
        </w:rPr>
        <w:t>A bilateral group has now been established between the United Reformed Church and the Church of England, to take further earlier conversations and the momentum created by the service of healing of memories in Westminster Abbey in February 2012. This is under the joint convenership of the Rt Revd James Newcome, the Bishop of Carlisle,</w:t>
      </w:r>
    </w:p>
    <w:p>
      <w:pPr>
        <w:pStyle w:val="BodyText"/>
        <w:spacing w:line="235" w:lineRule="auto"/>
        <w:ind w:left="1247" w:right="2004"/>
      </w:pPr>
      <w:r>
        <w:rPr>
          <w:w w:val="120"/>
        </w:rPr>
        <w:t>and the Revd Nicola Furley-Smith, moderator of the Southern Synod. Other United Reformed Church members of the group are Tim Meadows, Julian Templeton and Elizabeth Welch. The Church of England members are James Hawkey, Rebecca Swyres and Martin Davie (until December 2013). The group has met three times and its work is programmed for a three year period.</w:t>
      </w:r>
    </w:p>
    <w:p>
      <w:pPr>
        <w:pStyle w:val="BodyText"/>
        <w:spacing w:before="5"/>
        <w:rPr>
          <w:sz w:val="18"/>
        </w:rPr>
      </w:pPr>
    </w:p>
    <w:p>
      <w:pPr>
        <w:pStyle w:val="Heading9"/>
        <w:numPr>
          <w:ilvl w:val="2"/>
          <w:numId w:val="100"/>
        </w:numPr>
        <w:tabs>
          <w:tab w:pos="1927" w:val="left" w:leader="none"/>
          <w:tab w:pos="1928" w:val="left" w:leader="none"/>
        </w:tabs>
        <w:spacing w:line="261" w:lineRule="exact" w:before="0" w:after="0"/>
        <w:ind w:left="1927" w:right="0" w:hanging="681"/>
        <w:jc w:val="left"/>
      </w:pPr>
      <w:r>
        <w:rPr>
          <w:w w:val="110"/>
        </w:rPr>
        <w:t>Church of the</w:t>
      </w:r>
      <w:r>
        <w:rPr>
          <w:spacing w:val="-1"/>
          <w:w w:val="110"/>
        </w:rPr>
        <w:t> </w:t>
      </w:r>
      <w:r>
        <w:rPr>
          <w:w w:val="110"/>
        </w:rPr>
        <w:t>Palatinate</w:t>
      </w:r>
    </w:p>
    <w:p>
      <w:pPr>
        <w:pStyle w:val="BodyText"/>
        <w:spacing w:line="235" w:lineRule="auto"/>
        <w:ind w:left="1247" w:right="2586"/>
      </w:pPr>
      <w:r>
        <w:rPr>
          <w:w w:val="120"/>
        </w:rPr>
        <w:t>The URC holds a theological consultation with the Church of the Palatinate every two years and in September 2013 this was held in Klingenmunster with the theme of tolerance. The theme was explored under three headings: tolerance within our traditions, tolerance between traditions, and tolerance between religions. Our participants in the consultation were Sarah Hall, Frin Lewis-Smith, Donald and</w:t>
      </w:r>
    </w:p>
    <w:p>
      <w:pPr>
        <w:pStyle w:val="BodyText"/>
        <w:spacing w:line="235" w:lineRule="auto"/>
        <w:ind w:left="1247" w:right="2004"/>
      </w:pPr>
      <w:r>
        <w:rPr>
          <w:w w:val="120"/>
        </w:rPr>
        <w:t>Margaret Norwood, John Parry, Edward Sheldrake, David Tatem and Phil Wall. The next theological consultation will be from 17 to 22 September 2015 at Westminster College with a theme reflecting on the commemoration of World War One.</w:t>
      </w:r>
    </w:p>
    <w:p>
      <w:pPr>
        <w:pStyle w:val="BodyText"/>
        <w:spacing w:before="5"/>
        <w:rPr>
          <w:sz w:val="18"/>
        </w:rPr>
      </w:pPr>
    </w:p>
    <w:p>
      <w:pPr>
        <w:pStyle w:val="Heading9"/>
        <w:numPr>
          <w:ilvl w:val="2"/>
          <w:numId w:val="100"/>
        </w:numPr>
        <w:tabs>
          <w:tab w:pos="1927" w:val="left" w:leader="none"/>
          <w:tab w:pos="1928" w:val="left" w:leader="none"/>
        </w:tabs>
        <w:spacing w:line="261" w:lineRule="exact" w:before="0" w:after="0"/>
        <w:ind w:left="1927" w:right="0" w:hanging="681"/>
        <w:jc w:val="left"/>
      </w:pPr>
      <w:r>
        <w:rPr>
          <w:w w:val="110"/>
        </w:rPr>
        <w:t>Methodist</w:t>
      </w:r>
      <w:r>
        <w:rPr>
          <w:spacing w:val="-1"/>
          <w:w w:val="110"/>
        </w:rPr>
        <w:t> </w:t>
      </w:r>
      <w:r>
        <w:rPr>
          <w:w w:val="110"/>
        </w:rPr>
        <w:t>conversations</w:t>
      </w:r>
    </w:p>
    <w:p>
      <w:pPr>
        <w:pStyle w:val="BodyText"/>
        <w:spacing w:line="235" w:lineRule="auto"/>
        <w:ind w:left="1247" w:right="2280"/>
      </w:pPr>
      <w:r>
        <w:rPr>
          <w:w w:val="120"/>
        </w:rPr>
        <w:t>The joint meeting of the Methodist Council with Mission Council in October 2012 observed that there is a lack of knowledge within each of our traditions about the other. The most commonly known difference is between the connexional nature of the Methodist Church and the URC focus on the ecclesial significance of the local congregation. it was agreed that these ecclesiological and cultural differences should be explored in order to aid our working relationship. The committee has identified</w:t>
      </w:r>
    </w:p>
    <w:p>
      <w:pPr>
        <w:pStyle w:val="BodyText"/>
        <w:spacing w:line="235" w:lineRule="auto"/>
        <w:ind w:left="1247" w:right="2004"/>
      </w:pPr>
      <w:r>
        <w:rPr>
          <w:w w:val="120"/>
        </w:rPr>
        <w:t>people who will work on behalf of the United Reformed Church when the exact form of these conversations has been decided.</w:t>
      </w:r>
    </w:p>
    <w:p>
      <w:pPr>
        <w:pStyle w:val="BodyText"/>
        <w:spacing w:before="5"/>
        <w:rPr>
          <w:sz w:val="18"/>
        </w:rPr>
      </w:pPr>
    </w:p>
    <w:p>
      <w:pPr>
        <w:pStyle w:val="Heading9"/>
        <w:numPr>
          <w:ilvl w:val="2"/>
          <w:numId w:val="100"/>
        </w:numPr>
        <w:tabs>
          <w:tab w:pos="1927" w:val="left" w:leader="none"/>
          <w:tab w:pos="1928" w:val="left" w:leader="none"/>
        </w:tabs>
        <w:spacing w:line="261" w:lineRule="exact" w:before="0" w:after="0"/>
        <w:ind w:left="1927" w:right="0" w:hanging="681"/>
        <w:jc w:val="left"/>
      </w:pPr>
      <w:r>
        <w:rPr>
          <w:w w:val="110"/>
        </w:rPr>
        <w:t>Metropolitan Community</w:t>
      </w:r>
      <w:r>
        <w:rPr>
          <w:spacing w:val="-1"/>
          <w:w w:val="110"/>
        </w:rPr>
        <w:t> </w:t>
      </w:r>
      <w:r>
        <w:rPr>
          <w:w w:val="110"/>
        </w:rPr>
        <w:t>Church</w:t>
      </w:r>
    </w:p>
    <w:p>
      <w:pPr>
        <w:pStyle w:val="BodyText"/>
        <w:spacing w:line="235" w:lineRule="auto"/>
        <w:ind w:left="1247" w:right="2167"/>
      </w:pPr>
      <w:r>
        <w:rPr>
          <w:w w:val="120"/>
        </w:rPr>
        <w:t>Questions have been asked concerning the status of the Metropolitan Community Church as an ecumenical partner and the status of their ministers. Work has been and is being done to consider the position of Churches that are not members of those ecumenical groups that bring automatic recognition. This will hopefully provide a resolution to the questions raised.</w:t>
      </w:r>
    </w:p>
    <w:p>
      <w:pPr>
        <w:pStyle w:val="BodyText"/>
        <w:spacing w:before="2"/>
        <w:rPr>
          <w:sz w:val="18"/>
        </w:rPr>
      </w:pPr>
    </w:p>
    <w:p>
      <w:pPr>
        <w:pStyle w:val="Heading9"/>
        <w:numPr>
          <w:ilvl w:val="2"/>
          <w:numId w:val="100"/>
        </w:numPr>
        <w:tabs>
          <w:tab w:pos="1927" w:val="left" w:leader="none"/>
          <w:tab w:pos="1928" w:val="left" w:leader="none"/>
        </w:tabs>
        <w:spacing w:line="261" w:lineRule="exact" w:before="0" w:after="0"/>
        <w:ind w:left="1927" w:right="0" w:hanging="681"/>
        <w:jc w:val="left"/>
      </w:pPr>
      <w:r>
        <w:rPr>
          <w:w w:val="110"/>
        </w:rPr>
        <w:t>Welsh covenanting</w:t>
      </w:r>
      <w:r>
        <w:rPr>
          <w:spacing w:val="-1"/>
          <w:w w:val="110"/>
        </w:rPr>
        <w:t> </w:t>
      </w:r>
      <w:r>
        <w:rPr>
          <w:w w:val="110"/>
        </w:rPr>
        <w:t>proposals</w:t>
      </w:r>
    </w:p>
    <w:p>
      <w:pPr>
        <w:pStyle w:val="BodyText"/>
        <w:spacing w:line="235" w:lineRule="auto"/>
        <w:ind w:left="1247" w:right="2200"/>
      </w:pPr>
      <w:r>
        <w:rPr>
          <w:w w:val="120"/>
        </w:rPr>
        <w:t>The proposal to explore the creation of a Uniting Church in Wales arose from an event of the Commission of Covenanting Churches in Wales known as the Gathering. This was held in </w:t>
      </w:r>
      <w:r>
        <w:rPr>
          <w:spacing w:val="3"/>
          <w:w w:val="120"/>
        </w:rPr>
        <w:t>Aberystwyth </w:t>
      </w:r>
      <w:r>
        <w:rPr>
          <w:w w:val="120"/>
        </w:rPr>
        <w:t>in October </w:t>
      </w:r>
      <w:r>
        <w:rPr>
          <w:spacing w:val="-6"/>
          <w:w w:val="120"/>
        </w:rPr>
        <w:t>2012. </w:t>
      </w:r>
      <w:r>
        <w:rPr>
          <w:w w:val="120"/>
        </w:rPr>
        <w:t>The proposals have since been explored within the Churches in Wales. The Faith and Order Committee has maintained a close link with the conversations, particularly in relation to episcopacy and the</w:t>
      </w:r>
      <w:r>
        <w:rPr>
          <w:spacing w:val="38"/>
          <w:w w:val="120"/>
        </w:rPr>
        <w:t> </w:t>
      </w:r>
      <w:r>
        <w:rPr>
          <w:w w:val="120"/>
        </w:rPr>
        <w:t>question</w:t>
      </w:r>
    </w:p>
    <w:p>
      <w:pPr>
        <w:pStyle w:val="BodyText"/>
        <w:spacing w:line="235" w:lineRule="auto"/>
        <w:ind w:left="1247" w:right="2230"/>
      </w:pPr>
      <w:r>
        <w:rPr>
          <w:w w:val="120"/>
        </w:rPr>
        <w:t>of what decisions the National Synod of Wales might take independently of the rest  of the denomination. In </w:t>
      </w:r>
      <w:r>
        <w:rPr>
          <w:spacing w:val="-5"/>
          <w:w w:val="120"/>
        </w:rPr>
        <w:t>1982 </w:t>
      </w:r>
      <w:r>
        <w:rPr>
          <w:w w:val="120"/>
        </w:rPr>
        <w:t>General Assembly voted to enter into a united Church   in England, with the acceptance of bishops, and a subsequent Assembly supported  the proposal for an ecumenical bishop in East Cardiff. The talks in Wales will see us revisiting these discussions. We want to ensure good denominational </w:t>
      </w:r>
      <w:r>
        <w:rPr>
          <w:spacing w:val="2"/>
          <w:w w:val="120"/>
        </w:rPr>
        <w:t>memory </w:t>
      </w:r>
      <w:r>
        <w:rPr>
          <w:w w:val="120"/>
        </w:rPr>
        <w:t>so that past convictions may help to inform consideration of these new</w:t>
      </w:r>
      <w:r>
        <w:rPr>
          <w:spacing w:val="23"/>
          <w:w w:val="120"/>
        </w:rPr>
        <w:t> </w:t>
      </w:r>
      <w:r>
        <w:rPr>
          <w:w w:val="120"/>
        </w:rPr>
        <w:t>proposals.</w:t>
      </w:r>
    </w:p>
    <w:p>
      <w:pPr>
        <w:pStyle w:val="BodyText"/>
        <w:spacing w:before="7"/>
        <w:rPr>
          <w:sz w:val="18"/>
        </w:rPr>
      </w:pPr>
    </w:p>
    <w:p>
      <w:pPr>
        <w:pStyle w:val="Heading9"/>
        <w:numPr>
          <w:ilvl w:val="2"/>
          <w:numId w:val="100"/>
        </w:numPr>
        <w:tabs>
          <w:tab w:pos="1927" w:val="left" w:leader="none"/>
          <w:tab w:pos="1928" w:val="left" w:leader="none"/>
        </w:tabs>
        <w:spacing w:line="261" w:lineRule="exact" w:before="0" w:after="0"/>
        <w:ind w:left="1927" w:right="0" w:hanging="681"/>
        <w:jc w:val="left"/>
      </w:pPr>
      <w:r>
        <w:rPr>
          <w:w w:val="110"/>
        </w:rPr>
        <w:t>Roman Catholic</w:t>
      </w:r>
      <w:r>
        <w:rPr>
          <w:spacing w:val="-1"/>
          <w:w w:val="110"/>
        </w:rPr>
        <w:t> </w:t>
      </w:r>
      <w:r>
        <w:rPr>
          <w:w w:val="110"/>
        </w:rPr>
        <w:t>conversations</w:t>
      </w:r>
    </w:p>
    <w:p>
      <w:pPr>
        <w:pStyle w:val="BodyText"/>
        <w:spacing w:line="235" w:lineRule="auto"/>
        <w:ind w:left="1247" w:right="2004"/>
      </w:pPr>
      <w:r>
        <w:rPr>
          <w:w w:val="120"/>
        </w:rPr>
        <w:t>At the last General Assembly a well attended fringe meeting discussed the report of the first round of conversations with representatives of the Bishops’ Conference of England and Wales. The second round is now in progress with the hope of developing aids to dialogue at the local level. Membership of the group has changed. It is co-convened</w:t>
      </w:r>
    </w:p>
    <w:p>
      <w:pPr>
        <w:pStyle w:val="BodyText"/>
        <w:spacing w:line="243" w:lineRule="exact"/>
        <w:ind w:left="1247"/>
      </w:pPr>
      <w:r>
        <w:rPr>
          <w:w w:val="120"/>
        </w:rPr>
        <w:t>by David Thompson and Archbishop Bernard Longley. In addition our other members</w:t>
      </w:r>
    </w:p>
    <w:p>
      <w:pPr>
        <w:spacing w:after="0" w:line="243" w:lineRule="exact"/>
        <w:sectPr>
          <w:headerReference w:type="even" r:id="rId404"/>
          <w:footerReference w:type="even" r:id="rId405"/>
          <w:footerReference w:type="default" r:id="rId406"/>
          <w:pgSz w:w="11910" w:h="16840"/>
          <w:pgMar w:header="0" w:footer="647" w:top="0" w:bottom="840" w:left="0" w:right="0"/>
          <w:pgNumType w:start="176"/>
        </w:sectPr>
      </w:pPr>
    </w:p>
    <w:p>
      <w:pPr>
        <w:pStyle w:val="BodyText"/>
      </w:pPr>
      <w:r>
        <w:rPr/>
        <w:drawing>
          <wp:anchor distT="0" distB="0" distL="0" distR="0" allowOverlap="1" layoutInCell="1" locked="0" behindDoc="0" simplePos="0" relativeHeight="252108800">
            <wp:simplePos x="0" y="0"/>
            <wp:positionH relativeFrom="page">
              <wp:posOffset>6974928</wp:posOffset>
            </wp:positionH>
            <wp:positionV relativeFrom="page">
              <wp:posOffset>0</wp:posOffset>
            </wp:positionV>
            <wp:extent cx="585063" cy="10692003"/>
            <wp:effectExtent l="0" t="0" r="0" b="0"/>
            <wp:wrapNone/>
            <wp:docPr id="331" name="image30.png"/>
            <wp:cNvGraphicFramePr>
              <a:graphicFrameLocks noChangeAspect="1"/>
            </wp:cNvGraphicFramePr>
            <a:graphic>
              <a:graphicData uri="http://schemas.openxmlformats.org/drawingml/2006/picture">
                <pic:pic>
                  <pic:nvPicPr>
                    <pic:cNvPr id="332" name="image30.png"/>
                    <pic:cNvPicPr/>
                  </pic:nvPicPr>
                  <pic:blipFill>
                    <a:blip r:embed="rId357"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pStyle w:val="Heading5"/>
        <w:ind w:left="0" w:right="1245"/>
        <w:jc w:val="right"/>
      </w:pPr>
      <w:r>
        <w:rPr/>
        <w:pict>
          <v:shape style="position:absolute;margin-left:554.141174pt;margin-top:22.593945pt;width:25.9pt;height:156.35pt;mso-position-horizontal-relative:page;mso-position-vertical-relative:paragraph;z-index:252109824" type="#_x0000_t202" filled="false" stroked="false">
            <v:textbox inset="0,0,0,0" style="layout-flow:vertical">
              <w:txbxContent>
                <w:p>
                  <w:pPr>
                    <w:spacing w:before="27"/>
                    <w:ind w:left="20" w:right="0" w:firstLine="0"/>
                    <w:jc w:val="left"/>
                    <w:rPr>
                      <w:sz w:val="39"/>
                    </w:rPr>
                  </w:pPr>
                  <w:r>
                    <w:rPr>
                      <w:color w:val="FFFFFF"/>
                      <w:w w:val="120"/>
                      <w:sz w:val="39"/>
                    </w:rPr>
                    <w:t>Faith and order</w:t>
                  </w:r>
                </w:p>
              </w:txbxContent>
            </v:textbox>
            <w10:wrap type="none"/>
          </v:shape>
        </w:pict>
      </w:r>
      <w:r>
        <w:rPr>
          <w:color w:val="7EAABF"/>
          <w:w w:val="115"/>
        </w:rPr>
        <w:t>Faith and order</w:t>
      </w:r>
    </w:p>
    <w:p>
      <w:pPr>
        <w:pStyle w:val="BodyText"/>
        <w:spacing w:line="235" w:lineRule="auto" w:before="222"/>
        <w:ind w:left="1984" w:right="1261"/>
      </w:pPr>
      <w:r>
        <w:rPr>
          <w:w w:val="120"/>
        </w:rPr>
        <w:t>are John Bradbury, Sarah Hall, Lindsey Sanderson, Ann Shillaker and David Tatem (co- secretary). The Catholic members of the group are Colin Carr, Anne Doyle, Tim Galligan (co-secretary), Patsy McDonald and Clare Watkins. The group meets twice a year.</w:t>
      </w:r>
    </w:p>
    <w:p>
      <w:pPr>
        <w:pStyle w:val="BodyText"/>
        <w:spacing w:before="6"/>
        <w:rPr>
          <w:sz w:val="18"/>
        </w:rPr>
      </w:pPr>
    </w:p>
    <w:p>
      <w:pPr>
        <w:pStyle w:val="Heading9"/>
        <w:numPr>
          <w:ilvl w:val="2"/>
          <w:numId w:val="100"/>
        </w:numPr>
        <w:tabs>
          <w:tab w:pos="2664" w:val="left" w:leader="none"/>
          <w:tab w:pos="2665" w:val="left" w:leader="none"/>
        </w:tabs>
        <w:spacing w:line="261" w:lineRule="exact" w:before="0" w:after="0"/>
        <w:ind w:left="2664" w:right="0" w:hanging="681"/>
        <w:jc w:val="left"/>
      </w:pPr>
      <w:r>
        <w:rPr>
          <w:w w:val="110"/>
        </w:rPr>
        <w:t>World Council of Churches General</w:t>
      </w:r>
      <w:r>
        <w:rPr>
          <w:spacing w:val="-1"/>
          <w:w w:val="110"/>
        </w:rPr>
        <w:t> </w:t>
      </w:r>
      <w:r>
        <w:rPr>
          <w:w w:val="110"/>
        </w:rPr>
        <w:t>Assembly</w:t>
      </w:r>
    </w:p>
    <w:p>
      <w:pPr>
        <w:pStyle w:val="BodyText"/>
        <w:spacing w:line="235" w:lineRule="auto"/>
        <w:ind w:left="1984" w:right="1265"/>
      </w:pPr>
      <w:r>
        <w:rPr>
          <w:w w:val="120"/>
        </w:rPr>
        <w:t>The Assembly of the World Council of Churches in Busan, South Korea in November  </w:t>
      </w:r>
      <w:r>
        <w:rPr>
          <w:spacing w:val="-8"/>
          <w:w w:val="120"/>
        </w:rPr>
        <w:t>2013 </w:t>
      </w:r>
      <w:r>
        <w:rPr>
          <w:w w:val="120"/>
        </w:rPr>
        <w:t>generated a number of documents and statements which are sent out to member Churches to be received. The committee has begun to consider ‘Towards a Common </w:t>
      </w:r>
      <w:r>
        <w:rPr>
          <w:spacing w:val="-3"/>
          <w:w w:val="120"/>
        </w:rPr>
        <w:t>Vision’, </w:t>
      </w:r>
      <w:r>
        <w:rPr>
          <w:w w:val="120"/>
        </w:rPr>
        <w:t>the latest unity document of the Faith and Order Commission, as well as the unity statement of the Assembly itself. We are pleased that Susan Durber was one of the co-authors of the unity statement. The intention is to encourage engagement with the document at congregational, synod and Assembly levels. The World Council is asking   for responses by the end of December</w:t>
      </w:r>
      <w:r>
        <w:rPr>
          <w:spacing w:val="16"/>
          <w:w w:val="120"/>
        </w:rPr>
        <w:t> </w:t>
      </w:r>
      <w:r>
        <w:rPr>
          <w:spacing w:val="-7"/>
          <w:w w:val="120"/>
        </w:rPr>
        <w:t>2015.</w:t>
      </w:r>
    </w:p>
    <w:p>
      <w:pPr>
        <w:pStyle w:val="Heading4"/>
        <w:numPr>
          <w:ilvl w:val="1"/>
          <w:numId w:val="100"/>
        </w:numPr>
        <w:tabs>
          <w:tab w:pos="2664" w:val="left" w:leader="none"/>
          <w:tab w:pos="2665" w:val="left" w:leader="none"/>
        </w:tabs>
        <w:spacing w:line="240" w:lineRule="auto" w:before="213" w:after="0"/>
        <w:ind w:left="2664" w:right="0" w:hanging="681"/>
        <w:jc w:val="left"/>
      </w:pPr>
      <w:r>
        <w:rPr>
          <w:spacing w:val="4"/>
          <w:w w:val="110"/>
        </w:rPr>
        <w:t>Other </w:t>
      </w:r>
      <w:r>
        <w:rPr>
          <w:spacing w:val="3"/>
          <w:w w:val="110"/>
        </w:rPr>
        <w:t>issues and</w:t>
      </w:r>
      <w:r>
        <w:rPr>
          <w:spacing w:val="30"/>
          <w:w w:val="110"/>
        </w:rPr>
        <w:t> </w:t>
      </w:r>
      <w:r>
        <w:rPr>
          <w:spacing w:val="3"/>
          <w:w w:val="110"/>
        </w:rPr>
        <w:t>themes</w:t>
      </w:r>
    </w:p>
    <w:p>
      <w:pPr>
        <w:pStyle w:val="Heading9"/>
        <w:numPr>
          <w:ilvl w:val="2"/>
          <w:numId w:val="100"/>
        </w:numPr>
        <w:tabs>
          <w:tab w:pos="2664" w:val="left" w:leader="none"/>
          <w:tab w:pos="2665" w:val="left" w:leader="none"/>
        </w:tabs>
        <w:spacing w:line="261" w:lineRule="exact" w:before="52" w:after="0"/>
        <w:ind w:left="2664" w:right="0" w:hanging="681"/>
        <w:jc w:val="left"/>
      </w:pPr>
      <w:r>
        <w:rPr>
          <w:w w:val="110"/>
        </w:rPr>
        <w:t>Ethical decision</w:t>
      </w:r>
      <w:r>
        <w:rPr>
          <w:spacing w:val="-1"/>
          <w:w w:val="110"/>
        </w:rPr>
        <w:t> </w:t>
      </w:r>
      <w:r>
        <w:rPr>
          <w:w w:val="110"/>
        </w:rPr>
        <w:t>making</w:t>
      </w:r>
    </w:p>
    <w:p>
      <w:pPr>
        <w:pStyle w:val="BodyText"/>
        <w:spacing w:line="235" w:lineRule="auto"/>
        <w:ind w:left="1984" w:right="1701"/>
      </w:pPr>
      <w:r>
        <w:rPr>
          <w:w w:val="120"/>
        </w:rPr>
        <w:t>Neil Messer connects the thinking of the committee with the ethics committee of the Community of Protestant Churches in Europe which is currently grappling with beginning of life issues. In July </w:t>
      </w:r>
      <w:r>
        <w:rPr>
          <w:spacing w:val="-8"/>
          <w:w w:val="120"/>
        </w:rPr>
        <w:t>2013  </w:t>
      </w:r>
      <w:r>
        <w:rPr>
          <w:w w:val="120"/>
        </w:rPr>
        <w:t>the committee met with Steve Tomkins, the new editor of Reform, to identify ethical issues which could be addressed through the magazine. These include poverty, immigration, equality, individual rights versus corporate responsibility, economic slavery, reliance on the market, ethical</w:t>
      </w:r>
      <w:r>
        <w:rPr>
          <w:spacing w:val="25"/>
          <w:w w:val="120"/>
        </w:rPr>
        <w:t> </w:t>
      </w:r>
      <w:r>
        <w:rPr>
          <w:w w:val="120"/>
        </w:rPr>
        <w:t>banking</w:t>
      </w:r>
    </w:p>
    <w:p>
      <w:pPr>
        <w:pStyle w:val="BodyText"/>
        <w:spacing w:line="235" w:lineRule="auto"/>
        <w:ind w:left="1984" w:right="1352"/>
      </w:pPr>
      <w:r>
        <w:rPr>
          <w:w w:val="120"/>
        </w:rPr>
        <w:t>and the anniversary of World War One. In such areas the theological reflection of the committee connects with the Church’s work in mission and social responsibility.</w:t>
      </w:r>
    </w:p>
    <w:p>
      <w:pPr>
        <w:pStyle w:val="BodyText"/>
        <w:spacing w:before="5"/>
        <w:rPr>
          <w:sz w:val="18"/>
        </w:rPr>
      </w:pPr>
    </w:p>
    <w:p>
      <w:pPr>
        <w:pStyle w:val="Heading9"/>
        <w:numPr>
          <w:ilvl w:val="2"/>
          <w:numId w:val="100"/>
        </w:numPr>
        <w:tabs>
          <w:tab w:pos="2664" w:val="left" w:leader="none"/>
          <w:tab w:pos="2665" w:val="left" w:leader="none"/>
        </w:tabs>
        <w:spacing w:line="261" w:lineRule="exact" w:before="0" w:after="0"/>
        <w:ind w:left="2664" w:right="0" w:hanging="681"/>
        <w:jc w:val="left"/>
      </w:pPr>
      <w:r>
        <w:rPr>
          <w:w w:val="110"/>
        </w:rPr>
        <w:t>Future of the</w:t>
      </w:r>
      <w:r>
        <w:rPr>
          <w:spacing w:val="-1"/>
          <w:w w:val="110"/>
        </w:rPr>
        <w:t> </w:t>
      </w:r>
      <w:r>
        <w:rPr>
          <w:w w:val="110"/>
        </w:rPr>
        <w:t>Church</w:t>
      </w:r>
    </w:p>
    <w:p>
      <w:pPr>
        <w:pStyle w:val="BodyText"/>
        <w:spacing w:line="235" w:lineRule="auto"/>
        <w:ind w:left="1984" w:right="1414"/>
      </w:pPr>
      <w:r>
        <w:rPr>
          <w:w w:val="120"/>
        </w:rPr>
        <w:t>This has been the dominant piece of work since the last Assembly, beginning with an open invitation for submissions from across the Church. From these contributions, five scenarios of possible futures were developed and offered at the May 2013 meeting of Mission Council. The committee extracted significant themes and brought them back for exploration in greater depth at Mission Council. These include the identity of the Church, at present focusing on the nature and distinctiveness of the Church Meeting. General Assembly will be offered the opportunity to engage with this work.</w:t>
      </w:r>
    </w:p>
    <w:p>
      <w:pPr>
        <w:pStyle w:val="BodyText"/>
        <w:spacing w:before="4"/>
        <w:rPr>
          <w:sz w:val="18"/>
        </w:rPr>
      </w:pPr>
    </w:p>
    <w:p>
      <w:pPr>
        <w:pStyle w:val="Heading9"/>
        <w:numPr>
          <w:ilvl w:val="2"/>
          <w:numId w:val="100"/>
        </w:numPr>
        <w:tabs>
          <w:tab w:pos="2664" w:val="left" w:leader="none"/>
          <w:tab w:pos="2665" w:val="left" w:leader="none"/>
        </w:tabs>
        <w:spacing w:line="261" w:lineRule="exact" w:before="0" w:after="0"/>
        <w:ind w:left="2664" w:right="0" w:hanging="681"/>
        <w:jc w:val="left"/>
      </w:pPr>
      <w:r>
        <w:rPr>
          <w:w w:val="110"/>
        </w:rPr>
        <w:t>Ordained local</w:t>
      </w:r>
      <w:r>
        <w:rPr>
          <w:spacing w:val="-1"/>
          <w:w w:val="110"/>
        </w:rPr>
        <w:t> </w:t>
      </w:r>
      <w:r>
        <w:rPr>
          <w:w w:val="110"/>
        </w:rPr>
        <w:t>ministry</w:t>
      </w:r>
    </w:p>
    <w:p>
      <w:pPr>
        <w:pStyle w:val="BodyText"/>
        <w:spacing w:line="235" w:lineRule="auto"/>
        <w:ind w:left="1984" w:right="1726"/>
      </w:pPr>
      <w:r>
        <w:rPr>
          <w:w w:val="120"/>
        </w:rPr>
        <w:t>Resolution </w:t>
      </w:r>
      <w:r>
        <w:rPr>
          <w:spacing w:val="-3"/>
          <w:w w:val="120"/>
        </w:rPr>
        <w:t>35 </w:t>
      </w:r>
      <w:r>
        <w:rPr>
          <w:w w:val="120"/>
        </w:rPr>
        <w:t>of the </w:t>
      </w:r>
      <w:r>
        <w:rPr>
          <w:spacing w:val="-7"/>
          <w:w w:val="120"/>
        </w:rPr>
        <w:t>2012  </w:t>
      </w:r>
      <w:r>
        <w:rPr>
          <w:w w:val="120"/>
        </w:rPr>
        <w:t>Assembly, brought by Wessex Synod, asked for work to  be done on this topic. A working group involving representatives of faith and order, ministries</w:t>
      </w:r>
      <w:r>
        <w:rPr>
          <w:spacing w:val="9"/>
          <w:w w:val="120"/>
        </w:rPr>
        <w:t> </w:t>
      </w:r>
      <w:r>
        <w:rPr>
          <w:w w:val="120"/>
        </w:rPr>
        <w:t>and</w:t>
      </w:r>
      <w:r>
        <w:rPr>
          <w:spacing w:val="10"/>
          <w:w w:val="120"/>
        </w:rPr>
        <w:t> </w:t>
      </w:r>
      <w:r>
        <w:rPr>
          <w:w w:val="120"/>
        </w:rPr>
        <w:t>education</w:t>
      </w:r>
      <w:r>
        <w:rPr>
          <w:spacing w:val="9"/>
          <w:w w:val="120"/>
        </w:rPr>
        <w:t> </w:t>
      </w:r>
      <w:r>
        <w:rPr>
          <w:w w:val="120"/>
        </w:rPr>
        <w:t>and</w:t>
      </w:r>
      <w:r>
        <w:rPr>
          <w:spacing w:val="10"/>
          <w:w w:val="120"/>
        </w:rPr>
        <w:t> </w:t>
      </w:r>
      <w:r>
        <w:rPr>
          <w:w w:val="120"/>
        </w:rPr>
        <w:t>learning</w:t>
      </w:r>
      <w:r>
        <w:rPr>
          <w:spacing w:val="9"/>
          <w:w w:val="120"/>
        </w:rPr>
        <w:t> </w:t>
      </w:r>
      <w:r>
        <w:rPr>
          <w:w w:val="120"/>
        </w:rPr>
        <w:t>met</w:t>
      </w:r>
      <w:r>
        <w:rPr>
          <w:spacing w:val="10"/>
          <w:w w:val="120"/>
        </w:rPr>
        <w:t> </w:t>
      </w:r>
      <w:r>
        <w:rPr>
          <w:w w:val="120"/>
        </w:rPr>
        <w:t>to</w:t>
      </w:r>
      <w:r>
        <w:rPr>
          <w:spacing w:val="9"/>
          <w:w w:val="120"/>
        </w:rPr>
        <w:t> </w:t>
      </w:r>
      <w:r>
        <w:rPr>
          <w:w w:val="120"/>
        </w:rPr>
        <w:t>consider</w:t>
      </w:r>
      <w:r>
        <w:rPr>
          <w:spacing w:val="10"/>
          <w:w w:val="120"/>
        </w:rPr>
        <w:t> </w:t>
      </w:r>
      <w:r>
        <w:rPr>
          <w:w w:val="120"/>
        </w:rPr>
        <w:t>how</w:t>
      </w:r>
      <w:r>
        <w:rPr>
          <w:spacing w:val="9"/>
          <w:w w:val="120"/>
        </w:rPr>
        <w:t> </w:t>
      </w:r>
      <w:r>
        <w:rPr>
          <w:w w:val="120"/>
        </w:rPr>
        <w:t>to</w:t>
      </w:r>
      <w:r>
        <w:rPr>
          <w:spacing w:val="10"/>
          <w:w w:val="120"/>
        </w:rPr>
        <w:t> </w:t>
      </w:r>
      <w:r>
        <w:rPr>
          <w:w w:val="120"/>
        </w:rPr>
        <w:t>proceed,</w:t>
      </w:r>
      <w:r>
        <w:rPr>
          <w:spacing w:val="9"/>
          <w:w w:val="120"/>
        </w:rPr>
        <w:t> </w:t>
      </w:r>
      <w:r>
        <w:rPr>
          <w:w w:val="120"/>
        </w:rPr>
        <w:t>beginning</w:t>
      </w:r>
    </w:p>
    <w:p>
      <w:pPr>
        <w:pStyle w:val="BodyText"/>
        <w:spacing w:line="235" w:lineRule="auto"/>
        <w:ind w:left="1984" w:right="1414"/>
      </w:pPr>
      <w:r>
        <w:rPr>
          <w:w w:val="120"/>
        </w:rPr>
        <w:t>with assessment of the perceived need for such a ministry across the denomination as a whole. There is a considerable breadth of view of what is desirable. The committee is currently developing proposals for consideration by General</w:t>
      </w:r>
      <w:r>
        <w:rPr>
          <w:spacing w:val="24"/>
          <w:w w:val="120"/>
        </w:rPr>
        <w:t> </w:t>
      </w:r>
      <w:r>
        <w:rPr>
          <w:w w:val="120"/>
        </w:rPr>
        <w:t>Assembly.</w:t>
      </w:r>
    </w:p>
    <w:p>
      <w:pPr>
        <w:pStyle w:val="BodyText"/>
        <w:spacing w:before="3"/>
        <w:rPr>
          <w:sz w:val="18"/>
        </w:rPr>
      </w:pPr>
    </w:p>
    <w:p>
      <w:pPr>
        <w:pStyle w:val="Heading9"/>
        <w:numPr>
          <w:ilvl w:val="2"/>
          <w:numId w:val="100"/>
        </w:numPr>
        <w:tabs>
          <w:tab w:pos="2664" w:val="left" w:leader="none"/>
          <w:tab w:pos="2665" w:val="left" w:leader="none"/>
        </w:tabs>
        <w:spacing w:line="261" w:lineRule="exact" w:before="0" w:after="0"/>
        <w:ind w:left="2664" w:right="0" w:hanging="681"/>
        <w:jc w:val="left"/>
      </w:pPr>
      <w:r>
        <w:rPr>
          <w:w w:val="110"/>
        </w:rPr>
        <w:t>Same sex</w:t>
      </w:r>
      <w:r>
        <w:rPr>
          <w:spacing w:val="-1"/>
          <w:w w:val="110"/>
        </w:rPr>
        <w:t> </w:t>
      </w:r>
      <w:r>
        <w:rPr>
          <w:w w:val="110"/>
        </w:rPr>
        <w:t>marriage</w:t>
      </w:r>
    </w:p>
    <w:p>
      <w:pPr>
        <w:pStyle w:val="BodyText"/>
        <w:spacing w:line="235" w:lineRule="auto"/>
        <w:ind w:left="1984" w:right="1414"/>
      </w:pPr>
      <w:r>
        <w:rPr>
          <w:w w:val="120"/>
        </w:rPr>
        <w:t>Consideration of the question of marriage in the light of current legislation is being led by the Human Sexuality Task Group. The committee is providing support to that work. The November 2013 meeting included a significant conversation with the convener of the task group. Individual members of the committee have been involved in various pieces of work in this area and we anticipate close cooperation with the task group as its work continues.</w:t>
      </w:r>
    </w:p>
    <w:p>
      <w:pPr>
        <w:pStyle w:val="BodyText"/>
        <w:spacing w:before="3"/>
        <w:rPr>
          <w:sz w:val="18"/>
        </w:rPr>
      </w:pPr>
    </w:p>
    <w:p>
      <w:pPr>
        <w:pStyle w:val="Heading9"/>
        <w:numPr>
          <w:ilvl w:val="2"/>
          <w:numId w:val="100"/>
        </w:numPr>
        <w:tabs>
          <w:tab w:pos="2664" w:val="left" w:leader="none"/>
          <w:tab w:pos="2665" w:val="left" w:leader="none"/>
        </w:tabs>
        <w:spacing w:line="261" w:lineRule="exact" w:before="1" w:after="0"/>
        <w:ind w:left="2664" w:right="0" w:hanging="681"/>
        <w:jc w:val="left"/>
      </w:pPr>
      <w:r>
        <w:rPr>
          <w:w w:val="110"/>
        </w:rPr>
        <w:t>Theology and the</w:t>
      </w:r>
      <w:r>
        <w:rPr>
          <w:spacing w:val="-1"/>
          <w:w w:val="110"/>
        </w:rPr>
        <w:t> </w:t>
      </w:r>
      <w:r>
        <w:rPr>
          <w:w w:val="110"/>
        </w:rPr>
        <w:t>academy</w:t>
      </w:r>
    </w:p>
    <w:p>
      <w:pPr>
        <w:pStyle w:val="BodyText"/>
        <w:spacing w:line="235" w:lineRule="auto"/>
        <w:ind w:left="1984" w:right="1431"/>
      </w:pPr>
      <w:r>
        <w:rPr>
          <w:w w:val="120"/>
        </w:rPr>
        <w:t>A recurrent and important item on the committee’s agenda has been the place of theology in our resource centres for learning, schools and universities. In March </w:t>
      </w:r>
      <w:r>
        <w:rPr>
          <w:spacing w:val="-8"/>
          <w:w w:val="120"/>
        </w:rPr>
        <w:t>2013 </w:t>
      </w:r>
      <w:r>
        <w:rPr>
          <w:w w:val="120"/>
        </w:rPr>
        <w:t>meeting dialogue took place with the convener of Education and Learning’s review, </w:t>
      </w:r>
      <w:r>
        <w:rPr>
          <w:i/>
          <w:w w:val="120"/>
        </w:rPr>
        <w:t>The Learning Church. The Next </w:t>
      </w:r>
      <w:r>
        <w:rPr>
          <w:i/>
          <w:spacing w:val="-3"/>
          <w:w w:val="120"/>
        </w:rPr>
        <w:t>Chapter. </w:t>
      </w:r>
      <w:r>
        <w:rPr>
          <w:w w:val="120"/>
        </w:rPr>
        <w:t>The committee participated in consultation on this project. We identify this as one of many areas where cooperative work is</w:t>
      </w:r>
      <w:r>
        <w:rPr>
          <w:spacing w:val="-32"/>
          <w:w w:val="120"/>
        </w:rPr>
        <w:t> </w:t>
      </w:r>
      <w:r>
        <w:rPr>
          <w:w w:val="120"/>
        </w:rPr>
        <w:t>essential.</w:t>
      </w:r>
    </w:p>
    <w:p>
      <w:pPr>
        <w:spacing w:after="0" w:line="235" w:lineRule="auto"/>
        <w:sectPr>
          <w:headerReference w:type="default" r:id="rId407"/>
          <w:pgSz w:w="11910" w:h="16840"/>
          <w:pgMar w:header="0" w:footer="647" w:top="0" w:bottom="840" w:left="0" w:right="0"/>
        </w:sectPr>
      </w:pPr>
    </w:p>
    <w:p>
      <w:pPr>
        <w:pStyle w:val="BodyText"/>
      </w:pPr>
      <w:r>
        <w:rPr/>
        <w:drawing>
          <wp:anchor distT="0" distB="0" distL="0" distR="0" allowOverlap="1" layoutInCell="1" locked="0" behindDoc="0" simplePos="0" relativeHeight="252110848">
            <wp:simplePos x="0" y="0"/>
            <wp:positionH relativeFrom="page">
              <wp:posOffset>0</wp:posOffset>
            </wp:positionH>
            <wp:positionV relativeFrom="page">
              <wp:posOffset>0</wp:posOffset>
            </wp:positionV>
            <wp:extent cx="594067" cy="10692003"/>
            <wp:effectExtent l="0" t="0" r="0" b="0"/>
            <wp:wrapNone/>
            <wp:docPr id="333" name="image32.png"/>
            <wp:cNvGraphicFramePr>
              <a:graphicFrameLocks noChangeAspect="1"/>
            </wp:cNvGraphicFramePr>
            <a:graphic>
              <a:graphicData uri="http://schemas.openxmlformats.org/drawingml/2006/picture">
                <pic:pic>
                  <pic:nvPicPr>
                    <pic:cNvPr id="334" name="image32.png"/>
                    <pic:cNvPicPr/>
                  </pic:nvPicPr>
                  <pic:blipFill>
                    <a:blip r:embed="rId362"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spacing w:before="106"/>
        <w:ind w:left="1247" w:right="0" w:firstLine="0"/>
        <w:jc w:val="left"/>
        <w:rPr>
          <w:sz w:val="26"/>
        </w:rPr>
      </w:pPr>
      <w:r>
        <w:rPr/>
        <w:pict>
          <v:shape style="position:absolute;margin-left:20.519100pt;margin-top:22.593945pt;width:25.9pt;height:156.35pt;mso-position-horizontal-relative:page;mso-position-vertical-relative:paragraph;z-index:252111872" type="#_x0000_t202" filled="false" stroked="false">
            <v:textbox inset="0,0,0,0" style="layout-flow:vertical">
              <w:txbxContent>
                <w:p>
                  <w:pPr>
                    <w:spacing w:before="27"/>
                    <w:ind w:left="20" w:right="0" w:firstLine="0"/>
                    <w:jc w:val="left"/>
                    <w:rPr>
                      <w:sz w:val="39"/>
                    </w:rPr>
                  </w:pPr>
                  <w:r>
                    <w:rPr>
                      <w:color w:val="FFFFFF"/>
                      <w:w w:val="120"/>
                      <w:sz w:val="39"/>
                    </w:rPr>
                    <w:t>Faith and order</w:t>
                  </w:r>
                </w:p>
              </w:txbxContent>
            </v:textbox>
            <w10:wrap type="none"/>
          </v:shape>
        </w:pict>
      </w:r>
      <w:r>
        <w:rPr>
          <w:color w:val="7EAABF"/>
          <w:w w:val="115"/>
          <w:sz w:val="26"/>
        </w:rPr>
        <w:t>Faith and order</w:t>
      </w:r>
    </w:p>
    <w:p>
      <w:pPr>
        <w:pStyle w:val="Heading9"/>
        <w:numPr>
          <w:ilvl w:val="2"/>
          <w:numId w:val="100"/>
        </w:numPr>
        <w:tabs>
          <w:tab w:pos="1927" w:val="left" w:leader="none"/>
          <w:tab w:pos="1928" w:val="left" w:leader="none"/>
        </w:tabs>
        <w:spacing w:line="261" w:lineRule="exact" w:before="205" w:after="0"/>
        <w:ind w:left="1927" w:right="0" w:hanging="681"/>
        <w:jc w:val="left"/>
      </w:pPr>
      <w:r>
        <w:rPr>
          <w:w w:val="110"/>
        </w:rPr>
        <w:t>Worship</w:t>
      </w:r>
    </w:p>
    <w:p>
      <w:pPr>
        <w:pStyle w:val="ListParagraph"/>
        <w:numPr>
          <w:ilvl w:val="3"/>
          <w:numId w:val="100"/>
        </w:numPr>
        <w:tabs>
          <w:tab w:pos="1928" w:val="left" w:leader="none"/>
        </w:tabs>
        <w:spacing w:line="235" w:lineRule="auto" w:before="0" w:after="0"/>
        <w:ind w:left="1247" w:right="2105" w:firstLine="0"/>
        <w:jc w:val="left"/>
        <w:rPr>
          <w:sz w:val="20"/>
        </w:rPr>
      </w:pPr>
      <w:r>
        <w:rPr>
          <w:w w:val="120"/>
          <w:sz w:val="20"/>
        </w:rPr>
        <w:t>With the demise of the previous Doctrine, Prayer and Worship Committee there has been no specified home for worship issues. The committee has identified</w:t>
      </w:r>
      <w:r>
        <w:rPr>
          <w:spacing w:val="25"/>
          <w:w w:val="120"/>
          <w:sz w:val="20"/>
        </w:rPr>
        <w:t> </w:t>
      </w:r>
      <w:r>
        <w:rPr>
          <w:w w:val="120"/>
          <w:sz w:val="20"/>
        </w:rPr>
        <w:t>that</w:t>
      </w:r>
    </w:p>
    <w:p>
      <w:pPr>
        <w:pStyle w:val="BodyText"/>
        <w:spacing w:line="235" w:lineRule="auto"/>
        <w:ind w:left="1247" w:right="2004"/>
      </w:pPr>
      <w:r>
        <w:rPr>
          <w:w w:val="120"/>
        </w:rPr>
        <w:t>as there are often issues of faith and order relating to specific worship situations, it should ensure that worship is covered by its agenda. Two particular initiatives had been undertaken. Susan Durber contributed to a conference in February 2013 on the subject of the theological nature of worship.</w:t>
      </w:r>
    </w:p>
    <w:p>
      <w:pPr>
        <w:pStyle w:val="BodyText"/>
        <w:spacing w:before="7"/>
        <w:rPr>
          <w:sz w:val="19"/>
        </w:rPr>
      </w:pPr>
    </w:p>
    <w:p>
      <w:pPr>
        <w:pStyle w:val="ListParagraph"/>
        <w:numPr>
          <w:ilvl w:val="3"/>
          <w:numId w:val="100"/>
        </w:numPr>
        <w:tabs>
          <w:tab w:pos="1928" w:val="left" w:leader="none"/>
        </w:tabs>
        <w:spacing w:line="235" w:lineRule="auto" w:before="1" w:after="0"/>
        <w:ind w:left="1247" w:right="2046" w:firstLine="0"/>
        <w:jc w:val="left"/>
        <w:rPr>
          <w:sz w:val="20"/>
        </w:rPr>
      </w:pPr>
      <w:r>
        <w:rPr>
          <w:w w:val="120"/>
          <w:sz w:val="20"/>
        </w:rPr>
        <w:t>The Committee is currently in the process of producing a booklet of worship proverbs. This is based on the World Communion of Reformed Churches’ document, ‘Worshipping the Triune God: Receiving and Sharing Christian Wisdom Across Continents and </w:t>
      </w:r>
      <w:r>
        <w:rPr>
          <w:spacing w:val="-3"/>
          <w:w w:val="120"/>
          <w:sz w:val="20"/>
        </w:rPr>
        <w:t>Centuries’. </w:t>
      </w:r>
      <w:r>
        <w:rPr>
          <w:w w:val="120"/>
          <w:sz w:val="20"/>
        </w:rPr>
        <w:t>It is hoped that this will be available at General Assembly for use throughout the</w:t>
      </w:r>
      <w:r>
        <w:rPr>
          <w:spacing w:val="6"/>
          <w:w w:val="120"/>
          <w:sz w:val="20"/>
        </w:rPr>
        <w:t> </w:t>
      </w:r>
      <w:r>
        <w:rPr>
          <w:w w:val="120"/>
          <w:sz w:val="20"/>
        </w:rPr>
        <w:t>church.</w:t>
      </w:r>
    </w:p>
    <w:p>
      <w:pPr>
        <w:pStyle w:val="BodyText"/>
        <w:spacing w:before="7"/>
        <w:rPr>
          <w:sz w:val="18"/>
        </w:rPr>
      </w:pPr>
    </w:p>
    <w:p>
      <w:pPr>
        <w:pStyle w:val="Heading9"/>
        <w:numPr>
          <w:ilvl w:val="2"/>
          <w:numId w:val="100"/>
        </w:numPr>
        <w:tabs>
          <w:tab w:pos="1927" w:val="left" w:leader="none"/>
          <w:tab w:pos="1928" w:val="left" w:leader="none"/>
        </w:tabs>
        <w:spacing w:line="261" w:lineRule="exact" w:before="0" w:after="0"/>
        <w:ind w:left="1927" w:right="0" w:hanging="681"/>
        <w:jc w:val="left"/>
      </w:pPr>
      <w:r>
        <w:rPr>
          <w:w w:val="110"/>
        </w:rPr>
        <w:t>The 500th Anniversary of the</w:t>
      </w:r>
      <w:r>
        <w:rPr>
          <w:spacing w:val="-1"/>
          <w:w w:val="110"/>
        </w:rPr>
        <w:t> </w:t>
      </w:r>
      <w:r>
        <w:rPr>
          <w:w w:val="110"/>
        </w:rPr>
        <w:t>Reformation</w:t>
      </w:r>
    </w:p>
    <w:p>
      <w:pPr>
        <w:pStyle w:val="BodyText"/>
        <w:spacing w:line="235" w:lineRule="auto"/>
        <w:ind w:left="1247" w:right="2004"/>
      </w:pPr>
      <w:r>
        <w:rPr>
          <w:w w:val="120"/>
        </w:rPr>
        <w:t>2017 is the year when this anniversary will be marked in many parts of the world, especially within Europe. The committee is beginning to consider how the United Reformed Church may participate in the commemorations that are being planned both within the Reformed tradition and ecumenically.</w:t>
      </w:r>
    </w:p>
    <w:p>
      <w:pPr>
        <w:pStyle w:val="Heading4"/>
        <w:numPr>
          <w:ilvl w:val="1"/>
          <w:numId w:val="100"/>
        </w:numPr>
        <w:tabs>
          <w:tab w:pos="1927" w:val="left" w:leader="none"/>
          <w:tab w:pos="1928" w:val="left" w:leader="none"/>
        </w:tabs>
        <w:spacing w:line="240" w:lineRule="auto" w:before="210" w:after="0"/>
        <w:ind w:left="1927" w:right="0" w:hanging="681"/>
        <w:jc w:val="left"/>
      </w:pPr>
      <w:r>
        <w:rPr>
          <w:spacing w:val="3"/>
          <w:w w:val="110"/>
        </w:rPr>
        <w:t>Communicating </w:t>
      </w:r>
      <w:r>
        <w:rPr>
          <w:spacing w:val="2"/>
          <w:w w:val="110"/>
        </w:rPr>
        <w:t>the work </w:t>
      </w:r>
      <w:r>
        <w:rPr>
          <w:w w:val="110"/>
        </w:rPr>
        <w:t>of </w:t>
      </w:r>
      <w:r>
        <w:rPr>
          <w:spacing w:val="2"/>
          <w:w w:val="110"/>
        </w:rPr>
        <w:t>the</w:t>
      </w:r>
      <w:r>
        <w:rPr>
          <w:spacing w:val="59"/>
          <w:w w:val="110"/>
        </w:rPr>
        <w:t> </w:t>
      </w:r>
      <w:r>
        <w:rPr>
          <w:spacing w:val="4"/>
          <w:w w:val="110"/>
        </w:rPr>
        <w:t>committee</w:t>
      </w:r>
    </w:p>
    <w:p>
      <w:pPr>
        <w:pStyle w:val="BodyText"/>
        <w:spacing w:line="235" w:lineRule="auto" w:before="69"/>
        <w:ind w:left="1247" w:right="2296"/>
      </w:pPr>
      <w:r>
        <w:rPr>
          <w:w w:val="120"/>
        </w:rPr>
        <w:t>Clearly the work of the committee does not go on at an ethereal level detached from the life of local congregations. It connects with issues that ultimately touch the lives  of individual Christians and local churches. Nevertheless, the discussions do by and large take place within the context of a small group of people nominated or co-opted for their expertise. </w:t>
      </w:r>
      <w:r>
        <w:rPr>
          <w:spacing w:val="3"/>
          <w:w w:val="120"/>
        </w:rPr>
        <w:t>As </w:t>
      </w:r>
      <w:r>
        <w:rPr>
          <w:w w:val="120"/>
        </w:rPr>
        <w:t>the discussions in Mission Council around the future of the Church have shown, </w:t>
      </w:r>
      <w:r>
        <w:rPr>
          <w:spacing w:val="-3"/>
          <w:w w:val="120"/>
        </w:rPr>
        <w:t>however, </w:t>
      </w:r>
      <w:r>
        <w:rPr>
          <w:w w:val="120"/>
        </w:rPr>
        <w:t>it is important, especially given our conciliar nature, that the work that the committee is doing is communicated as effectively as possible. The committee seeks effective ways of engaging in discussion with people across the Church from every </w:t>
      </w:r>
      <w:r>
        <w:rPr>
          <w:spacing w:val="2"/>
          <w:w w:val="120"/>
        </w:rPr>
        <w:t>part </w:t>
      </w:r>
      <w:r>
        <w:rPr>
          <w:w w:val="120"/>
        </w:rPr>
        <w:t>of the theological spectrum with which the United Reformed Church is</w:t>
      </w:r>
      <w:r>
        <w:rPr>
          <w:spacing w:val="4"/>
          <w:w w:val="120"/>
        </w:rPr>
        <w:t> </w:t>
      </w:r>
      <w:r>
        <w:rPr>
          <w:w w:val="120"/>
        </w:rPr>
        <w:t>blessed.</w:t>
      </w:r>
    </w:p>
    <w:p>
      <w:pPr>
        <w:spacing w:after="0" w:line="235" w:lineRule="auto"/>
        <w:sectPr>
          <w:headerReference w:type="even" r:id="rId408"/>
          <w:footerReference w:type="even" r:id="rId409"/>
          <w:footerReference w:type="default" r:id="rId410"/>
          <w:pgSz w:w="11910" w:h="16840"/>
          <w:pgMar w:header="0" w:footer="647" w:top="0" w:bottom="840" w:left="0" w:right="0"/>
          <w:pgNumType w:start="178"/>
        </w:sectPr>
      </w:pPr>
    </w:p>
    <w:p>
      <w:pPr>
        <w:pStyle w:val="BodyText"/>
      </w:pPr>
      <w:r>
        <w:rPr/>
        <w:drawing>
          <wp:anchor distT="0" distB="0" distL="0" distR="0" allowOverlap="1" layoutInCell="1" locked="0" behindDoc="0" simplePos="0" relativeHeight="252112896">
            <wp:simplePos x="0" y="0"/>
            <wp:positionH relativeFrom="page">
              <wp:posOffset>6974928</wp:posOffset>
            </wp:positionH>
            <wp:positionV relativeFrom="page">
              <wp:posOffset>0</wp:posOffset>
            </wp:positionV>
            <wp:extent cx="585063" cy="10692003"/>
            <wp:effectExtent l="0" t="0" r="0" b="0"/>
            <wp:wrapNone/>
            <wp:docPr id="335" name="image30.png"/>
            <wp:cNvGraphicFramePr>
              <a:graphicFrameLocks noChangeAspect="1"/>
            </wp:cNvGraphicFramePr>
            <a:graphic>
              <a:graphicData uri="http://schemas.openxmlformats.org/drawingml/2006/picture">
                <pic:pic>
                  <pic:nvPicPr>
                    <pic:cNvPr id="336" name="image30.png"/>
                    <pic:cNvPicPr/>
                  </pic:nvPicPr>
                  <pic:blipFill>
                    <a:blip r:embed="rId357"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5"/>
        <w:rPr>
          <w:sz w:val="28"/>
        </w:rPr>
      </w:pPr>
    </w:p>
    <w:p>
      <w:pPr>
        <w:pStyle w:val="Heading2"/>
        <w:spacing w:before="97"/>
        <w:ind w:left="1984"/>
        <w:jc w:val="both"/>
        <w:rPr>
          <w:b/>
        </w:rPr>
      </w:pPr>
      <w:r>
        <w:rPr/>
        <w:pict>
          <v:shape style="position:absolute;margin-left:554.141174pt;margin-top:-5.998084pt;width:25.9pt;height:79.1pt;mso-position-horizontal-relative:page;mso-position-vertical-relative:paragraph;z-index:252113920" type="#_x0000_t202" filled="false" stroked="false">
            <v:textbox inset="0,0,0,0" style="layout-flow:vertical">
              <w:txbxContent>
                <w:p>
                  <w:pPr>
                    <w:spacing w:before="27"/>
                    <w:ind w:left="20" w:right="0" w:firstLine="0"/>
                    <w:jc w:val="left"/>
                    <w:rPr>
                      <w:sz w:val="39"/>
                    </w:rPr>
                  </w:pPr>
                  <w:r>
                    <w:rPr>
                      <w:color w:val="FFFFFF"/>
                      <w:w w:val="120"/>
                      <w:sz w:val="39"/>
                    </w:rPr>
                    <w:t>Finance</w:t>
                  </w:r>
                </w:p>
              </w:txbxContent>
            </v:textbox>
            <w10:wrap type="none"/>
          </v:shape>
        </w:pict>
      </w:r>
      <w:bookmarkStart w:name="_bookmark34" w:id="41"/>
      <w:bookmarkEnd w:id="41"/>
      <w:r>
        <w:rPr>
          <w:b w:val="0"/>
        </w:rPr>
      </w:r>
      <w:r>
        <w:rPr>
          <w:b/>
          <w:w w:val="110"/>
        </w:rPr>
        <w:t>Finance committee</w:t>
      </w:r>
    </w:p>
    <w:p>
      <w:pPr>
        <w:spacing w:line="261" w:lineRule="auto" w:before="141"/>
        <w:ind w:left="1984" w:right="1373" w:firstLine="0"/>
        <w:jc w:val="both"/>
        <w:rPr>
          <w:sz w:val="18"/>
        </w:rPr>
      </w:pPr>
      <w:r>
        <w:rPr>
          <w:color w:val="87888A"/>
          <w:w w:val="120"/>
          <w:sz w:val="18"/>
        </w:rPr>
        <w:t>The</w:t>
      </w:r>
      <w:r>
        <w:rPr>
          <w:color w:val="87888A"/>
          <w:spacing w:val="-5"/>
          <w:w w:val="120"/>
          <w:sz w:val="18"/>
        </w:rPr>
        <w:t> </w:t>
      </w:r>
      <w:r>
        <w:rPr>
          <w:color w:val="87888A"/>
          <w:w w:val="120"/>
          <w:sz w:val="18"/>
        </w:rPr>
        <w:t>finance</w:t>
      </w:r>
      <w:r>
        <w:rPr>
          <w:color w:val="87888A"/>
          <w:spacing w:val="-4"/>
          <w:w w:val="120"/>
          <w:sz w:val="18"/>
        </w:rPr>
        <w:t> </w:t>
      </w:r>
      <w:r>
        <w:rPr>
          <w:color w:val="87888A"/>
          <w:w w:val="120"/>
          <w:sz w:val="18"/>
        </w:rPr>
        <w:t>committee</w:t>
      </w:r>
      <w:r>
        <w:rPr>
          <w:color w:val="87888A"/>
          <w:spacing w:val="-4"/>
          <w:w w:val="120"/>
          <w:sz w:val="18"/>
        </w:rPr>
        <w:t> </w:t>
      </w:r>
      <w:r>
        <w:rPr>
          <w:color w:val="87888A"/>
          <w:w w:val="120"/>
          <w:sz w:val="18"/>
        </w:rPr>
        <w:t>is</w:t>
      </w:r>
      <w:r>
        <w:rPr>
          <w:color w:val="87888A"/>
          <w:spacing w:val="-4"/>
          <w:w w:val="120"/>
          <w:sz w:val="18"/>
        </w:rPr>
        <w:t> </w:t>
      </w:r>
      <w:r>
        <w:rPr>
          <w:color w:val="87888A"/>
          <w:w w:val="120"/>
          <w:sz w:val="18"/>
        </w:rPr>
        <w:t>responsible</w:t>
      </w:r>
      <w:r>
        <w:rPr>
          <w:color w:val="87888A"/>
          <w:spacing w:val="-4"/>
          <w:w w:val="120"/>
          <w:sz w:val="18"/>
        </w:rPr>
        <w:t> </w:t>
      </w:r>
      <w:r>
        <w:rPr>
          <w:color w:val="87888A"/>
          <w:w w:val="120"/>
          <w:sz w:val="18"/>
        </w:rPr>
        <w:t>for</w:t>
      </w:r>
      <w:r>
        <w:rPr>
          <w:color w:val="87888A"/>
          <w:spacing w:val="-4"/>
          <w:w w:val="120"/>
          <w:sz w:val="18"/>
        </w:rPr>
        <w:t> </w:t>
      </w:r>
      <w:r>
        <w:rPr>
          <w:color w:val="87888A"/>
          <w:w w:val="120"/>
          <w:sz w:val="18"/>
        </w:rPr>
        <w:t>the</w:t>
      </w:r>
      <w:r>
        <w:rPr>
          <w:color w:val="87888A"/>
          <w:spacing w:val="-4"/>
          <w:w w:val="120"/>
          <w:sz w:val="18"/>
        </w:rPr>
        <w:t> </w:t>
      </w:r>
      <w:r>
        <w:rPr>
          <w:color w:val="87888A"/>
          <w:w w:val="120"/>
          <w:sz w:val="18"/>
        </w:rPr>
        <w:t>general</w:t>
      </w:r>
      <w:r>
        <w:rPr>
          <w:color w:val="87888A"/>
          <w:spacing w:val="-4"/>
          <w:w w:val="120"/>
          <w:sz w:val="18"/>
        </w:rPr>
        <w:t> </w:t>
      </w:r>
      <w:r>
        <w:rPr>
          <w:color w:val="87888A"/>
          <w:w w:val="120"/>
          <w:sz w:val="18"/>
        </w:rPr>
        <w:t>financial</w:t>
      </w:r>
      <w:r>
        <w:rPr>
          <w:color w:val="87888A"/>
          <w:spacing w:val="-4"/>
          <w:w w:val="120"/>
          <w:sz w:val="18"/>
        </w:rPr>
        <w:t> </w:t>
      </w:r>
      <w:r>
        <w:rPr>
          <w:color w:val="87888A"/>
          <w:w w:val="120"/>
          <w:sz w:val="18"/>
        </w:rPr>
        <w:t>oversight</w:t>
      </w:r>
      <w:r>
        <w:rPr>
          <w:color w:val="87888A"/>
          <w:spacing w:val="-4"/>
          <w:w w:val="120"/>
          <w:sz w:val="18"/>
        </w:rPr>
        <w:t> </w:t>
      </w:r>
      <w:r>
        <w:rPr>
          <w:color w:val="87888A"/>
          <w:w w:val="120"/>
          <w:sz w:val="18"/>
        </w:rPr>
        <w:t>of</w:t>
      </w:r>
      <w:r>
        <w:rPr>
          <w:color w:val="87888A"/>
          <w:spacing w:val="-4"/>
          <w:w w:val="120"/>
          <w:sz w:val="18"/>
        </w:rPr>
        <w:t> </w:t>
      </w:r>
      <w:r>
        <w:rPr>
          <w:color w:val="87888A"/>
          <w:w w:val="120"/>
          <w:sz w:val="18"/>
        </w:rPr>
        <w:t>funds</w:t>
      </w:r>
      <w:r>
        <w:rPr>
          <w:color w:val="87888A"/>
          <w:spacing w:val="-5"/>
          <w:w w:val="120"/>
          <w:sz w:val="18"/>
        </w:rPr>
        <w:t> </w:t>
      </w:r>
      <w:r>
        <w:rPr>
          <w:color w:val="87888A"/>
          <w:w w:val="120"/>
          <w:sz w:val="18"/>
        </w:rPr>
        <w:t>administered</w:t>
      </w:r>
      <w:r>
        <w:rPr>
          <w:color w:val="87888A"/>
          <w:spacing w:val="-4"/>
          <w:w w:val="120"/>
          <w:sz w:val="18"/>
        </w:rPr>
        <w:t> </w:t>
      </w:r>
      <w:r>
        <w:rPr>
          <w:color w:val="87888A"/>
          <w:w w:val="120"/>
          <w:sz w:val="18"/>
        </w:rPr>
        <w:t>for the benefit of the United Reformed Church, its long-term financial planning, and the preparation and control of its budget under the authority of Mission Council and the</w:t>
      </w:r>
      <w:r>
        <w:rPr>
          <w:color w:val="87888A"/>
          <w:spacing w:val="23"/>
          <w:w w:val="120"/>
          <w:sz w:val="18"/>
        </w:rPr>
        <w:t> </w:t>
      </w:r>
      <w:r>
        <w:rPr>
          <w:color w:val="87888A"/>
          <w:w w:val="120"/>
          <w:sz w:val="18"/>
        </w:rPr>
        <w:t>trustees.</w:t>
      </w:r>
    </w:p>
    <w:p>
      <w:pPr>
        <w:spacing w:line="261" w:lineRule="auto" w:before="1"/>
        <w:ind w:left="1984" w:right="1587" w:firstLine="0"/>
        <w:jc w:val="left"/>
        <w:rPr>
          <w:sz w:val="18"/>
        </w:rPr>
      </w:pPr>
      <w:r>
        <w:rPr>
          <w:color w:val="87888A"/>
          <w:w w:val="120"/>
          <w:sz w:val="18"/>
        </w:rPr>
        <w:t>The committee ensures that proper procedures are in place for the maintenance of accounting records, controlling and monitoring the budgetary process, and the preparation of financial statements in compliance with applicable UK law and accounting standards. To this end the committee liaises with the auditors at least once per annum.</w:t>
      </w:r>
    </w:p>
    <w:p>
      <w:pPr>
        <w:pStyle w:val="BodyText"/>
        <w:spacing w:before="10"/>
        <w:rPr>
          <w:sz w:val="19"/>
        </w:rPr>
      </w:pPr>
    </w:p>
    <w:p>
      <w:pPr>
        <w:spacing w:before="0"/>
        <w:ind w:left="1984" w:right="0" w:firstLine="0"/>
        <w:jc w:val="left"/>
        <w:rPr>
          <w:sz w:val="18"/>
        </w:rPr>
      </w:pPr>
      <w:r>
        <w:rPr>
          <w:color w:val="87888A"/>
          <w:w w:val="120"/>
          <w:sz w:val="18"/>
        </w:rPr>
        <w:t>Committee members:</w:t>
      </w:r>
    </w:p>
    <w:p>
      <w:pPr>
        <w:spacing w:before="20"/>
        <w:ind w:left="1984" w:right="0" w:firstLine="0"/>
        <w:jc w:val="left"/>
        <w:rPr>
          <w:sz w:val="18"/>
        </w:rPr>
      </w:pPr>
      <w:r>
        <w:rPr>
          <w:color w:val="87888A"/>
          <w:w w:val="120"/>
          <w:sz w:val="18"/>
        </w:rPr>
        <w:t>Convener: John Ellis (honorary treasurer)</w:t>
      </w:r>
    </w:p>
    <w:p>
      <w:pPr>
        <w:spacing w:line="261" w:lineRule="auto" w:before="21"/>
        <w:ind w:left="1984" w:right="2004" w:firstLine="0"/>
        <w:jc w:val="left"/>
        <w:rPr>
          <w:sz w:val="18"/>
        </w:rPr>
      </w:pPr>
      <w:r>
        <w:rPr>
          <w:color w:val="87888A"/>
          <w:w w:val="120"/>
          <w:sz w:val="18"/>
        </w:rPr>
        <w:t>Members: David Aplin </w:t>
      </w:r>
      <w:r>
        <w:rPr>
          <w:color w:val="87888A"/>
          <w:spacing w:val="-5"/>
          <w:w w:val="120"/>
          <w:sz w:val="18"/>
        </w:rPr>
        <w:t>(to </w:t>
      </w:r>
      <w:r>
        <w:rPr>
          <w:color w:val="87888A"/>
          <w:spacing w:val="-8"/>
          <w:w w:val="120"/>
          <w:sz w:val="18"/>
        </w:rPr>
        <w:t>2013), </w:t>
      </w:r>
      <w:r>
        <w:rPr>
          <w:color w:val="87888A"/>
          <w:w w:val="120"/>
          <w:sz w:val="18"/>
        </w:rPr>
        <w:t>Richard Dewar </w:t>
      </w:r>
      <w:r>
        <w:rPr>
          <w:color w:val="87888A"/>
          <w:spacing w:val="-5"/>
          <w:w w:val="120"/>
          <w:sz w:val="18"/>
        </w:rPr>
        <w:t>(to </w:t>
      </w:r>
      <w:r>
        <w:rPr>
          <w:color w:val="87888A"/>
          <w:spacing w:val="-8"/>
          <w:w w:val="120"/>
          <w:sz w:val="18"/>
        </w:rPr>
        <w:t>2013), </w:t>
      </w:r>
      <w:r>
        <w:rPr>
          <w:color w:val="87888A"/>
          <w:w w:val="120"/>
          <w:sz w:val="18"/>
        </w:rPr>
        <w:t>Edward Sanniez, </w:t>
      </w:r>
      <w:r>
        <w:rPr>
          <w:color w:val="87888A"/>
          <w:spacing w:val="3"/>
          <w:w w:val="120"/>
          <w:sz w:val="18"/>
        </w:rPr>
        <w:t>Mary </w:t>
      </w:r>
      <w:r>
        <w:rPr>
          <w:color w:val="87888A"/>
          <w:w w:val="120"/>
          <w:sz w:val="18"/>
        </w:rPr>
        <w:t>Martin, Andrew Mackenzie, Elsie Gilliland, Richard Pryor, Angus Massie </w:t>
      </w:r>
      <w:r>
        <w:rPr>
          <w:color w:val="87888A"/>
          <w:spacing w:val="-5"/>
          <w:w w:val="120"/>
          <w:sz w:val="18"/>
        </w:rPr>
        <w:t>(to </w:t>
      </w:r>
      <w:r>
        <w:rPr>
          <w:color w:val="87888A"/>
          <w:spacing w:val="-8"/>
          <w:w w:val="120"/>
          <w:sz w:val="18"/>
        </w:rPr>
        <w:t>2013), </w:t>
      </w:r>
      <w:r>
        <w:rPr>
          <w:color w:val="87888A"/>
          <w:w w:val="120"/>
          <w:sz w:val="18"/>
        </w:rPr>
        <w:t>Ian Simpson (from </w:t>
      </w:r>
      <w:r>
        <w:rPr>
          <w:color w:val="87888A"/>
          <w:spacing w:val="-8"/>
          <w:w w:val="120"/>
          <w:sz w:val="18"/>
        </w:rPr>
        <w:t>2013), </w:t>
      </w:r>
      <w:r>
        <w:rPr>
          <w:color w:val="87888A"/>
          <w:w w:val="120"/>
          <w:sz w:val="18"/>
        </w:rPr>
        <w:t>Kate Gartside (from </w:t>
      </w:r>
      <w:r>
        <w:rPr>
          <w:color w:val="87888A"/>
          <w:spacing w:val="-8"/>
          <w:w w:val="120"/>
          <w:sz w:val="18"/>
        </w:rPr>
        <w:t>2013), </w:t>
      </w:r>
      <w:r>
        <w:rPr>
          <w:color w:val="87888A"/>
          <w:w w:val="120"/>
          <w:sz w:val="18"/>
        </w:rPr>
        <w:t>Richard Turnbull (from </w:t>
      </w:r>
      <w:r>
        <w:rPr>
          <w:color w:val="87888A"/>
          <w:spacing w:val="-8"/>
          <w:w w:val="120"/>
          <w:sz w:val="18"/>
        </w:rPr>
        <w:t>2013)</w:t>
      </w:r>
    </w:p>
    <w:p>
      <w:pPr>
        <w:pStyle w:val="BodyText"/>
        <w:rPr>
          <w:sz w:val="22"/>
        </w:rPr>
      </w:pPr>
    </w:p>
    <w:p>
      <w:pPr>
        <w:pStyle w:val="BodyText"/>
        <w:spacing w:before="9"/>
        <w:rPr>
          <w:sz w:val="29"/>
        </w:rPr>
      </w:pPr>
    </w:p>
    <w:p>
      <w:pPr>
        <w:pStyle w:val="Heading4"/>
        <w:ind w:left="1984" w:firstLine="0"/>
      </w:pPr>
      <w:r>
        <w:rPr>
          <w:w w:val="110"/>
        </w:rPr>
        <w:t>Drinking deeply of generosity</w:t>
      </w:r>
    </w:p>
    <w:p>
      <w:pPr>
        <w:pStyle w:val="Heading9"/>
        <w:spacing w:line="240" w:lineRule="auto" w:before="53"/>
        <w:ind w:left="1984" w:firstLine="0"/>
        <w:rPr>
          <w:rFonts w:ascii="Stone Sans II ITC Std X Bd"/>
          <w:b/>
        </w:rPr>
      </w:pPr>
      <w:r>
        <w:rPr>
          <w:rFonts w:ascii="Stone Sans II ITC Std X Bd"/>
          <w:b/>
          <w:w w:val="110"/>
        </w:rPr>
        <w:t>Generosity in hard times</w:t>
      </w:r>
    </w:p>
    <w:p>
      <w:pPr>
        <w:pStyle w:val="BodyText"/>
        <w:spacing w:before="9"/>
        <w:rPr>
          <w:rFonts w:ascii="Stone Sans II ITC Std X Bd"/>
          <w:b/>
          <w:sz w:val="16"/>
        </w:rPr>
      </w:pPr>
    </w:p>
    <w:p>
      <w:pPr>
        <w:pStyle w:val="ListParagraph"/>
        <w:numPr>
          <w:ilvl w:val="0"/>
          <w:numId w:val="101"/>
        </w:numPr>
        <w:tabs>
          <w:tab w:pos="2721" w:val="left" w:leader="none"/>
          <w:tab w:pos="2722" w:val="left" w:leader="none"/>
        </w:tabs>
        <w:spacing w:line="235" w:lineRule="auto" w:before="0" w:after="0"/>
        <w:ind w:left="1984" w:right="1317" w:firstLine="0"/>
        <w:jc w:val="left"/>
        <w:rPr>
          <w:sz w:val="20"/>
        </w:rPr>
      </w:pPr>
      <w:r>
        <w:rPr>
          <w:w w:val="120"/>
          <w:sz w:val="20"/>
        </w:rPr>
        <w:t>The </w:t>
      </w:r>
      <w:r>
        <w:rPr>
          <w:spacing w:val="-7"/>
          <w:w w:val="120"/>
          <w:sz w:val="20"/>
        </w:rPr>
        <w:t>2012 </w:t>
      </w:r>
      <w:r>
        <w:rPr>
          <w:w w:val="120"/>
          <w:sz w:val="20"/>
        </w:rPr>
        <w:t>Assembly wrestled with hard financial choices. While some decisions were controversial, they have succeeded in providing a period of relative stability for the central finances of the Church. It seems probable that in each of the four years </w:t>
      </w:r>
      <w:r>
        <w:rPr>
          <w:spacing w:val="-7"/>
          <w:w w:val="120"/>
          <w:sz w:val="20"/>
        </w:rPr>
        <w:t>2012 </w:t>
      </w:r>
      <w:r>
        <w:rPr>
          <w:w w:val="120"/>
          <w:sz w:val="20"/>
        </w:rPr>
        <w:t>to </w:t>
      </w:r>
      <w:r>
        <w:rPr>
          <w:spacing w:val="-7"/>
          <w:w w:val="120"/>
          <w:sz w:val="20"/>
        </w:rPr>
        <w:t>2015 </w:t>
      </w:r>
      <w:r>
        <w:rPr>
          <w:w w:val="120"/>
          <w:sz w:val="20"/>
        </w:rPr>
        <w:t>we shall achieve close to a balanced</w:t>
      </w:r>
      <w:r>
        <w:rPr>
          <w:spacing w:val="30"/>
          <w:w w:val="120"/>
          <w:sz w:val="20"/>
        </w:rPr>
        <w:t> </w:t>
      </w:r>
      <w:r>
        <w:rPr>
          <w:w w:val="120"/>
          <w:sz w:val="20"/>
        </w:rPr>
        <w:t>budget.</w:t>
      </w:r>
    </w:p>
    <w:p>
      <w:pPr>
        <w:pStyle w:val="BodyText"/>
        <w:spacing w:before="11"/>
        <w:rPr>
          <w:sz w:val="19"/>
        </w:rPr>
      </w:pPr>
    </w:p>
    <w:p>
      <w:pPr>
        <w:pStyle w:val="ListParagraph"/>
        <w:numPr>
          <w:ilvl w:val="0"/>
          <w:numId w:val="101"/>
        </w:numPr>
        <w:tabs>
          <w:tab w:pos="2664" w:val="left" w:leader="none"/>
          <w:tab w:pos="2665" w:val="left" w:leader="none"/>
        </w:tabs>
        <w:spacing w:line="235" w:lineRule="auto" w:before="0" w:after="0"/>
        <w:ind w:left="1984" w:right="1295" w:firstLine="0"/>
        <w:jc w:val="left"/>
        <w:rPr>
          <w:sz w:val="20"/>
        </w:rPr>
      </w:pPr>
      <w:r>
        <w:rPr>
          <w:w w:val="120"/>
          <w:sz w:val="20"/>
        </w:rPr>
        <w:t>Within the budget, it has been possible to increase stipends for both </w:t>
      </w:r>
      <w:r>
        <w:rPr>
          <w:spacing w:val="-8"/>
          <w:w w:val="120"/>
          <w:sz w:val="20"/>
        </w:rPr>
        <w:t>2013    </w:t>
      </w:r>
      <w:r>
        <w:rPr>
          <w:spacing w:val="-5"/>
          <w:w w:val="120"/>
          <w:sz w:val="20"/>
        </w:rPr>
        <w:t>(2.0%) </w:t>
      </w:r>
      <w:r>
        <w:rPr>
          <w:w w:val="120"/>
          <w:sz w:val="20"/>
        </w:rPr>
        <w:t>and </w:t>
      </w:r>
      <w:r>
        <w:rPr>
          <w:spacing w:val="-7"/>
          <w:w w:val="120"/>
          <w:sz w:val="20"/>
        </w:rPr>
        <w:t>2014 </w:t>
      </w:r>
      <w:r>
        <w:rPr>
          <w:spacing w:val="-8"/>
          <w:w w:val="120"/>
          <w:sz w:val="20"/>
        </w:rPr>
        <w:t>(1.6%) </w:t>
      </w:r>
      <w:r>
        <w:rPr>
          <w:w w:val="120"/>
          <w:sz w:val="20"/>
        </w:rPr>
        <w:t>by more than the average increase in earnings across the </w:t>
      </w:r>
      <w:r>
        <w:rPr>
          <w:spacing w:val="-3"/>
          <w:w w:val="120"/>
          <w:sz w:val="20"/>
        </w:rPr>
        <w:t>economy. </w:t>
      </w:r>
      <w:r>
        <w:rPr>
          <w:w w:val="120"/>
          <w:sz w:val="20"/>
        </w:rPr>
        <w:t>In each </w:t>
      </w:r>
      <w:r>
        <w:rPr>
          <w:spacing w:val="-4"/>
          <w:w w:val="120"/>
          <w:sz w:val="20"/>
        </w:rPr>
        <w:t>year, </w:t>
      </w:r>
      <w:r>
        <w:rPr>
          <w:spacing w:val="-3"/>
          <w:w w:val="120"/>
          <w:sz w:val="20"/>
        </w:rPr>
        <w:t>however, </w:t>
      </w:r>
      <w:r>
        <w:rPr>
          <w:w w:val="120"/>
          <w:sz w:val="20"/>
        </w:rPr>
        <w:t>this has been less than the rate of inflation. Some ministers are embarrassed to receive rises higher than those received by most members of their congregations, but the committee is also aware that for manse households wholly dependent on the stipend, a repeated fall in its real value can be very difficult. </w:t>
      </w:r>
      <w:r>
        <w:rPr>
          <w:spacing w:val="-3"/>
          <w:w w:val="120"/>
          <w:sz w:val="20"/>
        </w:rPr>
        <w:t>Children’s </w:t>
      </w:r>
      <w:r>
        <w:rPr>
          <w:w w:val="120"/>
          <w:sz w:val="20"/>
        </w:rPr>
        <w:t>allowances continue to be paid to eligible</w:t>
      </w:r>
      <w:r>
        <w:rPr>
          <w:spacing w:val="29"/>
          <w:w w:val="120"/>
          <w:sz w:val="20"/>
        </w:rPr>
        <w:t> </w:t>
      </w:r>
      <w:r>
        <w:rPr>
          <w:w w:val="120"/>
          <w:sz w:val="20"/>
        </w:rPr>
        <w:t>ministers.</w:t>
      </w:r>
    </w:p>
    <w:p>
      <w:pPr>
        <w:pStyle w:val="BodyText"/>
        <w:spacing w:before="1"/>
      </w:pPr>
    </w:p>
    <w:p>
      <w:pPr>
        <w:pStyle w:val="ListParagraph"/>
        <w:numPr>
          <w:ilvl w:val="0"/>
          <w:numId w:val="101"/>
        </w:numPr>
        <w:tabs>
          <w:tab w:pos="2664" w:val="left" w:leader="none"/>
          <w:tab w:pos="2665" w:val="left" w:leader="none"/>
        </w:tabs>
        <w:spacing w:line="235" w:lineRule="auto" w:before="0" w:after="0"/>
        <w:ind w:left="1984" w:right="1260" w:firstLine="0"/>
        <w:jc w:val="left"/>
        <w:rPr>
          <w:sz w:val="20"/>
        </w:rPr>
      </w:pPr>
      <w:r>
        <w:rPr>
          <w:w w:val="120"/>
          <w:sz w:val="20"/>
        </w:rPr>
        <w:t>None of this would be possible without the dominant element of our income:   the ministry and mission fund </w:t>
      </w:r>
      <w:r>
        <w:rPr>
          <w:spacing w:val="-3"/>
          <w:w w:val="120"/>
          <w:sz w:val="20"/>
        </w:rPr>
        <w:t>(M&amp;M). </w:t>
      </w:r>
      <w:r>
        <w:rPr>
          <w:w w:val="120"/>
          <w:sz w:val="20"/>
        </w:rPr>
        <w:t>While many charities have found their income falling </w:t>
      </w:r>
      <w:r>
        <w:rPr>
          <w:spacing w:val="-4"/>
          <w:w w:val="120"/>
          <w:sz w:val="20"/>
        </w:rPr>
        <w:t>away, </w:t>
      </w:r>
      <w:r>
        <w:rPr>
          <w:w w:val="120"/>
          <w:sz w:val="20"/>
        </w:rPr>
        <w:t>average </w:t>
      </w:r>
      <w:r>
        <w:rPr>
          <w:spacing w:val="-2"/>
          <w:w w:val="120"/>
          <w:sz w:val="20"/>
        </w:rPr>
        <w:t>M&amp;M </w:t>
      </w:r>
      <w:r>
        <w:rPr>
          <w:w w:val="120"/>
          <w:sz w:val="20"/>
        </w:rPr>
        <w:t>giving per member in the United Reformed Church  continues to rise each </w:t>
      </w:r>
      <w:r>
        <w:rPr>
          <w:spacing w:val="-4"/>
          <w:w w:val="120"/>
          <w:sz w:val="20"/>
        </w:rPr>
        <w:t>year. </w:t>
      </w:r>
      <w:r>
        <w:rPr>
          <w:w w:val="120"/>
          <w:sz w:val="20"/>
        </w:rPr>
        <w:t>Unfortunately this faithful generosity cannot hide the effects of a falling membership and total giving to the </w:t>
      </w:r>
      <w:r>
        <w:rPr>
          <w:spacing w:val="-2"/>
          <w:w w:val="120"/>
          <w:sz w:val="20"/>
        </w:rPr>
        <w:t>M&amp;M </w:t>
      </w:r>
      <w:r>
        <w:rPr>
          <w:w w:val="120"/>
          <w:sz w:val="20"/>
        </w:rPr>
        <w:t>continues to fall at around </w:t>
      </w:r>
      <w:r>
        <w:rPr>
          <w:spacing w:val="-7"/>
          <w:w w:val="120"/>
          <w:sz w:val="20"/>
        </w:rPr>
        <w:t>1% </w:t>
      </w:r>
      <w:r>
        <w:rPr>
          <w:w w:val="120"/>
          <w:sz w:val="20"/>
        </w:rPr>
        <w:t>per </w:t>
      </w:r>
      <w:r>
        <w:rPr>
          <w:spacing w:val="-4"/>
          <w:w w:val="120"/>
          <w:sz w:val="20"/>
        </w:rPr>
        <w:t>year. </w:t>
      </w:r>
      <w:r>
        <w:rPr>
          <w:w w:val="120"/>
          <w:sz w:val="20"/>
        </w:rPr>
        <w:t>This threatens to make our financial stability only a temporary</w:t>
      </w:r>
      <w:r>
        <w:rPr>
          <w:spacing w:val="3"/>
          <w:w w:val="120"/>
          <w:sz w:val="20"/>
        </w:rPr>
        <w:t> </w:t>
      </w:r>
      <w:r>
        <w:rPr>
          <w:w w:val="120"/>
          <w:sz w:val="20"/>
        </w:rPr>
        <w:t>feature.</w:t>
      </w:r>
    </w:p>
    <w:p>
      <w:pPr>
        <w:pStyle w:val="BodyText"/>
        <w:spacing w:before="1"/>
      </w:pPr>
    </w:p>
    <w:p>
      <w:pPr>
        <w:pStyle w:val="ListParagraph"/>
        <w:numPr>
          <w:ilvl w:val="0"/>
          <w:numId w:val="101"/>
        </w:numPr>
        <w:tabs>
          <w:tab w:pos="2664" w:val="left" w:leader="none"/>
          <w:tab w:pos="2665" w:val="left" w:leader="none"/>
        </w:tabs>
        <w:spacing w:line="235" w:lineRule="auto" w:before="0" w:after="0"/>
        <w:ind w:left="1984" w:right="1496" w:firstLine="0"/>
        <w:jc w:val="left"/>
        <w:rPr>
          <w:sz w:val="20"/>
        </w:rPr>
      </w:pPr>
      <w:r>
        <w:rPr>
          <w:w w:val="120"/>
          <w:sz w:val="20"/>
        </w:rPr>
        <w:t>Since the last Assembly a survey of giving patterns across the United Reformed Church has produced food for thought. One in five respondents did not know that </w:t>
      </w:r>
      <w:r>
        <w:rPr>
          <w:spacing w:val="-2"/>
          <w:w w:val="120"/>
          <w:sz w:val="20"/>
        </w:rPr>
        <w:t>M&amp;M </w:t>
      </w:r>
      <w:r>
        <w:rPr>
          <w:w w:val="120"/>
          <w:sz w:val="20"/>
        </w:rPr>
        <w:t>giving is how ministers’ stipends are paid. The findings for total giving to the URC in relation to income were particularly sobering. On average the least</w:t>
      </w:r>
      <w:r>
        <w:rPr>
          <w:spacing w:val="2"/>
          <w:w w:val="120"/>
          <w:sz w:val="20"/>
        </w:rPr>
        <w:t> </w:t>
      </w:r>
      <w:r>
        <w:rPr>
          <w:w w:val="120"/>
          <w:sz w:val="20"/>
        </w:rPr>
        <w:t>well-</w:t>
      </w:r>
    </w:p>
    <w:p>
      <w:pPr>
        <w:pStyle w:val="BodyText"/>
        <w:spacing w:line="235" w:lineRule="auto" w:before="3"/>
        <w:ind w:left="1984" w:right="1352"/>
      </w:pPr>
      <w:r>
        <w:rPr>
          <w:w w:val="120"/>
        </w:rPr>
        <w:t>off respondents were by far the most generous as a proportion of their income and meeting the biblical tithe figure (10%). Average giving as a proportion of income consistently fell as household income increased. Many replied that they do not base their giving on a percentage of income despite General Assembly’s recommendation that members should consider giving 5% of their take-home income to the work of the Church. The full report of the survey is available on the website.</w:t>
      </w:r>
    </w:p>
    <w:p>
      <w:pPr>
        <w:pStyle w:val="BodyText"/>
      </w:pPr>
    </w:p>
    <w:p>
      <w:pPr>
        <w:pStyle w:val="ListParagraph"/>
        <w:numPr>
          <w:ilvl w:val="0"/>
          <w:numId w:val="101"/>
        </w:numPr>
        <w:tabs>
          <w:tab w:pos="2664" w:val="left" w:leader="none"/>
          <w:tab w:pos="2665" w:val="left" w:leader="none"/>
        </w:tabs>
        <w:spacing w:line="235" w:lineRule="auto" w:before="0" w:after="0"/>
        <w:ind w:left="1984" w:right="1309" w:firstLine="0"/>
        <w:jc w:val="left"/>
        <w:rPr>
          <w:sz w:val="20"/>
        </w:rPr>
      </w:pPr>
      <w:r>
        <w:rPr>
          <w:w w:val="120"/>
          <w:sz w:val="20"/>
        </w:rPr>
        <w:t>Whilst being immensely grateful for continuing generosity, the committee notes that if the typical local congregation were willing to increase its </w:t>
      </w:r>
      <w:r>
        <w:rPr>
          <w:spacing w:val="-2"/>
          <w:w w:val="120"/>
          <w:sz w:val="20"/>
        </w:rPr>
        <w:t>M&amp;M </w:t>
      </w:r>
      <w:r>
        <w:rPr>
          <w:w w:val="120"/>
          <w:sz w:val="20"/>
        </w:rPr>
        <w:t>giving by just     </w:t>
      </w:r>
      <w:r>
        <w:rPr>
          <w:spacing w:val="-7"/>
          <w:w w:val="120"/>
          <w:sz w:val="20"/>
        </w:rPr>
        <w:t>1% </w:t>
      </w:r>
      <w:r>
        <w:rPr>
          <w:w w:val="120"/>
          <w:sz w:val="20"/>
        </w:rPr>
        <w:t>a </w:t>
      </w:r>
      <w:r>
        <w:rPr>
          <w:spacing w:val="-4"/>
          <w:w w:val="120"/>
          <w:sz w:val="20"/>
        </w:rPr>
        <w:t>year, </w:t>
      </w:r>
      <w:r>
        <w:rPr>
          <w:w w:val="120"/>
          <w:sz w:val="20"/>
        </w:rPr>
        <w:t>instead of reducing it by </w:t>
      </w:r>
      <w:r>
        <w:rPr>
          <w:spacing w:val="-7"/>
          <w:w w:val="120"/>
          <w:sz w:val="20"/>
        </w:rPr>
        <w:t>1% </w:t>
      </w:r>
      <w:r>
        <w:rPr>
          <w:w w:val="120"/>
          <w:sz w:val="20"/>
        </w:rPr>
        <w:t>a </w:t>
      </w:r>
      <w:r>
        <w:rPr>
          <w:spacing w:val="-4"/>
          <w:w w:val="120"/>
          <w:sz w:val="20"/>
        </w:rPr>
        <w:t>year, </w:t>
      </w:r>
      <w:r>
        <w:rPr>
          <w:w w:val="120"/>
          <w:sz w:val="20"/>
        </w:rPr>
        <w:t>the anxieties beyond </w:t>
      </w:r>
      <w:r>
        <w:rPr>
          <w:spacing w:val="-7"/>
          <w:w w:val="120"/>
          <w:sz w:val="20"/>
        </w:rPr>
        <w:t>2015 </w:t>
      </w:r>
      <w:r>
        <w:rPr>
          <w:w w:val="120"/>
          <w:sz w:val="20"/>
        </w:rPr>
        <w:t>could be transformed. If every local church made a habit of giving </w:t>
      </w:r>
      <w:r>
        <w:rPr>
          <w:spacing w:val="-6"/>
          <w:w w:val="120"/>
          <w:sz w:val="20"/>
        </w:rPr>
        <w:t>£101 </w:t>
      </w:r>
      <w:r>
        <w:rPr>
          <w:w w:val="120"/>
          <w:sz w:val="20"/>
        </w:rPr>
        <w:t>each year for every </w:t>
      </w:r>
      <w:r>
        <w:rPr>
          <w:spacing w:val="-3"/>
          <w:w w:val="120"/>
          <w:sz w:val="20"/>
        </w:rPr>
        <w:t>£100 </w:t>
      </w:r>
      <w:r>
        <w:rPr>
          <w:w w:val="120"/>
          <w:sz w:val="20"/>
        </w:rPr>
        <w:t>it gave the previous </w:t>
      </w:r>
      <w:r>
        <w:rPr>
          <w:spacing w:val="-4"/>
          <w:w w:val="120"/>
          <w:sz w:val="20"/>
        </w:rPr>
        <w:t>year, </w:t>
      </w:r>
      <w:r>
        <w:rPr>
          <w:w w:val="120"/>
          <w:sz w:val="20"/>
        </w:rPr>
        <w:t>the pressure on expenditure for stipends and other essentials would be</w:t>
      </w:r>
      <w:r>
        <w:rPr>
          <w:spacing w:val="4"/>
          <w:w w:val="120"/>
          <w:sz w:val="20"/>
        </w:rPr>
        <w:t> </w:t>
      </w:r>
      <w:r>
        <w:rPr>
          <w:w w:val="120"/>
          <w:sz w:val="20"/>
        </w:rPr>
        <w:t>lifted.</w:t>
      </w:r>
    </w:p>
    <w:p>
      <w:pPr>
        <w:spacing w:after="0" w:line="235" w:lineRule="auto"/>
        <w:jc w:val="left"/>
        <w:rPr>
          <w:sz w:val="20"/>
        </w:rPr>
        <w:sectPr>
          <w:headerReference w:type="default" r:id="rId411"/>
          <w:pgSz w:w="11910" w:h="16840"/>
          <w:pgMar w:header="0" w:footer="647" w:top="0" w:bottom="840" w:left="0" w:right="0"/>
        </w:sectPr>
      </w:pPr>
    </w:p>
    <w:p>
      <w:pPr>
        <w:pStyle w:val="BodyText"/>
      </w:pPr>
      <w:r>
        <w:rPr/>
        <w:drawing>
          <wp:anchor distT="0" distB="0" distL="0" distR="0" allowOverlap="1" layoutInCell="1" locked="0" behindDoc="0" simplePos="0" relativeHeight="252114944">
            <wp:simplePos x="0" y="0"/>
            <wp:positionH relativeFrom="page">
              <wp:posOffset>0</wp:posOffset>
            </wp:positionH>
            <wp:positionV relativeFrom="page">
              <wp:posOffset>0</wp:posOffset>
            </wp:positionV>
            <wp:extent cx="594067" cy="10692003"/>
            <wp:effectExtent l="0" t="0" r="0" b="0"/>
            <wp:wrapNone/>
            <wp:docPr id="337" name="image32.png"/>
            <wp:cNvGraphicFramePr>
              <a:graphicFrameLocks noChangeAspect="1"/>
            </wp:cNvGraphicFramePr>
            <a:graphic>
              <a:graphicData uri="http://schemas.openxmlformats.org/drawingml/2006/picture">
                <pic:pic>
                  <pic:nvPicPr>
                    <pic:cNvPr id="338" name="image32.png"/>
                    <pic:cNvPicPr/>
                  </pic:nvPicPr>
                  <pic:blipFill>
                    <a:blip r:embed="rId362"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shape style="position:absolute;margin-left:20.519100pt;margin-top:22.593945pt;width:25.9pt;height:79.1pt;mso-position-horizontal-relative:page;mso-position-vertical-relative:paragraph;z-index:252115968" type="#_x0000_t202" filled="false" stroked="false">
            <v:textbox inset="0,0,0,0" style="layout-flow:vertical">
              <w:txbxContent>
                <w:p>
                  <w:pPr>
                    <w:spacing w:before="27"/>
                    <w:ind w:left="20" w:right="0" w:firstLine="0"/>
                    <w:jc w:val="left"/>
                    <w:rPr>
                      <w:sz w:val="39"/>
                    </w:rPr>
                  </w:pPr>
                  <w:r>
                    <w:rPr>
                      <w:color w:val="FFFFFF"/>
                      <w:w w:val="120"/>
                      <w:sz w:val="39"/>
                    </w:rPr>
                    <w:t>Finance</w:t>
                  </w:r>
                </w:p>
              </w:txbxContent>
            </v:textbox>
            <w10:wrap type="none"/>
          </v:shape>
        </w:pict>
      </w:r>
      <w:bookmarkStart w:name="_TOC_250004" w:id="42"/>
      <w:bookmarkEnd w:id="42"/>
      <w:r>
        <w:rPr>
          <w:color w:val="7EAABF"/>
          <w:w w:val="115"/>
        </w:rPr>
        <w:t>Finance</w:t>
      </w:r>
    </w:p>
    <w:p>
      <w:pPr>
        <w:pStyle w:val="Heading9"/>
        <w:spacing w:line="240" w:lineRule="auto" w:before="205"/>
        <w:ind w:left="1247" w:firstLine="0"/>
        <w:rPr>
          <w:rFonts w:ascii="Stone Sans II ITC Std X Bd"/>
          <w:b/>
        </w:rPr>
      </w:pPr>
      <w:r>
        <w:rPr>
          <w:rFonts w:ascii="Stone Sans II ITC Std X Bd"/>
          <w:b/>
          <w:w w:val="110"/>
        </w:rPr>
        <w:t>Encouraging further generosity</w:t>
      </w:r>
    </w:p>
    <w:p>
      <w:pPr>
        <w:pStyle w:val="BodyText"/>
        <w:spacing w:before="10"/>
        <w:rPr>
          <w:rFonts w:ascii="Stone Sans II ITC Std X Bd"/>
          <w:b/>
          <w:sz w:val="16"/>
        </w:rPr>
      </w:pPr>
    </w:p>
    <w:p>
      <w:pPr>
        <w:pStyle w:val="ListParagraph"/>
        <w:numPr>
          <w:ilvl w:val="0"/>
          <w:numId w:val="101"/>
        </w:numPr>
        <w:tabs>
          <w:tab w:pos="1927" w:val="left" w:leader="none"/>
          <w:tab w:pos="1928" w:val="left" w:leader="none"/>
        </w:tabs>
        <w:spacing w:line="235" w:lineRule="auto" w:before="0" w:after="0"/>
        <w:ind w:left="1247" w:right="1982" w:firstLine="0"/>
        <w:jc w:val="left"/>
        <w:rPr>
          <w:sz w:val="20"/>
        </w:rPr>
      </w:pPr>
      <w:r>
        <w:rPr>
          <w:spacing w:val="-7"/>
          <w:w w:val="120"/>
          <w:sz w:val="20"/>
        </w:rPr>
        <w:t>To  </w:t>
      </w:r>
      <w:r>
        <w:rPr>
          <w:w w:val="120"/>
          <w:sz w:val="20"/>
        </w:rPr>
        <w:t>encourage congregations drinking deeply of God’s goodness and generosity  to reflect this in financial terms, the stewardship sub-committee have produced an updated version of the financial stewardship programme TRIO (The Responsibility Is </w:t>
      </w:r>
      <w:r>
        <w:rPr>
          <w:spacing w:val="-3"/>
          <w:w w:val="120"/>
          <w:sz w:val="20"/>
        </w:rPr>
        <w:t>Ours). </w:t>
      </w:r>
      <w:r>
        <w:rPr>
          <w:w w:val="120"/>
          <w:sz w:val="20"/>
        </w:rPr>
        <w:t>This has been designed specifically for our context and is equally suitable for URC congregations and ecumenical partnerships. The new pack was piloted across </w:t>
      </w:r>
      <w:r>
        <w:rPr>
          <w:spacing w:val="3"/>
          <w:w w:val="120"/>
          <w:sz w:val="20"/>
        </w:rPr>
        <w:t>forty </w:t>
      </w:r>
      <w:r>
        <w:rPr>
          <w:w w:val="120"/>
          <w:sz w:val="20"/>
        </w:rPr>
        <w:t>churches in </w:t>
      </w:r>
      <w:r>
        <w:rPr>
          <w:spacing w:val="-8"/>
          <w:w w:val="120"/>
          <w:sz w:val="20"/>
        </w:rPr>
        <w:t>2013 </w:t>
      </w:r>
      <w:r>
        <w:rPr>
          <w:w w:val="120"/>
          <w:sz w:val="20"/>
        </w:rPr>
        <w:t>and will be launched before Assembly. Churches who have worked through a TRIO programme consistently </w:t>
      </w:r>
      <w:r>
        <w:rPr>
          <w:spacing w:val="2"/>
          <w:w w:val="120"/>
          <w:sz w:val="20"/>
        </w:rPr>
        <w:t>report </w:t>
      </w:r>
      <w:r>
        <w:rPr>
          <w:w w:val="120"/>
          <w:sz w:val="20"/>
        </w:rPr>
        <w:t>an increase in giving, with one church seeing their freewill offering rise by</w:t>
      </w:r>
      <w:r>
        <w:rPr>
          <w:spacing w:val="14"/>
          <w:w w:val="120"/>
          <w:sz w:val="20"/>
        </w:rPr>
        <w:t> </w:t>
      </w:r>
      <w:r>
        <w:rPr>
          <w:w w:val="120"/>
          <w:sz w:val="20"/>
        </w:rPr>
        <w:t>46%.</w:t>
      </w:r>
    </w:p>
    <w:p>
      <w:pPr>
        <w:pStyle w:val="BodyText"/>
        <w:spacing w:before="1"/>
      </w:pPr>
    </w:p>
    <w:p>
      <w:pPr>
        <w:pStyle w:val="ListParagraph"/>
        <w:numPr>
          <w:ilvl w:val="0"/>
          <w:numId w:val="101"/>
        </w:numPr>
        <w:tabs>
          <w:tab w:pos="1927" w:val="left" w:leader="none"/>
          <w:tab w:pos="1928" w:val="left" w:leader="none"/>
        </w:tabs>
        <w:spacing w:line="235" w:lineRule="auto" w:before="1" w:after="0"/>
        <w:ind w:left="1247" w:right="2414" w:firstLine="0"/>
        <w:jc w:val="left"/>
        <w:rPr>
          <w:sz w:val="20"/>
        </w:rPr>
      </w:pPr>
      <w:r>
        <w:rPr>
          <w:w w:val="120"/>
          <w:sz w:val="20"/>
        </w:rPr>
        <w:t>The</w:t>
      </w:r>
      <w:r>
        <w:rPr>
          <w:spacing w:val="-5"/>
          <w:w w:val="120"/>
          <w:sz w:val="20"/>
        </w:rPr>
        <w:t> </w:t>
      </w:r>
      <w:r>
        <w:rPr>
          <w:w w:val="120"/>
          <w:sz w:val="20"/>
        </w:rPr>
        <w:t>stewardship</w:t>
      </w:r>
      <w:r>
        <w:rPr>
          <w:spacing w:val="-5"/>
          <w:w w:val="120"/>
          <w:sz w:val="20"/>
        </w:rPr>
        <w:t> </w:t>
      </w:r>
      <w:r>
        <w:rPr>
          <w:w w:val="120"/>
          <w:sz w:val="20"/>
        </w:rPr>
        <w:t>sub-committee</w:t>
      </w:r>
      <w:r>
        <w:rPr>
          <w:spacing w:val="-5"/>
          <w:w w:val="120"/>
          <w:sz w:val="20"/>
        </w:rPr>
        <w:t> </w:t>
      </w:r>
      <w:r>
        <w:rPr>
          <w:w w:val="120"/>
          <w:sz w:val="20"/>
        </w:rPr>
        <w:t>have</w:t>
      </w:r>
      <w:r>
        <w:rPr>
          <w:spacing w:val="-5"/>
          <w:w w:val="120"/>
          <w:sz w:val="20"/>
        </w:rPr>
        <w:t> </w:t>
      </w:r>
      <w:r>
        <w:rPr>
          <w:w w:val="120"/>
          <w:sz w:val="20"/>
        </w:rPr>
        <w:t>also</w:t>
      </w:r>
      <w:r>
        <w:rPr>
          <w:spacing w:val="-5"/>
          <w:w w:val="120"/>
          <w:sz w:val="20"/>
        </w:rPr>
        <w:t> </w:t>
      </w:r>
      <w:r>
        <w:rPr>
          <w:w w:val="120"/>
          <w:sz w:val="20"/>
        </w:rPr>
        <w:t>produced</w:t>
      </w:r>
      <w:r>
        <w:rPr>
          <w:spacing w:val="-5"/>
          <w:w w:val="120"/>
          <w:sz w:val="20"/>
        </w:rPr>
        <w:t> </w:t>
      </w:r>
      <w:r>
        <w:rPr>
          <w:w w:val="120"/>
          <w:sz w:val="20"/>
        </w:rPr>
        <w:t>the</w:t>
      </w:r>
      <w:r>
        <w:rPr>
          <w:spacing w:val="-5"/>
          <w:w w:val="120"/>
          <w:sz w:val="20"/>
        </w:rPr>
        <w:t> </w:t>
      </w:r>
      <w:r>
        <w:rPr>
          <w:w w:val="120"/>
          <w:sz w:val="20"/>
        </w:rPr>
        <w:t>leaflets</w:t>
      </w:r>
      <w:r>
        <w:rPr>
          <w:spacing w:val="-5"/>
          <w:w w:val="120"/>
          <w:sz w:val="20"/>
        </w:rPr>
        <w:t> </w:t>
      </w:r>
      <w:r>
        <w:rPr>
          <w:i/>
          <w:w w:val="120"/>
          <w:sz w:val="20"/>
        </w:rPr>
        <w:t>Thought</w:t>
      </w:r>
      <w:r>
        <w:rPr>
          <w:i/>
          <w:spacing w:val="-8"/>
          <w:w w:val="120"/>
          <w:sz w:val="20"/>
        </w:rPr>
        <w:t> </w:t>
      </w:r>
      <w:r>
        <w:rPr>
          <w:i/>
          <w:w w:val="120"/>
          <w:sz w:val="20"/>
        </w:rPr>
        <w:t>that </w:t>
      </w:r>
      <w:r>
        <w:rPr>
          <w:i/>
          <w:w w:val="120"/>
          <w:sz w:val="20"/>
        </w:rPr>
        <w:t>stewardship</w:t>
      </w:r>
      <w:r>
        <w:rPr>
          <w:i/>
          <w:spacing w:val="-20"/>
          <w:w w:val="120"/>
          <w:sz w:val="20"/>
        </w:rPr>
        <w:t> </w:t>
      </w:r>
      <w:r>
        <w:rPr>
          <w:i/>
          <w:w w:val="120"/>
          <w:sz w:val="20"/>
        </w:rPr>
        <w:t>was</w:t>
      </w:r>
      <w:r>
        <w:rPr>
          <w:i/>
          <w:spacing w:val="-20"/>
          <w:w w:val="120"/>
          <w:sz w:val="20"/>
        </w:rPr>
        <w:t> </w:t>
      </w:r>
      <w:r>
        <w:rPr>
          <w:i/>
          <w:w w:val="120"/>
          <w:sz w:val="20"/>
        </w:rPr>
        <w:t>just</w:t>
      </w:r>
      <w:r>
        <w:rPr>
          <w:i/>
          <w:spacing w:val="-19"/>
          <w:w w:val="120"/>
          <w:sz w:val="20"/>
        </w:rPr>
        <w:t> </w:t>
      </w:r>
      <w:r>
        <w:rPr>
          <w:i/>
          <w:w w:val="120"/>
          <w:sz w:val="20"/>
        </w:rPr>
        <w:t>about</w:t>
      </w:r>
      <w:r>
        <w:rPr>
          <w:i/>
          <w:spacing w:val="-20"/>
          <w:w w:val="120"/>
          <w:sz w:val="20"/>
        </w:rPr>
        <w:t> </w:t>
      </w:r>
      <w:r>
        <w:rPr>
          <w:i/>
          <w:spacing w:val="-3"/>
          <w:w w:val="120"/>
          <w:sz w:val="20"/>
        </w:rPr>
        <w:t>money?</w:t>
      </w:r>
      <w:r>
        <w:rPr>
          <w:i/>
          <w:spacing w:val="-20"/>
          <w:w w:val="120"/>
          <w:sz w:val="20"/>
        </w:rPr>
        <w:t> </w:t>
      </w:r>
      <w:r>
        <w:rPr>
          <w:spacing w:val="-4"/>
          <w:w w:val="120"/>
          <w:sz w:val="20"/>
        </w:rPr>
        <w:t>(also</w:t>
      </w:r>
      <w:r>
        <w:rPr>
          <w:spacing w:val="-17"/>
          <w:w w:val="120"/>
          <w:sz w:val="20"/>
        </w:rPr>
        <w:t> </w:t>
      </w:r>
      <w:r>
        <w:rPr>
          <w:w w:val="120"/>
          <w:sz w:val="20"/>
        </w:rPr>
        <w:t>available</w:t>
      </w:r>
      <w:r>
        <w:rPr>
          <w:spacing w:val="-18"/>
          <w:w w:val="120"/>
          <w:sz w:val="20"/>
        </w:rPr>
        <w:t> </w:t>
      </w:r>
      <w:r>
        <w:rPr>
          <w:w w:val="120"/>
          <w:sz w:val="20"/>
        </w:rPr>
        <w:t>as</w:t>
      </w:r>
      <w:r>
        <w:rPr>
          <w:spacing w:val="-18"/>
          <w:w w:val="120"/>
          <w:sz w:val="20"/>
        </w:rPr>
        <w:t> </w:t>
      </w:r>
      <w:r>
        <w:rPr>
          <w:w w:val="120"/>
          <w:sz w:val="20"/>
        </w:rPr>
        <w:t>a</w:t>
      </w:r>
      <w:r>
        <w:rPr>
          <w:spacing w:val="-17"/>
          <w:w w:val="120"/>
          <w:sz w:val="20"/>
        </w:rPr>
        <w:t> </w:t>
      </w:r>
      <w:r>
        <w:rPr>
          <w:w w:val="120"/>
          <w:sz w:val="20"/>
        </w:rPr>
        <w:t>PowerPoint</w:t>
      </w:r>
      <w:r>
        <w:rPr>
          <w:spacing w:val="-18"/>
          <w:w w:val="120"/>
          <w:sz w:val="20"/>
        </w:rPr>
        <w:t> </w:t>
      </w:r>
      <w:r>
        <w:rPr>
          <w:w w:val="120"/>
          <w:sz w:val="20"/>
        </w:rPr>
        <w:t>presentation)</w:t>
      </w:r>
      <w:r>
        <w:rPr>
          <w:spacing w:val="-18"/>
          <w:w w:val="120"/>
          <w:sz w:val="20"/>
        </w:rPr>
        <w:t> </w:t>
      </w:r>
      <w:r>
        <w:rPr>
          <w:w w:val="120"/>
          <w:sz w:val="20"/>
        </w:rPr>
        <w:t>and </w:t>
      </w:r>
      <w:r>
        <w:rPr>
          <w:i/>
          <w:w w:val="120"/>
          <w:sz w:val="20"/>
        </w:rPr>
        <w:t>The</w:t>
      </w:r>
      <w:r>
        <w:rPr>
          <w:i/>
          <w:spacing w:val="-24"/>
          <w:w w:val="120"/>
          <w:sz w:val="20"/>
        </w:rPr>
        <w:t> </w:t>
      </w:r>
      <w:r>
        <w:rPr>
          <w:i/>
          <w:w w:val="120"/>
          <w:sz w:val="20"/>
        </w:rPr>
        <w:t>relationship</w:t>
      </w:r>
      <w:r>
        <w:rPr>
          <w:i/>
          <w:spacing w:val="-23"/>
          <w:w w:val="120"/>
          <w:sz w:val="20"/>
        </w:rPr>
        <w:t> </w:t>
      </w:r>
      <w:r>
        <w:rPr>
          <w:i/>
          <w:w w:val="120"/>
          <w:sz w:val="20"/>
        </w:rPr>
        <w:t>between</w:t>
      </w:r>
      <w:r>
        <w:rPr>
          <w:i/>
          <w:spacing w:val="-23"/>
          <w:w w:val="120"/>
          <w:sz w:val="20"/>
        </w:rPr>
        <w:t> </w:t>
      </w:r>
      <w:r>
        <w:rPr>
          <w:i/>
          <w:w w:val="120"/>
          <w:sz w:val="20"/>
        </w:rPr>
        <w:t>Christian</w:t>
      </w:r>
      <w:r>
        <w:rPr>
          <w:i/>
          <w:spacing w:val="-23"/>
          <w:w w:val="120"/>
          <w:sz w:val="20"/>
        </w:rPr>
        <w:t> </w:t>
      </w:r>
      <w:r>
        <w:rPr>
          <w:i/>
          <w:w w:val="120"/>
          <w:sz w:val="20"/>
        </w:rPr>
        <w:t>living</w:t>
      </w:r>
      <w:r>
        <w:rPr>
          <w:i/>
          <w:spacing w:val="-23"/>
          <w:w w:val="120"/>
          <w:sz w:val="20"/>
        </w:rPr>
        <w:t> </w:t>
      </w:r>
      <w:r>
        <w:rPr>
          <w:i/>
          <w:w w:val="120"/>
          <w:sz w:val="20"/>
        </w:rPr>
        <w:t>and</w:t>
      </w:r>
      <w:r>
        <w:rPr>
          <w:i/>
          <w:spacing w:val="-23"/>
          <w:w w:val="120"/>
          <w:sz w:val="20"/>
        </w:rPr>
        <w:t> </w:t>
      </w:r>
      <w:r>
        <w:rPr>
          <w:i/>
          <w:w w:val="120"/>
          <w:sz w:val="20"/>
        </w:rPr>
        <w:t>Christian</w:t>
      </w:r>
      <w:r>
        <w:rPr>
          <w:i/>
          <w:spacing w:val="-23"/>
          <w:w w:val="120"/>
          <w:sz w:val="20"/>
        </w:rPr>
        <w:t> </w:t>
      </w:r>
      <w:r>
        <w:rPr>
          <w:i/>
          <w:w w:val="120"/>
          <w:sz w:val="20"/>
        </w:rPr>
        <w:t>giving</w:t>
      </w:r>
      <w:r>
        <w:rPr>
          <w:i/>
          <w:spacing w:val="-23"/>
          <w:w w:val="120"/>
          <w:sz w:val="20"/>
        </w:rPr>
        <w:t> </w:t>
      </w:r>
      <w:r>
        <w:rPr>
          <w:w w:val="120"/>
          <w:sz w:val="20"/>
        </w:rPr>
        <w:t>to</w:t>
      </w:r>
      <w:r>
        <w:rPr>
          <w:spacing w:val="-22"/>
          <w:w w:val="120"/>
          <w:sz w:val="20"/>
        </w:rPr>
        <w:t> </w:t>
      </w:r>
      <w:r>
        <w:rPr>
          <w:w w:val="120"/>
          <w:sz w:val="20"/>
        </w:rPr>
        <w:t>support</w:t>
      </w:r>
      <w:r>
        <w:rPr>
          <w:spacing w:val="-21"/>
          <w:w w:val="120"/>
          <w:sz w:val="20"/>
        </w:rPr>
        <w:t> </w:t>
      </w:r>
      <w:r>
        <w:rPr>
          <w:w w:val="120"/>
          <w:sz w:val="20"/>
        </w:rPr>
        <w:t>reflection</w:t>
      </w:r>
      <w:r>
        <w:rPr>
          <w:spacing w:val="-21"/>
          <w:w w:val="120"/>
          <w:sz w:val="20"/>
        </w:rPr>
        <w:t> </w:t>
      </w:r>
      <w:r>
        <w:rPr>
          <w:w w:val="120"/>
          <w:sz w:val="20"/>
        </w:rPr>
        <w:t>and understanding. Copies of these leaflets were sent to all</w:t>
      </w:r>
      <w:r>
        <w:rPr>
          <w:spacing w:val="20"/>
          <w:w w:val="120"/>
          <w:sz w:val="20"/>
        </w:rPr>
        <w:t> </w:t>
      </w:r>
      <w:r>
        <w:rPr>
          <w:w w:val="120"/>
          <w:sz w:val="20"/>
        </w:rPr>
        <w:t>churches.</w:t>
      </w:r>
    </w:p>
    <w:p>
      <w:pPr>
        <w:pStyle w:val="BodyText"/>
        <w:spacing w:line="243" w:lineRule="exact"/>
        <w:ind w:left="1247"/>
      </w:pPr>
      <w:r>
        <w:rPr>
          <w:w w:val="120"/>
        </w:rPr>
        <w:t>Enjoying past generosity</w:t>
      </w:r>
    </w:p>
    <w:p>
      <w:pPr>
        <w:pStyle w:val="BodyText"/>
        <w:spacing w:before="7"/>
        <w:rPr>
          <w:sz w:val="19"/>
        </w:rPr>
      </w:pPr>
    </w:p>
    <w:p>
      <w:pPr>
        <w:pStyle w:val="ListParagraph"/>
        <w:numPr>
          <w:ilvl w:val="0"/>
          <w:numId w:val="101"/>
        </w:numPr>
        <w:tabs>
          <w:tab w:pos="1984" w:val="left" w:leader="none"/>
          <w:tab w:pos="1985" w:val="left" w:leader="none"/>
        </w:tabs>
        <w:spacing w:line="235" w:lineRule="auto" w:before="0" w:after="0"/>
        <w:ind w:left="1247" w:right="2331" w:firstLine="0"/>
        <w:jc w:val="left"/>
        <w:rPr>
          <w:sz w:val="20"/>
        </w:rPr>
      </w:pPr>
      <w:r>
        <w:rPr>
          <w:w w:val="120"/>
          <w:sz w:val="20"/>
        </w:rPr>
        <w:t>The legacy fund reflects the generosity of past members and typically has around £200,000 to give away in grants each </w:t>
      </w:r>
      <w:r>
        <w:rPr>
          <w:spacing w:val="-4"/>
          <w:w w:val="120"/>
          <w:sz w:val="20"/>
        </w:rPr>
        <w:t>year. </w:t>
      </w:r>
      <w:r>
        <w:rPr>
          <w:w w:val="120"/>
          <w:sz w:val="20"/>
        </w:rPr>
        <w:t>These are available for innovative and exciting projects and local churches can access the fund via</w:t>
      </w:r>
      <w:r>
        <w:rPr>
          <w:spacing w:val="44"/>
          <w:w w:val="120"/>
          <w:sz w:val="20"/>
        </w:rPr>
        <w:t> </w:t>
      </w:r>
      <w:r>
        <w:rPr>
          <w:w w:val="120"/>
          <w:sz w:val="20"/>
        </w:rPr>
        <w:t>synods.</w:t>
      </w:r>
    </w:p>
    <w:p>
      <w:pPr>
        <w:pStyle w:val="BodyText"/>
        <w:spacing w:before="10"/>
        <w:rPr>
          <w:sz w:val="19"/>
        </w:rPr>
      </w:pPr>
    </w:p>
    <w:p>
      <w:pPr>
        <w:pStyle w:val="ListParagraph"/>
        <w:numPr>
          <w:ilvl w:val="0"/>
          <w:numId w:val="101"/>
        </w:numPr>
        <w:tabs>
          <w:tab w:pos="1927" w:val="left" w:leader="none"/>
          <w:tab w:pos="1928" w:val="left" w:leader="none"/>
        </w:tabs>
        <w:spacing w:line="235" w:lineRule="auto" w:before="1" w:after="0"/>
        <w:ind w:left="1247" w:right="2203" w:firstLine="0"/>
        <w:jc w:val="left"/>
        <w:rPr>
          <w:sz w:val="20"/>
        </w:rPr>
      </w:pPr>
      <w:r>
        <w:rPr>
          <w:w w:val="120"/>
          <w:sz w:val="20"/>
        </w:rPr>
        <w:t>Since the last Assembly, the projects helped have included </w:t>
      </w:r>
      <w:r>
        <w:rPr>
          <w:spacing w:val="3"/>
          <w:w w:val="120"/>
          <w:sz w:val="20"/>
        </w:rPr>
        <w:t>Art </w:t>
      </w:r>
      <w:r>
        <w:rPr>
          <w:spacing w:val="-3"/>
          <w:w w:val="120"/>
          <w:sz w:val="20"/>
        </w:rPr>
        <w:t>Talk, </w:t>
      </w:r>
      <w:r>
        <w:rPr>
          <w:w w:val="120"/>
          <w:sz w:val="20"/>
        </w:rPr>
        <w:t>which uses </w:t>
      </w:r>
      <w:r>
        <w:rPr>
          <w:spacing w:val="3"/>
          <w:w w:val="120"/>
          <w:sz w:val="20"/>
        </w:rPr>
        <w:t>art </w:t>
      </w:r>
      <w:r>
        <w:rPr>
          <w:w w:val="120"/>
          <w:sz w:val="20"/>
        </w:rPr>
        <w:t>to initiate exploration of spiritual questions, media training for synod staff, HOPE </w:t>
      </w:r>
      <w:r>
        <w:rPr>
          <w:spacing w:val="-7"/>
          <w:w w:val="120"/>
          <w:sz w:val="20"/>
        </w:rPr>
        <w:t>2014, </w:t>
      </w:r>
      <w:r>
        <w:rPr>
          <w:w w:val="120"/>
          <w:sz w:val="20"/>
        </w:rPr>
        <w:t>and a variety of </w:t>
      </w:r>
      <w:r>
        <w:rPr>
          <w:i/>
          <w:w w:val="120"/>
          <w:sz w:val="20"/>
        </w:rPr>
        <w:t>vision2020</w:t>
      </w:r>
      <w:r>
        <w:rPr>
          <w:i/>
          <w:spacing w:val="16"/>
          <w:w w:val="120"/>
          <w:sz w:val="20"/>
        </w:rPr>
        <w:t> </w:t>
      </w:r>
      <w:r>
        <w:rPr>
          <w:w w:val="120"/>
          <w:sz w:val="20"/>
        </w:rPr>
        <w:t>projects.</w:t>
      </w:r>
    </w:p>
    <w:p>
      <w:pPr>
        <w:pStyle w:val="BodyText"/>
        <w:spacing w:before="6"/>
        <w:rPr>
          <w:sz w:val="18"/>
        </w:rPr>
      </w:pPr>
    </w:p>
    <w:p>
      <w:pPr>
        <w:pStyle w:val="Heading9"/>
        <w:spacing w:line="240" w:lineRule="auto"/>
        <w:ind w:left="1247" w:firstLine="0"/>
        <w:rPr>
          <w:rFonts w:ascii="Stone Sans II ITC Std X Bd"/>
          <w:b/>
        </w:rPr>
      </w:pPr>
      <w:r>
        <w:rPr>
          <w:rFonts w:ascii="Stone Sans II ITC Std X Bd"/>
          <w:b/>
          <w:w w:val="110"/>
        </w:rPr>
        <w:t>Supporting Synods</w:t>
      </w:r>
    </w:p>
    <w:p>
      <w:pPr>
        <w:pStyle w:val="BodyText"/>
        <w:spacing w:before="9"/>
        <w:rPr>
          <w:rFonts w:ascii="Stone Sans II ITC Std X Bd"/>
          <w:b/>
          <w:sz w:val="16"/>
        </w:rPr>
      </w:pPr>
    </w:p>
    <w:p>
      <w:pPr>
        <w:pStyle w:val="ListParagraph"/>
        <w:numPr>
          <w:ilvl w:val="0"/>
          <w:numId w:val="101"/>
        </w:numPr>
        <w:tabs>
          <w:tab w:pos="1927" w:val="left" w:leader="none"/>
          <w:tab w:pos="1928" w:val="left" w:leader="none"/>
        </w:tabs>
        <w:spacing w:line="235" w:lineRule="auto" w:before="0" w:after="0"/>
        <w:ind w:left="1247" w:right="2556" w:firstLine="0"/>
        <w:jc w:val="left"/>
        <w:rPr>
          <w:sz w:val="20"/>
        </w:rPr>
      </w:pPr>
      <w:r>
        <w:rPr>
          <w:w w:val="120"/>
          <w:sz w:val="20"/>
        </w:rPr>
        <w:t>The last Assembly agreed a procedure for supporting less wealthy synods if a financial safety net were required. This procedure has not been used in the</w:t>
      </w:r>
      <w:r>
        <w:rPr>
          <w:spacing w:val="13"/>
          <w:w w:val="120"/>
          <w:sz w:val="20"/>
        </w:rPr>
        <w:t> </w:t>
      </w:r>
      <w:r>
        <w:rPr>
          <w:w w:val="120"/>
          <w:sz w:val="20"/>
        </w:rPr>
        <w:t>form</w:t>
      </w:r>
    </w:p>
    <w:p>
      <w:pPr>
        <w:pStyle w:val="BodyText"/>
        <w:spacing w:line="235" w:lineRule="auto" w:before="2"/>
        <w:ind w:left="1247" w:right="2167"/>
      </w:pPr>
      <w:r>
        <w:rPr>
          <w:w w:val="120"/>
        </w:rPr>
        <w:t>described in 2012, although members of the finance committee and the chief finance officer have held discussions with several synods facing financial challenges to clarify the options open to them.</w:t>
      </w:r>
    </w:p>
    <w:p>
      <w:pPr>
        <w:pStyle w:val="BodyText"/>
        <w:spacing w:before="10"/>
        <w:rPr>
          <w:sz w:val="19"/>
        </w:rPr>
      </w:pPr>
    </w:p>
    <w:p>
      <w:pPr>
        <w:pStyle w:val="ListParagraph"/>
        <w:numPr>
          <w:ilvl w:val="0"/>
          <w:numId w:val="101"/>
        </w:numPr>
        <w:tabs>
          <w:tab w:pos="1927" w:val="left" w:leader="none"/>
          <w:tab w:pos="1928" w:val="left" w:leader="none"/>
        </w:tabs>
        <w:spacing w:line="235" w:lineRule="auto" w:before="0" w:after="0"/>
        <w:ind w:left="1247" w:right="2131" w:firstLine="0"/>
        <w:jc w:val="left"/>
        <w:rPr>
          <w:sz w:val="20"/>
        </w:rPr>
      </w:pPr>
      <w:r>
        <w:rPr>
          <w:w w:val="120"/>
          <w:sz w:val="20"/>
        </w:rPr>
        <w:t>The underlying marked inequality in resources between the synods is to be addressed through an enhanced inter synod resource sharing process, which has been agreed by Mission Council and is described elsewhere in the </w:t>
      </w:r>
      <w:r>
        <w:rPr>
          <w:i/>
          <w:w w:val="120"/>
          <w:sz w:val="20"/>
        </w:rPr>
        <w:t>Book of</w:t>
      </w:r>
      <w:r>
        <w:rPr>
          <w:i/>
          <w:spacing w:val="-8"/>
          <w:w w:val="120"/>
          <w:sz w:val="20"/>
        </w:rPr>
        <w:t> </w:t>
      </w:r>
      <w:r>
        <w:rPr>
          <w:i/>
          <w:w w:val="120"/>
          <w:sz w:val="20"/>
        </w:rPr>
        <w:t>Reports</w:t>
      </w:r>
      <w:r>
        <w:rPr>
          <w:w w:val="120"/>
          <w:sz w:val="20"/>
        </w:rPr>
        <w:t>.</w:t>
      </w:r>
    </w:p>
    <w:p>
      <w:pPr>
        <w:pStyle w:val="BodyText"/>
        <w:spacing w:before="6"/>
        <w:rPr>
          <w:sz w:val="18"/>
        </w:rPr>
      </w:pPr>
    </w:p>
    <w:p>
      <w:pPr>
        <w:pStyle w:val="Heading9"/>
        <w:spacing w:line="240" w:lineRule="auto"/>
        <w:ind w:left="1247" w:firstLine="0"/>
        <w:rPr>
          <w:rFonts w:ascii="Stone Sans II ITC Std X Bd"/>
          <w:b/>
        </w:rPr>
      </w:pPr>
      <w:r>
        <w:rPr>
          <w:rFonts w:ascii="Stone Sans II ITC Std X Bd"/>
          <w:b/>
          <w:w w:val="110"/>
        </w:rPr>
        <w:t>Other updates</w:t>
      </w:r>
    </w:p>
    <w:p>
      <w:pPr>
        <w:pStyle w:val="BodyText"/>
        <w:spacing w:before="10"/>
        <w:rPr>
          <w:rFonts w:ascii="Stone Sans II ITC Std X Bd"/>
          <w:b/>
          <w:sz w:val="16"/>
        </w:rPr>
      </w:pPr>
    </w:p>
    <w:p>
      <w:pPr>
        <w:pStyle w:val="ListParagraph"/>
        <w:numPr>
          <w:ilvl w:val="0"/>
          <w:numId w:val="101"/>
        </w:numPr>
        <w:tabs>
          <w:tab w:pos="1927" w:val="left" w:leader="none"/>
          <w:tab w:pos="1928" w:val="left" w:leader="none"/>
        </w:tabs>
        <w:spacing w:line="235" w:lineRule="auto" w:before="0" w:after="0"/>
        <w:ind w:left="1247" w:right="2012" w:firstLine="0"/>
        <w:jc w:val="left"/>
        <w:rPr>
          <w:sz w:val="20"/>
        </w:rPr>
      </w:pPr>
      <w:r>
        <w:rPr>
          <w:w w:val="120"/>
          <w:sz w:val="20"/>
        </w:rPr>
        <w:t>Deputy treasurer: Mission Council felt that a deputy treasurer should be appointed to cover for the treasurer while he is also serving as moderator of General Assembly and to be his potential </w:t>
      </w:r>
      <w:r>
        <w:rPr>
          <w:spacing w:val="-3"/>
          <w:w w:val="120"/>
          <w:sz w:val="20"/>
        </w:rPr>
        <w:t>successor. </w:t>
      </w:r>
      <w:r>
        <w:rPr>
          <w:w w:val="120"/>
          <w:sz w:val="20"/>
        </w:rPr>
        <w:t>The search for a successor continues but the Revd Richard Gray has been appointed to provide the cover element in the meantime. Dick comes to the post with extensive experience of our finances, not least as treasurer of the South Western</w:t>
      </w:r>
      <w:r>
        <w:rPr>
          <w:spacing w:val="7"/>
          <w:w w:val="120"/>
          <w:sz w:val="20"/>
        </w:rPr>
        <w:t> </w:t>
      </w:r>
      <w:r>
        <w:rPr>
          <w:w w:val="120"/>
          <w:sz w:val="20"/>
        </w:rPr>
        <w:t>Synod.</w:t>
      </w:r>
    </w:p>
    <w:p>
      <w:pPr>
        <w:pStyle w:val="BodyText"/>
      </w:pPr>
    </w:p>
    <w:p>
      <w:pPr>
        <w:pStyle w:val="ListParagraph"/>
        <w:numPr>
          <w:ilvl w:val="0"/>
          <w:numId w:val="101"/>
        </w:numPr>
        <w:tabs>
          <w:tab w:pos="1928" w:val="left" w:leader="none"/>
        </w:tabs>
        <w:spacing w:line="235" w:lineRule="auto" w:before="0" w:after="0"/>
        <w:ind w:left="1247" w:right="2188" w:firstLine="0"/>
        <w:jc w:val="both"/>
        <w:rPr>
          <w:sz w:val="20"/>
        </w:rPr>
      </w:pPr>
      <w:r>
        <w:rPr>
          <w:w w:val="120"/>
          <w:sz w:val="20"/>
        </w:rPr>
        <w:t>Auditors: Following a review, the auditors for those funds managed centrally or through Westminster College have been changed to Mazars. One advantage is a 20% reduction in</w:t>
      </w:r>
      <w:r>
        <w:rPr>
          <w:spacing w:val="4"/>
          <w:w w:val="120"/>
          <w:sz w:val="20"/>
        </w:rPr>
        <w:t> </w:t>
      </w:r>
      <w:r>
        <w:rPr>
          <w:w w:val="120"/>
          <w:sz w:val="20"/>
        </w:rPr>
        <w:t>fees.</w:t>
      </w:r>
    </w:p>
    <w:p>
      <w:pPr>
        <w:pStyle w:val="BodyText"/>
        <w:spacing w:before="10"/>
        <w:rPr>
          <w:sz w:val="19"/>
        </w:rPr>
      </w:pPr>
    </w:p>
    <w:p>
      <w:pPr>
        <w:pStyle w:val="ListParagraph"/>
        <w:numPr>
          <w:ilvl w:val="0"/>
          <w:numId w:val="101"/>
        </w:numPr>
        <w:tabs>
          <w:tab w:pos="1928" w:val="left" w:leader="none"/>
        </w:tabs>
        <w:spacing w:line="235" w:lineRule="auto" w:before="1" w:after="0"/>
        <w:ind w:left="1247" w:right="2114" w:firstLine="0"/>
        <w:jc w:val="both"/>
        <w:rPr>
          <w:sz w:val="20"/>
        </w:rPr>
      </w:pPr>
      <w:r>
        <w:rPr>
          <w:w w:val="120"/>
          <w:sz w:val="20"/>
        </w:rPr>
        <w:t>Accounts: The </w:t>
      </w:r>
      <w:r>
        <w:rPr>
          <w:spacing w:val="-7"/>
          <w:w w:val="120"/>
          <w:sz w:val="20"/>
        </w:rPr>
        <w:t>2012 </w:t>
      </w:r>
      <w:r>
        <w:rPr>
          <w:w w:val="120"/>
          <w:sz w:val="20"/>
        </w:rPr>
        <w:t>accounts, in the name of the URC Trust, are available on the website. Those for </w:t>
      </w:r>
      <w:r>
        <w:rPr>
          <w:spacing w:val="-8"/>
          <w:w w:val="120"/>
          <w:sz w:val="20"/>
        </w:rPr>
        <w:t>2013 </w:t>
      </w:r>
      <w:r>
        <w:rPr>
          <w:w w:val="120"/>
          <w:sz w:val="20"/>
        </w:rPr>
        <w:t>will be available for inspection at</w:t>
      </w:r>
      <w:r>
        <w:rPr>
          <w:spacing w:val="29"/>
          <w:w w:val="120"/>
          <w:sz w:val="20"/>
        </w:rPr>
        <w:t> </w:t>
      </w:r>
      <w:r>
        <w:rPr>
          <w:w w:val="120"/>
          <w:sz w:val="20"/>
        </w:rPr>
        <w:t>Assembly.</w:t>
      </w:r>
    </w:p>
    <w:p>
      <w:pPr>
        <w:spacing w:after="0" w:line="235" w:lineRule="auto"/>
        <w:jc w:val="both"/>
        <w:rPr>
          <w:sz w:val="20"/>
        </w:rPr>
        <w:sectPr>
          <w:headerReference w:type="even" r:id="rId412"/>
          <w:footerReference w:type="even" r:id="rId413"/>
          <w:footerReference w:type="default" r:id="rId414"/>
          <w:pgSz w:w="11910" w:h="16840"/>
          <w:pgMar w:header="0" w:footer="647" w:top="0" w:bottom="840" w:left="0" w:right="0"/>
        </w:sectPr>
      </w:pPr>
    </w:p>
    <w:p>
      <w:pPr>
        <w:pStyle w:val="BodyText"/>
      </w:pPr>
      <w:r>
        <w:rPr/>
        <w:drawing>
          <wp:anchor distT="0" distB="0" distL="0" distR="0" allowOverlap="1" layoutInCell="1" locked="0" behindDoc="0" simplePos="0" relativeHeight="252116992">
            <wp:simplePos x="0" y="0"/>
            <wp:positionH relativeFrom="page">
              <wp:posOffset>6974928</wp:posOffset>
            </wp:positionH>
            <wp:positionV relativeFrom="page">
              <wp:posOffset>0</wp:posOffset>
            </wp:positionV>
            <wp:extent cx="585063" cy="10692003"/>
            <wp:effectExtent l="0" t="0" r="0" b="0"/>
            <wp:wrapNone/>
            <wp:docPr id="339" name="image30.png"/>
            <wp:cNvGraphicFramePr>
              <a:graphicFrameLocks noChangeAspect="1"/>
            </wp:cNvGraphicFramePr>
            <a:graphic>
              <a:graphicData uri="http://schemas.openxmlformats.org/drawingml/2006/picture">
                <pic:pic>
                  <pic:nvPicPr>
                    <pic:cNvPr id="340" name="image30.png"/>
                    <pic:cNvPicPr/>
                  </pic:nvPicPr>
                  <pic:blipFill>
                    <a:blip r:embed="rId357"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5"/>
        <w:rPr>
          <w:sz w:val="28"/>
        </w:rPr>
      </w:pPr>
    </w:p>
    <w:p>
      <w:pPr>
        <w:pStyle w:val="Heading2"/>
        <w:spacing w:before="97"/>
        <w:ind w:left="1984"/>
        <w:rPr>
          <w:b/>
        </w:rPr>
      </w:pPr>
      <w:r>
        <w:rPr/>
        <w:pict>
          <v:shape style="position:absolute;margin-left:554.141174pt;margin-top:-5.998084pt;width:25.9pt;height:100pt;mso-position-horizontal-relative:page;mso-position-vertical-relative:paragraph;z-index:252118016" type="#_x0000_t202" filled="false" stroked="false">
            <v:textbox inset="0,0,0,0" style="layout-flow:vertical">
              <w:txbxContent>
                <w:p>
                  <w:pPr>
                    <w:spacing w:before="27"/>
                    <w:ind w:left="20" w:right="0" w:firstLine="0"/>
                    <w:jc w:val="left"/>
                    <w:rPr>
                      <w:sz w:val="39"/>
                    </w:rPr>
                  </w:pPr>
                  <w:r>
                    <w:rPr>
                      <w:color w:val="FFFFFF"/>
                      <w:w w:val="115"/>
                      <w:sz w:val="39"/>
                    </w:rPr>
                    <w:t>Ministries</w:t>
                  </w:r>
                </w:p>
              </w:txbxContent>
            </v:textbox>
            <w10:wrap type="none"/>
          </v:shape>
        </w:pict>
      </w:r>
      <w:bookmarkStart w:name="_bookmark35" w:id="43"/>
      <w:bookmarkEnd w:id="43"/>
      <w:r>
        <w:rPr>
          <w:b w:val="0"/>
        </w:rPr>
      </w:r>
      <w:r>
        <w:rPr>
          <w:b/>
          <w:w w:val="110"/>
        </w:rPr>
        <w:t>Ministries committee</w:t>
      </w:r>
    </w:p>
    <w:p>
      <w:pPr>
        <w:spacing w:line="261" w:lineRule="auto" w:before="141"/>
        <w:ind w:left="1984" w:right="1352" w:firstLine="0"/>
        <w:jc w:val="left"/>
        <w:rPr>
          <w:sz w:val="18"/>
        </w:rPr>
      </w:pPr>
      <w:r>
        <w:rPr>
          <w:color w:val="87888A"/>
          <w:w w:val="115"/>
          <w:sz w:val="18"/>
        </w:rPr>
        <w:t>The committee is responsible for the ministry of Word and sacraments, church related community  work, lay preaching and eldership. It is concerned with central care and conditions of service, chaplaincies in industry, higher and further education and  in  the  armed  forces,  and  special category ministry. It has concern for the pastoral support of ministers, church related community  workers</w:t>
      </w:r>
      <w:r>
        <w:rPr>
          <w:color w:val="87888A"/>
          <w:spacing w:val="18"/>
          <w:w w:val="115"/>
          <w:sz w:val="18"/>
        </w:rPr>
        <w:t> </w:t>
      </w:r>
      <w:r>
        <w:rPr>
          <w:color w:val="87888A"/>
          <w:w w:val="115"/>
          <w:sz w:val="18"/>
        </w:rPr>
        <w:t>and</w:t>
      </w:r>
      <w:r>
        <w:rPr>
          <w:color w:val="87888A"/>
          <w:spacing w:val="19"/>
          <w:w w:val="115"/>
          <w:sz w:val="18"/>
        </w:rPr>
        <w:t> </w:t>
      </w:r>
      <w:r>
        <w:rPr>
          <w:color w:val="87888A"/>
          <w:w w:val="115"/>
          <w:sz w:val="18"/>
        </w:rPr>
        <w:t>lay</w:t>
      </w:r>
      <w:r>
        <w:rPr>
          <w:color w:val="87888A"/>
          <w:spacing w:val="19"/>
          <w:w w:val="115"/>
          <w:sz w:val="18"/>
        </w:rPr>
        <w:t> </w:t>
      </w:r>
      <w:r>
        <w:rPr>
          <w:color w:val="87888A"/>
          <w:w w:val="115"/>
          <w:sz w:val="18"/>
        </w:rPr>
        <w:t>preachers,</w:t>
      </w:r>
      <w:r>
        <w:rPr>
          <w:color w:val="87888A"/>
          <w:spacing w:val="19"/>
          <w:w w:val="115"/>
          <w:sz w:val="18"/>
        </w:rPr>
        <w:t> </w:t>
      </w:r>
      <w:r>
        <w:rPr>
          <w:color w:val="87888A"/>
          <w:w w:val="115"/>
          <w:sz w:val="18"/>
        </w:rPr>
        <w:t>including</w:t>
      </w:r>
      <w:r>
        <w:rPr>
          <w:color w:val="87888A"/>
          <w:spacing w:val="19"/>
          <w:w w:val="115"/>
          <w:sz w:val="18"/>
        </w:rPr>
        <w:t> </w:t>
      </w:r>
      <w:r>
        <w:rPr>
          <w:color w:val="87888A"/>
          <w:w w:val="115"/>
          <w:sz w:val="18"/>
        </w:rPr>
        <w:t>supervision,</w:t>
      </w:r>
      <w:r>
        <w:rPr>
          <w:color w:val="87888A"/>
          <w:spacing w:val="19"/>
          <w:w w:val="115"/>
          <w:sz w:val="18"/>
        </w:rPr>
        <w:t> </w:t>
      </w:r>
      <w:r>
        <w:rPr>
          <w:color w:val="87888A"/>
          <w:w w:val="115"/>
          <w:sz w:val="18"/>
        </w:rPr>
        <w:t>appraisal,</w:t>
      </w:r>
      <w:r>
        <w:rPr>
          <w:color w:val="87888A"/>
          <w:spacing w:val="19"/>
          <w:w w:val="115"/>
          <w:sz w:val="18"/>
        </w:rPr>
        <w:t> </w:t>
      </w:r>
      <w:r>
        <w:rPr>
          <w:color w:val="87888A"/>
          <w:w w:val="115"/>
          <w:sz w:val="18"/>
        </w:rPr>
        <w:t>self-evaluation</w:t>
      </w:r>
      <w:r>
        <w:rPr>
          <w:color w:val="87888A"/>
          <w:spacing w:val="19"/>
          <w:w w:val="115"/>
          <w:sz w:val="18"/>
        </w:rPr>
        <w:t> </w:t>
      </w:r>
      <w:r>
        <w:rPr>
          <w:color w:val="87888A"/>
          <w:w w:val="115"/>
          <w:sz w:val="18"/>
        </w:rPr>
        <w:t>and</w:t>
      </w:r>
      <w:r>
        <w:rPr>
          <w:color w:val="87888A"/>
          <w:spacing w:val="19"/>
          <w:w w:val="115"/>
          <w:sz w:val="18"/>
        </w:rPr>
        <w:t> </w:t>
      </w:r>
      <w:r>
        <w:rPr>
          <w:color w:val="87888A"/>
          <w:w w:val="115"/>
          <w:sz w:val="18"/>
        </w:rPr>
        <w:t>counselling.</w:t>
      </w:r>
    </w:p>
    <w:p>
      <w:pPr>
        <w:spacing w:before="2"/>
        <w:ind w:left="1984" w:right="0" w:firstLine="0"/>
        <w:jc w:val="left"/>
        <w:rPr>
          <w:sz w:val="18"/>
        </w:rPr>
      </w:pPr>
      <w:r>
        <w:rPr>
          <w:color w:val="87888A"/>
          <w:w w:val="120"/>
          <w:sz w:val="18"/>
        </w:rPr>
        <w:t>It oversees the work of the assessment board and is assisted by four sub-committees.</w:t>
      </w:r>
    </w:p>
    <w:p>
      <w:pPr>
        <w:pStyle w:val="BodyText"/>
        <w:spacing w:before="4"/>
        <w:rPr>
          <w:sz w:val="21"/>
        </w:rPr>
      </w:pPr>
    </w:p>
    <w:p>
      <w:pPr>
        <w:spacing w:before="0"/>
        <w:ind w:left="1984" w:right="0" w:firstLine="0"/>
        <w:jc w:val="left"/>
        <w:rPr>
          <w:sz w:val="18"/>
        </w:rPr>
      </w:pPr>
      <w:r>
        <w:rPr>
          <w:color w:val="87888A"/>
          <w:w w:val="120"/>
          <w:sz w:val="18"/>
        </w:rPr>
        <w:t>Accreditation sub-committee</w:t>
      </w:r>
    </w:p>
    <w:p>
      <w:pPr>
        <w:spacing w:line="261" w:lineRule="auto" w:before="20"/>
        <w:ind w:left="1984" w:right="1701" w:firstLine="0"/>
        <w:jc w:val="left"/>
        <w:rPr>
          <w:sz w:val="18"/>
        </w:rPr>
      </w:pPr>
      <w:r>
        <w:rPr>
          <w:color w:val="87888A"/>
          <w:w w:val="120"/>
          <w:sz w:val="18"/>
        </w:rPr>
        <w:t>Maintaining the roll of ministers, this sub-committee accredits those applying for inclusion after training and those coming from other denominations. It is concerned with numbers and recruitment. It also deals with applications for special category ministries.</w:t>
      </w:r>
    </w:p>
    <w:p>
      <w:pPr>
        <w:pStyle w:val="BodyText"/>
        <w:spacing w:before="10"/>
        <w:rPr>
          <w:sz w:val="19"/>
        </w:rPr>
      </w:pPr>
    </w:p>
    <w:p>
      <w:pPr>
        <w:spacing w:before="0"/>
        <w:ind w:left="1984" w:right="0" w:firstLine="0"/>
        <w:jc w:val="left"/>
        <w:rPr>
          <w:sz w:val="18"/>
        </w:rPr>
      </w:pPr>
      <w:r>
        <w:rPr>
          <w:color w:val="87888A"/>
          <w:w w:val="120"/>
          <w:sz w:val="18"/>
        </w:rPr>
        <w:t>Church related community work programme sub-committee</w:t>
      </w:r>
    </w:p>
    <w:p>
      <w:pPr>
        <w:spacing w:line="261" w:lineRule="auto" w:before="20"/>
        <w:ind w:left="1984" w:right="1352" w:firstLine="0"/>
        <w:jc w:val="left"/>
        <w:rPr>
          <w:sz w:val="18"/>
        </w:rPr>
      </w:pPr>
      <w:r>
        <w:rPr>
          <w:color w:val="87888A"/>
          <w:w w:val="120"/>
          <w:sz w:val="18"/>
        </w:rPr>
        <w:t>This is responsible for supporting the church related community work ministry and programme under the terms agreed in the church related community work covenant. This includes the accreditation of churches-in-community</w:t>
      </w:r>
    </w:p>
    <w:p>
      <w:pPr>
        <w:pStyle w:val="BodyText"/>
        <w:spacing w:before="9"/>
        <w:rPr>
          <w:sz w:val="19"/>
        </w:rPr>
      </w:pPr>
    </w:p>
    <w:p>
      <w:pPr>
        <w:spacing w:before="1"/>
        <w:ind w:left="1984" w:right="0" w:firstLine="0"/>
        <w:jc w:val="left"/>
        <w:rPr>
          <w:sz w:val="18"/>
        </w:rPr>
      </w:pPr>
      <w:r>
        <w:rPr>
          <w:color w:val="87888A"/>
          <w:w w:val="115"/>
          <w:sz w:val="18"/>
        </w:rPr>
        <w:t>Maintenance of the ministry sub-committee</w:t>
      </w:r>
    </w:p>
    <w:p>
      <w:pPr>
        <w:spacing w:line="261" w:lineRule="auto" w:before="20"/>
        <w:ind w:left="1984" w:right="2004" w:firstLine="0"/>
        <w:jc w:val="left"/>
        <w:rPr>
          <w:sz w:val="18"/>
        </w:rPr>
      </w:pPr>
      <w:r>
        <w:rPr>
          <w:color w:val="87888A"/>
          <w:w w:val="115"/>
          <w:sz w:val="18"/>
        </w:rPr>
        <w:t>This advises on the level of stipend and ministers’ conditions of service through the Plan for  Partnership. It is also concerned for pensions through its associated pensions executive.</w:t>
      </w:r>
    </w:p>
    <w:p>
      <w:pPr>
        <w:pStyle w:val="BodyText"/>
        <w:spacing w:before="9"/>
        <w:rPr>
          <w:sz w:val="19"/>
        </w:rPr>
      </w:pPr>
    </w:p>
    <w:p>
      <w:pPr>
        <w:spacing w:before="0"/>
        <w:ind w:left="1984" w:right="0" w:firstLine="0"/>
        <w:jc w:val="left"/>
        <w:rPr>
          <w:sz w:val="18"/>
        </w:rPr>
      </w:pPr>
      <w:r>
        <w:rPr>
          <w:color w:val="87888A"/>
          <w:w w:val="120"/>
          <w:sz w:val="18"/>
        </w:rPr>
        <w:t>Retired ministers’ housing sub-committee</w:t>
      </w:r>
    </w:p>
    <w:p>
      <w:pPr>
        <w:spacing w:before="20"/>
        <w:ind w:left="1984" w:right="0" w:firstLine="0"/>
        <w:jc w:val="left"/>
        <w:rPr>
          <w:sz w:val="18"/>
        </w:rPr>
      </w:pPr>
      <w:r>
        <w:rPr>
          <w:color w:val="87888A"/>
          <w:w w:val="120"/>
          <w:sz w:val="18"/>
        </w:rPr>
        <w:t>Works in association with the United Reformed Church ministers housing society ltd.</w:t>
      </w:r>
    </w:p>
    <w:p>
      <w:pPr>
        <w:pStyle w:val="BodyText"/>
        <w:spacing w:before="4"/>
        <w:rPr>
          <w:sz w:val="21"/>
        </w:rPr>
      </w:pPr>
    </w:p>
    <w:p>
      <w:pPr>
        <w:spacing w:before="0"/>
        <w:ind w:left="1984" w:right="0" w:firstLine="0"/>
        <w:jc w:val="left"/>
        <w:rPr>
          <w:sz w:val="18"/>
        </w:rPr>
      </w:pPr>
      <w:r>
        <w:rPr>
          <w:color w:val="87888A"/>
          <w:w w:val="120"/>
          <w:sz w:val="18"/>
        </w:rPr>
        <w:t>Committee members:</w:t>
      </w:r>
    </w:p>
    <w:p>
      <w:pPr>
        <w:spacing w:line="261" w:lineRule="auto" w:before="20"/>
        <w:ind w:left="1984" w:right="7517" w:firstLine="0"/>
        <w:jc w:val="left"/>
        <w:rPr>
          <w:sz w:val="18"/>
        </w:rPr>
      </w:pPr>
      <w:r>
        <w:rPr>
          <w:color w:val="87888A"/>
          <w:w w:val="120"/>
          <w:sz w:val="18"/>
        </w:rPr>
        <w:t>Convener: Ruth Whitehead Secretary: Craig Bowman</w:t>
      </w:r>
    </w:p>
    <w:p>
      <w:pPr>
        <w:spacing w:line="261" w:lineRule="auto" w:before="1"/>
        <w:ind w:left="1984" w:right="1323" w:firstLine="0"/>
        <w:jc w:val="left"/>
        <w:rPr>
          <w:sz w:val="18"/>
        </w:rPr>
      </w:pPr>
      <w:r>
        <w:rPr>
          <w:color w:val="87888A"/>
          <w:w w:val="120"/>
          <w:sz w:val="18"/>
        </w:rPr>
        <w:t>Members: Andy Buxton, James Coleman, John Cox, Brenda Jesse </w:t>
      </w:r>
      <w:r>
        <w:rPr>
          <w:color w:val="87888A"/>
          <w:spacing w:val="-5"/>
          <w:w w:val="120"/>
          <w:sz w:val="18"/>
        </w:rPr>
        <w:t>(to </w:t>
      </w:r>
      <w:r>
        <w:rPr>
          <w:color w:val="87888A"/>
          <w:spacing w:val="-8"/>
          <w:w w:val="120"/>
          <w:sz w:val="18"/>
        </w:rPr>
        <w:t>2013),  </w:t>
      </w:r>
      <w:r>
        <w:rPr>
          <w:color w:val="87888A"/>
          <w:w w:val="120"/>
          <w:sz w:val="18"/>
        </w:rPr>
        <w:t>Heather Pencavel,  Jane Scawen-Wood, David Skitt </w:t>
      </w:r>
      <w:r>
        <w:rPr>
          <w:color w:val="87888A"/>
          <w:spacing w:val="-5"/>
          <w:w w:val="120"/>
          <w:sz w:val="18"/>
        </w:rPr>
        <w:t>(to </w:t>
      </w:r>
      <w:r>
        <w:rPr>
          <w:color w:val="87888A"/>
          <w:spacing w:val="-8"/>
          <w:w w:val="120"/>
          <w:sz w:val="18"/>
        </w:rPr>
        <w:t>2013), </w:t>
      </w:r>
      <w:r>
        <w:rPr>
          <w:color w:val="87888A"/>
          <w:w w:val="120"/>
          <w:sz w:val="18"/>
        </w:rPr>
        <w:t>Clive Sutcliffe </w:t>
      </w:r>
      <w:r>
        <w:rPr>
          <w:color w:val="87888A"/>
          <w:spacing w:val="-5"/>
          <w:w w:val="120"/>
          <w:sz w:val="18"/>
        </w:rPr>
        <w:t>(to </w:t>
      </w:r>
      <w:r>
        <w:rPr>
          <w:color w:val="87888A"/>
          <w:spacing w:val="-8"/>
          <w:w w:val="120"/>
          <w:sz w:val="18"/>
        </w:rPr>
        <w:t>2013), </w:t>
      </w:r>
      <w:r>
        <w:rPr>
          <w:color w:val="87888A"/>
          <w:w w:val="120"/>
          <w:sz w:val="18"/>
        </w:rPr>
        <w:t>Peter Meek (synod moderator), David Bedford </w:t>
      </w:r>
      <w:r>
        <w:rPr>
          <w:color w:val="87888A"/>
          <w:spacing w:val="-3"/>
          <w:w w:val="120"/>
          <w:sz w:val="18"/>
        </w:rPr>
        <w:t>(convener </w:t>
      </w:r>
      <w:r>
        <w:rPr>
          <w:color w:val="87888A"/>
          <w:w w:val="120"/>
          <w:sz w:val="18"/>
        </w:rPr>
        <w:t>of the retired ministers’ housing sub-committee), Graham Campling </w:t>
      </w:r>
      <w:r>
        <w:rPr>
          <w:color w:val="87888A"/>
          <w:spacing w:val="-3"/>
          <w:w w:val="120"/>
          <w:sz w:val="18"/>
        </w:rPr>
        <w:t>(convener </w:t>
      </w:r>
      <w:r>
        <w:rPr>
          <w:color w:val="87888A"/>
          <w:w w:val="120"/>
          <w:sz w:val="18"/>
        </w:rPr>
        <w:t>of the assessment board), Pamela Ward </w:t>
      </w:r>
      <w:r>
        <w:rPr>
          <w:color w:val="87888A"/>
          <w:spacing w:val="-3"/>
          <w:w w:val="120"/>
          <w:sz w:val="18"/>
        </w:rPr>
        <w:t>(convener </w:t>
      </w:r>
      <w:r>
        <w:rPr>
          <w:color w:val="87888A"/>
          <w:w w:val="120"/>
          <w:sz w:val="18"/>
        </w:rPr>
        <w:t>of the maintenance of the ministry sub-committee), Frances Ruthven </w:t>
      </w:r>
      <w:r>
        <w:rPr>
          <w:color w:val="87888A"/>
          <w:spacing w:val="-3"/>
          <w:w w:val="120"/>
          <w:sz w:val="18"/>
        </w:rPr>
        <w:t>(convener </w:t>
      </w:r>
      <w:r>
        <w:rPr>
          <w:color w:val="87888A"/>
          <w:w w:val="120"/>
          <w:sz w:val="18"/>
        </w:rPr>
        <w:t>of the accreditation sub-committee), Jacky Embrey </w:t>
      </w:r>
      <w:r>
        <w:rPr>
          <w:color w:val="87888A"/>
          <w:spacing w:val="-3"/>
          <w:w w:val="120"/>
          <w:sz w:val="18"/>
        </w:rPr>
        <w:t>(convener </w:t>
      </w:r>
      <w:r>
        <w:rPr>
          <w:color w:val="87888A"/>
          <w:w w:val="120"/>
          <w:sz w:val="18"/>
        </w:rPr>
        <w:t>of the CRCW programme sub-committee), Judith Johnson (leadership in worship advocate), Gethin Rhys</w:t>
      </w:r>
      <w:r>
        <w:rPr>
          <w:color w:val="87888A"/>
          <w:spacing w:val="5"/>
          <w:w w:val="120"/>
          <w:sz w:val="18"/>
        </w:rPr>
        <w:t> </w:t>
      </w:r>
      <w:r>
        <w:rPr>
          <w:color w:val="87888A"/>
          <w:w w:val="120"/>
          <w:sz w:val="18"/>
        </w:rPr>
        <w:t>(convener-elect)</w:t>
      </w:r>
    </w:p>
    <w:p>
      <w:pPr>
        <w:pStyle w:val="BodyText"/>
        <w:rPr>
          <w:sz w:val="22"/>
        </w:rPr>
      </w:pPr>
    </w:p>
    <w:p>
      <w:pPr>
        <w:pStyle w:val="Heading4"/>
        <w:numPr>
          <w:ilvl w:val="1"/>
          <w:numId w:val="101"/>
        </w:numPr>
        <w:tabs>
          <w:tab w:pos="2664" w:val="left" w:leader="none"/>
          <w:tab w:pos="2665" w:val="left" w:leader="none"/>
        </w:tabs>
        <w:spacing w:line="240" w:lineRule="auto" w:before="172" w:after="0"/>
        <w:ind w:left="2664" w:right="0" w:hanging="681"/>
        <w:jc w:val="left"/>
      </w:pPr>
      <w:r>
        <w:rPr>
          <w:spacing w:val="4"/>
          <w:w w:val="110"/>
        </w:rPr>
        <w:t>Flexible</w:t>
      </w:r>
      <w:r>
        <w:rPr>
          <w:spacing w:val="12"/>
          <w:w w:val="110"/>
        </w:rPr>
        <w:t> </w:t>
      </w:r>
      <w:r>
        <w:rPr>
          <w:spacing w:val="4"/>
          <w:w w:val="110"/>
        </w:rPr>
        <w:t>ministry</w:t>
      </w:r>
    </w:p>
    <w:p>
      <w:pPr>
        <w:pStyle w:val="ListParagraph"/>
        <w:numPr>
          <w:ilvl w:val="2"/>
          <w:numId w:val="101"/>
        </w:numPr>
        <w:tabs>
          <w:tab w:pos="2664" w:val="left" w:leader="none"/>
          <w:tab w:pos="2665" w:val="left" w:leader="none"/>
        </w:tabs>
        <w:spacing w:line="235" w:lineRule="auto" w:before="69" w:after="0"/>
        <w:ind w:left="1984" w:right="1325" w:firstLine="0"/>
        <w:jc w:val="left"/>
        <w:rPr>
          <w:sz w:val="20"/>
        </w:rPr>
      </w:pPr>
      <w:r>
        <w:rPr>
          <w:w w:val="120"/>
          <w:sz w:val="20"/>
        </w:rPr>
        <w:t>At General Assembly </w:t>
      </w:r>
      <w:r>
        <w:rPr>
          <w:spacing w:val="-7"/>
          <w:w w:val="120"/>
          <w:sz w:val="20"/>
        </w:rPr>
        <w:t>2012 </w:t>
      </w:r>
      <w:r>
        <w:rPr>
          <w:w w:val="120"/>
          <w:sz w:val="20"/>
        </w:rPr>
        <w:t>the ministries committee presented proposals for releasing funds to support ministry other than the recognised models of church related community work and the ministry of Word and sacraments. The assembly did not accept those proposals, due, at least in part, to a fear that this might lead to the</w:t>
      </w:r>
      <w:r>
        <w:rPr>
          <w:spacing w:val="2"/>
          <w:w w:val="120"/>
          <w:sz w:val="20"/>
        </w:rPr>
        <w:t> </w:t>
      </w:r>
      <w:r>
        <w:rPr>
          <w:w w:val="120"/>
          <w:sz w:val="20"/>
        </w:rPr>
        <w:t>loss</w:t>
      </w:r>
    </w:p>
    <w:p>
      <w:pPr>
        <w:pStyle w:val="BodyText"/>
        <w:spacing w:line="235" w:lineRule="auto" w:before="3"/>
        <w:ind w:left="1984" w:right="1293"/>
      </w:pPr>
      <w:r>
        <w:rPr>
          <w:w w:val="120"/>
        </w:rPr>
        <w:t>of the special category ministry programme through which new and ‘non-traditional’ ministry has been supported for many years. The ending of special category ministry was never our intention but we recognise that developing a scheme that provided   more flexibility in how funds could be used by synods could add to pressure on that ministry, rather than being a catalyst for other work. This is particularly true when there is a perceived lack of ordained ministers available for local church</w:t>
      </w:r>
      <w:r>
        <w:rPr>
          <w:spacing w:val="17"/>
          <w:w w:val="120"/>
        </w:rPr>
        <w:t> </w:t>
      </w:r>
      <w:r>
        <w:rPr>
          <w:w w:val="120"/>
        </w:rPr>
        <w:t>ministry.</w:t>
      </w:r>
    </w:p>
    <w:p>
      <w:pPr>
        <w:pStyle w:val="BodyText"/>
        <w:spacing w:before="1"/>
      </w:pPr>
    </w:p>
    <w:p>
      <w:pPr>
        <w:pStyle w:val="ListParagraph"/>
        <w:numPr>
          <w:ilvl w:val="2"/>
          <w:numId w:val="101"/>
        </w:numPr>
        <w:tabs>
          <w:tab w:pos="2664" w:val="left" w:leader="none"/>
          <w:tab w:pos="2665" w:val="left" w:leader="none"/>
        </w:tabs>
        <w:spacing w:line="235" w:lineRule="auto" w:before="0" w:after="0"/>
        <w:ind w:left="1984" w:right="1255" w:firstLine="0"/>
        <w:jc w:val="left"/>
        <w:rPr>
          <w:sz w:val="20"/>
        </w:rPr>
      </w:pPr>
      <w:r>
        <w:rPr>
          <w:w w:val="120"/>
          <w:sz w:val="20"/>
        </w:rPr>
        <w:t>After further consultation and reflection Mission Council in October </w:t>
      </w:r>
      <w:r>
        <w:rPr>
          <w:spacing w:val="-7"/>
          <w:w w:val="120"/>
          <w:sz w:val="20"/>
        </w:rPr>
        <w:t>2012  </w:t>
      </w:r>
      <w:r>
        <w:rPr>
          <w:w w:val="120"/>
          <w:sz w:val="20"/>
        </w:rPr>
        <w:t>affirmed its support of the special category ministry scheme and limited the number of posts to eight percent of the total number of stipended posts. Following this, and in the light of the strong sentiments expressed in a number of quarters, the committee came to the conclusion that it would not seek to bring further proposals for resourcing other ministries at the present</w:t>
      </w:r>
      <w:r>
        <w:rPr>
          <w:spacing w:val="6"/>
          <w:w w:val="120"/>
          <w:sz w:val="20"/>
        </w:rPr>
        <w:t> </w:t>
      </w:r>
      <w:r>
        <w:rPr>
          <w:w w:val="120"/>
          <w:sz w:val="20"/>
        </w:rPr>
        <w:t>time.</w:t>
      </w:r>
    </w:p>
    <w:p>
      <w:pPr>
        <w:spacing w:after="0" w:line="235" w:lineRule="auto"/>
        <w:jc w:val="left"/>
        <w:rPr>
          <w:sz w:val="20"/>
        </w:rPr>
        <w:sectPr>
          <w:headerReference w:type="default" r:id="rId415"/>
          <w:pgSz w:w="11910" w:h="16840"/>
          <w:pgMar w:header="0" w:footer="647" w:top="0" w:bottom="840" w:left="0" w:right="0"/>
        </w:sectPr>
      </w:pPr>
    </w:p>
    <w:p>
      <w:pPr>
        <w:pStyle w:val="BodyText"/>
      </w:pPr>
      <w:r>
        <w:rPr/>
        <w:drawing>
          <wp:anchor distT="0" distB="0" distL="0" distR="0" allowOverlap="1" layoutInCell="1" locked="0" behindDoc="0" simplePos="0" relativeHeight="252119040">
            <wp:simplePos x="0" y="0"/>
            <wp:positionH relativeFrom="page">
              <wp:posOffset>0</wp:posOffset>
            </wp:positionH>
            <wp:positionV relativeFrom="page">
              <wp:posOffset>0</wp:posOffset>
            </wp:positionV>
            <wp:extent cx="594067" cy="10692003"/>
            <wp:effectExtent l="0" t="0" r="0" b="0"/>
            <wp:wrapNone/>
            <wp:docPr id="341" name="image32.png"/>
            <wp:cNvGraphicFramePr>
              <a:graphicFrameLocks noChangeAspect="1"/>
            </wp:cNvGraphicFramePr>
            <a:graphic>
              <a:graphicData uri="http://schemas.openxmlformats.org/drawingml/2006/picture">
                <pic:pic>
                  <pic:nvPicPr>
                    <pic:cNvPr id="342" name="image32.png"/>
                    <pic:cNvPicPr/>
                  </pic:nvPicPr>
                  <pic:blipFill>
                    <a:blip r:embed="rId362"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shape style="position:absolute;margin-left:20.519100pt;margin-top:22.593945pt;width:25.9pt;height:100pt;mso-position-horizontal-relative:page;mso-position-vertical-relative:paragraph;z-index:252120064" type="#_x0000_t202" filled="false" stroked="false">
            <v:textbox inset="0,0,0,0" style="layout-flow:vertical">
              <w:txbxContent>
                <w:p>
                  <w:pPr>
                    <w:spacing w:before="27"/>
                    <w:ind w:left="20" w:right="0" w:firstLine="0"/>
                    <w:jc w:val="left"/>
                    <w:rPr>
                      <w:sz w:val="39"/>
                    </w:rPr>
                  </w:pPr>
                  <w:r>
                    <w:rPr>
                      <w:color w:val="FFFFFF"/>
                      <w:w w:val="115"/>
                      <w:sz w:val="39"/>
                    </w:rPr>
                    <w:t>Ministries</w:t>
                  </w:r>
                </w:p>
              </w:txbxContent>
            </v:textbox>
            <w10:wrap type="none"/>
          </v:shape>
        </w:pict>
      </w:r>
      <w:bookmarkStart w:name="_TOC_250003" w:id="44"/>
      <w:bookmarkEnd w:id="44"/>
      <w:r>
        <w:rPr>
          <w:color w:val="7EAABF"/>
          <w:w w:val="110"/>
        </w:rPr>
        <w:t>Ministries</w:t>
      </w:r>
    </w:p>
    <w:p>
      <w:pPr>
        <w:pStyle w:val="ListParagraph"/>
        <w:numPr>
          <w:ilvl w:val="1"/>
          <w:numId w:val="101"/>
        </w:numPr>
        <w:tabs>
          <w:tab w:pos="1927" w:val="left" w:leader="none"/>
          <w:tab w:pos="1928" w:val="left" w:leader="none"/>
        </w:tabs>
        <w:spacing w:line="240" w:lineRule="auto" w:before="215" w:after="0"/>
        <w:ind w:left="1927" w:right="0" w:hanging="681"/>
        <w:jc w:val="left"/>
        <w:rPr>
          <w:rFonts w:ascii="Stone Sans II ITC Std Bk"/>
          <w:b/>
          <w:sz w:val="29"/>
        </w:rPr>
      </w:pPr>
      <w:r>
        <w:rPr>
          <w:rFonts w:ascii="Stone Sans II ITC Std Bk"/>
          <w:b/>
          <w:spacing w:val="4"/>
          <w:w w:val="110"/>
          <w:sz w:val="29"/>
        </w:rPr>
        <w:t>Discipleship</w:t>
      </w:r>
    </w:p>
    <w:p>
      <w:pPr>
        <w:pStyle w:val="ListParagraph"/>
        <w:numPr>
          <w:ilvl w:val="2"/>
          <w:numId w:val="101"/>
        </w:numPr>
        <w:tabs>
          <w:tab w:pos="1927" w:val="left" w:leader="none"/>
          <w:tab w:pos="1928" w:val="left" w:leader="none"/>
        </w:tabs>
        <w:spacing w:line="235" w:lineRule="auto" w:before="69" w:after="0"/>
        <w:ind w:left="1247" w:right="2171" w:firstLine="0"/>
        <w:jc w:val="left"/>
        <w:rPr>
          <w:sz w:val="20"/>
        </w:rPr>
      </w:pPr>
      <w:r>
        <w:rPr>
          <w:w w:val="120"/>
          <w:sz w:val="20"/>
        </w:rPr>
        <w:t>Many of our other concerns since the last General Assembly sit well under the heading of the renamed department in which ministries is located – discipleship. The ministries committee and its sub-committees are aware that our task is to help equip and support people for the ministry they are called to offer in their locality. Naturally we are concerned with specific recognised ministries which provide leadership for the church, including church related community work, eldership, lay preaching and the ministry of Word and sacraments, but we also realise that each of these has a duty to enable discipleship in</w:t>
      </w:r>
      <w:r>
        <w:rPr>
          <w:spacing w:val="6"/>
          <w:w w:val="120"/>
          <w:sz w:val="20"/>
        </w:rPr>
        <w:t> </w:t>
      </w:r>
      <w:r>
        <w:rPr>
          <w:w w:val="120"/>
          <w:sz w:val="20"/>
        </w:rPr>
        <w:t>others.</w:t>
      </w:r>
    </w:p>
    <w:p>
      <w:pPr>
        <w:pStyle w:val="BodyText"/>
        <w:spacing w:before="2"/>
      </w:pPr>
    </w:p>
    <w:p>
      <w:pPr>
        <w:pStyle w:val="ListParagraph"/>
        <w:numPr>
          <w:ilvl w:val="2"/>
          <w:numId w:val="101"/>
        </w:numPr>
        <w:tabs>
          <w:tab w:pos="1927" w:val="left" w:leader="none"/>
          <w:tab w:pos="1928" w:val="left" w:leader="none"/>
        </w:tabs>
        <w:spacing w:line="235" w:lineRule="auto" w:before="0" w:after="0"/>
        <w:ind w:left="1247" w:right="1984" w:firstLine="0"/>
        <w:jc w:val="left"/>
        <w:rPr>
          <w:sz w:val="20"/>
        </w:rPr>
      </w:pPr>
      <w:r>
        <w:rPr>
          <w:w w:val="120"/>
          <w:sz w:val="20"/>
        </w:rPr>
        <w:t>We see the challenge ahead of us as providing leadership that encourages discipleship in all our churches, helping each member to recognise their particular  calling and use their </w:t>
      </w:r>
      <w:r>
        <w:rPr>
          <w:spacing w:val="2"/>
          <w:w w:val="120"/>
          <w:sz w:val="20"/>
        </w:rPr>
        <w:t>gifts </w:t>
      </w:r>
      <w:r>
        <w:rPr>
          <w:w w:val="120"/>
          <w:sz w:val="20"/>
        </w:rPr>
        <w:t>for the work of Christ and the sake of the world. Whilst the church can be good at recognising the value of time which is spent on church business,  it has not always been so good at valuing the time that is spent elsewhere as individuals seek to live out their faith in their family, community and work. At heart our churches need to be communities whose members are learning to follow, being formed, seeking to serve, and being accountable as </w:t>
      </w:r>
      <w:r>
        <w:rPr>
          <w:spacing w:val="2"/>
          <w:w w:val="120"/>
          <w:sz w:val="20"/>
        </w:rPr>
        <w:t>part </w:t>
      </w:r>
      <w:r>
        <w:rPr>
          <w:w w:val="120"/>
          <w:sz w:val="20"/>
        </w:rPr>
        <w:t>of the body of Christ, rather than seeking to live out their faith in</w:t>
      </w:r>
      <w:r>
        <w:rPr>
          <w:spacing w:val="7"/>
          <w:w w:val="120"/>
          <w:sz w:val="20"/>
        </w:rPr>
        <w:t> </w:t>
      </w:r>
      <w:r>
        <w:rPr>
          <w:w w:val="120"/>
          <w:sz w:val="20"/>
        </w:rPr>
        <w:t>isolation.</w:t>
      </w:r>
    </w:p>
    <w:p>
      <w:pPr>
        <w:pStyle w:val="BodyText"/>
        <w:spacing w:before="11"/>
        <w:rPr>
          <w:sz w:val="17"/>
        </w:rPr>
      </w:pPr>
    </w:p>
    <w:p>
      <w:pPr>
        <w:pStyle w:val="Heading4"/>
        <w:numPr>
          <w:ilvl w:val="1"/>
          <w:numId w:val="101"/>
        </w:numPr>
        <w:tabs>
          <w:tab w:pos="1927" w:val="left" w:leader="none"/>
          <w:tab w:pos="1928" w:val="left" w:leader="none"/>
        </w:tabs>
        <w:spacing w:line="240" w:lineRule="auto" w:before="1" w:after="0"/>
        <w:ind w:left="1927" w:right="0" w:hanging="681"/>
        <w:jc w:val="left"/>
      </w:pPr>
      <w:r>
        <w:rPr>
          <w:spacing w:val="4"/>
          <w:w w:val="110"/>
        </w:rPr>
        <w:t>Ordained </w:t>
      </w:r>
      <w:r>
        <w:rPr>
          <w:spacing w:val="3"/>
          <w:w w:val="110"/>
        </w:rPr>
        <w:t>local</w:t>
      </w:r>
      <w:r>
        <w:rPr>
          <w:spacing w:val="21"/>
          <w:w w:val="110"/>
        </w:rPr>
        <w:t> </w:t>
      </w:r>
      <w:r>
        <w:rPr>
          <w:spacing w:val="4"/>
          <w:w w:val="110"/>
        </w:rPr>
        <w:t>ministry</w:t>
      </w:r>
    </w:p>
    <w:p>
      <w:pPr>
        <w:pStyle w:val="BodyText"/>
        <w:spacing w:line="235" w:lineRule="auto" w:before="69"/>
        <w:ind w:left="1247" w:right="2074"/>
      </w:pPr>
      <w:r>
        <w:rPr>
          <w:w w:val="120"/>
        </w:rPr>
        <w:t>In response to resolution </w:t>
      </w:r>
      <w:r>
        <w:rPr>
          <w:spacing w:val="-3"/>
          <w:w w:val="120"/>
        </w:rPr>
        <w:t>35 </w:t>
      </w:r>
      <w:r>
        <w:rPr>
          <w:w w:val="120"/>
        </w:rPr>
        <w:t>of General Assembly </w:t>
      </w:r>
      <w:r>
        <w:rPr>
          <w:spacing w:val="-7"/>
          <w:w w:val="120"/>
        </w:rPr>
        <w:t>2012, </w:t>
      </w:r>
      <w:r>
        <w:rPr>
          <w:w w:val="120"/>
        </w:rPr>
        <w:t>along with the faith and order committee, we have been considering the question of ordained local ministry. We have struggled with a lack of clarity as to whether the perceived need is for the authorisation of individuals to preside at the sacraments or for the wider recognition of local leaders. If the former, we await clarity over the doctrinal issues involved; if the latter, we will look to continue supporting and strengthening leadership in the local church, in particular the key ministry offered by</w:t>
      </w:r>
      <w:r>
        <w:rPr>
          <w:spacing w:val="11"/>
          <w:w w:val="120"/>
        </w:rPr>
        <w:t> </w:t>
      </w:r>
      <w:r>
        <w:rPr>
          <w:w w:val="120"/>
        </w:rPr>
        <w:t>elders.</w:t>
      </w:r>
    </w:p>
    <w:p>
      <w:pPr>
        <w:pStyle w:val="BodyText"/>
        <w:spacing w:before="9"/>
        <w:rPr>
          <w:sz w:val="17"/>
        </w:rPr>
      </w:pPr>
    </w:p>
    <w:p>
      <w:pPr>
        <w:pStyle w:val="Heading4"/>
        <w:numPr>
          <w:ilvl w:val="1"/>
          <w:numId w:val="101"/>
        </w:numPr>
        <w:tabs>
          <w:tab w:pos="1927" w:val="left" w:leader="none"/>
          <w:tab w:pos="1928" w:val="left" w:leader="none"/>
        </w:tabs>
        <w:spacing w:line="240" w:lineRule="auto" w:before="1" w:after="0"/>
        <w:ind w:left="1927" w:right="0" w:hanging="681"/>
        <w:jc w:val="left"/>
      </w:pPr>
      <w:r>
        <w:rPr>
          <w:spacing w:val="4"/>
          <w:w w:val="110"/>
        </w:rPr>
        <w:t>Eldership</w:t>
      </w:r>
    </w:p>
    <w:p>
      <w:pPr>
        <w:pStyle w:val="ListParagraph"/>
        <w:numPr>
          <w:ilvl w:val="2"/>
          <w:numId w:val="101"/>
        </w:numPr>
        <w:tabs>
          <w:tab w:pos="1927" w:val="left" w:leader="none"/>
          <w:tab w:pos="1928" w:val="left" w:leader="none"/>
        </w:tabs>
        <w:spacing w:line="235" w:lineRule="auto" w:before="69" w:after="0"/>
        <w:ind w:left="1247" w:right="2010" w:firstLine="0"/>
        <w:jc w:val="left"/>
        <w:rPr>
          <w:sz w:val="20"/>
        </w:rPr>
      </w:pPr>
      <w:r>
        <w:rPr>
          <w:w w:val="120"/>
          <w:sz w:val="20"/>
        </w:rPr>
        <w:t>We believe that elders are vital in helping to develop discipleship in local churches. For some the call to serve as an elder can be the first step on a journey that opens up a wider ministry as a lay preacher, church related community worker or minister of Word and sacraments. However this should not draw our attention away from the high calling of the eldership itself and the important role that elders play in encouraging discipleship amongst the people they serve. Often it is the elders who   have the deeper local knowledge and understand the mission needs around them, who have the deeper relationship with individuals in the church and community, and who need to be at the centre of the relationship between the local and wider</w:t>
      </w:r>
      <w:r>
        <w:rPr>
          <w:spacing w:val="50"/>
          <w:w w:val="120"/>
          <w:sz w:val="20"/>
        </w:rPr>
        <w:t> </w:t>
      </w:r>
      <w:r>
        <w:rPr>
          <w:w w:val="120"/>
          <w:sz w:val="20"/>
        </w:rPr>
        <w:t>Church.</w:t>
      </w:r>
    </w:p>
    <w:p>
      <w:pPr>
        <w:pStyle w:val="BodyText"/>
        <w:spacing w:before="2"/>
      </w:pPr>
    </w:p>
    <w:p>
      <w:pPr>
        <w:pStyle w:val="ListParagraph"/>
        <w:numPr>
          <w:ilvl w:val="2"/>
          <w:numId w:val="101"/>
        </w:numPr>
        <w:tabs>
          <w:tab w:pos="1927" w:val="left" w:leader="none"/>
          <w:tab w:pos="1928" w:val="left" w:leader="none"/>
        </w:tabs>
        <w:spacing w:line="235" w:lineRule="auto" w:before="0" w:after="0"/>
        <w:ind w:left="1247" w:right="2214" w:firstLine="0"/>
        <w:jc w:val="left"/>
        <w:rPr>
          <w:sz w:val="20"/>
        </w:rPr>
      </w:pPr>
      <w:r>
        <w:rPr>
          <w:w w:val="120"/>
          <w:sz w:val="20"/>
        </w:rPr>
        <w:t>We are immensely grateful that over 10,000 members serve the United Reformed Church in this vital role, both locally and in the wider Church. Eldership is one of the key elements of our Reformed identity and should be prominent in the life of the Church, not just our committee. We recognise that whilst for many eldership is vocational and is a response to hearing God’s call, some find themselves as elders out of a sense of necessity. We are pleased to see the work that is being done in</w:t>
      </w:r>
      <w:r>
        <w:rPr>
          <w:spacing w:val="-14"/>
          <w:w w:val="120"/>
          <w:sz w:val="20"/>
        </w:rPr>
        <w:t> </w:t>
      </w:r>
      <w:r>
        <w:rPr>
          <w:w w:val="120"/>
          <w:sz w:val="20"/>
        </w:rPr>
        <w:t>particular</w:t>
      </w:r>
    </w:p>
    <w:p>
      <w:pPr>
        <w:pStyle w:val="BodyText"/>
        <w:spacing w:line="235" w:lineRule="auto" w:before="5"/>
        <w:ind w:left="1247" w:right="2080"/>
      </w:pPr>
      <w:r>
        <w:rPr>
          <w:w w:val="120"/>
        </w:rPr>
        <w:t>synods and resource centres for learning to equip and support elders and we have been working with the education and learning committee to update the course for elders   and provide additional material to resource those who have responded to this</w:t>
      </w:r>
      <w:r>
        <w:rPr>
          <w:spacing w:val="30"/>
          <w:w w:val="120"/>
        </w:rPr>
        <w:t> </w:t>
      </w:r>
      <w:r>
        <w:rPr>
          <w:w w:val="120"/>
        </w:rPr>
        <w:t>call.</w:t>
      </w:r>
    </w:p>
    <w:p>
      <w:pPr>
        <w:pStyle w:val="BodyText"/>
        <w:spacing w:before="10"/>
        <w:rPr>
          <w:sz w:val="19"/>
        </w:rPr>
      </w:pPr>
    </w:p>
    <w:p>
      <w:pPr>
        <w:pStyle w:val="ListParagraph"/>
        <w:numPr>
          <w:ilvl w:val="2"/>
          <w:numId w:val="101"/>
        </w:numPr>
        <w:tabs>
          <w:tab w:pos="1927" w:val="left" w:leader="none"/>
          <w:tab w:pos="1928" w:val="left" w:leader="none"/>
        </w:tabs>
        <w:spacing w:line="235" w:lineRule="auto" w:before="0" w:after="0"/>
        <w:ind w:left="1247" w:right="2240" w:firstLine="0"/>
        <w:jc w:val="left"/>
        <w:rPr>
          <w:sz w:val="20"/>
        </w:rPr>
      </w:pPr>
      <w:r>
        <w:rPr>
          <w:w w:val="120"/>
          <w:sz w:val="20"/>
        </w:rPr>
        <w:t>In emphasising the key role of eldership we have recognised that many of our churches are in local ecumenical partnerships, some of which are constituted without elders. </w:t>
      </w:r>
      <w:r>
        <w:rPr>
          <w:spacing w:val="-3"/>
          <w:w w:val="120"/>
          <w:sz w:val="20"/>
        </w:rPr>
        <w:t>Usually, </w:t>
      </w:r>
      <w:r>
        <w:rPr>
          <w:w w:val="120"/>
          <w:sz w:val="20"/>
        </w:rPr>
        <w:t>these partnerships make some other provision for a group that has a sense of vision and growth and which is seeking to encourage discipleship amongst   all members. Nevertheless we wish to draw attention to the value which Reformed churches have found in a locally elected eldership for over 500</w:t>
      </w:r>
      <w:r>
        <w:rPr>
          <w:spacing w:val="27"/>
          <w:w w:val="120"/>
          <w:sz w:val="20"/>
        </w:rPr>
        <w:t> </w:t>
      </w:r>
      <w:r>
        <w:rPr>
          <w:w w:val="120"/>
          <w:sz w:val="20"/>
        </w:rPr>
        <w:t>years.</w:t>
      </w:r>
    </w:p>
    <w:p>
      <w:pPr>
        <w:spacing w:after="0" w:line="235" w:lineRule="auto"/>
        <w:jc w:val="left"/>
        <w:rPr>
          <w:sz w:val="20"/>
        </w:rPr>
        <w:sectPr>
          <w:headerReference w:type="even" r:id="rId416"/>
          <w:footerReference w:type="even" r:id="rId417"/>
          <w:footerReference w:type="default" r:id="rId418"/>
          <w:pgSz w:w="11910" w:h="16840"/>
          <w:pgMar w:header="0" w:footer="647" w:top="0" w:bottom="840" w:left="0" w:right="0"/>
          <w:pgNumType w:start="182"/>
        </w:sectPr>
      </w:pPr>
    </w:p>
    <w:p>
      <w:pPr>
        <w:pStyle w:val="BodyText"/>
      </w:pPr>
    </w:p>
    <w:p>
      <w:pPr>
        <w:pStyle w:val="BodyText"/>
        <w:spacing w:before="7"/>
        <w:rPr>
          <w:sz w:val="21"/>
        </w:rPr>
      </w:pPr>
    </w:p>
    <w:p>
      <w:pPr>
        <w:spacing w:after="0"/>
        <w:rPr>
          <w:sz w:val="21"/>
        </w:rPr>
        <w:sectPr>
          <w:headerReference w:type="default" r:id="rId419"/>
          <w:pgSz w:w="11910" w:h="16840"/>
          <w:pgMar w:header="0" w:footer="647" w:top="0" w:bottom="840" w:left="0" w:right="0"/>
        </w:sectPr>
      </w:pPr>
    </w:p>
    <w:p>
      <w:pPr>
        <w:pStyle w:val="BodyText"/>
        <w:spacing w:before="4"/>
        <w:rPr>
          <w:sz w:val="52"/>
        </w:rPr>
      </w:pPr>
    </w:p>
    <w:p>
      <w:pPr>
        <w:pStyle w:val="Heading4"/>
        <w:numPr>
          <w:ilvl w:val="1"/>
          <w:numId w:val="101"/>
        </w:numPr>
        <w:tabs>
          <w:tab w:pos="2664" w:val="left" w:leader="none"/>
          <w:tab w:pos="2665" w:val="left" w:leader="none"/>
        </w:tabs>
        <w:spacing w:line="240" w:lineRule="auto" w:before="0" w:after="0"/>
        <w:ind w:left="2664" w:right="0" w:hanging="681"/>
        <w:jc w:val="left"/>
      </w:pPr>
      <w:r>
        <w:rPr>
          <w:spacing w:val="4"/>
          <w:w w:val="110"/>
        </w:rPr>
        <w:t>Apostles</w:t>
      </w:r>
    </w:p>
    <w:p>
      <w:pPr>
        <w:pStyle w:val="Heading5"/>
        <w:ind w:left="1984"/>
      </w:pPr>
      <w:r>
        <w:rPr/>
        <w:br w:type="column"/>
      </w:r>
      <w:r>
        <w:rPr>
          <w:color w:val="7EAABF"/>
          <w:w w:val="110"/>
        </w:rPr>
        <w:t>Ministries</w:t>
      </w:r>
    </w:p>
    <w:p>
      <w:pPr>
        <w:spacing w:after="0"/>
        <w:sectPr>
          <w:type w:val="continuous"/>
          <w:pgSz w:w="11910" w:h="16840"/>
          <w:pgMar w:top="680" w:bottom="280" w:left="0" w:right="0"/>
          <w:cols w:num="2" w:equalWidth="0">
            <w:col w:w="4049" w:space="3448"/>
            <w:col w:w="4413"/>
          </w:cols>
        </w:sectPr>
      </w:pPr>
    </w:p>
    <w:p>
      <w:pPr>
        <w:pStyle w:val="ListParagraph"/>
        <w:numPr>
          <w:ilvl w:val="2"/>
          <w:numId w:val="101"/>
        </w:numPr>
        <w:tabs>
          <w:tab w:pos="2664" w:val="left" w:leader="none"/>
          <w:tab w:pos="2665" w:val="left" w:leader="none"/>
        </w:tabs>
        <w:spacing w:line="235" w:lineRule="auto" w:before="69" w:after="0"/>
        <w:ind w:left="1984" w:right="1350" w:firstLine="0"/>
        <w:jc w:val="left"/>
        <w:rPr>
          <w:sz w:val="20"/>
        </w:rPr>
      </w:pPr>
      <w:r>
        <w:rPr/>
        <w:drawing>
          <wp:anchor distT="0" distB="0" distL="0" distR="0" allowOverlap="1" layoutInCell="1" locked="0" behindDoc="0" simplePos="0" relativeHeight="252121088">
            <wp:simplePos x="0" y="0"/>
            <wp:positionH relativeFrom="page">
              <wp:posOffset>6974928</wp:posOffset>
            </wp:positionH>
            <wp:positionV relativeFrom="page">
              <wp:posOffset>0</wp:posOffset>
            </wp:positionV>
            <wp:extent cx="585063" cy="10692003"/>
            <wp:effectExtent l="0" t="0" r="0" b="0"/>
            <wp:wrapNone/>
            <wp:docPr id="343" name="image30.png"/>
            <wp:cNvGraphicFramePr>
              <a:graphicFrameLocks noChangeAspect="1"/>
            </wp:cNvGraphicFramePr>
            <a:graphic>
              <a:graphicData uri="http://schemas.openxmlformats.org/drawingml/2006/picture">
                <pic:pic>
                  <pic:nvPicPr>
                    <pic:cNvPr id="344" name="image30.png"/>
                    <pic:cNvPicPr/>
                  </pic:nvPicPr>
                  <pic:blipFill>
                    <a:blip r:embed="rId357" cstate="print"/>
                    <a:stretch>
                      <a:fillRect/>
                    </a:stretch>
                  </pic:blipFill>
                  <pic:spPr>
                    <a:xfrm>
                      <a:off x="0" y="0"/>
                      <a:ext cx="585063" cy="10692003"/>
                    </a:xfrm>
                    <a:prstGeom prst="rect">
                      <a:avLst/>
                    </a:prstGeom>
                  </pic:spPr>
                </pic:pic>
              </a:graphicData>
            </a:graphic>
          </wp:anchor>
        </w:drawing>
      </w:r>
      <w:r>
        <w:rPr/>
        <w:pict>
          <v:shape style="position:absolute;margin-left:554.141174pt;margin-top:-28.931347pt;width:25.9pt;height:100pt;mso-position-horizontal-relative:page;mso-position-vertical-relative:paragraph;z-index:252122112" type="#_x0000_t202" filled="false" stroked="false">
            <v:textbox inset="0,0,0,0" style="layout-flow:vertical">
              <w:txbxContent>
                <w:p>
                  <w:pPr>
                    <w:spacing w:before="27"/>
                    <w:ind w:left="20" w:right="0" w:firstLine="0"/>
                    <w:jc w:val="left"/>
                    <w:rPr>
                      <w:sz w:val="39"/>
                    </w:rPr>
                  </w:pPr>
                  <w:r>
                    <w:rPr>
                      <w:color w:val="FFFFFF"/>
                      <w:w w:val="115"/>
                      <w:sz w:val="39"/>
                    </w:rPr>
                    <w:t>Ministries</w:t>
                  </w:r>
                </w:p>
              </w:txbxContent>
            </v:textbox>
            <w10:wrap type="none"/>
          </v:shape>
        </w:pict>
      </w:r>
      <w:r>
        <w:rPr>
          <w:w w:val="120"/>
          <w:sz w:val="20"/>
        </w:rPr>
        <w:t>Having stressed the strong sense of discipleship essential in the Church, we also recognise the apostolic nature of our work. The Church sends as well as affirms and, although we often seem to be trying to bring the world into the Church, we are very much about equipping people to bring the Church into the world. One way in which   we do this is through chaplaincy, both ordained and </w:t>
      </w:r>
      <w:r>
        <w:rPr>
          <w:spacing w:val="-4"/>
          <w:w w:val="120"/>
          <w:sz w:val="20"/>
        </w:rPr>
        <w:t>lay. </w:t>
      </w:r>
      <w:r>
        <w:rPr>
          <w:w w:val="120"/>
          <w:sz w:val="20"/>
        </w:rPr>
        <w:t>‘The chaplain’ may be a job title for an individual but the ministry being exercised is for the benefit of the Kingdom and the Church and is healthiest when it is understood and supported by the whole Church. We wish to renew our plea that the whole Church value the work undertaken by those serving as chaplains, either part-time or full-time, and we encourage those local churches which have a chaplain in membership, or have links with a chaplaincy locally, intentionally to include prayer for and support of the chaplain on their agenda and in their</w:t>
      </w:r>
      <w:r>
        <w:rPr>
          <w:spacing w:val="6"/>
          <w:w w:val="120"/>
          <w:sz w:val="20"/>
        </w:rPr>
        <w:t> </w:t>
      </w:r>
      <w:r>
        <w:rPr>
          <w:w w:val="120"/>
          <w:sz w:val="20"/>
        </w:rPr>
        <w:t>devotions.</w:t>
      </w:r>
    </w:p>
    <w:p>
      <w:pPr>
        <w:pStyle w:val="BodyText"/>
        <w:spacing w:before="5"/>
      </w:pPr>
    </w:p>
    <w:p>
      <w:pPr>
        <w:pStyle w:val="ListParagraph"/>
        <w:numPr>
          <w:ilvl w:val="2"/>
          <w:numId w:val="101"/>
        </w:numPr>
        <w:tabs>
          <w:tab w:pos="2664" w:val="left" w:leader="none"/>
          <w:tab w:pos="2665" w:val="left" w:leader="none"/>
        </w:tabs>
        <w:spacing w:line="235" w:lineRule="auto" w:before="0" w:after="0"/>
        <w:ind w:left="1984" w:right="1258" w:firstLine="0"/>
        <w:jc w:val="left"/>
        <w:rPr>
          <w:sz w:val="20"/>
        </w:rPr>
      </w:pPr>
      <w:r>
        <w:rPr>
          <w:w w:val="120"/>
          <w:sz w:val="20"/>
        </w:rPr>
        <w:t>Whilst chaplains are found in a variety of spheres we mention one particular group in </w:t>
      </w:r>
      <w:r>
        <w:rPr>
          <w:spacing w:val="-6"/>
          <w:w w:val="120"/>
          <w:sz w:val="20"/>
        </w:rPr>
        <w:t>2014. </w:t>
      </w:r>
      <w:r>
        <w:rPr>
          <w:w w:val="120"/>
          <w:sz w:val="20"/>
        </w:rPr>
        <w:t>This year marks the centenary of the establishment of the United Navy, Army and Air Force Board, which enabled ministers in our tradition to serve as chaplains in the First World </w:t>
      </w:r>
      <w:r>
        <w:rPr>
          <w:spacing w:val="-4"/>
          <w:w w:val="120"/>
          <w:sz w:val="20"/>
        </w:rPr>
        <w:t>War, </w:t>
      </w:r>
      <w:r>
        <w:rPr>
          <w:w w:val="120"/>
          <w:sz w:val="20"/>
        </w:rPr>
        <w:t>and which has continued to support this particular area of service. A service to mark the centenary of the board is to be held in June</w:t>
      </w:r>
      <w:r>
        <w:rPr>
          <w:spacing w:val="38"/>
          <w:w w:val="120"/>
          <w:sz w:val="20"/>
        </w:rPr>
        <w:t> </w:t>
      </w:r>
      <w:r>
        <w:rPr>
          <w:spacing w:val="-6"/>
          <w:w w:val="120"/>
          <w:sz w:val="20"/>
        </w:rPr>
        <w:t>2014.</w:t>
      </w:r>
    </w:p>
    <w:p>
      <w:pPr>
        <w:pStyle w:val="BodyText"/>
        <w:spacing w:before="8"/>
        <w:rPr>
          <w:sz w:val="17"/>
        </w:rPr>
      </w:pPr>
    </w:p>
    <w:p>
      <w:pPr>
        <w:pStyle w:val="Heading4"/>
        <w:numPr>
          <w:ilvl w:val="1"/>
          <w:numId w:val="101"/>
        </w:numPr>
        <w:tabs>
          <w:tab w:pos="2755" w:val="left" w:leader="none"/>
          <w:tab w:pos="2756" w:val="left" w:leader="none"/>
        </w:tabs>
        <w:spacing w:line="240" w:lineRule="auto" w:before="0" w:after="0"/>
        <w:ind w:left="2755" w:right="0" w:hanging="772"/>
        <w:jc w:val="left"/>
      </w:pPr>
      <w:r>
        <w:rPr>
          <w:spacing w:val="3"/>
          <w:w w:val="110"/>
        </w:rPr>
        <w:t>Inspirational</w:t>
      </w:r>
      <w:r>
        <w:rPr>
          <w:spacing w:val="12"/>
          <w:w w:val="110"/>
        </w:rPr>
        <w:t> </w:t>
      </w:r>
      <w:r>
        <w:rPr>
          <w:spacing w:val="2"/>
          <w:w w:val="110"/>
        </w:rPr>
        <w:t>work</w:t>
      </w:r>
    </w:p>
    <w:p>
      <w:pPr>
        <w:pStyle w:val="BodyText"/>
        <w:spacing w:line="235" w:lineRule="auto" w:before="69"/>
        <w:ind w:left="1984" w:right="1341"/>
      </w:pPr>
      <w:r>
        <w:rPr>
          <w:w w:val="120"/>
        </w:rPr>
        <w:t>As was indicated above, there is an often-voiced belief that the United Reformed Church has too few ordained ministers. In fact our ratio of ministers to members means the number of members per ordained minister is probably lower than it has ever been, but the number of congregations that those members and ministers are spread across creates the leadership and mission challenges of which we are so acutely aware. The assessment board and assessment process is one area of the ministries committee’s work that is a source of inspiration for all who are involved in it. God is still calling women and men of faith to be set apart for ministry within the United Reformed Church. We are grateful for all who think they hear that call and are willing to open themselves up to others in order to test it. It is a privilege to walk alongside someone who is on that journey, even if only for a little while, and the Church is well served by those who undertake this task at the local church, synod and Assembly stages of the process. Although it can be an inspirational task it is not an easy one, especially when</w:t>
      </w:r>
    </w:p>
    <w:p>
      <w:pPr>
        <w:pStyle w:val="BodyText"/>
        <w:spacing w:line="235" w:lineRule="auto" w:before="10"/>
        <w:ind w:left="1984" w:right="1701"/>
      </w:pPr>
      <w:r>
        <w:rPr>
          <w:w w:val="120"/>
        </w:rPr>
        <w:t>it leads to saying </w:t>
      </w:r>
      <w:r>
        <w:rPr>
          <w:spacing w:val="-4"/>
          <w:w w:val="120"/>
        </w:rPr>
        <w:t>‘no’ </w:t>
      </w:r>
      <w:r>
        <w:rPr>
          <w:w w:val="120"/>
        </w:rPr>
        <w:t>to someone, but the need for robust discernment at all levels of the Church is crucial, for when things go wrong, there is considerable cost for the individual and for the Church – a cost that is personal, spiritual and</w:t>
      </w:r>
      <w:r>
        <w:rPr>
          <w:spacing w:val="35"/>
          <w:w w:val="120"/>
        </w:rPr>
        <w:t> </w:t>
      </w:r>
      <w:r>
        <w:rPr>
          <w:w w:val="120"/>
        </w:rPr>
        <w:t>financial.</w:t>
      </w:r>
    </w:p>
    <w:p>
      <w:pPr>
        <w:pStyle w:val="Heading4"/>
        <w:numPr>
          <w:ilvl w:val="1"/>
          <w:numId w:val="101"/>
        </w:numPr>
        <w:tabs>
          <w:tab w:pos="2664" w:val="left" w:leader="none"/>
          <w:tab w:pos="2665" w:val="left" w:leader="none"/>
        </w:tabs>
        <w:spacing w:line="240" w:lineRule="auto" w:before="214" w:after="0"/>
        <w:ind w:left="2664" w:right="0" w:hanging="681"/>
        <w:jc w:val="left"/>
      </w:pPr>
      <w:r>
        <w:rPr>
          <w:spacing w:val="3"/>
          <w:w w:val="110"/>
        </w:rPr>
        <w:t>Ministerial</w:t>
      </w:r>
      <w:r>
        <w:rPr>
          <w:spacing w:val="12"/>
          <w:w w:val="110"/>
        </w:rPr>
        <w:t> </w:t>
      </w:r>
      <w:r>
        <w:rPr>
          <w:spacing w:val="3"/>
          <w:w w:val="110"/>
        </w:rPr>
        <w:t>resilience</w:t>
      </w:r>
    </w:p>
    <w:p>
      <w:pPr>
        <w:pStyle w:val="BodyText"/>
        <w:spacing w:line="235" w:lineRule="auto" w:before="69"/>
        <w:ind w:left="1984" w:right="1515"/>
      </w:pPr>
      <w:r>
        <w:rPr>
          <w:w w:val="120"/>
        </w:rPr>
        <w:t>The resilience, health and care of our ministers rightly appear on the agenda of some of our sub-committees but they are also an ongoing concern of the ministries committee itself. Elsewhere you will read how the retired ministers’ housing society  is seeking to assist synods in the care of retired ministers, and how the maintenance of the ministry sub-committee has been working on the support of those who suffer from prolonged periods of illness. The ministries committee has agreed to seek funding</w:t>
      </w:r>
      <w:r>
        <w:rPr>
          <w:spacing w:val="-17"/>
          <w:w w:val="120"/>
        </w:rPr>
        <w:t> </w:t>
      </w:r>
      <w:r>
        <w:rPr>
          <w:w w:val="120"/>
        </w:rPr>
        <w:t>in</w:t>
      </w:r>
      <w:r>
        <w:rPr>
          <w:spacing w:val="-16"/>
          <w:w w:val="120"/>
        </w:rPr>
        <w:t> </w:t>
      </w:r>
      <w:r>
        <w:rPr>
          <w:w w:val="120"/>
        </w:rPr>
        <w:t>order</w:t>
      </w:r>
      <w:r>
        <w:rPr>
          <w:spacing w:val="-16"/>
          <w:w w:val="120"/>
        </w:rPr>
        <w:t> </w:t>
      </w:r>
      <w:r>
        <w:rPr>
          <w:w w:val="120"/>
        </w:rPr>
        <w:t>to</w:t>
      </w:r>
      <w:r>
        <w:rPr>
          <w:spacing w:val="-17"/>
          <w:w w:val="120"/>
        </w:rPr>
        <w:t> </w:t>
      </w:r>
      <w:r>
        <w:rPr>
          <w:w w:val="120"/>
        </w:rPr>
        <w:t>run</w:t>
      </w:r>
      <w:r>
        <w:rPr>
          <w:spacing w:val="-16"/>
          <w:w w:val="120"/>
        </w:rPr>
        <w:t> </w:t>
      </w:r>
      <w:r>
        <w:rPr>
          <w:w w:val="120"/>
        </w:rPr>
        <w:t>a</w:t>
      </w:r>
      <w:r>
        <w:rPr>
          <w:spacing w:val="-16"/>
          <w:w w:val="120"/>
        </w:rPr>
        <w:t> </w:t>
      </w:r>
      <w:r>
        <w:rPr>
          <w:i/>
          <w:w w:val="120"/>
        </w:rPr>
        <w:t>Managing</w:t>
      </w:r>
      <w:r>
        <w:rPr>
          <w:i/>
          <w:spacing w:val="-19"/>
          <w:w w:val="120"/>
        </w:rPr>
        <w:t> </w:t>
      </w:r>
      <w:r>
        <w:rPr>
          <w:i/>
          <w:w w:val="120"/>
        </w:rPr>
        <w:t>Ministry</w:t>
      </w:r>
      <w:r>
        <w:rPr>
          <w:i/>
          <w:spacing w:val="-18"/>
          <w:w w:val="120"/>
        </w:rPr>
        <w:t> </w:t>
      </w:r>
      <w:r>
        <w:rPr>
          <w:i/>
          <w:w w:val="120"/>
        </w:rPr>
        <w:t>Pressure</w:t>
      </w:r>
      <w:r>
        <w:rPr>
          <w:i/>
          <w:spacing w:val="-19"/>
          <w:w w:val="120"/>
        </w:rPr>
        <w:t> </w:t>
      </w:r>
      <w:r>
        <w:rPr>
          <w:i/>
          <w:w w:val="120"/>
        </w:rPr>
        <w:t>Better</w:t>
      </w:r>
      <w:r>
        <w:rPr>
          <w:i/>
          <w:spacing w:val="-16"/>
          <w:w w:val="120"/>
        </w:rPr>
        <w:t> </w:t>
      </w:r>
      <w:r>
        <w:rPr>
          <w:w w:val="120"/>
        </w:rPr>
        <w:t>(MMPB)</w:t>
      </w:r>
      <w:r>
        <w:rPr>
          <w:spacing w:val="-16"/>
          <w:w w:val="120"/>
        </w:rPr>
        <w:t> </w:t>
      </w:r>
      <w:r>
        <w:rPr>
          <w:w w:val="120"/>
        </w:rPr>
        <w:t>programme</w:t>
      </w:r>
      <w:r>
        <w:rPr>
          <w:spacing w:val="-17"/>
          <w:w w:val="120"/>
        </w:rPr>
        <w:t> </w:t>
      </w:r>
      <w:r>
        <w:rPr>
          <w:w w:val="120"/>
        </w:rPr>
        <w:t>within the United Reformed Church. This is a programme for ministers and their churches</w:t>
      </w:r>
      <w:r>
        <w:rPr>
          <w:spacing w:val="43"/>
          <w:w w:val="120"/>
        </w:rPr>
        <w:t> </w:t>
      </w:r>
      <w:r>
        <w:rPr>
          <w:w w:val="120"/>
        </w:rPr>
        <w:t>to</w:t>
      </w:r>
    </w:p>
    <w:p>
      <w:pPr>
        <w:pStyle w:val="BodyText"/>
        <w:spacing w:line="235" w:lineRule="auto" w:before="6"/>
        <w:ind w:left="1984" w:right="1595"/>
      </w:pPr>
      <w:r>
        <w:rPr>
          <w:w w:val="120"/>
        </w:rPr>
        <w:t>help individuals identify and manage pressures, whilst indicating to the church where there are common areas of concern that might relate to the nature or setting of the pastorate, or the length of time in ministry. It is hoped that this will help individuals   in ministry but also identify where the resources of the Church need to be used to enable healthy</w:t>
      </w:r>
      <w:r>
        <w:rPr>
          <w:spacing w:val="3"/>
          <w:w w:val="120"/>
        </w:rPr>
        <w:t> </w:t>
      </w:r>
      <w:r>
        <w:rPr>
          <w:w w:val="120"/>
        </w:rPr>
        <w:t>ministry.</w:t>
      </w:r>
    </w:p>
    <w:p>
      <w:pPr>
        <w:spacing w:after="0" w:line="235" w:lineRule="auto"/>
        <w:sectPr>
          <w:type w:val="continuous"/>
          <w:pgSz w:w="11910" w:h="16840"/>
          <w:pgMar w:top="680" w:bottom="280" w:left="0" w:right="0"/>
        </w:sectPr>
      </w:pPr>
    </w:p>
    <w:p>
      <w:pPr>
        <w:pStyle w:val="BodyText"/>
      </w:pPr>
      <w:r>
        <w:rPr/>
        <w:drawing>
          <wp:anchor distT="0" distB="0" distL="0" distR="0" allowOverlap="1" layoutInCell="1" locked="0" behindDoc="0" simplePos="0" relativeHeight="252123136">
            <wp:simplePos x="0" y="0"/>
            <wp:positionH relativeFrom="page">
              <wp:posOffset>0</wp:posOffset>
            </wp:positionH>
            <wp:positionV relativeFrom="page">
              <wp:posOffset>0</wp:posOffset>
            </wp:positionV>
            <wp:extent cx="594067" cy="10692003"/>
            <wp:effectExtent l="0" t="0" r="0" b="0"/>
            <wp:wrapNone/>
            <wp:docPr id="345" name="image32.png"/>
            <wp:cNvGraphicFramePr>
              <a:graphicFrameLocks noChangeAspect="1"/>
            </wp:cNvGraphicFramePr>
            <a:graphic>
              <a:graphicData uri="http://schemas.openxmlformats.org/drawingml/2006/picture">
                <pic:pic>
                  <pic:nvPicPr>
                    <pic:cNvPr id="346" name="image32.png"/>
                    <pic:cNvPicPr/>
                  </pic:nvPicPr>
                  <pic:blipFill>
                    <a:blip r:embed="rId362" cstate="print"/>
                    <a:stretch>
                      <a:fillRect/>
                    </a:stretch>
                  </pic:blipFill>
                  <pic:spPr>
                    <a:xfrm>
                      <a:off x="0" y="0"/>
                      <a:ext cx="594067" cy="10692003"/>
                    </a:xfrm>
                    <a:prstGeom prst="rect">
                      <a:avLst/>
                    </a:prstGeom>
                  </pic:spPr>
                </pic:pic>
              </a:graphicData>
            </a:graphic>
          </wp:anchor>
        </w:drawing>
      </w:r>
    </w:p>
    <w:p>
      <w:pPr>
        <w:pStyle w:val="BodyText"/>
      </w:pPr>
    </w:p>
    <w:p>
      <w:pPr>
        <w:pStyle w:val="BodyText"/>
      </w:pPr>
    </w:p>
    <w:p>
      <w:pPr>
        <w:pStyle w:val="BodyText"/>
        <w:spacing w:before="5"/>
        <w:rPr>
          <w:sz w:val="28"/>
        </w:rPr>
      </w:pPr>
    </w:p>
    <w:p>
      <w:pPr>
        <w:pStyle w:val="Heading2"/>
        <w:spacing w:line="638" w:lineRule="exact" w:before="97"/>
        <w:rPr>
          <w:b/>
        </w:rPr>
      </w:pPr>
      <w:r>
        <w:rPr/>
        <w:pict>
          <v:shape style="position:absolute;margin-left:20.519100pt;margin-top:-5.998084pt;width:25.9pt;height:138.15pt;mso-position-horizontal-relative:page;mso-position-vertical-relative:paragraph;z-index:252124160" type="#_x0000_t202" filled="false" stroked="false">
            <v:textbox inset="0,0,0,0" style="layout-flow:vertical">
              <w:txbxContent>
                <w:p>
                  <w:pPr>
                    <w:spacing w:before="27"/>
                    <w:ind w:left="20" w:right="0" w:firstLine="0"/>
                    <w:jc w:val="left"/>
                    <w:rPr>
                      <w:sz w:val="39"/>
                    </w:rPr>
                  </w:pPr>
                  <w:r>
                    <w:rPr>
                      <w:color w:val="FFFFFF"/>
                      <w:w w:val="120"/>
                      <w:sz w:val="39"/>
                    </w:rPr>
                    <w:t>Accreditation</w:t>
                  </w:r>
                </w:p>
              </w:txbxContent>
            </v:textbox>
            <w10:wrap type="none"/>
          </v:shape>
        </w:pict>
      </w:r>
      <w:bookmarkStart w:name="_bookmark36" w:id="45"/>
      <w:bookmarkEnd w:id="45"/>
      <w:r>
        <w:rPr>
          <w:b w:val="0"/>
        </w:rPr>
      </w:r>
      <w:r>
        <w:rPr>
          <w:b/>
          <w:color w:val="0076BD"/>
          <w:w w:val="110"/>
        </w:rPr>
        <w:t>Ministries:</w:t>
      </w:r>
    </w:p>
    <w:p>
      <w:pPr>
        <w:spacing w:line="638" w:lineRule="exact" w:before="0"/>
        <w:ind w:left="1247" w:right="0" w:firstLine="0"/>
        <w:jc w:val="left"/>
        <w:rPr>
          <w:rFonts w:ascii="Stone Sans II ITC Std X Bd"/>
          <w:b/>
          <w:sz w:val="50"/>
        </w:rPr>
      </w:pPr>
      <w:r>
        <w:rPr>
          <w:rFonts w:ascii="Stone Sans II ITC Std X Bd"/>
          <w:b/>
          <w:w w:val="110"/>
          <w:sz w:val="50"/>
        </w:rPr>
        <w:t>Accreditation sub-committee</w:t>
      </w:r>
    </w:p>
    <w:p>
      <w:pPr>
        <w:spacing w:before="141"/>
        <w:ind w:left="1247" w:right="0" w:firstLine="0"/>
        <w:jc w:val="left"/>
        <w:rPr>
          <w:sz w:val="18"/>
        </w:rPr>
      </w:pPr>
      <w:r>
        <w:rPr>
          <w:color w:val="87888A"/>
          <w:w w:val="120"/>
          <w:sz w:val="18"/>
        </w:rPr>
        <w:t>Sub-committee members:</w:t>
      </w:r>
    </w:p>
    <w:p>
      <w:pPr>
        <w:spacing w:line="261" w:lineRule="auto" w:before="20"/>
        <w:ind w:left="1247" w:right="5691" w:firstLine="0"/>
        <w:jc w:val="left"/>
        <w:rPr>
          <w:sz w:val="18"/>
        </w:rPr>
      </w:pPr>
      <w:r>
        <w:rPr>
          <w:color w:val="87888A"/>
          <w:w w:val="120"/>
          <w:sz w:val="18"/>
        </w:rPr>
        <w:t>Convener: Geoff Townsend (until 2013), Fran Ruthven Secretary: Craig Bowman</w:t>
      </w:r>
    </w:p>
    <w:p>
      <w:pPr>
        <w:spacing w:line="261" w:lineRule="auto" w:before="1"/>
        <w:ind w:left="1247" w:right="2004" w:firstLine="0"/>
        <w:jc w:val="left"/>
        <w:rPr>
          <w:sz w:val="18"/>
        </w:rPr>
      </w:pPr>
      <w:r>
        <w:rPr>
          <w:color w:val="87888A"/>
          <w:w w:val="120"/>
          <w:sz w:val="18"/>
        </w:rPr>
        <w:t>Members: Bridget Banks, Richard Church, Helga Cornell, Malcolm Fife (until 2013), Jim Murison, Tessa Henry-Robinson (until 2013), Naison Hove, Graham Campling (convener of national assessment board)</w:t>
      </w:r>
    </w:p>
    <w:p>
      <w:pPr>
        <w:pStyle w:val="BodyText"/>
        <w:rPr>
          <w:sz w:val="22"/>
        </w:rPr>
      </w:pPr>
    </w:p>
    <w:p>
      <w:pPr>
        <w:pStyle w:val="Heading4"/>
        <w:numPr>
          <w:ilvl w:val="0"/>
          <w:numId w:val="102"/>
        </w:numPr>
        <w:tabs>
          <w:tab w:pos="1927" w:val="left" w:leader="none"/>
          <w:tab w:pos="1928" w:val="left" w:leader="none"/>
        </w:tabs>
        <w:spacing w:line="240" w:lineRule="auto" w:before="170" w:after="0"/>
        <w:ind w:left="1927" w:right="0" w:hanging="681"/>
        <w:jc w:val="left"/>
      </w:pPr>
      <w:r>
        <w:rPr>
          <w:spacing w:val="4"/>
          <w:w w:val="110"/>
        </w:rPr>
        <w:t>Special </w:t>
      </w:r>
      <w:r>
        <w:rPr>
          <w:spacing w:val="5"/>
          <w:w w:val="110"/>
        </w:rPr>
        <w:t>category </w:t>
      </w:r>
      <w:r>
        <w:rPr>
          <w:spacing w:val="4"/>
          <w:w w:val="110"/>
        </w:rPr>
        <w:t>ministry</w:t>
      </w:r>
      <w:r>
        <w:rPr>
          <w:spacing w:val="29"/>
          <w:w w:val="110"/>
        </w:rPr>
        <w:t> </w:t>
      </w:r>
      <w:r>
        <w:rPr>
          <w:spacing w:val="5"/>
          <w:w w:val="110"/>
        </w:rPr>
        <w:t>posts</w:t>
      </w:r>
    </w:p>
    <w:p>
      <w:pPr>
        <w:pStyle w:val="ListParagraph"/>
        <w:numPr>
          <w:ilvl w:val="1"/>
          <w:numId w:val="102"/>
        </w:numPr>
        <w:tabs>
          <w:tab w:pos="1927" w:val="left" w:leader="none"/>
          <w:tab w:pos="1928" w:val="left" w:leader="none"/>
        </w:tabs>
        <w:spacing w:line="235" w:lineRule="auto" w:before="69" w:after="0"/>
        <w:ind w:left="1247" w:right="2133" w:firstLine="0"/>
        <w:jc w:val="left"/>
        <w:rPr>
          <w:sz w:val="20"/>
        </w:rPr>
      </w:pPr>
      <w:r>
        <w:rPr>
          <w:w w:val="120"/>
          <w:sz w:val="20"/>
        </w:rPr>
        <w:t>Following a hiatus whilst the General Assembly and Mission Council considered a proposal for the funding of other ministries and a transfer of responsibility for special category ministry to the synods, </w:t>
      </w:r>
      <w:r>
        <w:rPr>
          <w:spacing w:val="-8"/>
          <w:w w:val="120"/>
          <w:sz w:val="20"/>
        </w:rPr>
        <w:t>2013  </w:t>
      </w:r>
      <w:r>
        <w:rPr>
          <w:w w:val="120"/>
          <w:sz w:val="20"/>
        </w:rPr>
        <w:t>saw a number of new applications, although </w:t>
      </w:r>
      <w:r>
        <w:rPr>
          <w:spacing w:val="-7"/>
          <w:w w:val="120"/>
          <w:sz w:val="20"/>
        </w:rPr>
        <w:t>2014 </w:t>
      </w:r>
      <w:r>
        <w:rPr>
          <w:w w:val="120"/>
          <w:sz w:val="20"/>
        </w:rPr>
        <w:t>has not seen</w:t>
      </w:r>
      <w:r>
        <w:rPr>
          <w:spacing w:val="15"/>
          <w:w w:val="120"/>
          <w:sz w:val="20"/>
        </w:rPr>
        <w:t> </w:t>
      </w:r>
      <w:r>
        <w:rPr>
          <w:spacing w:val="-4"/>
          <w:w w:val="120"/>
          <w:sz w:val="20"/>
        </w:rPr>
        <w:t>any.</w:t>
      </w:r>
    </w:p>
    <w:p>
      <w:pPr>
        <w:pStyle w:val="BodyText"/>
        <w:spacing w:before="11"/>
        <w:rPr>
          <w:sz w:val="19"/>
        </w:rPr>
      </w:pPr>
    </w:p>
    <w:p>
      <w:pPr>
        <w:pStyle w:val="ListParagraph"/>
        <w:numPr>
          <w:ilvl w:val="1"/>
          <w:numId w:val="102"/>
        </w:numPr>
        <w:tabs>
          <w:tab w:pos="1927" w:val="left" w:leader="none"/>
          <w:tab w:pos="1928" w:val="left" w:leader="none"/>
        </w:tabs>
        <w:spacing w:line="235" w:lineRule="auto" w:before="0" w:after="0"/>
        <w:ind w:left="1247" w:right="2406" w:firstLine="0"/>
        <w:jc w:val="left"/>
        <w:rPr>
          <w:sz w:val="20"/>
        </w:rPr>
      </w:pPr>
      <w:r>
        <w:rPr>
          <w:w w:val="120"/>
          <w:sz w:val="20"/>
        </w:rPr>
        <w:t>Several posts have been renewed and the post at Milton Keynes West Flank has ended. New posts have been approved for Oldham </w:t>
      </w:r>
      <w:r>
        <w:rPr>
          <w:spacing w:val="-4"/>
          <w:w w:val="120"/>
          <w:sz w:val="20"/>
        </w:rPr>
        <w:t>Town </w:t>
      </w:r>
      <w:r>
        <w:rPr>
          <w:w w:val="120"/>
          <w:sz w:val="20"/>
        </w:rPr>
        <w:t>Centre, Salford-Oasis, Chorlton and Whalley Range, Saltaire, and</w:t>
      </w:r>
      <w:r>
        <w:rPr>
          <w:spacing w:val="16"/>
          <w:w w:val="120"/>
          <w:sz w:val="20"/>
        </w:rPr>
        <w:t> </w:t>
      </w:r>
      <w:r>
        <w:rPr>
          <w:w w:val="120"/>
          <w:sz w:val="20"/>
        </w:rPr>
        <w:t>Brighthelm.</w:t>
      </w:r>
    </w:p>
    <w:p>
      <w:pPr>
        <w:pStyle w:val="BodyText"/>
        <w:spacing w:before="10"/>
        <w:rPr>
          <w:sz w:val="19"/>
        </w:rPr>
      </w:pPr>
    </w:p>
    <w:p>
      <w:pPr>
        <w:pStyle w:val="ListParagraph"/>
        <w:numPr>
          <w:ilvl w:val="1"/>
          <w:numId w:val="102"/>
        </w:numPr>
        <w:tabs>
          <w:tab w:pos="1927" w:val="left" w:leader="none"/>
          <w:tab w:pos="1928" w:val="left" w:leader="none"/>
        </w:tabs>
        <w:spacing w:line="235" w:lineRule="auto" w:before="0" w:after="0"/>
        <w:ind w:left="1247" w:right="2504" w:firstLine="0"/>
        <w:jc w:val="left"/>
        <w:rPr>
          <w:sz w:val="20"/>
        </w:rPr>
      </w:pPr>
      <w:r>
        <w:rPr>
          <w:spacing w:val="2"/>
          <w:w w:val="120"/>
          <w:sz w:val="20"/>
        </w:rPr>
        <w:t>Of </w:t>
      </w:r>
      <w:r>
        <w:rPr>
          <w:w w:val="120"/>
          <w:sz w:val="20"/>
        </w:rPr>
        <w:t>the three posts set aside for evangelists, one has been withdrawn, one remains unfilled and the West Midlands post was filled in </w:t>
      </w:r>
      <w:r>
        <w:rPr>
          <w:spacing w:val="-7"/>
          <w:w w:val="120"/>
          <w:sz w:val="20"/>
        </w:rPr>
        <w:t>2013. </w:t>
      </w:r>
      <w:r>
        <w:rPr>
          <w:w w:val="120"/>
          <w:sz w:val="20"/>
        </w:rPr>
        <w:t>We look forward to hearing about this work as it develops over the next few</w:t>
      </w:r>
      <w:r>
        <w:rPr>
          <w:spacing w:val="19"/>
          <w:w w:val="120"/>
          <w:sz w:val="20"/>
        </w:rPr>
        <w:t> </w:t>
      </w:r>
      <w:r>
        <w:rPr>
          <w:w w:val="120"/>
          <w:sz w:val="20"/>
        </w:rPr>
        <w:t>years.</w:t>
      </w:r>
    </w:p>
    <w:p>
      <w:pPr>
        <w:pStyle w:val="BodyText"/>
        <w:spacing w:before="10"/>
        <w:rPr>
          <w:sz w:val="19"/>
        </w:rPr>
      </w:pPr>
    </w:p>
    <w:p>
      <w:pPr>
        <w:pStyle w:val="ListParagraph"/>
        <w:numPr>
          <w:ilvl w:val="1"/>
          <w:numId w:val="102"/>
        </w:numPr>
        <w:tabs>
          <w:tab w:pos="1927" w:val="left" w:leader="none"/>
          <w:tab w:pos="1928" w:val="left" w:leader="none"/>
        </w:tabs>
        <w:spacing w:line="235" w:lineRule="auto" w:before="0" w:after="0"/>
        <w:ind w:left="1247" w:right="2098" w:firstLine="0"/>
        <w:jc w:val="left"/>
        <w:rPr>
          <w:sz w:val="20"/>
        </w:rPr>
      </w:pPr>
      <w:r>
        <w:rPr>
          <w:w w:val="120"/>
          <w:sz w:val="20"/>
        </w:rPr>
        <w:t>Unfortunately not all posts run smoothly. Sometimes management difficulties arise, particularly where appropriate support structures are not in place at the time of an appointment. Another cause of difficulty can be when a post holder is also minister of a local church and the expectations of the congregation do not accord with the intentions of the post. Whether this is due to a misunderstanding in the planning stage or a wish to adapt the post to the congregation’s priorities, it reinforces the need for the elders and church meeting to understand and support the original</w:t>
      </w:r>
      <w:r>
        <w:rPr>
          <w:spacing w:val="6"/>
          <w:w w:val="120"/>
          <w:sz w:val="20"/>
        </w:rPr>
        <w:t> </w:t>
      </w:r>
      <w:r>
        <w:rPr>
          <w:w w:val="120"/>
          <w:sz w:val="20"/>
        </w:rPr>
        <w:t>vision.</w:t>
      </w:r>
    </w:p>
    <w:p>
      <w:pPr>
        <w:pStyle w:val="BodyText"/>
        <w:spacing w:before="1"/>
      </w:pPr>
    </w:p>
    <w:p>
      <w:pPr>
        <w:pStyle w:val="ListParagraph"/>
        <w:numPr>
          <w:ilvl w:val="1"/>
          <w:numId w:val="102"/>
        </w:numPr>
        <w:tabs>
          <w:tab w:pos="1927" w:val="left" w:leader="none"/>
          <w:tab w:pos="1928" w:val="left" w:leader="none"/>
        </w:tabs>
        <w:spacing w:line="235" w:lineRule="auto" w:before="1" w:after="0"/>
        <w:ind w:left="1247" w:right="2449" w:firstLine="0"/>
        <w:jc w:val="left"/>
        <w:rPr>
          <w:sz w:val="20"/>
        </w:rPr>
      </w:pPr>
      <w:r>
        <w:rPr>
          <w:w w:val="120"/>
          <w:sz w:val="20"/>
        </w:rPr>
        <w:t>Sometimes ecumenical partners make unilateral decisions, reducing funding or withdrawing practical support. Such decisions can have a significant impact on  an agreed special category ministry post. There have been a number of such instances, perhaps because of current economic difficulties, and these have challenged the</w:t>
      </w:r>
      <w:r>
        <w:rPr>
          <w:spacing w:val="4"/>
          <w:w w:val="120"/>
          <w:sz w:val="20"/>
        </w:rPr>
        <w:t> </w:t>
      </w:r>
      <w:r>
        <w:rPr>
          <w:w w:val="120"/>
          <w:sz w:val="20"/>
        </w:rPr>
        <w:t>sub-committee.</w:t>
      </w:r>
    </w:p>
    <w:p>
      <w:pPr>
        <w:pStyle w:val="Heading4"/>
        <w:numPr>
          <w:ilvl w:val="0"/>
          <w:numId w:val="102"/>
        </w:numPr>
        <w:tabs>
          <w:tab w:pos="1927" w:val="left" w:leader="none"/>
          <w:tab w:pos="1928" w:val="left" w:leader="none"/>
        </w:tabs>
        <w:spacing w:line="240" w:lineRule="auto" w:before="215" w:after="0"/>
        <w:ind w:left="1927" w:right="0" w:hanging="681"/>
        <w:jc w:val="left"/>
      </w:pPr>
      <w:r>
        <w:rPr>
          <w:spacing w:val="4"/>
          <w:w w:val="110"/>
        </w:rPr>
        <w:t>Certificates </w:t>
      </w:r>
      <w:r>
        <w:rPr>
          <w:w w:val="110"/>
        </w:rPr>
        <w:t>of</w:t>
      </w:r>
      <w:r>
        <w:rPr>
          <w:spacing w:val="21"/>
          <w:w w:val="110"/>
        </w:rPr>
        <w:t> </w:t>
      </w:r>
      <w:r>
        <w:rPr>
          <w:spacing w:val="4"/>
          <w:w w:val="110"/>
        </w:rPr>
        <w:t>eligibility</w:t>
      </w:r>
    </w:p>
    <w:p>
      <w:pPr>
        <w:pStyle w:val="ListParagraph"/>
        <w:numPr>
          <w:ilvl w:val="1"/>
          <w:numId w:val="102"/>
        </w:numPr>
        <w:tabs>
          <w:tab w:pos="1927" w:val="left" w:leader="none"/>
          <w:tab w:pos="1928" w:val="left" w:leader="none"/>
        </w:tabs>
        <w:spacing w:line="235" w:lineRule="auto" w:before="70" w:after="0"/>
        <w:ind w:left="1247" w:right="1986" w:firstLine="0"/>
        <w:jc w:val="left"/>
        <w:rPr>
          <w:sz w:val="20"/>
        </w:rPr>
      </w:pPr>
      <w:r>
        <w:rPr>
          <w:w w:val="120"/>
          <w:sz w:val="20"/>
        </w:rPr>
        <w:t>The ministries committee is responsible to General Assembly for oversight of the projected number of ministers for future years and for deciding each </w:t>
      </w:r>
      <w:r>
        <w:rPr>
          <w:spacing w:val="-4"/>
          <w:w w:val="120"/>
          <w:sz w:val="20"/>
        </w:rPr>
        <w:t>year, </w:t>
      </w:r>
      <w:r>
        <w:rPr>
          <w:w w:val="120"/>
          <w:sz w:val="20"/>
        </w:rPr>
        <w:t>on the basis of these projections, whether certificates of eligibility for stipendiary service may be issued to ministers of other denominations. Such a certificate grants eligibility to receive a call to serve in a pastorate or post and to be admitted to the roll of United Reformed Church</w:t>
      </w:r>
      <w:r>
        <w:rPr>
          <w:spacing w:val="2"/>
          <w:w w:val="120"/>
          <w:sz w:val="20"/>
        </w:rPr>
        <w:t> </w:t>
      </w:r>
      <w:r>
        <w:rPr>
          <w:w w:val="120"/>
          <w:sz w:val="20"/>
        </w:rPr>
        <w:t>ministers.</w:t>
      </w:r>
    </w:p>
    <w:p>
      <w:pPr>
        <w:pStyle w:val="BodyText"/>
      </w:pPr>
    </w:p>
    <w:p>
      <w:pPr>
        <w:pStyle w:val="ListParagraph"/>
        <w:numPr>
          <w:ilvl w:val="1"/>
          <w:numId w:val="102"/>
        </w:numPr>
        <w:tabs>
          <w:tab w:pos="1927" w:val="left" w:leader="none"/>
          <w:tab w:pos="1928" w:val="left" w:leader="none"/>
        </w:tabs>
        <w:spacing w:line="235" w:lineRule="auto" w:before="0" w:after="0"/>
        <w:ind w:left="1247" w:right="2424" w:firstLine="0"/>
        <w:jc w:val="left"/>
        <w:rPr>
          <w:sz w:val="20"/>
        </w:rPr>
      </w:pPr>
      <w:r>
        <w:rPr>
          <w:w w:val="120"/>
          <w:sz w:val="20"/>
        </w:rPr>
        <w:t>No certificates of eligibility have been granted since </w:t>
      </w:r>
      <w:r>
        <w:rPr>
          <w:spacing w:val="-8"/>
          <w:w w:val="120"/>
          <w:sz w:val="20"/>
        </w:rPr>
        <w:t>2011 </w:t>
      </w:r>
      <w:r>
        <w:rPr>
          <w:w w:val="120"/>
          <w:sz w:val="20"/>
        </w:rPr>
        <w:t>and current projections regarding ministerial numbers and the financial outlook mean none will be issued in</w:t>
      </w:r>
      <w:r>
        <w:rPr>
          <w:spacing w:val="6"/>
          <w:w w:val="120"/>
          <w:sz w:val="20"/>
        </w:rPr>
        <w:t> </w:t>
      </w:r>
      <w:r>
        <w:rPr>
          <w:spacing w:val="-6"/>
          <w:w w:val="120"/>
          <w:sz w:val="20"/>
        </w:rPr>
        <w:t>2014.</w:t>
      </w:r>
    </w:p>
    <w:p>
      <w:pPr>
        <w:pStyle w:val="Heading4"/>
        <w:numPr>
          <w:ilvl w:val="0"/>
          <w:numId w:val="102"/>
        </w:numPr>
        <w:tabs>
          <w:tab w:pos="1927" w:val="left" w:leader="none"/>
          <w:tab w:pos="1928" w:val="left" w:leader="none"/>
        </w:tabs>
        <w:spacing w:line="240" w:lineRule="auto" w:before="214" w:after="0"/>
        <w:ind w:left="1927" w:right="0" w:hanging="681"/>
        <w:jc w:val="left"/>
      </w:pPr>
      <w:r>
        <w:rPr>
          <w:spacing w:val="4"/>
          <w:w w:val="110"/>
        </w:rPr>
        <w:t>Certificates </w:t>
      </w:r>
      <w:r>
        <w:rPr>
          <w:w w:val="110"/>
        </w:rPr>
        <w:t>of </w:t>
      </w:r>
      <w:r>
        <w:rPr>
          <w:spacing w:val="2"/>
          <w:w w:val="110"/>
        </w:rPr>
        <w:t>limited</w:t>
      </w:r>
      <w:r>
        <w:rPr>
          <w:spacing w:val="34"/>
          <w:w w:val="110"/>
        </w:rPr>
        <w:t> </w:t>
      </w:r>
      <w:r>
        <w:rPr>
          <w:spacing w:val="5"/>
          <w:w w:val="110"/>
        </w:rPr>
        <w:t>service</w:t>
      </w:r>
    </w:p>
    <w:p>
      <w:pPr>
        <w:pStyle w:val="ListParagraph"/>
        <w:numPr>
          <w:ilvl w:val="1"/>
          <w:numId w:val="102"/>
        </w:numPr>
        <w:tabs>
          <w:tab w:pos="1927" w:val="left" w:leader="none"/>
          <w:tab w:pos="1928" w:val="left" w:leader="none"/>
        </w:tabs>
        <w:spacing w:line="235" w:lineRule="auto" w:before="69" w:after="0"/>
        <w:ind w:left="1247" w:right="2127" w:firstLine="0"/>
        <w:jc w:val="left"/>
        <w:rPr>
          <w:sz w:val="20"/>
        </w:rPr>
      </w:pPr>
      <w:r>
        <w:rPr>
          <w:w w:val="120"/>
          <w:sz w:val="20"/>
        </w:rPr>
        <w:t>Certificates of limited service provide a flexible way of responding to particular local ministry needs and opportunities. A certificate of limited service allows a minister or community worker of another denomination to serve in and be paid by the</w:t>
      </w:r>
      <w:r>
        <w:rPr>
          <w:spacing w:val="2"/>
          <w:w w:val="120"/>
          <w:sz w:val="20"/>
        </w:rPr>
        <w:t> </w:t>
      </w:r>
      <w:r>
        <w:rPr>
          <w:w w:val="120"/>
          <w:sz w:val="20"/>
        </w:rPr>
        <w:t>United</w:t>
      </w:r>
    </w:p>
    <w:p>
      <w:pPr>
        <w:spacing w:after="0" w:line="235" w:lineRule="auto"/>
        <w:jc w:val="left"/>
        <w:rPr>
          <w:sz w:val="20"/>
        </w:rPr>
        <w:sectPr>
          <w:headerReference w:type="even" r:id="rId420"/>
          <w:footerReference w:type="even" r:id="rId421"/>
          <w:footerReference w:type="default" r:id="rId422"/>
          <w:pgSz w:w="11910" w:h="16840"/>
          <w:pgMar w:header="0" w:footer="647" w:top="0" w:bottom="840" w:left="0" w:right="0"/>
          <w:pgNumType w:start="184"/>
        </w:sectPr>
      </w:pPr>
    </w:p>
    <w:p>
      <w:pPr>
        <w:pStyle w:val="BodyText"/>
      </w:pPr>
      <w:r>
        <w:rPr/>
        <w:drawing>
          <wp:anchor distT="0" distB="0" distL="0" distR="0" allowOverlap="1" layoutInCell="1" locked="0" behindDoc="0" simplePos="0" relativeHeight="252125184">
            <wp:simplePos x="0" y="0"/>
            <wp:positionH relativeFrom="page">
              <wp:posOffset>6974928</wp:posOffset>
            </wp:positionH>
            <wp:positionV relativeFrom="page">
              <wp:posOffset>0</wp:posOffset>
            </wp:positionV>
            <wp:extent cx="585063" cy="10692003"/>
            <wp:effectExtent l="0" t="0" r="0" b="0"/>
            <wp:wrapNone/>
            <wp:docPr id="347" name="image30.png"/>
            <wp:cNvGraphicFramePr>
              <a:graphicFrameLocks noChangeAspect="1"/>
            </wp:cNvGraphicFramePr>
            <a:graphic>
              <a:graphicData uri="http://schemas.openxmlformats.org/drawingml/2006/picture">
                <pic:pic>
                  <pic:nvPicPr>
                    <pic:cNvPr id="348" name="image30.png"/>
                    <pic:cNvPicPr/>
                  </pic:nvPicPr>
                  <pic:blipFill>
                    <a:blip r:embed="rId357"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pStyle w:val="Heading5"/>
        <w:ind w:left="0" w:right="1245"/>
        <w:jc w:val="right"/>
      </w:pPr>
      <w:r>
        <w:rPr/>
        <w:pict>
          <v:shape style="position:absolute;margin-left:554.141174pt;margin-top:22.593945pt;width:25.9pt;height:138.15pt;mso-position-horizontal-relative:page;mso-position-vertical-relative:paragraph;z-index:252126208" type="#_x0000_t202" filled="false" stroked="false">
            <v:textbox inset="0,0,0,0" style="layout-flow:vertical">
              <w:txbxContent>
                <w:p>
                  <w:pPr>
                    <w:spacing w:before="27"/>
                    <w:ind w:left="20" w:right="0" w:firstLine="0"/>
                    <w:jc w:val="left"/>
                    <w:rPr>
                      <w:sz w:val="39"/>
                    </w:rPr>
                  </w:pPr>
                  <w:r>
                    <w:rPr>
                      <w:color w:val="FFFFFF"/>
                      <w:w w:val="120"/>
                      <w:sz w:val="39"/>
                    </w:rPr>
                    <w:t>Accreditation</w:t>
                  </w:r>
                </w:p>
              </w:txbxContent>
            </v:textbox>
            <w10:wrap type="none"/>
          </v:shape>
        </w:pict>
      </w:r>
      <w:r>
        <w:rPr>
          <w:color w:val="7EAABF"/>
          <w:w w:val="110"/>
        </w:rPr>
        <w:t>Ministries</w:t>
      </w:r>
    </w:p>
    <w:p>
      <w:pPr>
        <w:pStyle w:val="BodyText"/>
        <w:spacing w:line="235" w:lineRule="auto" w:before="222"/>
        <w:ind w:left="1984" w:right="1352"/>
      </w:pPr>
      <w:r>
        <w:rPr>
          <w:w w:val="120"/>
        </w:rPr>
        <w:t>Reformed Church in one specified post for a limited period of time. Five certificates were granted in 2012 and seven in 2013.</w:t>
      </w:r>
    </w:p>
    <w:p>
      <w:pPr>
        <w:pStyle w:val="BodyText"/>
        <w:spacing w:before="9"/>
        <w:rPr>
          <w:sz w:val="19"/>
        </w:rPr>
      </w:pPr>
    </w:p>
    <w:p>
      <w:pPr>
        <w:pStyle w:val="ListParagraph"/>
        <w:numPr>
          <w:ilvl w:val="1"/>
          <w:numId w:val="102"/>
        </w:numPr>
        <w:tabs>
          <w:tab w:pos="2664" w:val="left" w:leader="none"/>
          <w:tab w:pos="2665" w:val="left" w:leader="none"/>
        </w:tabs>
        <w:spacing w:line="235" w:lineRule="auto" w:before="0" w:after="0"/>
        <w:ind w:left="1984" w:right="1455" w:firstLine="0"/>
        <w:jc w:val="left"/>
        <w:rPr>
          <w:sz w:val="20"/>
        </w:rPr>
      </w:pPr>
      <w:r>
        <w:rPr>
          <w:w w:val="120"/>
          <w:sz w:val="20"/>
        </w:rPr>
        <w:t>The issuing of certificates of eligibility and certificates of limited service may appear to be a bureaucratic annoyance, yet we see it not only as </w:t>
      </w:r>
      <w:r>
        <w:rPr>
          <w:spacing w:val="2"/>
          <w:w w:val="120"/>
          <w:sz w:val="20"/>
        </w:rPr>
        <w:t>part </w:t>
      </w:r>
      <w:r>
        <w:rPr>
          <w:w w:val="120"/>
          <w:sz w:val="20"/>
        </w:rPr>
        <w:t>of our function to administer the roll of ministers, but also of significant pastoral import in supporting congregations and individuals and ensuring suitable</w:t>
      </w:r>
      <w:r>
        <w:rPr>
          <w:spacing w:val="23"/>
          <w:w w:val="120"/>
          <w:sz w:val="20"/>
        </w:rPr>
        <w:t> </w:t>
      </w:r>
      <w:r>
        <w:rPr>
          <w:w w:val="120"/>
          <w:sz w:val="20"/>
        </w:rPr>
        <w:t>accountability.</w:t>
      </w:r>
    </w:p>
    <w:p>
      <w:pPr>
        <w:pStyle w:val="Heading4"/>
        <w:numPr>
          <w:ilvl w:val="0"/>
          <w:numId w:val="102"/>
        </w:numPr>
        <w:tabs>
          <w:tab w:pos="2664" w:val="left" w:leader="none"/>
          <w:tab w:pos="2665" w:val="left" w:leader="none"/>
        </w:tabs>
        <w:spacing w:line="240" w:lineRule="auto" w:before="215" w:after="0"/>
        <w:ind w:left="2664" w:right="0" w:hanging="681"/>
        <w:jc w:val="left"/>
      </w:pPr>
      <w:r>
        <w:rPr>
          <w:spacing w:val="4"/>
          <w:w w:val="110"/>
        </w:rPr>
        <w:t>The </w:t>
      </w:r>
      <w:r>
        <w:rPr>
          <w:spacing w:val="2"/>
          <w:w w:val="110"/>
        </w:rPr>
        <w:t>roll </w:t>
      </w:r>
      <w:r>
        <w:rPr>
          <w:w w:val="110"/>
        </w:rPr>
        <w:t>of</w:t>
      </w:r>
      <w:r>
        <w:rPr>
          <w:spacing w:val="31"/>
          <w:w w:val="110"/>
        </w:rPr>
        <w:t> </w:t>
      </w:r>
      <w:r>
        <w:rPr>
          <w:spacing w:val="3"/>
          <w:w w:val="110"/>
        </w:rPr>
        <w:t>ministers</w:t>
      </w:r>
    </w:p>
    <w:p>
      <w:pPr>
        <w:pStyle w:val="Heading9"/>
        <w:spacing w:line="240" w:lineRule="auto" w:before="53"/>
        <w:ind w:left="1984" w:firstLine="0"/>
        <w:rPr>
          <w:rFonts w:ascii="Stone Sans II ITC Std X Bd"/>
          <w:b/>
        </w:rPr>
      </w:pPr>
      <w:r>
        <w:rPr>
          <w:rFonts w:ascii="Stone Sans II ITC Std X Bd"/>
          <w:b/>
          <w:w w:val="110"/>
        </w:rPr>
        <w:t>Admissions to the roll of ministers (from 1</w:t>
      </w:r>
      <w:r>
        <w:rPr>
          <w:rFonts w:ascii="Stone Sans II ITC Std X Bd"/>
          <w:b/>
          <w:w w:val="110"/>
          <w:position w:val="7"/>
          <w:sz w:val="11"/>
        </w:rPr>
        <w:t>st </w:t>
      </w:r>
      <w:r>
        <w:rPr>
          <w:rFonts w:ascii="Stone Sans II ITC Std X Bd"/>
          <w:b/>
          <w:w w:val="110"/>
        </w:rPr>
        <w:t>April 2012 to 31</w:t>
      </w:r>
      <w:r>
        <w:rPr>
          <w:rFonts w:ascii="Stone Sans II ITC Std X Bd"/>
          <w:b/>
          <w:w w:val="110"/>
          <w:position w:val="7"/>
          <w:sz w:val="11"/>
        </w:rPr>
        <w:t>st </w:t>
      </w:r>
      <w:r>
        <w:rPr>
          <w:rFonts w:ascii="Stone Sans II ITC Std X Bd"/>
          <w:b/>
          <w:w w:val="110"/>
        </w:rPr>
        <w:t>January 2014)</w:t>
      </w:r>
    </w:p>
    <w:p>
      <w:pPr>
        <w:pStyle w:val="BodyText"/>
        <w:spacing w:before="6"/>
        <w:rPr>
          <w:rFonts w:ascii="Stone Sans II ITC Std X Bd"/>
          <w:b/>
          <w:sz w:val="16"/>
        </w:rPr>
      </w:pPr>
    </w:p>
    <w:p>
      <w:pPr>
        <w:pStyle w:val="ListParagraph"/>
        <w:numPr>
          <w:ilvl w:val="1"/>
          <w:numId w:val="102"/>
        </w:numPr>
        <w:tabs>
          <w:tab w:pos="2664" w:val="left" w:leader="none"/>
          <w:tab w:pos="2665" w:val="left" w:leader="none"/>
        </w:tabs>
        <w:spacing w:line="242" w:lineRule="exact" w:before="0" w:after="0"/>
        <w:ind w:left="2664" w:right="0" w:hanging="681"/>
        <w:jc w:val="left"/>
        <w:rPr>
          <w:sz w:val="20"/>
        </w:rPr>
      </w:pPr>
      <w:r>
        <w:rPr>
          <w:w w:val="120"/>
          <w:sz w:val="20"/>
        </w:rPr>
        <w:t>By ordination and</w:t>
      </w:r>
      <w:r>
        <w:rPr>
          <w:spacing w:val="6"/>
          <w:w w:val="120"/>
          <w:sz w:val="20"/>
        </w:rPr>
        <w:t> </w:t>
      </w:r>
      <w:r>
        <w:rPr>
          <w:w w:val="120"/>
          <w:sz w:val="20"/>
        </w:rPr>
        <w:t>induction:</w:t>
      </w:r>
    </w:p>
    <w:p>
      <w:pPr>
        <w:pStyle w:val="BodyText"/>
        <w:spacing w:line="235" w:lineRule="auto" w:before="2"/>
        <w:ind w:left="1984" w:right="1352"/>
      </w:pPr>
      <w:r>
        <w:rPr>
          <w:w w:val="120"/>
        </w:rPr>
        <w:t>Nigel Adkinson, Heather-Anne Adlem, Lorraine Aizlewood-Threlfall, Kay Blackwell, Nicholas Brindley, Chris Burgham, Harmke Aleida Dorothee Büürma, Allison Claxton, Graham Dadd, Christopher Kemshell, Anne Lewitt, Mhari Mclintock, George Mwura, Rosemary Shirley, Penelope Smirthwaite, Melanie Smith, Helen Warmington,</w:t>
      </w:r>
    </w:p>
    <w:p>
      <w:pPr>
        <w:pStyle w:val="BodyText"/>
        <w:spacing w:line="243" w:lineRule="exact"/>
        <w:ind w:left="1984"/>
      </w:pPr>
      <w:r>
        <w:rPr>
          <w:w w:val="120"/>
        </w:rPr>
        <w:t>Ruth Watson, Meryl White, Grant Wilson, William Young</w:t>
      </w:r>
    </w:p>
    <w:p>
      <w:pPr>
        <w:pStyle w:val="BodyText"/>
        <w:spacing w:before="3"/>
        <w:rPr>
          <w:sz w:val="19"/>
        </w:rPr>
      </w:pPr>
    </w:p>
    <w:p>
      <w:pPr>
        <w:pStyle w:val="ListParagraph"/>
        <w:numPr>
          <w:ilvl w:val="1"/>
          <w:numId w:val="102"/>
        </w:numPr>
        <w:tabs>
          <w:tab w:pos="2664" w:val="left" w:leader="none"/>
          <w:tab w:pos="2665" w:val="left" w:leader="none"/>
        </w:tabs>
        <w:spacing w:line="242" w:lineRule="exact" w:before="1" w:after="0"/>
        <w:ind w:left="2664" w:right="0" w:hanging="681"/>
        <w:jc w:val="left"/>
        <w:rPr>
          <w:sz w:val="20"/>
        </w:rPr>
      </w:pPr>
      <w:r>
        <w:rPr>
          <w:w w:val="115"/>
          <w:sz w:val="20"/>
        </w:rPr>
        <w:t>By transfer from other</w:t>
      </w:r>
      <w:r>
        <w:rPr>
          <w:spacing w:val="19"/>
          <w:w w:val="115"/>
          <w:sz w:val="20"/>
        </w:rPr>
        <w:t> </w:t>
      </w:r>
      <w:r>
        <w:rPr>
          <w:w w:val="115"/>
          <w:sz w:val="20"/>
        </w:rPr>
        <w:t>churches:</w:t>
      </w:r>
    </w:p>
    <w:p>
      <w:pPr>
        <w:pStyle w:val="BodyText"/>
        <w:spacing w:line="235" w:lineRule="auto" w:before="1"/>
        <w:ind w:left="1984" w:right="1244"/>
      </w:pPr>
      <w:r>
        <w:rPr>
          <w:w w:val="125"/>
        </w:rPr>
        <w:t>Ernie Bosse (Uniting Presbyterian Church in Southern Africa), Alan Gibbon (Congregational</w:t>
      </w:r>
      <w:r>
        <w:rPr>
          <w:spacing w:val="-32"/>
          <w:w w:val="125"/>
        </w:rPr>
        <w:t> </w:t>
      </w:r>
      <w:r>
        <w:rPr>
          <w:w w:val="125"/>
        </w:rPr>
        <w:t>Federation),</w:t>
      </w:r>
      <w:r>
        <w:rPr>
          <w:spacing w:val="-31"/>
          <w:w w:val="125"/>
        </w:rPr>
        <w:t> </w:t>
      </w:r>
      <w:r>
        <w:rPr>
          <w:w w:val="125"/>
        </w:rPr>
        <w:t>Joan</w:t>
      </w:r>
      <w:r>
        <w:rPr>
          <w:spacing w:val="-31"/>
          <w:w w:val="125"/>
        </w:rPr>
        <w:t> </w:t>
      </w:r>
      <w:r>
        <w:rPr>
          <w:w w:val="125"/>
        </w:rPr>
        <w:t>Ross</w:t>
      </w:r>
      <w:r>
        <w:rPr>
          <w:spacing w:val="-31"/>
          <w:w w:val="125"/>
        </w:rPr>
        <w:t> </w:t>
      </w:r>
      <w:r>
        <w:rPr>
          <w:w w:val="125"/>
        </w:rPr>
        <w:t>(Presbyterian</w:t>
      </w:r>
      <w:r>
        <w:rPr>
          <w:spacing w:val="-31"/>
          <w:w w:val="125"/>
        </w:rPr>
        <w:t> </w:t>
      </w:r>
      <w:r>
        <w:rPr>
          <w:w w:val="125"/>
        </w:rPr>
        <w:t>Church</w:t>
      </w:r>
      <w:r>
        <w:rPr>
          <w:spacing w:val="-31"/>
          <w:w w:val="125"/>
        </w:rPr>
        <w:t> </w:t>
      </w:r>
      <w:r>
        <w:rPr>
          <w:w w:val="125"/>
        </w:rPr>
        <w:t>of</w:t>
      </w:r>
      <w:r>
        <w:rPr>
          <w:spacing w:val="-31"/>
          <w:w w:val="125"/>
        </w:rPr>
        <w:t> </w:t>
      </w:r>
      <w:r>
        <w:rPr>
          <w:w w:val="125"/>
        </w:rPr>
        <w:t>Aotearoa</w:t>
      </w:r>
      <w:r>
        <w:rPr>
          <w:spacing w:val="-31"/>
          <w:w w:val="125"/>
        </w:rPr>
        <w:t> </w:t>
      </w:r>
      <w:r>
        <w:rPr>
          <w:w w:val="125"/>
        </w:rPr>
        <w:t>New</w:t>
      </w:r>
      <w:r>
        <w:rPr>
          <w:spacing w:val="-31"/>
          <w:w w:val="125"/>
        </w:rPr>
        <w:t> </w:t>
      </w:r>
      <w:r>
        <w:rPr>
          <w:w w:val="125"/>
        </w:rPr>
        <w:t>Zealand), Wilbert Sayimani (Uniting Presbyterian Church in Southern Africa), Samuel Silungwe (The United Church </w:t>
      </w:r>
      <w:r>
        <w:rPr>
          <w:spacing w:val="2"/>
          <w:w w:val="125"/>
        </w:rPr>
        <w:t>Of</w:t>
      </w:r>
      <w:r>
        <w:rPr>
          <w:spacing w:val="-3"/>
          <w:w w:val="125"/>
        </w:rPr>
        <w:t> </w:t>
      </w:r>
      <w:r>
        <w:rPr>
          <w:w w:val="125"/>
        </w:rPr>
        <w:t>Zambia)</w:t>
      </w:r>
    </w:p>
    <w:p>
      <w:pPr>
        <w:pStyle w:val="BodyText"/>
        <w:spacing w:before="7"/>
        <w:rPr>
          <w:sz w:val="19"/>
        </w:rPr>
      </w:pPr>
    </w:p>
    <w:p>
      <w:pPr>
        <w:pStyle w:val="ListParagraph"/>
        <w:numPr>
          <w:ilvl w:val="1"/>
          <w:numId w:val="102"/>
        </w:numPr>
        <w:tabs>
          <w:tab w:pos="2664" w:val="left" w:leader="none"/>
          <w:tab w:pos="2665" w:val="left" w:leader="none"/>
        </w:tabs>
        <w:spacing w:line="242" w:lineRule="exact" w:before="0" w:after="0"/>
        <w:ind w:left="2664" w:right="0" w:hanging="681"/>
        <w:jc w:val="left"/>
        <w:rPr>
          <w:sz w:val="20"/>
        </w:rPr>
      </w:pPr>
      <w:r>
        <w:rPr>
          <w:w w:val="120"/>
          <w:sz w:val="20"/>
        </w:rPr>
        <w:t>By changes within the roll of</w:t>
      </w:r>
      <w:r>
        <w:rPr>
          <w:spacing w:val="11"/>
          <w:w w:val="120"/>
          <w:sz w:val="20"/>
        </w:rPr>
        <w:t> </w:t>
      </w:r>
      <w:r>
        <w:rPr>
          <w:w w:val="120"/>
          <w:sz w:val="20"/>
        </w:rPr>
        <w:t>ministers:</w:t>
      </w:r>
    </w:p>
    <w:p>
      <w:pPr>
        <w:pStyle w:val="BodyText"/>
        <w:spacing w:line="235" w:lineRule="auto" w:before="2"/>
        <w:ind w:left="1984" w:right="1251"/>
      </w:pPr>
      <w:r>
        <w:rPr>
          <w:w w:val="120"/>
        </w:rPr>
        <w:t>James Gascoigne (non-stipendiary to stipendiary service), Robert Maloney (non- stipendiary to stipendiary service), Andrew Royal (non-stipendiary to stipendiary service)</w:t>
      </w:r>
    </w:p>
    <w:p>
      <w:pPr>
        <w:pStyle w:val="BodyText"/>
        <w:spacing w:before="10"/>
        <w:rPr>
          <w:sz w:val="19"/>
        </w:rPr>
      </w:pPr>
    </w:p>
    <w:p>
      <w:pPr>
        <w:pStyle w:val="ListParagraph"/>
        <w:numPr>
          <w:ilvl w:val="1"/>
          <w:numId w:val="102"/>
        </w:numPr>
        <w:tabs>
          <w:tab w:pos="2664" w:val="left" w:leader="none"/>
          <w:tab w:pos="2665" w:val="left" w:leader="none"/>
        </w:tabs>
        <w:spacing w:line="235" w:lineRule="auto" w:before="0" w:after="0"/>
        <w:ind w:left="1984" w:right="1739" w:firstLine="0"/>
        <w:jc w:val="left"/>
        <w:rPr>
          <w:sz w:val="20"/>
        </w:rPr>
      </w:pPr>
      <w:r>
        <w:rPr>
          <w:w w:val="120"/>
          <w:sz w:val="20"/>
        </w:rPr>
        <w:t>Deletions</w:t>
      </w:r>
      <w:r>
        <w:rPr>
          <w:spacing w:val="-4"/>
          <w:w w:val="120"/>
          <w:sz w:val="20"/>
        </w:rPr>
        <w:t> </w:t>
      </w:r>
      <w:r>
        <w:rPr>
          <w:w w:val="120"/>
          <w:sz w:val="20"/>
        </w:rPr>
        <w:t>from</w:t>
      </w:r>
      <w:r>
        <w:rPr>
          <w:spacing w:val="-4"/>
          <w:w w:val="120"/>
          <w:sz w:val="20"/>
        </w:rPr>
        <w:t> </w:t>
      </w:r>
      <w:r>
        <w:rPr>
          <w:w w:val="120"/>
          <w:sz w:val="20"/>
        </w:rPr>
        <w:t>the</w:t>
      </w:r>
      <w:r>
        <w:rPr>
          <w:spacing w:val="-4"/>
          <w:w w:val="120"/>
          <w:sz w:val="20"/>
        </w:rPr>
        <w:t> </w:t>
      </w:r>
      <w:r>
        <w:rPr>
          <w:w w:val="120"/>
          <w:sz w:val="20"/>
        </w:rPr>
        <w:t>roll</w:t>
      </w:r>
      <w:r>
        <w:rPr>
          <w:spacing w:val="-4"/>
          <w:w w:val="120"/>
          <w:sz w:val="20"/>
        </w:rPr>
        <w:t> </w:t>
      </w:r>
      <w:r>
        <w:rPr>
          <w:w w:val="120"/>
          <w:sz w:val="20"/>
        </w:rPr>
        <w:t>of</w:t>
      </w:r>
      <w:r>
        <w:rPr>
          <w:spacing w:val="-4"/>
          <w:w w:val="120"/>
          <w:sz w:val="20"/>
        </w:rPr>
        <w:t> </w:t>
      </w:r>
      <w:r>
        <w:rPr>
          <w:w w:val="120"/>
          <w:sz w:val="20"/>
        </w:rPr>
        <w:t>Ministers</w:t>
      </w:r>
      <w:r>
        <w:rPr>
          <w:spacing w:val="-4"/>
          <w:w w:val="120"/>
          <w:sz w:val="20"/>
        </w:rPr>
        <w:t> </w:t>
      </w:r>
      <w:r>
        <w:rPr>
          <w:w w:val="120"/>
          <w:sz w:val="20"/>
        </w:rPr>
        <w:t>by</w:t>
      </w:r>
      <w:r>
        <w:rPr>
          <w:spacing w:val="-3"/>
          <w:w w:val="120"/>
          <w:sz w:val="20"/>
        </w:rPr>
        <w:t> </w:t>
      </w:r>
      <w:r>
        <w:rPr>
          <w:w w:val="120"/>
          <w:sz w:val="20"/>
        </w:rPr>
        <w:t>resignation</w:t>
      </w:r>
      <w:r>
        <w:rPr>
          <w:spacing w:val="-4"/>
          <w:w w:val="120"/>
          <w:sz w:val="20"/>
        </w:rPr>
        <w:t> </w:t>
      </w:r>
      <w:r>
        <w:rPr>
          <w:w w:val="120"/>
          <w:sz w:val="20"/>
        </w:rPr>
        <w:t>and/or</w:t>
      </w:r>
      <w:r>
        <w:rPr>
          <w:spacing w:val="-4"/>
          <w:w w:val="120"/>
          <w:sz w:val="20"/>
        </w:rPr>
        <w:t> </w:t>
      </w:r>
      <w:r>
        <w:rPr>
          <w:w w:val="120"/>
          <w:sz w:val="20"/>
        </w:rPr>
        <w:t>transfer</w:t>
      </w:r>
      <w:r>
        <w:rPr>
          <w:spacing w:val="-4"/>
          <w:w w:val="120"/>
          <w:sz w:val="20"/>
        </w:rPr>
        <w:t> </w:t>
      </w:r>
      <w:r>
        <w:rPr>
          <w:w w:val="120"/>
          <w:sz w:val="20"/>
        </w:rPr>
        <w:t>to</w:t>
      </w:r>
      <w:r>
        <w:rPr>
          <w:spacing w:val="-4"/>
          <w:w w:val="120"/>
          <w:sz w:val="20"/>
        </w:rPr>
        <w:t> </w:t>
      </w:r>
      <w:r>
        <w:rPr>
          <w:w w:val="120"/>
          <w:sz w:val="20"/>
        </w:rPr>
        <w:t>another denomination:</w:t>
      </w:r>
    </w:p>
    <w:p>
      <w:pPr>
        <w:pStyle w:val="BodyText"/>
        <w:spacing w:line="242" w:lineRule="exact"/>
        <w:ind w:left="1984"/>
      </w:pPr>
      <w:r>
        <w:rPr>
          <w:w w:val="120"/>
        </w:rPr>
        <w:t>George McCleave, Andrew Pugh, John Rees</w:t>
      </w:r>
    </w:p>
    <w:p>
      <w:pPr>
        <w:pStyle w:val="Heading4"/>
        <w:numPr>
          <w:ilvl w:val="0"/>
          <w:numId w:val="102"/>
        </w:numPr>
        <w:tabs>
          <w:tab w:pos="2664" w:val="left" w:leader="none"/>
          <w:tab w:pos="2665" w:val="left" w:leader="none"/>
        </w:tabs>
        <w:spacing w:line="240" w:lineRule="auto" w:before="212" w:after="0"/>
        <w:ind w:left="2664" w:right="0" w:hanging="681"/>
        <w:jc w:val="left"/>
      </w:pPr>
      <w:r>
        <w:rPr>
          <w:spacing w:val="3"/>
          <w:w w:val="110"/>
        </w:rPr>
        <w:t>Church </w:t>
      </w:r>
      <w:r>
        <w:rPr>
          <w:spacing w:val="2"/>
          <w:w w:val="110"/>
        </w:rPr>
        <w:t>related </w:t>
      </w:r>
      <w:r>
        <w:rPr>
          <w:spacing w:val="4"/>
          <w:w w:val="110"/>
        </w:rPr>
        <w:t>community</w:t>
      </w:r>
      <w:r>
        <w:rPr>
          <w:spacing w:val="33"/>
          <w:w w:val="110"/>
        </w:rPr>
        <w:t> </w:t>
      </w:r>
      <w:r>
        <w:rPr>
          <w:spacing w:val="3"/>
          <w:w w:val="110"/>
        </w:rPr>
        <w:t>workers</w:t>
      </w:r>
    </w:p>
    <w:p>
      <w:pPr>
        <w:pStyle w:val="Heading9"/>
        <w:spacing w:line="213" w:lineRule="auto" w:before="75"/>
        <w:ind w:left="1984" w:right="3206" w:firstLine="0"/>
        <w:rPr>
          <w:rFonts w:ascii="Stone Sans II ITC Std X Bd"/>
          <w:b/>
        </w:rPr>
      </w:pPr>
      <w:r>
        <w:rPr>
          <w:rFonts w:ascii="Stone Sans II ITC Std X Bd"/>
          <w:b/>
          <w:w w:val="110"/>
        </w:rPr>
        <w:t>Admission to the Roll of church related community workers (from 1</w:t>
      </w:r>
      <w:r>
        <w:rPr>
          <w:rFonts w:ascii="Stone Sans II ITC Std X Bd"/>
          <w:b/>
          <w:w w:val="110"/>
          <w:position w:val="7"/>
          <w:sz w:val="11"/>
        </w:rPr>
        <w:t>st </w:t>
      </w:r>
      <w:r>
        <w:rPr>
          <w:rFonts w:ascii="Stone Sans II ITC Std X Bd"/>
          <w:b/>
          <w:w w:val="110"/>
        </w:rPr>
        <w:t>April 2012 to 31</w:t>
      </w:r>
      <w:r>
        <w:rPr>
          <w:rFonts w:ascii="Stone Sans II ITC Std X Bd"/>
          <w:b/>
          <w:w w:val="110"/>
          <w:position w:val="7"/>
          <w:sz w:val="11"/>
        </w:rPr>
        <w:t>st </w:t>
      </w:r>
      <w:r>
        <w:rPr>
          <w:rFonts w:ascii="Stone Sans II ITC Std X Bd"/>
          <w:b/>
          <w:w w:val="110"/>
        </w:rPr>
        <w:t>January 2014) by commissioning:</w:t>
      </w:r>
    </w:p>
    <w:p>
      <w:pPr>
        <w:pStyle w:val="BodyText"/>
        <w:spacing w:before="12"/>
        <w:rPr>
          <w:rFonts w:ascii="Stone Sans II ITC Std X Bd"/>
          <w:b/>
          <w:sz w:val="16"/>
        </w:rPr>
      </w:pPr>
    </w:p>
    <w:p>
      <w:pPr>
        <w:spacing w:before="0"/>
        <w:ind w:left="1984" w:right="0" w:firstLine="0"/>
        <w:jc w:val="left"/>
        <w:rPr>
          <w:i/>
          <w:sz w:val="20"/>
        </w:rPr>
      </w:pPr>
      <w:r>
        <w:rPr>
          <w:i/>
          <w:w w:val="115"/>
          <w:sz w:val="20"/>
        </w:rPr>
        <w:t>None</w:t>
      </w:r>
    </w:p>
    <w:p>
      <w:pPr>
        <w:pStyle w:val="Heading4"/>
        <w:numPr>
          <w:ilvl w:val="0"/>
          <w:numId w:val="102"/>
        </w:numPr>
        <w:tabs>
          <w:tab w:pos="2664" w:val="left" w:leader="none"/>
          <w:tab w:pos="2665" w:val="left" w:leader="none"/>
        </w:tabs>
        <w:spacing w:line="240" w:lineRule="auto" w:before="212" w:after="0"/>
        <w:ind w:left="2664" w:right="0" w:hanging="681"/>
        <w:jc w:val="left"/>
      </w:pPr>
      <w:r>
        <w:rPr>
          <w:spacing w:val="4"/>
          <w:w w:val="110"/>
        </w:rPr>
        <w:t>Assembly </w:t>
      </w:r>
      <w:r>
        <w:rPr>
          <w:spacing w:val="3"/>
          <w:w w:val="110"/>
        </w:rPr>
        <w:t>accredited </w:t>
      </w:r>
      <w:r>
        <w:rPr>
          <w:w w:val="110"/>
        </w:rPr>
        <w:t>lay</w:t>
      </w:r>
      <w:r>
        <w:rPr>
          <w:spacing w:val="32"/>
          <w:w w:val="110"/>
        </w:rPr>
        <w:t> </w:t>
      </w:r>
      <w:r>
        <w:rPr>
          <w:spacing w:val="4"/>
          <w:w w:val="110"/>
        </w:rPr>
        <w:t>preachers</w:t>
      </w:r>
    </w:p>
    <w:p>
      <w:pPr>
        <w:pStyle w:val="ListParagraph"/>
        <w:numPr>
          <w:ilvl w:val="1"/>
          <w:numId w:val="102"/>
        </w:numPr>
        <w:tabs>
          <w:tab w:pos="2664" w:val="left" w:leader="none"/>
          <w:tab w:pos="2665" w:val="left" w:leader="none"/>
        </w:tabs>
        <w:spacing w:line="235" w:lineRule="auto" w:before="69" w:after="0"/>
        <w:ind w:left="1984" w:right="1488" w:firstLine="0"/>
        <w:jc w:val="left"/>
        <w:rPr>
          <w:sz w:val="20"/>
        </w:rPr>
      </w:pPr>
      <w:r>
        <w:rPr>
          <w:w w:val="120"/>
          <w:sz w:val="20"/>
        </w:rPr>
        <w:t>The following have received Assembly accreditation between </w:t>
      </w:r>
      <w:r>
        <w:rPr>
          <w:spacing w:val="-4"/>
          <w:w w:val="120"/>
          <w:sz w:val="20"/>
        </w:rPr>
        <w:t>1</w:t>
      </w:r>
      <w:r>
        <w:rPr>
          <w:spacing w:val="-4"/>
          <w:w w:val="120"/>
          <w:position w:val="7"/>
          <w:sz w:val="11"/>
        </w:rPr>
        <w:t>st </w:t>
      </w:r>
      <w:r>
        <w:rPr>
          <w:w w:val="120"/>
          <w:sz w:val="20"/>
        </w:rPr>
        <w:t>April </w:t>
      </w:r>
      <w:r>
        <w:rPr>
          <w:spacing w:val="-7"/>
          <w:w w:val="120"/>
          <w:sz w:val="20"/>
        </w:rPr>
        <w:t>2012 </w:t>
      </w:r>
      <w:r>
        <w:rPr>
          <w:w w:val="120"/>
          <w:sz w:val="20"/>
        </w:rPr>
        <w:t>to </w:t>
      </w:r>
      <w:r>
        <w:rPr>
          <w:spacing w:val="-6"/>
          <w:w w:val="120"/>
          <w:sz w:val="20"/>
        </w:rPr>
        <w:t>31</w:t>
      </w:r>
      <w:r>
        <w:rPr>
          <w:spacing w:val="-6"/>
          <w:w w:val="120"/>
          <w:position w:val="7"/>
          <w:sz w:val="11"/>
        </w:rPr>
        <w:t>st </w:t>
      </w:r>
      <w:r>
        <w:rPr>
          <w:w w:val="120"/>
          <w:sz w:val="20"/>
        </w:rPr>
        <w:t>January </w:t>
      </w:r>
      <w:r>
        <w:rPr>
          <w:spacing w:val="-7"/>
          <w:w w:val="120"/>
          <w:sz w:val="20"/>
        </w:rPr>
        <w:t>2014 </w:t>
      </w:r>
      <w:r>
        <w:rPr>
          <w:w w:val="120"/>
          <w:sz w:val="20"/>
        </w:rPr>
        <w:t>as a result of having completed a United Reformed Church course of study or have prior accreditation from another</w:t>
      </w:r>
      <w:r>
        <w:rPr>
          <w:spacing w:val="14"/>
          <w:w w:val="120"/>
          <w:sz w:val="20"/>
        </w:rPr>
        <w:t> </w:t>
      </w:r>
      <w:r>
        <w:rPr>
          <w:w w:val="120"/>
          <w:sz w:val="20"/>
        </w:rPr>
        <w:t>denomination.</w:t>
      </w:r>
    </w:p>
    <w:p>
      <w:pPr>
        <w:pStyle w:val="BodyText"/>
        <w:tabs>
          <w:tab w:pos="4864" w:val="left" w:leader="none"/>
        </w:tabs>
        <w:spacing w:line="235" w:lineRule="auto" w:before="3"/>
        <w:ind w:left="1984" w:right="1301"/>
      </w:pPr>
      <w:r>
        <w:rPr>
          <w:w w:val="120"/>
        </w:rPr>
        <w:t>Northern:</w:t>
        <w:tab/>
        <w:t>Helen Cooper, Paul Dempster, Donna Moore, Clare Oswell </w:t>
      </w:r>
      <w:r>
        <w:rPr>
          <w:spacing w:val="2"/>
          <w:w w:val="120"/>
        </w:rPr>
        <w:t>North</w:t>
      </w:r>
      <w:r>
        <w:rPr>
          <w:w w:val="120"/>
        </w:rPr>
        <w:t> Western Synod:</w:t>
        <w:tab/>
        <w:t>Michael</w:t>
      </w:r>
      <w:r>
        <w:rPr>
          <w:spacing w:val="1"/>
          <w:w w:val="120"/>
        </w:rPr>
        <w:t> </w:t>
      </w:r>
      <w:r>
        <w:rPr>
          <w:w w:val="120"/>
        </w:rPr>
        <w:t>Brueck</w:t>
      </w:r>
    </w:p>
    <w:p>
      <w:pPr>
        <w:pStyle w:val="BodyText"/>
        <w:tabs>
          <w:tab w:pos="4864" w:val="left" w:leader="none"/>
        </w:tabs>
        <w:spacing w:line="240" w:lineRule="exact"/>
        <w:ind w:left="1984"/>
      </w:pPr>
      <w:r>
        <w:rPr>
          <w:w w:val="115"/>
        </w:rPr>
        <w:t>Mersey:</w:t>
        <w:tab/>
        <w:t>Joan</w:t>
      </w:r>
      <w:r>
        <w:rPr>
          <w:spacing w:val="4"/>
          <w:w w:val="115"/>
        </w:rPr>
        <w:t> </w:t>
      </w:r>
      <w:r>
        <w:rPr>
          <w:w w:val="115"/>
        </w:rPr>
        <w:t>Colwell</w:t>
      </w:r>
    </w:p>
    <w:p>
      <w:pPr>
        <w:pStyle w:val="BodyText"/>
        <w:tabs>
          <w:tab w:pos="4864" w:val="left" w:leader="none"/>
        </w:tabs>
        <w:spacing w:line="240" w:lineRule="exact"/>
        <w:ind w:left="1984"/>
      </w:pPr>
      <w:r>
        <w:rPr>
          <w:w w:val="120"/>
        </w:rPr>
        <w:t>Yorkshire Synod:</w:t>
        <w:tab/>
        <w:t>Elizabeth Aizlewood, Liz</w:t>
      </w:r>
      <w:r>
        <w:rPr>
          <w:spacing w:val="7"/>
          <w:w w:val="120"/>
        </w:rPr>
        <w:t> </w:t>
      </w:r>
      <w:r>
        <w:rPr>
          <w:w w:val="120"/>
        </w:rPr>
        <w:t>Bird</w:t>
      </w:r>
    </w:p>
    <w:p>
      <w:pPr>
        <w:pStyle w:val="BodyText"/>
        <w:tabs>
          <w:tab w:pos="4864" w:val="left" w:leader="none"/>
        </w:tabs>
        <w:spacing w:line="235" w:lineRule="auto" w:before="1"/>
        <w:ind w:left="1984" w:right="2549"/>
        <w:jc w:val="both"/>
      </w:pPr>
      <w:r>
        <w:rPr>
          <w:w w:val="120"/>
        </w:rPr>
        <w:t>East</w:t>
      </w:r>
      <w:r>
        <w:rPr>
          <w:spacing w:val="1"/>
          <w:w w:val="120"/>
        </w:rPr>
        <w:t> </w:t>
      </w:r>
      <w:r>
        <w:rPr>
          <w:w w:val="120"/>
        </w:rPr>
        <w:t>Midlands</w:t>
      </w:r>
      <w:r>
        <w:rPr>
          <w:spacing w:val="2"/>
          <w:w w:val="120"/>
        </w:rPr>
        <w:t> </w:t>
      </w:r>
      <w:r>
        <w:rPr>
          <w:w w:val="120"/>
        </w:rPr>
        <w:t>Synod:</w:t>
        <w:tab/>
        <w:t>Mark Hodgson, Jean Hudson, Wendy Pittman Eastern Synod:</w:t>
        <w:tab/>
        <w:t>Richard Lewney, Christine Macleod, Sara Pells South Western Synod:</w:t>
        <w:tab/>
        <w:t>David</w:t>
      </w:r>
      <w:r>
        <w:rPr>
          <w:spacing w:val="2"/>
          <w:w w:val="120"/>
        </w:rPr>
        <w:t> </w:t>
      </w:r>
      <w:r>
        <w:rPr>
          <w:w w:val="120"/>
        </w:rPr>
        <w:t>Hoar</w:t>
      </w:r>
    </w:p>
    <w:p>
      <w:pPr>
        <w:pStyle w:val="BodyText"/>
        <w:tabs>
          <w:tab w:pos="4864" w:val="left" w:leader="none"/>
        </w:tabs>
        <w:spacing w:line="240" w:lineRule="exact"/>
        <w:ind w:left="1984"/>
        <w:jc w:val="both"/>
      </w:pPr>
      <w:r>
        <w:rPr>
          <w:w w:val="120"/>
        </w:rPr>
        <w:t>Wessex:</w:t>
        <w:tab/>
        <w:t>Rosie Martin, Paul</w:t>
      </w:r>
      <w:r>
        <w:rPr>
          <w:spacing w:val="4"/>
          <w:w w:val="120"/>
        </w:rPr>
        <w:t> </w:t>
      </w:r>
      <w:r>
        <w:rPr>
          <w:w w:val="120"/>
        </w:rPr>
        <w:t>Stein</w:t>
      </w:r>
    </w:p>
    <w:p>
      <w:pPr>
        <w:pStyle w:val="BodyText"/>
        <w:tabs>
          <w:tab w:pos="4864" w:val="left" w:leader="none"/>
        </w:tabs>
        <w:spacing w:line="240" w:lineRule="exact"/>
        <w:ind w:left="1984"/>
        <w:jc w:val="both"/>
      </w:pPr>
      <w:r>
        <w:rPr>
          <w:w w:val="120"/>
        </w:rPr>
        <w:t>Thames</w:t>
      </w:r>
      <w:r>
        <w:rPr>
          <w:spacing w:val="5"/>
          <w:w w:val="120"/>
        </w:rPr>
        <w:t> </w:t>
      </w:r>
      <w:r>
        <w:rPr>
          <w:spacing w:val="2"/>
          <w:w w:val="120"/>
        </w:rPr>
        <w:t>North</w:t>
      </w:r>
      <w:r>
        <w:rPr>
          <w:spacing w:val="6"/>
          <w:w w:val="120"/>
        </w:rPr>
        <w:t> </w:t>
      </w:r>
      <w:r>
        <w:rPr>
          <w:w w:val="120"/>
        </w:rPr>
        <w:t>Synod:</w:t>
        <w:tab/>
        <w:t>Sally Bateman, Anne Byfield, Lola Fatogun, Jackie</w:t>
      </w:r>
      <w:r>
        <w:rPr>
          <w:spacing w:val="11"/>
          <w:w w:val="120"/>
        </w:rPr>
        <w:t> </w:t>
      </w:r>
      <w:r>
        <w:rPr>
          <w:w w:val="120"/>
        </w:rPr>
        <w:t>Haws,</w:t>
      </w:r>
    </w:p>
    <w:p>
      <w:pPr>
        <w:pStyle w:val="BodyText"/>
        <w:spacing w:line="240" w:lineRule="exact"/>
        <w:ind w:left="4864"/>
        <w:jc w:val="both"/>
      </w:pPr>
      <w:r>
        <w:rPr>
          <w:w w:val="120"/>
        </w:rPr>
        <w:t>Peter Knowles, Marion McNeill</w:t>
      </w:r>
    </w:p>
    <w:p>
      <w:pPr>
        <w:pStyle w:val="BodyText"/>
        <w:tabs>
          <w:tab w:pos="4864" w:val="left" w:leader="none"/>
        </w:tabs>
        <w:spacing w:line="235" w:lineRule="auto" w:before="2"/>
        <w:ind w:left="1984" w:right="2878"/>
        <w:jc w:val="both"/>
      </w:pPr>
      <w:r>
        <w:rPr>
          <w:w w:val="120"/>
        </w:rPr>
        <w:t>Southern</w:t>
      </w:r>
      <w:r>
        <w:rPr>
          <w:spacing w:val="7"/>
          <w:w w:val="120"/>
        </w:rPr>
        <w:t> </w:t>
      </w:r>
      <w:r>
        <w:rPr>
          <w:w w:val="120"/>
        </w:rPr>
        <w:t>Synod:</w:t>
        <w:tab/>
        <w:t>Linda </w:t>
      </w:r>
      <w:r>
        <w:rPr>
          <w:spacing w:val="2"/>
          <w:w w:val="120"/>
        </w:rPr>
        <w:t>Lambert, </w:t>
      </w:r>
      <w:r>
        <w:rPr>
          <w:w w:val="120"/>
        </w:rPr>
        <w:t>Joanne Patel, Dawn Powell The Synod</w:t>
      </w:r>
      <w:r>
        <w:rPr>
          <w:spacing w:val="13"/>
          <w:w w:val="120"/>
        </w:rPr>
        <w:t> </w:t>
      </w:r>
      <w:r>
        <w:rPr>
          <w:w w:val="120"/>
        </w:rPr>
        <w:t>of</w:t>
      </w:r>
      <w:r>
        <w:rPr>
          <w:spacing w:val="7"/>
          <w:w w:val="120"/>
        </w:rPr>
        <w:t> </w:t>
      </w:r>
      <w:r>
        <w:rPr>
          <w:w w:val="120"/>
        </w:rPr>
        <w:t>Scotland:</w:t>
        <w:tab/>
        <w:t>Heather Leighton, Elinor</w:t>
      </w:r>
      <w:r>
        <w:rPr>
          <w:spacing w:val="16"/>
          <w:w w:val="120"/>
        </w:rPr>
        <w:t> </w:t>
      </w:r>
      <w:r>
        <w:rPr>
          <w:w w:val="120"/>
        </w:rPr>
        <w:t>McCulloch</w:t>
      </w:r>
    </w:p>
    <w:p>
      <w:pPr>
        <w:pStyle w:val="BodyText"/>
        <w:spacing w:before="9"/>
        <w:rPr>
          <w:sz w:val="19"/>
        </w:rPr>
      </w:pPr>
    </w:p>
    <w:p>
      <w:pPr>
        <w:pStyle w:val="ListParagraph"/>
        <w:numPr>
          <w:ilvl w:val="1"/>
          <w:numId w:val="102"/>
        </w:numPr>
        <w:tabs>
          <w:tab w:pos="2664" w:val="left" w:leader="none"/>
          <w:tab w:pos="2665" w:val="left" w:leader="none"/>
        </w:tabs>
        <w:spacing w:line="235" w:lineRule="auto" w:before="1" w:after="0"/>
        <w:ind w:left="1984" w:right="1526" w:firstLine="0"/>
        <w:jc w:val="left"/>
        <w:rPr>
          <w:sz w:val="20"/>
        </w:rPr>
      </w:pPr>
      <w:r>
        <w:rPr>
          <w:spacing w:val="-2"/>
          <w:w w:val="120"/>
          <w:sz w:val="20"/>
        </w:rPr>
        <w:t>Twenty </w:t>
      </w:r>
      <w:r>
        <w:rPr>
          <w:w w:val="120"/>
          <w:sz w:val="20"/>
        </w:rPr>
        <w:t>six of these lay preachers had successfully studied through Training for Learning and</w:t>
      </w:r>
      <w:r>
        <w:rPr>
          <w:spacing w:val="4"/>
          <w:w w:val="120"/>
          <w:sz w:val="20"/>
        </w:rPr>
        <w:t> </w:t>
      </w:r>
      <w:r>
        <w:rPr>
          <w:w w:val="120"/>
          <w:sz w:val="20"/>
        </w:rPr>
        <w:t>Service.</w:t>
      </w:r>
    </w:p>
    <w:p>
      <w:pPr>
        <w:spacing w:after="0" w:line="235" w:lineRule="auto"/>
        <w:jc w:val="left"/>
        <w:rPr>
          <w:sz w:val="20"/>
        </w:rPr>
        <w:sectPr>
          <w:headerReference w:type="default" r:id="rId423"/>
          <w:pgSz w:w="11910" w:h="16840"/>
          <w:pgMar w:header="0" w:footer="647" w:top="0" w:bottom="840" w:left="0" w:right="0"/>
        </w:sectPr>
      </w:pPr>
    </w:p>
    <w:p>
      <w:pPr>
        <w:pStyle w:val="BodyText"/>
      </w:pPr>
      <w:r>
        <w:rPr/>
        <w:drawing>
          <wp:anchor distT="0" distB="0" distL="0" distR="0" allowOverlap="1" layoutInCell="1" locked="0" behindDoc="0" simplePos="0" relativeHeight="252127232">
            <wp:simplePos x="0" y="0"/>
            <wp:positionH relativeFrom="page">
              <wp:posOffset>0</wp:posOffset>
            </wp:positionH>
            <wp:positionV relativeFrom="page">
              <wp:posOffset>0</wp:posOffset>
            </wp:positionV>
            <wp:extent cx="594067" cy="10692003"/>
            <wp:effectExtent l="0" t="0" r="0" b="0"/>
            <wp:wrapNone/>
            <wp:docPr id="349" name="image32.png"/>
            <wp:cNvGraphicFramePr>
              <a:graphicFrameLocks noChangeAspect="1"/>
            </wp:cNvGraphicFramePr>
            <a:graphic>
              <a:graphicData uri="http://schemas.openxmlformats.org/drawingml/2006/picture">
                <pic:pic>
                  <pic:nvPicPr>
                    <pic:cNvPr id="350" name="image32.png"/>
                    <pic:cNvPicPr/>
                  </pic:nvPicPr>
                  <pic:blipFill>
                    <a:blip r:embed="rId362" cstate="print"/>
                    <a:stretch>
                      <a:fillRect/>
                    </a:stretch>
                  </pic:blipFill>
                  <pic:spPr>
                    <a:xfrm>
                      <a:off x="0" y="0"/>
                      <a:ext cx="594067" cy="10692003"/>
                    </a:xfrm>
                    <a:prstGeom prst="rect">
                      <a:avLst/>
                    </a:prstGeom>
                  </pic:spPr>
                </pic:pic>
              </a:graphicData>
            </a:graphic>
          </wp:anchor>
        </w:drawing>
      </w:r>
    </w:p>
    <w:p>
      <w:pPr>
        <w:pStyle w:val="BodyText"/>
      </w:pPr>
    </w:p>
    <w:p>
      <w:pPr>
        <w:pStyle w:val="BodyText"/>
      </w:pPr>
    </w:p>
    <w:p>
      <w:pPr>
        <w:pStyle w:val="BodyText"/>
        <w:spacing w:before="5"/>
        <w:rPr>
          <w:sz w:val="28"/>
        </w:rPr>
      </w:pPr>
    </w:p>
    <w:p>
      <w:pPr>
        <w:pStyle w:val="Heading2"/>
        <w:spacing w:line="638" w:lineRule="exact" w:before="97"/>
        <w:rPr>
          <w:b/>
        </w:rPr>
      </w:pPr>
      <w:r>
        <w:rPr/>
        <w:pict>
          <v:shape style="position:absolute;margin-left:20.519100pt;margin-top:-5.998084pt;width:25.9pt;height:330.35pt;mso-position-horizontal-relative:page;mso-position-vertical-relative:paragraph;z-index:252128256" type="#_x0000_t202" filled="false" stroked="false">
            <v:textbox inset="0,0,0,0" style="layout-flow:vertical">
              <w:txbxContent>
                <w:p>
                  <w:pPr>
                    <w:spacing w:before="27"/>
                    <w:ind w:left="20" w:right="0" w:firstLine="0"/>
                    <w:jc w:val="left"/>
                    <w:rPr>
                      <w:sz w:val="39"/>
                    </w:rPr>
                  </w:pPr>
                  <w:r>
                    <w:rPr>
                      <w:color w:val="FFFFFF"/>
                      <w:spacing w:val="8"/>
                      <w:w w:val="120"/>
                      <w:sz w:val="39"/>
                    </w:rPr>
                    <w:t>Church related </w:t>
                  </w:r>
                  <w:r>
                    <w:rPr>
                      <w:color w:val="FFFFFF"/>
                      <w:spacing w:val="9"/>
                      <w:w w:val="120"/>
                      <w:sz w:val="39"/>
                    </w:rPr>
                    <w:t>community</w:t>
                  </w:r>
                  <w:r>
                    <w:rPr>
                      <w:color w:val="FFFFFF"/>
                      <w:spacing w:val="-49"/>
                      <w:w w:val="120"/>
                      <w:sz w:val="39"/>
                    </w:rPr>
                    <w:t> </w:t>
                  </w:r>
                  <w:r>
                    <w:rPr>
                      <w:color w:val="FFFFFF"/>
                      <w:spacing w:val="7"/>
                      <w:w w:val="120"/>
                      <w:sz w:val="39"/>
                    </w:rPr>
                    <w:t>work</w:t>
                  </w:r>
                </w:p>
              </w:txbxContent>
            </v:textbox>
            <w10:wrap type="none"/>
          </v:shape>
        </w:pict>
      </w:r>
      <w:bookmarkStart w:name="_bookmark37" w:id="46"/>
      <w:bookmarkEnd w:id="46"/>
      <w:r>
        <w:rPr>
          <w:b w:val="0"/>
        </w:rPr>
      </w:r>
      <w:r>
        <w:rPr>
          <w:b/>
          <w:color w:val="0076BD"/>
          <w:w w:val="110"/>
        </w:rPr>
        <w:t>Ministries:</w:t>
      </w:r>
    </w:p>
    <w:p>
      <w:pPr>
        <w:spacing w:line="213" w:lineRule="auto" w:before="18"/>
        <w:ind w:left="1247" w:right="0" w:firstLine="0"/>
        <w:jc w:val="left"/>
        <w:rPr>
          <w:rFonts w:ascii="Stone Sans II ITC Std X Bd"/>
          <w:b/>
          <w:sz w:val="50"/>
        </w:rPr>
      </w:pPr>
      <w:r>
        <w:rPr>
          <w:rFonts w:ascii="Stone Sans II ITC Std X Bd"/>
          <w:b/>
          <w:w w:val="110"/>
          <w:sz w:val="50"/>
        </w:rPr>
        <w:t>Church related community work programme sub-committee</w:t>
      </w:r>
    </w:p>
    <w:p>
      <w:pPr>
        <w:spacing w:before="280"/>
        <w:ind w:left="1247" w:right="0" w:firstLine="0"/>
        <w:jc w:val="left"/>
        <w:rPr>
          <w:sz w:val="18"/>
        </w:rPr>
      </w:pPr>
      <w:r>
        <w:rPr>
          <w:color w:val="87888A"/>
          <w:w w:val="120"/>
          <w:sz w:val="18"/>
        </w:rPr>
        <w:t>Sub-committee members:</w:t>
      </w:r>
    </w:p>
    <w:p>
      <w:pPr>
        <w:spacing w:before="21"/>
        <w:ind w:left="1247" w:right="0" w:firstLine="0"/>
        <w:jc w:val="left"/>
        <w:rPr>
          <w:sz w:val="18"/>
        </w:rPr>
      </w:pPr>
      <w:r>
        <w:rPr>
          <w:color w:val="87888A"/>
          <w:w w:val="120"/>
          <w:sz w:val="18"/>
        </w:rPr>
        <w:t>Convener: Jacky Embrey</w:t>
      </w:r>
    </w:p>
    <w:p>
      <w:pPr>
        <w:spacing w:before="20"/>
        <w:ind w:left="1247" w:right="0" w:firstLine="0"/>
        <w:jc w:val="left"/>
        <w:rPr>
          <w:sz w:val="18"/>
        </w:rPr>
      </w:pPr>
      <w:r>
        <w:rPr>
          <w:color w:val="87888A"/>
          <w:w w:val="120"/>
          <w:sz w:val="18"/>
        </w:rPr>
        <w:t>Secretaries: Suzanne Adofo, Steve Summers</w:t>
      </w:r>
    </w:p>
    <w:p>
      <w:pPr>
        <w:spacing w:line="261" w:lineRule="auto" w:before="20"/>
        <w:ind w:left="1247" w:right="2004" w:firstLine="0"/>
        <w:jc w:val="left"/>
        <w:rPr>
          <w:sz w:val="18"/>
        </w:rPr>
      </w:pPr>
      <w:r>
        <w:rPr>
          <w:color w:val="87888A"/>
          <w:w w:val="120"/>
          <w:sz w:val="18"/>
        </w:rPr>
        <w:t>Members: John Campbell, Graham Ghaleb, John Grundy, John Mellor (until 2013), Keith Morrison, Marie Trubic, Carolyn Smyth, Paul Whittle</w:t>
      </w:r>
    </w:p>
    <w:p>
      <w:pPr>
        <w:pStyle w:val="BodyText"/>
        <w:rPr>
          <w:sz w:val="22"/>
        </w:rPr>
      </w:pPr>
    </w:p>
    <w:p>
      <w:pPr>
        <w:pStyle w:val="Heading4"/>
        <w:numPr>
          <w:ilvl w:val="0"/>
          <w:numId w:val="103"/>
        </w:numPr>
        <w:tabs>
          <w:tab w:pos="1927" w:val="left" w:leader="none"/>
          <w:tab w:pos="1928" w:val="left" w:leader="none"/>
        </w:tabs>
        <w:spacing w:line="240" w:lineRule="auto" w:before="170" w:after="0"/>
        <w:ind w:left="1927" w:right="0" w:hanging="681"/>
        <w:jc w:val="left"/>
      </w:pPr>
      <w:r>
        <w:rPr>
          <w:spacing w:val="4"/>
          <w:w w:val="110"/>
        </w:rPr>
        <w:t>Seeking</w:t>
      </w:r>
      <w:r>
        <w:rPr>
          <w:spacing w:val="12"/>
          <w:w w:val="110"/>
        </w:rPr>
        <w:t> </w:t>
      </w:r>
      <w:r>
        <w:rPr>
          <w:spacing w:val="3"/>
          <w:w w:val="110"/>
        </w:rPr>
        <w:t>candidates</w:t>
      </w:r>
    </w:p>
    <w:p>
      <w:pPr>
        <w:pStyle w:val="BodyText"/>
        <w:spacing w:line="235" w:lineRule="auto" w:before="69"/>
        <w:ind w:left="1247" w:right="2016"/>
      </w:pPr>
      <w:r>
        <w:rPr>
          <w:w w:val="120"/>
        </w:rPr>
        <w:t>Churches engage with their communities in a myriad of ways. The church related community work (CRCW) programme enables churches to use a community development approach in their mission and ministry, recognising that Jesus came that we might have life in all its fullness. Crcw ministers are a valuable but scarce resource, with only 14 currently in post. We have therefore made it a priority over the last two years to seek those who are called to this distinctive ministry. We are pleased that there are now three CRCWs in training and that the number of candidates due to attend the 2014 assessment conferences is the highest ever.</w:t>
      </w:r>
    </w:p>
    <w:p>
      <w:pPr>
        <w:pStyle w:val="BodyText"/>
        <w:spacing w:before="10"/>
        <w:rPr>
          <w:sz w:val="17"/>
        </w:rPr>
      </w:pPr>
    </w:p>
    <w:p>
      <w:pPr>
        <w:pStyle w:val="Heading4"/>
        <w:numPr>
          <w:ilvl w:val="0"/>
          <w:numId w:val="103"/>
        </w:numPr>
        <w:tabs>
          <w:tab w:pos="1927" w:val="left" w:leader="none"/>
          <w:tab w:pos="1928" w:val="left" w:leader="none"/>
        </w:tabs>
        <w:spacing w:line="240" w:lineRule="auto" w:before="0" w:after="0"/>
        <w:ind w:left="1927" w:right="0" w:hanging="681"/>
        <w:jc w:val="left"/>
      </w:pPr>
      <w:r>
        <w:rPr>
          <w:spacing w:val="5"/>
          <w:w w:val="110"/>
        </w:rPr>
        <w:t>Churches-in-community</w:t>
      </w:r>
    </w:p>
    <w:p>
      <w:pPr>
        <w:pStyle w:val="BodyText"/>
        <w:spacing w:line="235" w:lineRule="auto" w:before="69"/>
        <w:ind w:left="1247" w:right="2025"/>
      </w:pPr>
      <w:r>
        <w:rPr>
          <w:w w:val="120"/>
        </w:rPr>
        <w:t>Crcw ministers serve for a maximum of ten years in any one post, so we are constantly open to new and exciting opportunities for innovative community ministry in churches and groups of churches across the United Reformed Church. Over the last two years we have strengthened the support given to churches seeking CRCW ministers (churches- in-community) with a new initial enquiry procedure and a scheme of annual visits, once an application has been approved. Work is about to </w:t>
      </w:r>
      <w:r>
        <w:rPr>
          <w:spacing w:val="2"/>
          <w:w w:val="120"/>
        </w:rPr>
        <w:t>start </w:t>
      </w:r>
      <w:r>
        <w:rPr>
          <w:w w:val="120"/>
        </w:rPr>
        <w:t>on enumerating the long   term benefits of being</w:t>
      </w:r>
      <w:r>
        <w:rPr>
          <w:spacing w:val="9"/>
          <w:w w:val="120"/>
        </w:rPr>
        <w:t> </w:t>
      </w:r>
      <w:r>
        <w:rPr>
          <w:w w:val="120"/>
        </w:rPr>
        <w:t>churches-in-community.</w:t>
      </w:r>
    </w:p>
    <w:p>
      <w:pPr>
        <w:pStyle w:val="BodyText"/>
        <w:spacing w:before="10"/>
        <w:rPr>
          <w:sz w:val="17"/>
        </w:rPr>
      </w:pPr>
    </w:p>
    <w:p>
      <w:pPr>
        <w:pStyle w:val="Heading4"/>
        <w:numPr>
          <w:ilvl w:val="0"/>
          <w:numId w:val="103"/>
        </w:numPr>
        <w:tabs>
          <w:tab w:pos="1927" w:val="left" w:leader="none"/>
          <w:tab w:pos="1928" w:val="left" w:leader="none"/>
        </w:tabs>
        <w:spacing w:line="240" w:lineRule="auto" w:before="0" w:after="0"/>
        <w:ind w:left="1927" w:right="0" w:hanging="681"/>
        <w:jc w:val="left"/>
      </w:pPr>
      <w:r>
        <w:rPr>
          <w:spacing w:val="4"/>
          <w:w w:val="110"/>
        </w:rPr>
        <w:t>Assisting</w:t>
      </w:r>
      <w:r>
        <w:rPr>
          <w:spacing w:val="12"/>
          <w:w w:val="110"/>
        </w:rPr>
        <w:t> </w:t>
      </w:r>
      <w:r>
        <w:rPr>
          <w:spacing w:val="3"/>
          <w:w w:val="110"/>
        </w:rPr>
        <w:t>others</w:t>
      </w:r>
    </w:p>
    <w:p>
      <w:pPr>
        <w:pStyle w:val="BodyText"/>
        <w:spacing w:line="235" w:lineRule="auto" w:before="69"/>
        <w:ind w:left="1247" w:right="2004"/>
      </w:pPr>
      <w:r>
        <w:rPr>
          <w:w w:val="120"/>
        </w:rPr>
        <w:t>The work of the programme sub-committee and the development worker post in supporting and promoting CRCW can benefit all churches that are interested or involved in community work in any way. Our biannual ‘road shows’ are open to all churches and training is available through the Developing Community Experiences year of the Training for Learning and Serving Programme, with which we are heavily involved. Some of the more practical elements of the CRCW training at Northern College are also being made more easily accessible to those who would find them useful.</w:t>
      </w:r>
    </w:p>
    <w:p>
      <w:pPr>
        <w:spacing w:after="0" w:line="235" w:lineRule="auto"/>
        <w:sectPr>
          <w:headerReference w:type="even" r:id="rId424"/>
          <w:footerReference w:type="even" r:id="rId425"/>
          <w:footerReference w:type="default" r:id="rId426"/>
          <w:pgSz w:w="11910" w:h="16840"/>
          <w:pgMar w:header="0" w:footer="647" w:top="0" w:bottom="840" w:left="0" w:right="0"/>
          <w:pgNumType w:start="186"/>
        </w:sectPr>
      </w:pPr>
    </w:p>
    <w:p>
      <w:pPr>
        <w:pStyle w:val="BodyText"/>
      </w:pPr>
      <w:r>
        <w:rPr/>
        <w:drawing>
          <wp:anchor distT="0" distB="0" distL="0" distR="0" allowOverlap="1" layoutInCell="1" locked="0" behindDoc="0" simplePos="0" relativeHeight="252129280">
            <wp:simplePos x="0" y="0"/>
            <wp:positionH relativeFrom="page">
              <wp:posOffset>6974928</wp:posOffset>
            </wp:positionH>
            <wp:positionV relativeFrom="page">
              <wp:posOffset>0</wp:posOffset>
            </wp:positionV>
            <wp:extent cx="585063" cy="10692003"/>
            <wp:effectExtent l="0" t="0" r="0" b="0"/>
            <wp:wrapNone/>
            <wp:docPr id="351" name="image30.png"/>
            <wp:cNvGraphicFramePr>
              <a:graphicFrameLocks noChangeAspect="1"/>
            </wp:cNvGraphicFramePr>
            <a:graphic>
              <a:graphicData uri="http://schemas.openxmlformats.org/drawingml/2006/picture">
                <pic:pic>
                  <pic:nvPicPr>
                    <pic:cNvPr id="352" name="image30.png"/>
                    <pic:cNvPicPr/>
                  </pic:nvPicPr>
                  <pic:blipFill>
                    <a:blip r:embed="rId357"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5"/>
        <w:rPr>
          <w:sz w:val="28"/>
        </w:rPr>
      </w:pPr>
    </w:p>
    <w:p>
      <w:pPr>
        <w:pStyle w:val="Heading2"/>
        <w:spacing w:line="638" w:lineRule="exact" w:before="97"/>
        <w:ind w:left="1984"/>
        <w:rPr>
          <w:b/>
        </w:rPr>
      </w:pPr>
      <w:r>
        <w:rPr/>
        <w:pict>
          <v:shape style="position:absolute;margin-left:554.141174pt;margin-top:-5.998084pt;width:25.9pt;height:286.650pt;mso-position-horizontal-relative:page;mso-position-vertical-relative:paragraph;z-index:252130304" type="#_x0000_t202" filled="false" stroked="false">
            <v:textbox inset="0,0,0,0" style="layout-flow:vertical">
              <w:txbxContent>
                <w:p>
                  <w:pPr>
                    <w:spacing w:before="27"/>
                    <w:ind w:left="20" w:right="0" w:firstLine="0"/>
                    <w:jc w:val="left"/>
                    <w:rPr>
                      <w:sz w:val="39"/>
                    </w:rPr>
                  </w:pPr>
                  <w:r>
                    <w:rPr>
                      <w:color w:val="FFFFFF"/>
                      <w:w w:val="120"/>
                      <w:sz w:val="39"/>
                    </w:rPr>
                    <w:t>Maintenance of the ministry</w:t>
                  </w:r>
                </w:p>
              </w:txbxContent>
            </v:textbox>
            <w10:wrap type="none"/>
          </v:shape>
        </w:pict>
      </w:r>
      <w:bookmarkStart w:name="_bookmark38" w:id="47"/>
      <w:bookmarkEnd w:id="47"/>
      <w:r>
        <w:rPr>
          <w:b w:val="0"/>
        </w:rPr>
      </w:r>
      <w:r>
        <w:rPr>
          <w:b/>
          <w:color w:val="0076BD"/>
          <w:w w:val="110"/>
        </w:rPr>
        <w:t>Ministries:</w:t>
      </w:r>
    </w:p>
    <w:p>
      <w:pPr>
        <w:spacing w:line="213" w:lineRule="auto" w:before="18"/>
        <w:ind w:left="1984" w:right="2068" w:firstLine="0"/>
        <w:jc w:val="left"/>
        <w:rPr>
          <w:rFonts w:ascii="Stone Sans II ITC Std X Bd"/>
          <w:b/>
          <w:sz w:val="50"/>
        </w:rPr>
      </w:pPr>
      <w:r>
        <w:rPr>
          <w:rFonts w:ascii="Stone Sans II ITC Std X Bd"/>
          <w:b/>
          <w:w w:val="110"/>
          <w:sz w:val="50"/>
        </w:rPr>
        <w:t>Maintenance of the ministry sub-committee</w:t>
      </w:r>
    </w:p>
    <w:p>
      <w:pPr>
        <w:spacing w:before="157"/>
        <w:ind w:left="1984" w:right="0" w:firstLine="0"/>
        <w:jc w:val="left"/>
        <w:rPr>
          <w:sz w:val="18"/>
        </w:rPr>
      </w:pPr>
      <w:r>
        <w:rPr>
          <w:color w:val="87888A"/>
          <w:w w:val="120"/>
          <w:sz w:val="18"/>
        </w:rPr>
        <w:t>Sub-committee members:</w:t>
      </w:r>
    </w:p>
    <w:p>
      <w:pPr>
        <w:spacing w:line="261" w:lineRule="auto" w:before="21"/>
        <w:ind w:left="1984" w:right="5011" w:firstLine="0"/>
        <w:jc w:val="left"/>
        <w:rPr>
          <w:sz w:val="18"/>
        </w:rPr>
      </w:pPr>
      <w:r>
        <w:rPr>
          <w:color w:val="87888A"/>
          <w:w w:val="120"/>
          <w:sz w:val="18"/>
        </w:rPr>
        <w:t>Convener: Anthony Haws (until 2013), Pamela Ward Secretary: Craig Bowman</w:t>
      </w:r>
    </w:p>
    <w:p>
      <w:pPr>
        <w:spacing w:line="261" w:lineRule="auto" w:before="1"/>
        <w:ind w:left="1984" w:right="2167" w:firstLine="0"/>
        <w:jc w:val="left"/>
        <w:rPr>
          <w:sz w:val="18"/>
        </w:rPr>
      </w:pPr>
      <w:r>
        <w:rPr>
          <w:color w:val="87888A"/>
          <w:w w:val="120"/>
          <w:sz w:val="18"/>
        </w:rPr>
        <w:t>Members: Alison Hall, Andrew Martlew, Peter Rippon, Richard Turnbull, Eilidh Young, Chris Evans (convener of pensions executive), John Ellis (honorary treasurer)</w:t>
      </w:r>
    </w:p>
    <w:p>
      <w:pPr>
        <w:pStyle w:val="BodyText"/>
        <w:rPr>
          <w:sz w:val="22"/>
        </w:rPr>
      </w:pPr>
    </w:p>
    <w:p>
      <w:pPr>
        <w:pStyle w:val="Heading4"/>
        <w:numPr>
          <w:ilvl w:val="1"/>
          <w:numId w:val="103"/>
        </w:numPr>
        <w:tabs>
          <w:tab w:pos="2664" w:val="left" w:leader="none"/>
          <w:tab w:pos="2665" w:val="left" w:leader="none"/>
        </w:tabs>
        <w:spacing w:line="240" w:lineRule="auto" w:before="169" w:after="0"/>
        <w:ind w:left="2664" w:right="0" w:hanging="681"/>
        <w:jc w:val="left"/>
      </w:pPr>
      <w:r>
        <w:rPr>
          <w:spacing w:val="3"/>
          <w:w w:val="110"/>
        </w:rPr>
        <w:t>Stipend</w:t>
      </w:r>
      <w:r>
        <w:rPr>
          <w:spacing w:val="12"/>
          <w:w w:val="110"/>
        </w:rPr>
        <w:t> </w:t>
      </w:r>
      <w:r>
        <w:rPr>
          <w:spacing w:val="3"/>
          <w:w w:val="110"/>
        </w:rPr>
        <w:t>increase</w:t>
      </w:r>
    </w:p>
    <w:p>
      <w:pPr>
        <w:pStyle w:val="BodyText"/>
        <w:spacing w:line="235" w:lineRule="auto" w:before="69"/>
        <w:ind w:left="1984" w:right="1838"/>
        <w:jc w:val="both"/>
      </w:pPr>
      <w:r>
        <w:rPr>
          <w:w w:val="120"/>
        </w:rPr>
        <w:t>The maintenance of the ministry sub-committee bases its proposal for the stipend increase each year on a formula using the consumer price index. For January 2014, this produced an increase of 1.6%, which is lower than in the previous two years.</w:t>
      </w:r>
    </w:p>
    <w:p>
      <w:pPr>
        <w:pStyle w:val="BodyText"/>
        <w:spacing w:line="235" w:lineRule="auto" w:before="2"/>
        <w:ind w:left="1984" w:right="1668"/>
      </w:pPr>
      <w:r>
        <w:rPr>
          <w:w w:val="120"/>
        </w:rPr>
        <w:t>It represents a fall in real income for ministers for the third year in succession, which we regret. Unfortunately, ministers are not alone in facing economic pressures at this time, and we have to bear in mind also the difficult financial situation facing the United Reformed Church centrally and locally.</w:t>
      </w:r>
    </w:p>
    <w:p>
      <w:pPr>
        <w:pStyle w:val="Heading4"/>
        <w:numPr>
          <w:ilvl w:val="1"/>
          <w:numId w:val="103"/>
        </w:numPr>
        <w:tabs>
          <w:tab w:pos="2664" w:val="left" w:leader="none"/>
          <w:tab w:pos="2665" w:val="left" w:leader="none"/>
        </w:tabs>
        <w:spacing w:line="240" w:lineRule="auto" w:before="216" w:after="0"/>
        <w:ind w:left="2664" w:right="0" w:hanging="681"/>
        <w:jc w:val="left"/>
      </w:pPr>
      <w:r>
        <w:rPr>
          <w:spacing w:val="2"/>
          <w:w w:val="110"/>
        </w:rPr>
        <w:t>Plan </w:t>
      </w:r>
      <w:r>
        <w:rPr>
          <w:spacing w:val="3"/>
          <w:w w:val="110"/>
        </w:rPr>
        <w:t>for </w:t>
      </w:r>
      <w:r>
        <w:rPr>
          <w:spacing w:val="4"/>
          <w:w w:val="110"/>
        </w:rPr>
        <w:t>Partnership: </w:t>
      </w:r>
      <w:r>
        <w:rPr>
          <w:spacing w:val="3"/>
          <w:w w:val="110"/>
        </w:rPr>
        <w:t>retirement </w:t>
      </w:r>
      <w:r>
        <w:rPr>
          <w:spacing w:val="2"/>
          <w:w w:val="110"/>
        </w:rPr>
        <w:t>removal</w:t>
      </w:r>
      <w:r>
        <w:rPr>
          <w:spacing w:val="57"/>
          <w:w w:val="110"/>
        </w:rPr>
        <w:t> </w:t>
      </w:r>
      <w:r>
        <w:rPr>
          <w:spacing w:val="4"/>
          <w:w w:val="110"/>
        </w:rPr>
        <w:t>grants</w:t>
      </w:r>
    </w:p>
    <w:p>
      <w:pPr>
        <w:pStyle w:val="BodyText"/>
        <w:spacing w:line="235" w:lineRule="auto" w:before="69"/>
        <w:ind w:left="1984" w:right="1949"/>
        <w:jc w:val="both"/>
      </w:pPr>
      <w:r>
        <w:rPr>
          <w:w w:val="120"/>
        </w:rPr>
        <w:t>The Plan allows for ministers moving house on retirement to be reimbursed for ‘reasonable removal expenses’. After discussion of what was reasonable, it was agreed to tidy up the Plan, which in all other situations sets a definite figure, by stating a maximum.</w:t>
      </w:r>
    </w:p>
    <w:p>
      <w:pPr>
        <w:pStyle w:val="Heading4"/>
        <w:numPr>
          <w:ilvl w:val="1"/>
          <w:numId w:val="103"/>
        </w:numPr>
        <w:tabs>
          <w:tab w:pos="2664" w:val="left" w:leader="none"/>
          <w:tab w:pos="2665" w:val="left" w:leader="none"/>
        </w:tabs>
        <w:spacing w:line="240" w:lineRule="auto" w:before="215" w:after="0"/>
        <w:ind w:left="2664" w:right="0" w:hanging="681"/>
        <w:jc w:val="left"/>
      </w:pPr>
      <w:r>
        <w:rPr>
          <w:spacing w:val="5"/>
          <w:w w:val="110"/>
        </w:rPr>
        <w:t>Long-term </w:t>
      </w:r>
      <w:r>
        <w:rPr>
          <w:spacing w:val="3"/>
          <w:w w:val="110"/>
        </w:rPr>
        <w:t>sickness</w:t>
      </w:r>
      <w:r>
        <w:rPr>
          <w:spacing w:val="20"/>
          <w:w w:val="110"/>
        </w:rPr>
        <w:t> </w:t>
      </w:r>
      <w:r>
        <w:rPr>
          <w:spacing w:val="3"/>
          <w:w w:val="110"/>
        </w:rPr>
        <w:t>absence</w:t>
      </w:r>
    </w:p>
    <w:p>
      <w:pPr>
        <w:pStyle w:val="ListParagraph"/>
        <w:numPr>
          <w:ilvl w:val="2"/>
          <w:numId w:val="103"/>
        </w:numPr>
        <w:tabs>
          <w:tab w:pos="2664" w:val="left" w:leader="none"/>
          <w:tab w:pos="2665" w:val="left" w:leader="none"/>
        </w:tabs>
        <w:spacing w:line="235" w:lineRule="auto" w:before="69" w:after="0"/>
        <w:ind w:left="1984" w:right="1371" w:firstLine="0"/>
        <w:jc w:val="left"/>
        <w:rPr>
          <w:sz w:val="20"/>
        </w:rPr>
      </w:pPr>
      <w:r>
        <w:rPr>
          <w:w w:val="120"/>
          <w:sz w:val="20"/>
        </w:rPr>
        <w:t>It is pleasing to </w:t>
      </w:r>
      <w:r>
        <w:rPr>
          <w:spacing w:val="2"/>
          <w:w w:val="120"/>
          <w:sz w:val="20"/>
        </w:rPr>
        <w:t>report </w:t>
      </w:r>
      <w:r>
        <w:rPr>
          <w:w w:val="120"/>
          <w:sz w:val="20"/>
        </w:rPr>
        <w:t>that at the time of writing, there are no ministers in a long-term sickness situation. No doubt this will change before long. It is a concern that the majority of such cases of sickness can be attributed to</w:t>
      </w:r>
      <w:r>
        <w:rPr>
          <w:spacing w:val="13"/>
          <w:w w:val="120"/>
          <w:sz w:val="20"/>
        </w:rPr>
        <w:t> </w:t>
      </w:r>
      <w:r>
        <w:rPr>
          <w:w w:val="120"/>
          <w:sz w:val="20"/>
        </w:rPr>
        <w:t>stress.</w:t>
      </w:r>
    </w:p>
    <w:p>
      <w:pPr>
        <w:pStyle w:val="BodyText"/>
        <w:spacing w:before="10"/>
        <w:rPr>
          <w:sz w:val="19"/>
        </w:rPr>
      </w:pPr>
    </w:p>
    <w:p>
      <w:pPr>
        <w:pStyle w:val="ListParagraph"/>
        <w:numPr>
          <w:ilvl w:val="2"/>
          <w:numId w:val="103"/>
        </w:numPr>
        <w:tabs>
          <w:tab w:pos="2664" w:val="left" w:leader="none"/>
          <w:tab w:pos="2665" w:val="left" w:leader="none"/>
        </w:tabs>
        <w:spacing w:line="235" w:lineRule="auto" w:before="0" w:after="0"/>
        <w:ind w:left="1984" w:right="1270" w:firstLine="0"/>
        <w:jc w:val="left"/>
        <w:rPr>
          <w:sz w:val="20"/>
        </w:rPr>
      </w:pPr>
      <w:r>
        <w:rPr>
          <w:w w:val="120"/>
          <w:sz w:val="20"/>
        </w:rPr>
        <w:t>Following a situation in which the Unite union was involved, and in response to their comments on our procedures, the maintenance of the ministry sub-committee has been</w:t>
      </w:r>
      <w:r>
        <w:rPr>
          <w:spacing w:val="6"/>
          <w:w w:val="120"/>
          <w:sz w:val="20"/>
        </w:rPr>
        <w:t> </w:t>
      </w:r>
      <w:r>
        <w:rPr>
          <w:w w:val="120"/>
          <w:sz w:val="20"/>
        </w:rPr>
        <w:t>involved</w:t>
      </w:r>
      <w:r>
        <w:rPr>
          <w:spacing w:val="6"/>
          <w:w w:val="120"/>
          <w:sz w:val="20"/>
        </w:rPr>
        <w:t> </w:t>
      </w:r>
      <w:r>
        <w:rPr>
          <w:w w:val="120"/>
          <w:sz w:val="20"/>
        </w:rPr>
        <w:t>in</w:t>
      </w:r>
      <w:r>
        <w:rPr>
          <w:spacing w:val="6"/>
          <w:w w:val="120"/>
          <w:sz w:val="20"/>
        </w:rPr>
        <w:t> </w:t>
      </w:r>
      <w:r>
        <w:rPr>
          <w:w w:val="120"/>
          <w:sz w:val="20"/>
        </w:rPr>
        <w:t>a</w:t>
      </w:r>
      <w:r>
        <w:rPr>
          <w:spacing w:val="6"/>
          <w:w w:val="120"/>
          <w:sz w:val="20"/>
        </w:rPr>
        <w:t> </w:t>
      </w:r>
      <w:r>
        <w:rPr>
          <w:w w:val="120"/>
          <w:sz w:val="20"/>
        </w:rPr>
        <w:t>complete</w:t>
      </w:r>
      <w:r>
        <w:rPr>
          <w:spacing w:val="6"/>
          <w:w w:val="120"/>
          <w:sz w:val="20"/>
        </w:rPr>
        <w:t> </w:t>
      </w:r>
      <w:r>
        <w:rPr>
          <w:w w:val="120"/>
          <w:sz w:val="20"/>
        </w:rPr>
        <w:t>rewriting</w:t>
      </w:r>
      <w:r>
        <w:rPr>
          <w:spacing w:val="6"/>
          <w:w w:val="120"/>
          <w:sz w:val="20"/>
        </w:rPr>
        <w:t> </w:t>
      </w:r>
      <w:r>
        <w:rPr>
          <w:w w:val="120"/>
          <w:sz w:val="20"/>
        </w:rPr>
        <w:t>of</w:t>
      </w:r>
      <w:r>
        <w:rPr>
          <w:spacing w:val="7"/>
          <w:w w:val="120"/>
          <w:sz w:val="20"/>
        </w:rPr>
        <w:t> </w:t>
      </w:r>
      <w:r>
        <w:rPr>
          <w:w w:val="120"/>
          <w:sz w:val="20"/>
        </w:rPr>
        <w:t>our</w:t>
      </w:r>
      <w:r>
        <w:rPr>
          <w:spacing w:val="6"/>
          <w:w w:val="120"/>
          <w:sz w:val="20"/>
        </w:rPr>
        <w:t> </w:t>
      </w:r>
      <w:r>
        <w:rPr>
          <w:w w:val="120"/>
          <w:sz w:val="20"/>
        </w:rPr>
        <w:t>sickness</w:t>
      </w:r>
      <w:r>
        <w:rPr>
          <w:spacing w:val="6"/>
          <w:w w:val="120"/>
          <w:sz w:val="20"/>
        </w:rPr>
        <w:t> </w:t>
      </w:r>
      <w:r>
        <w:rPr>
          <w:w w:val="120"/>
          <w:sz w:val="20"/>
        </w:rPr>
        <w:t>absence</w:t>
      </w:r>
      <w:r>
        <w:rPr>
          <w:spacing w:val="6"/>
          <w:w w:val="120"/>
          <w:sz w:val="20"/>
        </w:rPr>
        <w:t> </w:t>
      </w:r>
      <w:r>
        <w:rPr>
          <w:w w:val="120"/>
          <w:sz w:val="20"/>
        </w:rPr>
        <w:t>policy</w:t>
      </w:r>
      <w:r>
        <w:rPr>
          <w:spacing w:val="6"/>
          <w:w w:val="120"/>
          <w:sz w:val="20"/>
        </w:rPr>
        <w:t> </w:t>
      </w:r>
      <w:r>
        <w:rPr>
          <w:w w:val="120"/>
          <w:sz w:val="20"/>
        </w:rPr>
        <w:t>and</w:t>
      </w:r>
      <w:r>
        <w:rPr>
          <w:spacing w:val="6"/>
          <w:w w:val="120"/>
          <w:sz w:val="20"/>
        </w:rPr>
        <w:t> </w:t>
      </w:r>
      <w:r>
        <w:rPr>
          <w:w w:val="120"/>
          <w:sz w:val="20"/>
        </w:rPr>
        <w:t>procedure.</w:t>
      </w:r>
    </w:p>
    <w:p>
      <w:pPr>
        <w:pStyle w:val="BodyText"/>
        <w:spacing w:line="243" w:lineRule="exact"/>
        <w:ind w:left="1984"/>
      </w:pPr>
      <w:r>
        <w:rPr>
          <w:w w:val="120"/>
        </w:rPr>
        <w:t>It is hoped that by the time of General Assembly this will be in use in all such situations.</w:t>
      </w:r>
    </w:p>
    <w:p>
      <w:pPr>
        <w:spacing w:after="0" w:line="243" w:lineRule="exact"/>
        <w:sectPr>
          <w:headerReference w:type="default" r:id="rId427"/>
          <w:pgSz w:w="11910" w:h="16840"/>
          <w:pgMar w:header="0" w:footer="647" w:top="0" w:bottom="840" w:left="0" w:right="0"/>
        </w:sectPr>
      </w:pPr>
    </w:p>
    <w:p>
      <w:pPr>
        <w:pStyle w:val="BodyText"/>
      </w:pPr>
      <w:r>
        <w:rPr/>
        <w:drawing>
          <wp:anchor distT="0" distB="0" distL="0" distR="0" allowOverlap="1" layoutInCell="1" locked="0" behindDoc="0" simplePos="0" relativeHeight="252131328">
            <wp:simplePos x="0" y="0"/>
            <wp:positionH relativeFrom="page">
              <wp:posOffset>0</wp:posOffset>
            </wp:positionH>
            <wp:positionV relativeFrom="page">
              <wp:posOffset>0</wp:posOffset>
            </wp:positionV>
            <wp:extent cx="594067" cy="10692003"/>
            <wp:effectExtent l="0" t="0" r="0" b="0"/>
            <wp:wrapNone/>
            <wp:docPr id="353" name="image32.png"/>
            <wp:cNvGraphicFramePr>
              <a:graphicFrameLocks noChangeAspect="1"/>
            </wp:cNvGraphicFramePr>
            <a:graphic>
              <a:graphicData uri="http://schemas.openxmlformats.org/drawingml/2006/picture">
                <pic:pic>
                  <pic:nvPicPr>
                    <pic:cNvPr id="354" name="image32.png"/>
                    <pic:cNvPicPr/>
                  </pic:nvPicPr>
                  <pic:blipFill>
                    <a:blip r:embed="rId362" cstate="print"/>
                    <a:stretch>
                      <a:fillRect/>
                    </a:stretch>
                  </pic:blipFill>
                  <pic:spPr>
                    <a:xfrm>
                      <a:off x="0" y="0"/>
                      <a:ext cx="594067" cy="10692003"/>
                    </a:xfrm>
                    <a:prstGeom prst="rect">
                      <a:avLst/>
                    </a:prstGeom>
                  </pic:spPr>
                </pic:pic>
              </a:graphicData>
            </a:graphic>
          </wp:anchor>
        </w:drawing>
      </w:r>
    </w:p>
    <w:p>
      <w:pPr>
        <w:pStyle w:val="BodyText"/>
      </w:pPr>
    </w:p>
    <w:p>
      <w:pPr>
        <w:pStyle w:val="BodyText"/>
      </w:pPr>
    </w:p>
    <w:p>
      <w:pPr>
        <w:pStyle w:val="BodyText"/>
        <w:spacing w:before="5"/>
        <w:rPr>
          <w:sz w:val="28"/>
        </w:rPr>
      </w:pPr>
    </w:p>
    <w:p>
      <w:pPr>
        <w:pStyle w:val="Heading2"/>
        <w:spacing w:line="638" w:lineRule="exact" w:before="97"/>
        <w:rPr>
          <w:b/>
        </w:rPr>
      </w:pPr>
      <w:r>
        <w:rPr/>
        <w:pict>
          <v:shape style="position:absolute;margin-left:20.519100pt;margin-top:-5.998084pt;width:25.9pt;height:266.2pt;mso-position-horizontal-relative:page;mso-position-vertical-relative:paragraph;z-index:252132352" type="#_x0000_t202" filled="false" stroked="false">
            <v:textbox inset="0,0,0,0" style="layout-flow:vertical">
              <w:txbxContent>
                <w:p>
                  <w:pPr>
                    <w:spacing w:before="27"/>
                    <w:ind w:left="20" w:right="0" w:firstLine="0"/>
                    <w:jc w:val="left"/>
                    <w:rPr>
                      <w:sz w:val="39"/>
                    </w:rPr>
                  </w:pPr>
                  <w:r>
                    <w:rPr>
                      <w:color w:val="FFFFFF"/>
                      <w:w w:val="120"/>
                      <w:sz w:val="39"/>
                    </w:rPr>
                    <w:t>Retired ministers’ housing</w:t>
                  </w:r>
                </w:p>
              </w:txbxContent>
            </v:textbox>
            <w10:wrap type="none"/>
          </v:shape>
        </w:pict>
      </w:r>
      <w:bookmarkStart w:name="_bookmark39" w:id="48"/>
      <w:bookmarkEnd w:id="48"/>
      <w:r>
        <w:rPr>
          <w:b w:val="0"/>
        </w:rPr>
      </w:r>
      <w:r>
        <w:rPr>
          <w:b/>
          <w:color w:val="0076BD"/>
          <w:w w:val="110"/>
        </w:rPr>
        <w:t>Ministries:</w:t>
      </w:r>
    </w:p>
    <w:p>
      <w:pPr>
        <w:spacing w:line="213" w:lineRule="auto" w:before="18"/>
        <w:ind w:left="1247" w:right="3305" w:firstLine="0"/>
        <w:jc w:val="left"/>
        <w:rPr>
          <w:rFonts w:ascii="Stone Sans II ITC Std X Bd" w:hAnsi="Stone Sans II ITC Std X Bd"/>
          <w:b/>
          <w:sz w:val="50"/>
        </w:rPr>
      </w:pPr>
      <w:r>
        <w:rPr>
          <w:rFonts w:ascii="Stone Sans II ITC Std X Bd" w:hAnsi="Stone Sans II ITC Std X Bd"/>
          <w:b/>
          <w:w w:val="110"/>
          <w:sz w:val="50"/>
        </w:rPr>
        <w:t>Retired ministers’ housing sub-committee</w:t>
      </w:r>
    </w:p>
    <w:p>
      <w:pPr>
        <w:spacing w:line="261" w:lineRule="auto" w:before="157"/>
        <w:ind w:left="1247" w:right="2074" w:firstLine="0"/>
        <w:jc w:val="left"/>
        <w:rPr>
          <w:sz w:val="18"/>
        </w:rPr>
      </w:pPr>
      <w:r>
        <w:rPr>
          <w:color w:val="87888A"/>
          <w:w w:val="120"/>
          <w:sz w:val="18"/>
        </w:rPr>
        <w:t>This sub-committee continues to be responsible for policy in matters of the provision of retirement housing for ministers, their spouses, widows and widowers. It uses the United Reformed Church retired ministers’ housing society limited as its agent for the implementation of policy and the practical steps associated with the provision of housing.</w:t>
      </w:r>
    </w:p>
    <w:p>
      <w:pPr>
        <w:pStyle w:val="BodyText"/>
        <w:spacing w:before="10"/>
        <w:rPr>
          <w:sz w:val="19"/>
        </w:rPr>
      </w:pPr>
    </w:p>
    <w:p>
      <w:pPr>
        <w:spacing w:before="0"/>
        <w:ind w:left="1247" w:right="0" w:firstLine="0"/>
        <w:jc w:val="left"/>
        <w:rPr>
          <w:sz w:val="18"/>
        </w:rPr>
      </w:pPr>
      <w:r>
        <w:rPr>
          <w:color w:val="87888A"/>
          <w:w w:val="120"/>
          <w:sz w:val="18"/>
        </w:rPr>
        <w:t>Sub-committee members:</w:t>
      </w:r>
    </w:p>
    <w:p>
      <w:pPr>
        <w:spacing w:line="261" w:lineRule="auto" w:before="21"/>
        <w:ind w:left="1247" w:right="8216" w:firstLine="0"/>
        <w:jc w:val="left"/>
        <w:rPr>
          <w:sz w:val="18"/>
        </w:rPr>
      </w:pPr>
      <w:r>
        <w:rPr>
          <w:color w:val="87888A"/>
          <w:w w:val="120"/>
          <w:sz w:val="18"/>
        </w:rPr>
        <w:t>Convener: David Bedford Secretary: Andy Bottomley</w:t>
      </w:r>
    </w:p>
    <w:p>
      <w:pPr>
        <w:spacing w:before="1"/>
        <w:ind w:left="1247" w:right="0" w:firstLine="0"/>
        <w:jc w:val="left"/>
        <w:rPr>
          <w:sz w:val="18"/>
        </w:rPr>
      </w:pPr>
      <w:r>
        <w:rPr>
          <w:color w:val="87888A"/>
          <w:w w:val="120"/>
          <w:sz w:val="18"/>
        </w:rPr>
        <w:t>Members: Anne Bedford, John Humphreys, Malcolm Lindo and Peter West</w:t>
      </w:r>
    </w:p>
    <w:p>
      <w:pPr>
        <w:pStyle w:val="BodyText"/>
        <w:rPr>
          <w:sz w:val="22"/>
        </w:rPr>
      </w:pPr>
    </w:p>
    <w:p>
      <w:pPr>
        <w:pStyle w:val="Heading4"/>
        <w:numPr>
          <w:ilvl w:val="0"/>
          <w:numId w:val="104"/>
        </w:numPr>
        <w:tabs>
          <w:tab w:pos="1927" w:val="left" w:leader="none"/>
          <w:tab w:pos="1928" w:val="left" w:leader="none"/>
        </w:tabs>
        <w:spacing w:line="240" w:lineRule="auto" w:before="188" w:after="0"/>
        <w:ind w:left="1927" w:right="0" w:hanging="681"/>
        <w:jc w:val="left"/>
      </w:pPr>
      <w:r>
        <w:rPr>
          <w:spacing w:val="4"/>
          <w:w w:val="110"/>
        </w:rPr>
        <w:t>The </w:t>
      </w:r>
      <w:r>
        <w:rPr>
          <w:spacing w:val="3"/>
          <w:w w:val="110"/>
        </w:rPr>
        <w:t>immediate</w:t>
      </w:r>
      <w:r>
        <w:rPr>
          <w:spacing w:val="21"/>
          <w:w w:val="110"/>
        </w:rPr>
        <w:t> </w:t>
      </w:r>
      <w:r>
        <w:rPr>
          <w:spacing w:val="4"/>
          <w:w w:val="110"/>
        </w:rPr>
        <w:t>challenge</w:t>
      </w:r>
    </w:p>
    <w:p>
      <w:pPr>
        <w:pStyle w:val="ListParagraph"/>
        <w:numPr>
          <w:ilvl w:val="1"/>
          <w:numId w:val="104"/>
        </w:numPr>
        <w:tabs>
          <w:tab w:pos="1927" w:val="left" w:leader="none"/>
          <w:tab w:pos="1928" w:val="left" w:leader="none"/>
        </w:tabs>
        <w:spacing w:line="240" w:lineRule="auto" w:before="66" w:after="0"/>
        <w:ind w:left="1927" w:right="0" w:hanging="681"/>
        <w:jc w:val="left"/>
        <w:rPr>
          <w:sz w:val="20"/>
        </w:rPr>
      </w:pPr>
      <w:r>
        <w:rPr>
          <w:w w:val="120"/>
          <w:sz w:val="20"/>
        </w:rPr>
        <w:t>The past two years have seen both change and</w:t>
      </w:r>
      <w:r>
        <w:rPr>
          <w:spacing w:val="22"/>
          <w:w w:val="120"/>
          <w:sz w:val="20"/>
        </w:rPr>
        <w:t> </w:t>
      </w:r>
      <w:r>
        <w:rPr>
          <w:w w:val="120"/>
          <w:sz w:val="20"/>
        </w:rPr>
        <w:t>challenge.</w:t>
      </w:r>
    </w:p>
    <w:p>
      <w:pPr>
        <w:pStyle w:val="BodyText"/>
        <w:spacing w:before="7"/>
        <w:rPr>
          <w:sz w:val="19"/>
        </w:rPr>
      </w:pPr>
    </w:p>
    <w:p>
      <w:pPr>
        <w:pStyle w:val="ListParagraph"/>
        <w:numPr>
          <w:ilvl w:val="1"/>
          <w:numId w:val="104"/>
        </w:numPr>
        <w:tabs>
          <w:tab w:pos="1927" w:val="left" w:leader="none"/>
          <w:tab w:pos="1928" w:val="left" w:leader="none"/>
        </w:tabs>
        <w:spacing w:line="235" w:lineRule="auto" w:before="0" w:after="0"/>
        <w:ind w:left="1247" w:right="2038" w:firstLine="0"/>
        <w:jc w:val="left"/>
        <w:rPr>
          <w:sz w:val="20"/>
        </w:rPr>
      </w:pPr>
      <w:r>
        <w:rPr>
          <w:w w:val="120"/>
          <w:sz w:val="20"/>
        </w:rPr>
        <w:t>Changes </w:t>
      </w:r>
      <w:r>
        <w:rPr>
          <w:spacing w:val="-3"/>
          <w:w w:val="120"/>
          <w:sz w:val="20"/>
        </w:rPr>
        <w:t>include </w:t>
      </w:r>
      <w:r>
        <w:rPr>
          <w:w w:val="120"/>
          <w:sz w:val="20"/>
        </w:rPr>
        <w:t>the </w:t>
      </w:r>
      <w:r>
        <w:rPr>
          <w:spacing w:val="-3"/>
          <w:w w:val="120"/>
          <w:sz w:val="20"/>
        </w:rPr>
        <w:t>society’s </w:t>
      </w:r>
      <w:r>
        <w:rPr>
          <w:w w:val="120"/>
          <w:sz w:val="20"/>
        </w:rPr>
        <w:t>taking a more proactive approach </w:t>
      </w:r>
      <w:r>
        <w:rPr>
          <w:spacing w:val="-3"/>
          <w:w w:val="120"/>
          <w:sz w:val="20"/>
        </w:rPr>
        <w:t>to </w:t>
      </w:r>
      <w:r>
        <w:rPr>
          <w:w w:val="120"/>
          <w:sz w:val="20"/>
        </w:rPr>
        <w:t>its investments by carrying out its </w:t>
      </w:r>
      <w:r>
        <w:rPr>
          <w:spacing w:val="-2"/>
          <w:w w:val="120"/>
          <w:sz w:val="20"/>
        </w:rPr>
        <w:t>own </w:t>
      </w:r>
      <w:r>
        <w:rPr>
          <w:w w:val="120"/>
          <w:sz w:val="20"/>
        </w:rPr>
        <w:t>surveys on proposed properties. This has provided the society with</w:t>
      </w:r>
      <w:r>
        <w:rPr>
          <w:spacing w:val="-8"/>
          <w:w w:val="120"/>
          <w:sz w:val="20"/>
        </w:rPr>
        <w:t> </w:t>
      </w:r>
      <w:r>
        <w:rPr>
          <w:spacing w:val="-3"/>
          <w:w w:val="120"/>
          <w:sz w:val="20"/>
        </w:rPr>
        <w:t>greater</w:t>
      </w:r>
      <w:r>
        <w:rPr>
          <w:spacing w:val="-7"/>
          <w:w w:val="120"/>
          <w:sz w:val="20"/>
        </w:rPr>
        <w:t> </w:t>
      </w:r>
      <w:r>
        <w:rPr>
          <w:w w:val="120"/>
          <w:sz w:val="20"/>
        </w:rPr>
        <w:t>knowledge</w:t>
      </w:r>
      <w:r>
        <w:rPr>
          <w:spacing w:val="-7"/>
          <w:w w:val="120"/>
          <w:sz w:val="20"/>
        </w:rPr>
        <w:t> </w:t>
      </w:r>
      <w:r>
        <w:rPr>
          <w:w w:val="120"/>
          <w:sz w:val="20"/>
        </w:rPr>
        <w:t>of</w:t>
      </w:r>
      <w:r>
        <w:rPr>
          <w:spacing w:val="-7"/>
          <w:w w:val="120"/>
          <w:sz w:val="20"/>
        </w:rPr>
        <w:t> </w:t>
      </w:r>
      <w:r>
        <w:rPr>
          <w:w w:val="120"/>
          <w:sz w:val="20"/>
        </w:rPr>
        <w:t>its</w:t>
      </w:r>
      <w:r>
        <w:rPr>
          <w:spacing w:val="-8"/>
          <w:w w:val="120"/>
          <w:sz w:val="20"/>
        </w:rPr>
        <w:t> </w:t>
      </w:r>
      <w:r>
        <w:rPr>
          <w:w w:val="120"/>
          <w:sz w:val="20"/>
        </w:rPr>
        <w:t>properties</w:t>
      </w:r>
      <w:r>
        <w:rPr>
          <w:spacing w:val="-7"/>
          <w:w w:val="120"/>
          <w:sz w:val="20"/>
        </w:rPr>
        <w:t> </w:t>
      </w:r>
      <w:r>
        <w:rPr>
          <w:w w:val="120"/>
          <w:sz w:val="20"/>
        </w:rPr>
        <w:t>and</w:t>
      </w:r>
      <w:r>
        <w:rPr>
          <w:spacing w:val="-7"/>
          <w:w w:val="120"/>
          <w:sz w:val="20"/>
        </w:rPr>
        <w:t> </w:t>
      </w:r>
      <w:r>
        <w:rPr>
          <w:w w:val="120"/>
          <w:sz w:val="20"/>
        </w:rPr>
        <w:t>future</w:t>
      </w:r>
      <w:r>
        <w:rPr>
          <w:spacing w:val="-7"/>
          <w:w w:val="120"/>
          <w:sz w:val="20"/>
        </w:rPr>
        <w:t> </w:t>
      </w:r>
      <w:r>
        <w:rPr>
          <w:w w:val="120"/>
          <w:sz w:val="20"/>
        </w:rPr>
        <w:t>repair</w:t>
      </w:r>
      <w:r>
        <w:rPr>
          <w:spacing w:val="-7"/>
          <w:w w:val="120"/>
          <w:sz w:val="20"/>
        </w:rPr>
        <w:t> </w:t>
      </w:r>
      <w:r>
        <w:rPr>
          <w:w w:val="120"/>
          <w:sz w:val="20"/>
        </w:rPr>
        <w:t>requirements,</w:t>
      </w:r>
      <w:r>
        <w:rPr>
          <w:spacing w:val="-8"/>
          <w:w w:val="120"/>
          <w:sz w:val="20"/>
        </w:rPr>
        <w:t> </w:t>
      </w:r>
      <w:r>
        <w:rPr>
          <w:w w:val="120"/>
          <w:sz w:val="20"/>
        </w:rPr>
        <w:t>so</w:t>
      </w:r>
      <w:r>
        <w:rPr>
          <w:spacing w:val="-7"/>
          <w:w w:val="120"/>
          <w:sz w:val="20"/>
        </w:rPr>
        <w:t> </w:t>
      </w:r>
      <w:r>
        <w:rPr>
          <w:w w:val="120"/>
          <w:sz w:val="20"/>
        </w:rPr>
        <w:t>enabling</w:t>
      </w:r>
      <w:r>
        <w:rPr>
          <w:spacing w:val="-7"/>
          <w:w w:val="120"/>
          <w:sz w:val="20"/>
        </w:rPr>
        <w:t> </w:t>
      </w:r>
      <w:r>
        <w:rPr>
          <w:w w:val="120"/>
          <w:sz w:val="20"/>
        </w:rPr>
        <w:t>it</w:t>
      </w:r>
      <w:r>
        <w:rPr>
          <w:spacing w:val="-7"/>
          <w:w w:val="120"/>
          <w:sz w:val="20"/>
        </w:rPr>
        <w:t> </w:t>
      </w:r>
      <w:r>
        <w:rPr>
          <w:spacing w:val="-3"/>
          <w:w w:val="120"/>
          <w:sz w:val="20"/>
        </w:rPr>
        <w:t>to </w:t>
      </w:r>
      <w:r>
        <w:rPr>
          <w:w w:val="120"/>
          <w:sz w:val="20"/>
        </w:rPr>
        <w:t>undertake a more detailed and </w:t>
      </w:r>
      <w:r>
        <w:rPr>
          <w:spacing w:val="-3"/>
          <w:w w:val="120"/>
          <w:sz w:val="20"/>
        </w:rPr>
        <w:t>accurate </w:t>
      </w:r>
      <w:r>
        <w:rPr>
          <w:w w:val="120"/>
          <w:sz w:val="20"/>
        </w:rPr>
        <w:t>approach </w:t>
      </w:r>
      <w:r>
        <w:rPr>
          <w:spacing w:val="-3"/>
          <w:w w:val="120"/>
          <w:sz w:val="20"/>
        </w:rPr>
        <w:t>to </w:t>
      </w:r>
      <w:r>
        <w:rPr>
          <w:w w:val="120"/>
          <w:sz w:val="20"/>
        </w:rPr>
        <w:t>repairs and</w:t>
      </w:r>
      <w:r>
        <w:rPr>
          <w:spacing w:val="-38"/>
          <w:w w:val="120"/>
          <w:sz w:val="20"/>
        </w:rPr>
        <w:t> </w:t>
      </w:r>
      <w:r>
        <w:rPr>
          <w:w w:val="120"/>
          <w:sz w:val="20"/>
        </w:rPr>
        <w:t>renewals.</w:t>
      </w:r>
    </w:p>
    <w:p>
      <w:pPr>
        <w:pStyle w:val="BodyText"/>
        <w:spacing w:before="11"/>
        <w:rPr>
          <w:sz w:val="19"/>
        </w:rPr>
      </w:pPr>
    </w:p>
    <w:p>
      <w:pPr>
        <w:pStyle w:val="ListParagraph"/>
        <w:numPr>
          <w:ilvl w:val="1"/>
          <w:numId w:val="104"/>
        </w:numPr>
        <w:tabs>
          <w:tab w:pos="1927" w:val="left" w:leader="none"/>
          <w:tab w:pos="1928" w:val="left" w:leader="none"/>
        </w:tabs>
        <w:spacing w:line="235" w:lineRule="auto" w:before="0" w:after="0"/>
        <w:ind w:left="1247" w:right="2016" w:firstLine="0"/>
        <w:jc w:val="left"/>
        <w:rPr>
          <w:sz w:val="20"/>
        </w:rPr>
      </w:pPr>
      <w:r>
        <w:rPr>
          <w:w w:val="120"/>
          <w:sz w:val="20"/>
        </w:rPr>
        <w:t>The committee has charged the staff to take a more pastoral role in the oversight of its tenants through increased visits. This is starting to reap benefits, for</w:t>
      </w:r>
      <w:r>
        <w:rPr>
          <w:spacing w:val="24"/>
          <w:w w:val="120"/>
          <w:sz w:val="20"/>
        </w:rPr>
        <w:t> </w:t>
      </w:r>
      <w:r>
        <w:rPr>
          <w:w w:val="120"/>
          <w:sz w:val="20"/>
        </w:rPr>
        <w:t>within</w:t>
      </w:r>
    </w:p>
    <w:p>
      <w:pPr>
        <w:pStyle w:val="BodyText"/>
        <w:spacing w:line="235" w:lineRule="auto" w:before="2"/>
        <w:ind w:left="1247" w:right="2004"/>
      </w:pPr>
      <w:r>
        <w:rPr>
          <w:w w:val="120"/>
        </w:rPr>
        <w:t>each of the properties that the society manages there is a story. A story of a retired minister living alone in a retirement flat, few possessions and curtains drawn, a minister struggling to care for his wife with Alzheimer’s, to name but two. The work is not just about bricks and mortar; it is about people, servants of the Church.</w:t>
      </w:r>
    </w:p>
    <w:p>
      <w:pPr>
        <w:pStyle w:val="BodyText"/>
        <w:spacing w:before="11"/>
        <w:rPr>
          <w:sz w:val="19"/>
        </w:rPr>
      </w:pPr>
    </w:p>
    <w:p>
      <w:pPr>
        <w:pStyle w:val="ListParagraph"/>
        <w:numPr>
          <w:ilvl w:val="1"/>
          <w:numId w:val="104"/>
        </w:numPr>
        <w:tabs>
          <w:tab w:pos="1927" w:val="left" w:leader="none"/>
          <w:tab w:pos="1928" w:val="left" w:leader="none"/>
        </w:tabs>
        <w:spacing w:line="235" w:lineRule="auto" w:before="0" w:after="0"/>
        <w:ind w:left="1247" w:right="2009" w:firstLine="0"/>
        <w:jc w:val="left"/>
        <w:rPr>
          <w:sz w:val="20"/>
        </w:rPr>
      </w:pPr>
      <w:r>
        <w:rPr>
          <w:w w:val="120"/>
          <w:sz w:val="20"/>
        </w:rPr>
        <w:t>The society is therefore seeking to be proactive in its awareness of these situations and is informing synod moderators of pastoral issues that arise. This work is in early stages but the society acknowledges the input and support of the moderators in this positive</w:t>
      </w:r>
      <w:r>
        <w:rPr>
          <w:spacing w:val="4"/>
          <w:w w:val="120"/>
          <w:sz w:val="20"/>
        </w:rPr>
        <w:t> </w:t>
      </w:r>
      <w:r>
        <w:rPr>
          <w:w w:val="120"/>
          <w:sz w:val="20"/>
        </w:rPr>
        <w:t>development.</w:t>
      </w:r>
    </w:p>
    <w:p>
      <w:pPr>
        <w:pStyle w:val="Heading4"/>
        <w:numPr>
          <w:ilvl w:val="0"/>
          <w:numId w:val="104"/>
        </w:numPr>
        <w:tabs>
          <w:tab w:pos="1927" w:val="left" w:leader="none"/>
          <w:tab w:pos="1928" w:val="left" w:leader="none"/>
        </w:tabs>
        <w:spacing w:line="240" w:lineRule="auto" w:before="215" w:after="0"/>
        <w:ind w:left="1927" w:right="0" w:hanging="681"/>
        <w:jc w:val="left"/>
      </w:pPr>
      <w:r>
        <w:rPr>
          <w:spacing w:val="4"/>
          <w:w w:val="110"/>
        </w:rPr>
        <w:t>Grateful </w:t>
      </w:r>
      <w:r>
        <w:rPr>
          <w:spacing w:val="3"/>
          <w:w w:val="110"/>
        </w:rPr>
        <w:t>for</w:t>
      </w:r>
      <w:r>
        <w:rPr>
          <w:spacing w:val="21"/>
          <w:w w:val="110"/>
        </w:rPr>
        <w:t> </w:t>
      </w:r>
      <w:r>
        <w:rPr>
          <w:spacing w:val="4"/>
          <w:w w:val="110"/>
        </w:rPr>
        <w:t>generosity</w:t>
      </w:r>
    </w:p>
    <w:p>
      <w:pPr>
        <w:pStyle w:val="ListParagraph"/>
        <w:numPr>
          <w:ilvl w:val="1"/>
          <w:numId w:val="104"/>
        </w:numPr>
        <w:tabs>
          <w:tab w:pos="1927" w:val="left" w:leader="none"/>
          <w:tab w:pos="1928" w:val="left" w:leader="none"/>
        </w:tabs>
        <w:spacing w:line="235" w:lineRule="auto" w:before="69" w:after="0"/>
        <w:ind w:left="1247" w:right="2002" w:firstLine="0"/>
        <w:jc w:val="left"/>
        <w:rPr>
          <w:sz w:val="20"/>
        </w:rPr>
      </w:pPr>
      <w:r>
        <w:rPr>
          <w:w w:val="120"/>
          <w:sz w:val="20"/>
        </w:rPr>
        <w:t>The Society </w:t>
      </w:r>
      <w:r>
        <w:rPr>
          <w:spacing w:val="-3"/>
          <w:w w:val="120"/>
          <w:sz w:val="20"/>
        </w:rPr>
        <w:t>received donations </w:t>
      </w:r>
      <w:r>
        <w:rPr>
          <w:w w:val="120"/>
          <w:sz w:val="20"/>
        </w:rPr>
        <w:t>and legacies which in </w:t>
      </w:r>
      <w:r>
        <w:rPr>
          <w:spacing w:val="-9"/>
          <w:w w:val="120"/>
          <w:sz w:val="20"/>
        </w:rPr>
        <w:t>2012 </w:t>
      </w:r>
      <w:r>
        <w:rPr>
          <w:spacing w:val="-3"/>
          <w:w w:val="120"/>
          <w:sz w:val="20"/>
        </w:rPr>
        <w:t>amounted to </w:t>
      </w:r>
      <w:r>
        <w:rPr>
          <w:w w:val="120"/>
          <w:sz w:val="20"/>
        </w:rPr>
        <w:t>£460,000 and in </w:t>
      </w:r>
      <w:r>
        <w:rPr>
          <w:spacing w:val="-10"/>
          <w:w w:val="120"/>
          <w:sz w:val="20"/>
        </w:rPr>
        <w:t>2013 </w:t>
      </w:r>
      <w:r>
        <w:rPr>
          <w:spacing w:val="-3"/>
          <w:w w:val="120"/>
          <w:sz w:val="20"/>
        </w:rPr>
        <w:t>to </w:t>
      </w:r>
      <w:r>
        <w:rPr>
          <w:w w:val="120"/>
          <w:sz w:val="20"/>
        </w:rPr>
        <w:t>£360,000. Many </w:t>
      </w:r>
      <w:r>
        <w:rPr>
          <w:spacing w:val="-3"/>
          <w:w w:val="120"/>
          <w:sz w:val="20"/>
        </w:rPr>
        <w:t>churches, </w:t>
      </w:r>
      <w:r>
        <w:rPr>
          <w:w w:val="120"/>
          <w:sz w:val="20"/>
        </w:rPr>
        <w:t>synods and </w:t>
      </w:r>
      <w:r>
        <w:rPr>
          <w:spacing w:val="-3"/>
          <w:w w:val="120"/>
          <w:sz w:val="20"/>
        </w:rPr>
        <w:t>individuals have </w:t>
      </w:r>
      <w:r>
        <w:rPr>
          <w:w w:val="120"/>
          <w:sz w:val="20"/>
        </w:rPr>
        <w:t>responded generously </w:t>
      </w:r>
      <w:r>
        <w:rPr>
          <w:spacing w:val="-3"/>
          <w:w w:val="120"/>
          <w:sz w:val="20"/>
        </w:rPr>
        <w:t>to </w:t>
      </w:r>
      <w:r>
        <w:rPr>
          <w:w w:val="120"/>
          <w:sz w:val="20"/>
        </w:rPr>
        <w:t>the re-launch of our appeal in 2006 and these gifts are much</w:t>
      </w:r>
      <w:r>
        <w:rPr>
          <w:spacing w:val="-34"/>
          <w:w w:val="120"/>
          <w:sz w:val="20"/>
        </w:rPr>
        <w:t> </w:t>
      </w:r>
      <w:r>
        <w:rPr>
          <w:spacing w:val="-3"/>
          <w:w w:val="120"/>
          <w:sz w:val="20"/>
        </w:rPr>
        <w:t>appreciated.</w:t>
      </w:r>
    </w:p>
    <w:p>
      <w:pPr>
        <w:pStyle w:val="BodyText"/>
        <w:spacing w:before="10"/>
        <w:rPr>
          <w:sz w:val="19"/>
        </w:rPr>
      </w:pPr>
    </w:p>
    <w:p>
      <w:pPr>
        <w:pStyle w:val="ListParagraph"/>
        <w:numPr>
          <w:ilvl w:val="1"/>
          <w:numId w:val="104"/>
        </w:numPr>
        <w:tabs>
          <w:tab w:pos="1927" w:val="left" w:leader="none"/>
          <w:tab w:pos="1928" w:val="left" w:leader="none"/>
        </w:tabs>
        <w:spacing w:line="235" w:lineRule="auto" w:before="0" w:after="0"/>
        <w:ind w:left="1247" w:right="2301" w:firstLine="0"/>
        <w:jc w:val="left"/>
        <w:rPr>
          <w:sz w:val="20"/>
        </w:rPr>
      </w:pPr>
      <w:r>
        <w:rPr>
          <w:w w:val="120"/>
          <w:sz w:val="20"/>
        </w:rPr>
        <w:t>In </w:t>
      </w:r>
      <w:r>
        <w:rPr>
          <w:spacing w:val="-6"/>
          <w:w w:val="120"/>
          <w:sz w:val="20"/>
        </w:rPr>
        <w:t>2007, </w:t>
      </w:r>
      <w:r>
        <w:rPr>
          <w:w w:val="120"/>
          <w:sz w:val="20"/>
        </w:rPr>
        <w:t>General Assembly approved a resolution recommending that ten percent of funds raised from the sale of redundant churches be contributed to the society. Encouragingly, many synods have agreed to this course of action, and others have offered to help in different</w:t>
      </w:r>
      <w:r>
        <w:rPr>
          <w:spacing w:val="9"/>
          <w:w w:val="120"/>
          <w:sz w:val="20"/>
        </w:rPr>
        <w:t> </w:t>
      </w:r>
      <w:r>
        <w:rPr>
          <w:w w:val="120"/>
          <w:sz w:val="20"/>
        </w:rPr>
        <w:t>ways.</w:t>
      </w:r>
    </w:p>
    <w:p>
      <w:pPr>
        <w:pStyle w:val="Heading4"/>
        <w:numPr>
          <w:ilvl w:val="0"/>
          <w:numId w:val="104"/>
        </w:numPr>
        <w:tabs>
          <w:tab w:pos="1927" w:val="left" w:leader="none"/>
          <w:tab w:pos="1928" w:val="left" w:leader="none"/>
        </w:tabs>
        <w:spacing w:line="240" w:lineRule="auto" w:before="216" w:after="0"/>
        <w:ind w:left="1927" w:right="0" w:hanging="681"/>
        <w:jc w:val="left"/>
      </w:pPr>
      <w:r>
        <w:rPr>
          <w:spacing w:val="3"/>
          <w:w w:val="110"/>
        </w:rPr>
        <w:t>Our </w:t>
      </w:r>
      <w:r>
        <w:rPr>
          <w:spacing w:val="4"/>
          <w:w w:val="110"/>
        </w:rPr>
        <w:t>ongoing</w:t>
      </w:r>
      <w:r>
        <w:rPr>
          <w:spacing w:val="22"/>
          <w:w w:val="110"/>
        </w:rPr>
        <w:t> </w:t>
      </w:r>
      <w:r>
        <w:rPr>
          <w:spacing w:val="2"/>
          <w:w w:val="110"/>
        </w:rPr>
        <w:t>work</w:t>
      </w:r>
    </w:p>
    <w:p>
      <w:pPr>
        <w:pStyle w:val="ListParagraph"/>
        <w:numPr>
          <w:ilvl w:val="1"/>
          <w:numId w:val="104"/>
        </w:numPr>
        <w:tabs>
          <w:tab w:pos="1927" w:val="left" w:leader="none"/>
          <w:tab w:pos="1928" w:val="left" w:leader="none"/>
        </w:tabs>
        <w:spacing w:line="235" w:lineRule="auto" w:before="69" w:after="0"/>
        <w:ind w:left="1247" w:right="2262" w:firstLine="0"/>
        <w:jc w:val="left"/>
        <w:rPr>
          <w:sz w:val="20"/>
        </w:rPr>
      </w:pPr>
      <w:r>
        <w:rPr>
          <w:spacing w:val="2"/>
          <w:w w:val="120"/>
          <w:sz w:val="20"/>
        </w:rPr>
        <w:t>The society </w:t>
      </w:r>
      <w:r>
        <w:rPr>
          <w:w w:val="120"/>
          <w:sz w:val="20"/>
        </w:rPr>
        <w:t>continues to work with the finance </w:t>
      </w:r>
      <w:r>
        <w:rPr>
          <w:spacing w:val="2"/>
          <w:w w:val="120"/>
          <w:sz w:val="20"/>
        </w:rPr>
        <w:t>department </w:t>
      </w:r>
      <w:r>
        <w:rPr>
          <w:w w:val="120"/>
          <w:sz w:val="20"/>
        </w:rPr>
        <w:t>and is </w:t>
      </w:r>
      <w:r>
        <w:rPr>
          <w:spacing w:val="2"/>
          <w:w w:val="120"/>
          <w:sz w:val="20"/>
        </w:rPr>
        <w:t>grateful </w:t>
      </w:r>
      <w:r>
        <w:rPr>
          <w:w w:val="120"/>
          <w:sz w:val="20"/>
        </w:rPr>
        <w:t>to </w:t>
      </w:r>
      <w:r>
        <w:rPr>
          <w:spacing w:val="2"/>
          <w:w w:val="120"/>
          <w:sz w:val="20"/>
        </w:rPr>
        <w:t>Andrew Grimwade </w:t>
      </w:r>
      <w:r>
        <w:rPr>
          <w:w w:val="120"/>
          <w:sz w:val="20"/>
        </w:rPr>
        <w:t>and his team for the </w:t>
      </w:r>
      <w:r>
        <w:rPr>
          <w:spacing w:val="3"/>
          <w:w w:val="120"/>
          <w:sz w:val="20"/>
        </w:rPr>
        <w:t>support, </w:t>
      </w:r>
      <w:r>
        <w:rPr>
          <w:w w:val="120"/>
          <w:sz w:val="20"/>
        </w:rPr>
        <w:t>financial </w:t>
      </w:r>
      <w:r>
        <w:rPr>
          <w:spacing w:val="2"/>
          <w:w w:val="120"/>
          <w:sz w:val="20"/>
        </w:rPr>
        <w:t>information </w:t>
      </w:r>
      <w:r>
        <w:rPr>
          <w:w w:val="120"/>
          <w:sz w:val="20"/>
        </w:rPr>
        <w:t>and advice they</w:t>
      </w:r>
      <w:r>
        <w:rPr>
          <w:spacing w:val="6"/>
          <w:w w:val="120"/>
          <w:sz w:val="20"/>
        </w:rPr>
        <w:t> </w:t>
      </w:r>
      <w:r>
        <w:rPr>
          <w:w w:val="120"/>
          <w:sz w:val="20"/>
        </w:rPr>
        <w:t>provide.</w:t>
      </w:r>
    </w:p>
    <w:p>
      <w:pPr>
        <w:pStyle w:val="BodyText"/>
        <w:spacing w:before="10"/>
        <w:rPr>
          <w:sz w:val="19"/>
        </w:rPr>
      </w:pPr>
    </w:p>
    <w:p>
      <w:pPr>
        <w:pStyle w:val="ListParagraph"/>
        <w:numPr>
          <w:ilvl w:val="1"/>
          <w:numId w:val="104"/>
        </w:numPr>
        <w:tabs>
          <w:tab w:pos="1928" w:val="left" w:leader="none"/>
        </w:tabs>
        <w:spacing w:line="235" w:lineRule="auto" w:before="0" w:after="0"/>
        <w:ind w:left="1247" w:right="2093" w:firstLine="0"/>
        <w:jc w:val="both"/>
        <w:rPr>
          <w:sz w:val="20"/>
        </w:rPr>
      </w:pPr>
      <w:r>
        <w:rPr>
          <w:w w:val="120"/>
          <w:sz w:val="20"/>
        </w:rPr>
        <w:t>The society continues to contribute to the ministries pre-retirement courses run at the Windermere Centre. These sessions have been redesigned to be of benefit to all, regardless of whether assistance with housing will be</w:t>
      </w:r>
      <w:r>
        <w:rPr>
          <w:spacing w:val="20"/>
          <w:w w:val="120"/>
          <w:sz w:val="20"/>
        </w:rPr>
        <w:t> </w:t>
      </w:r>
      <w:r>
        <w:rPr>
          <w:w w:val="120"/>
          <w:sz w:val="20"/>
        </w:rPr>
        <w:t>needed.</w:t>
      </w:r>
    </w:p>
    <w:p>
      <w:pPr>
        <w:spacing w:after="0" w:line="235" w:lineRule="auto"/>
        <w:jc w:val="both"/>
        <w:rPr>
          <w:sz w:val="20"/>
        </w:rPr>
        <w:sectPr>
          <w:headerReference w:type="even" r:id="rId428"/>
          <w:footerReference w:type="even" r:id="rId429"/>
          <w:footerReference w:type="default" r:id="rId430"/>
          <w:pgSz w:w="11910" w:h="16840"/>
          <w:pgMar w:header="0" w:footer="647" w:top="0" w:bottom="840" w:left="0" w:right="0"/>
          <w:pgNumType w:start="188"/>
        </w:sectPr>
      </w:pPr>
    </w:p>
    <w:p>
      <w:pPr>
        <w:pStyle w:val="BodyText"/>
      </w:pPr>
      <w:r>
        <w:rPr/>
        <w:drawing>
          <wp:anchor distT="0" distB="0" distL="0" distR="0" allowOverlap="1" layoutInCell="1" locked="0" behindDoc="0" simplePos="0" relativeHeight="252133376">
            <wp:simplePos x="0" y="0"/>
            <wp:positionH relativeFrom="page">
              <wp:posOffset>6974928</wp:posOffset>
            </wp:positionH>
            <wp:positionV relativeFrom="page">
              <wp:posOffset>0</wp:posOffset>
            </wp:positionV>
            <wp:extent cx="585063" cy="10692003"/>
            <wp:effectExtent l="0" t="0" r="0" b="0"/>
            <wp:wrapNone/>
            <wp:docPr id="355" name="image30.png"/>
            <wp:cNvGraphicFramePr>
              <a:graphicFrameLocks noChangeAspect="1"/>
            </wp:cNvGraphicFramePr>
            <a:graphic>
              <a:graphicData uri="http://schemas.openxmlformats.org/drawingml/2006/picture">
                <pic:pic>
                  <pic:nvPicPr>
                    <pic:cNvPr id="356" name="image30.png"/>
                    <pic:cNvPicPr/>
                  </pic:nvPicPr>
                  <pic:blipFill>
                    <a:blip r:embed="rId357"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pStyle w:val="Heading5"/>
        <w:ind w:left="0" w:right="1245"/>
        <w:jc w:val="right"/>
      </w:pPr>
      <w:r>
        <w:rPr>
          <w:color w:val="7EAABF"/>
          <w:w w:val="110"/>
        </w:rPr>
        <w:t>Ministries</w:t>
      </w:r>
    </w:p>
    <w:p>
      <w:pPr>
        <w:pStyle w:val="BodyText"/>
        <w:spacing w:before="2"/>
        <w:rPr>
          <w:sz w:val="28"/>
        </w:rPr>
      </w:pPr>
    </w:p>
    <w:p>
      <w:pPr>
        <w:pStyle w:val="ListParagraph"/>
        <w:numPr>
          <w:ilvl w:val="0"/>
          <w:numId w:val="104"/>
        </w:numPr>
        <w:tabs>
          <w:tab w:pos="2664" w:val="left" w:leader="none"/>
          <w:tab w:pos="2665" w:val="left" w:leader="none"/>
        </w:tabs>
        <w:spacing w:line="240" w:lineRule="auto" w:before="90" w:after="0"/>
        <w:ind w:left="2664" w:right="0" w:hanging="681"/>
        <w:jc w:val="left"/>
        <w:rPr>
          <w:rFonts w:ascii="Stone Sans II ITC Std Bk"/>
          <w:b/>
          <w:sz w:val="29"/>
        </w:rPr>
      </w:pPr>
      <w:r>
        <w:rPr/>
        <w:pict>
          <v:shape style="position:absolute;margin-left:554.141174pt;margin-top:-15.750579pt;width:25.9pt;height:266.2pt;mso-position-horizontal-relative:page;mso-position-vertical-relative:paragraph;z-index:252134400" type="#_x0000_t202" filled="false" stroked="false">
            <v:textbox inset="0,0,0,0" style="layout-flow:vertical">
              <w:txbxContent>
                <w:p>
                  <w:pPr>
                    <w:spacing w:before="27"/>
                    <w:ind w:left="20" w:right="0" w:firstLine="0"/>
                    <w:jc w:val="left"/>
                    <w:rPr>
                      <w:sz w:val="39"/>
                    </w:rPr>
                  </w:pPr>
                  <w:r>
                    <w:rPr>
                      <w:color w:val="FFFFFF"/>
                      <w:w w:val="120"/>
                      <w:sz w:val="39"/>
                    </w:rPr>
                    <w:t>Retired ministers’ housing</w:t>
                  </w:r>
                </w:p>
              </w:txbxContent>
            </v:textbox>
            <w10:wrap type="none"/>
          </v:shape>
        </w:pict>
      </w:r>
      <w:r>
        <w:rPr>
          <w:rFonts w:ascii="Stone Sans II ITC Std Bk"/>
          <w:b/>
          <w:spacing w:val="4"/>
          <w:w w:val="110"/>
          <w:sz w:val="29"/>
        </w:rPr>
        <w:t>The</w:t>
      </w:r>
      <w:r>
        <w:rPr>
          <w:rFonts w:ascii="Stone Sans II ITC Std Bk"/>
          <w:b/>
          <w:spacing w:val="12"/>
          <w:w w:val="110"/>
          <w:sz w:val="29"/>
        </w:rPr>
        <w:t> </w:t>
      </w:r>
      <w:r>
        <w:rPr>
          <w:rFonts w:ascii="Stone Sans II ITC Std Bk"/>
          <w:b/>
          <w:spacing w:val="3"/>
          <w:w w:val="110"/>
          <w:sz w:val="29"/>
        </w:rPr>
        <w:t>future</w:t>
      </w:r>
    </w:p>
    <w:p>
      <w:pPr>
        <w:pStyle w:val="BodyText"/>
        <w:spacing w:line="235" w:lineRule="auto" w:before="69"/>
        <w:ind w:left="1984" w:right="1352"/>
      </w:pPr>
      <w:r>
        <w:rPr>
          <w:w w:val="120"/>
        </w:rPr>
        <w:t>The future of the society is exciting, and it is a privilege to be serving those who for all their lives have served others. It is a unique ministry with both challenges and rewards, which operates, hopefully, with a light in touch but far reaching consequences through the network and support of local churches, moderators and the wider fellowship of the United Reformed Church.</w:t>
      </w:r>
    </w:p>
    <w:p>
      <w:pPr>
        <w:spacing w:after="0" w:line="235" w:lineRule="auto"/>
        <w:sectPr>
          <w:headerReference w:type="default" r:id="rId431"/>
          <w:pgSz w:w="11910" w:h="16840"/>
          <w:pgMar w:header="0" w:footer="647" w:top="0" w:bottom="840" w:left="0" w:right="0"/>
        </w:sectPr>
      </w:pPr>
    </w:p>
    <w:p>
      <w:pPr>
        <w:pStyle w:val="BodyText"/>
      </w:pPr>
      <w:r>
        <w:rPr/>
        <w:drawing>
          <wp:anchor distT="0" distB="0" distL="0" distR="0" allowOverlap="1" layoutInCell="1" locked="0" behindDoc="0" simplePos="0" relativeHeight="252135424">
            <wp:simplePos x="0" y="0"/>
            <wp:positionH relativeFrom="page">
              <wp:posOffset>0</wp:posOffset>
            </wp:positionH>
            <wp:positionV relativeFrom="page">
              <wp:posOffset>0</wp:posOffset>
            </wp:positionV>
            <wp:extent cx="594067" cy="10692003"/>
            <wp:effectExtent l="0" t="0" r="0" b="0"/>
            <wp:wrapNone/>
            <wp:docPr id="357" name="image32.png"/>
            <wp:cNvGraphicFramePr>
              <a:graphicFrameLocks noChangeAspect="1"/>
            </wp:cNvGraphicFramePr>
            <a:graphic>
              <a:graphicData uri="http://schemas.openxmlformats.org/drawingml/2006/picture">
                <pic:pic>
                  <pic:nvPicPr>
                    <pic:cNvPr id="358" name="image32.png"/>
                    <pic:cNvPicPr/>
                  </pic:nvPicPr>
                  <pic:blipFill>
                    <a:blip r:embed="rId362" cstate="print"/>
                    <a:stretch>
                      <a:fillRect/>
                    </a:stretch>
                  </pic:blipFill>
                  <pic:spPr>
                    <a:xfrm>
                      <a:off x="0" y="0"/>
                      <a:ext cx="594067" cy="10692003"/>
                    </a:xfrm>
                    <a:prstGeom prst="rect">
                      <a:avLst/>
                    </a:prstGeom>
                  </pic:spPr>
                </pic:pic>
              </a:graphicData>
            </a:graphic>
          </wp:anchor>
        </w:drawing>
      </w:r>
    </w:p>
    <w:p>
      <w:pPr>
        <w:pStyle w:val="BodyText"/>
      </w:pPr>
    </w:p>
    <w:p>
      <w:pPr>
        <w:pStyle w:val="BodyText"/>
      </w:pPr>
    </w:p>
    <w:p>
      <w:pPr>
        <w:pStyle w:val="BodyText"/>
        <w:spacing w:before="5"/>
        <w:rPr>
          <w:sz w:val="28"/>
        </w:rPr>
      </w:pPr>
    </w:p>
    <w:p>
      <w:pPr>
        <w:pStyle w:val="Heading2"/>
        <w:spacing w:before="97"/>
        <w:rPr>
          <w:b/>
        </w:rPr>
      </w:pPr>
      <w:r>
        <w:rPr/>
        <w:pict>
          <v:shape style="position:absolute;margin-left:20.519100pt;margin-top:-5.998084pt;width:25.9pt;height:78.850pt;mso-position-horizontal-relative:page;mso-position-vertical-relative:paragraph;z-index:252137472" type="#_x0000_t202" filled="false" stroked="false">
            <v:textbox inset="0,0,0,0" style="layout-flow:vertical">
              <w:txbxContent>
                <w:p>
                  <w:pPr>
                    <w:spacing w:before="27"/>
                    <w:ind w:left="20" w:right="0" w:firstLine="0"/>
                    <w:jc w:val="left"/>
                    <w:rPr>
                      <w:sz w:val="39"/>
                    </w:rPr>
                  </w:pPr>
                  <w:r>
                    <w:rPr>
                      <w:color w:val="FFFFFF"/>
                      <w:w w:val="115"/>
                      <w:sz w:val="39"/>
                    </w:rPr>
                    <w:t>Mission</w:t>
                  </w:r>
                </w:p>
              </w:txbxContent>
            </v:textbox>
            <w10:wrap type="none"/>
          </v:shape>
        </w:pict>
      </w:r>
      <w:bookmarkStart w:name="_bookmark40" w:id="49"/>
      <w:bookmarkEnd w:id="49"/>
      <w:r>
        <w:rPr>
          <w:b w:val="0"/>
        </w:rPr>
      </w:r>
      <w:r>
        <w:rPr>
          <w:b/>
          <w:w w:val="110"/>
        </w:rPr>
        <w:t>Mission committee</w:t>
      </w:r>
    </w:p>
    <w:p>
      <w:pPr>
        <w:spacing w:line="261" w:lineRule="auto" w:before="141"/>
        <w:ind w:left="1247" w:right="2004" w:firstLine="0"/>
        <w:jc w:val="left"/>
        <w:rPr>
          <w:sz w:val="18"/>
        </w:rPr>
      </w:pPr>
      <w:r>
        <w:rPr>
          <w:color w:val="87888A"/>
          <w:w w:val="120"/>
          <w:sz w:val="18"/>
        </w:rPr>
        <w:t>The central task of the mission committee is to focus on mission, working with the whole of the church to formulate and give expression to our mission and faith in ways which bring alive our vision of “being Christ’s people, transformed by the Gospel, making a difference to the world” (General Assembly, 2007). The committee seeks to encourage growth in discipleship, evangelism and witness by:</w:t>
      </w:r>
    </w:p>
    <w:p>
      <w:pPr>
        <w:pStyle w:val="ListParagraph"/>
        <w:numPr>
          <w:ilvl w:val="0"/>
          <w:numId w:val="105"/>
        </w:numPr>
        <w:tabs>
          <w:tab w:pos="1927" w:val="left" w:leader="none"/>
          <w:tab w:pos="1928" w:val="left" w:leader="none"/>
        </w:tabs>
        <w:spacing w:line="240" w:lineRule="auto" w:before="2" w:after="0"/>
        <w:ind w:left="1927" w:right="0" w:hanging="681"/>
        <w:jc w:val="left"/>
        <w:rPr>
          <w:sz w:val="18"/>
        </w:rPr>
      </w:pPr>
      <w:r>
        <w:rPr>
          <w:color w:val="87888A"/>
          <w:w w:val="120"/>
          <w:sz w:val="18"/>
        </w:rPr>
        <w:t>reflecting on the church’s mission practice and</w:t>
      </w:r>
      <w:r>
        <w:rPr>
          <w:color w:val="87888A"/>
          <w:spacing w:val="15"/>
          <w:w w:val="120"/>
          <w:sz w:val="18"/>
        </w:rPr>
        <w:t> </w:t>
      </w:r>
      <w:r>
        <w:rPr>
          <w:color w:val="87888A"/>
          <w:w w:val="120"/>
          <w:sz w:val="18"/>
        </w:rPr>
        <w:t>theology;</w:t>
      </w:r>
    </w:p>
    <w:p>
      <w:pPr>
        <w:pStyle w:val="ListParagraph"/>
        <w:numPr>
          <w:ilvl w:val="0"/>
          <w:numId w:val="105"/>
        </w:numPr>
        <w:tabs>
          <w:tab w:pos="1927" w:val="left" w:leader="none"/>
          <w:tab w:pos="1928" w:val="left" w:leader="none"/>
        </w:tabs>
        <w:spacing w:line="240" w:lineRule="auto" w:before="20" w:after="0"/>
        <w:ind w:left="1927" w:right="0" w:hanging="681"/>
        <w:jc w:val="left"/>
        <w:rPr>
          <w:sz w:val="18"/>
        </w:rPr>
      </w:pPr>
      <w:r>
        <w:rPr>
          <w:color w:val="87888A"/>
          <w:w w:val="120"/>
          <w:sz w:val="18"/>
        </w:rPr>
        <w:t>formulating policy, strategies and programme </w:t>
      </w:r>
      <w:r>
        <w:rPr>
          <w:color w:val="87888A"/>
          <w:spacing w:val="-3"/>
          <w:w w:val="120"/>
          <w:sz w:val="18"/>
        </w:rPr>
        <w:t>(action)</w:t>
      </w:r>
      <w:r>
        <w:rPr>
          <w:color w:val="87888A"/>
          <w:spacing w:val="13"/>
          <w:w w:val="120"/>
          <w:sz w:val="18"/>
        </w:rPr>
        <w:t> </w:t>
      </w:r>
      <w:r>
        <w:rPr>
          <w:color w:val="87888A"/>
          <w:w w:val="120"/>
          <w:sz w:val="18"/>
        </w:rPr>
        <w:t>priorities;</w:t>
      </w:r>
    </w:p>
    <w:p>
      <w:pPr>
        <w:pStyle w:val="ListParagraph"/>
        <w:numPr>
          <w:ilvl w:val="0"/>
          <w:numId w:val="105"/>
        </w:numPr>
        <w:tabs>
          <w:tab w:pos="1927" w:val="left" w:leader="none"/>
          <w:tab w:pos="1928" w:val="left" w:leader="none"/>
        </w:tabs>
        <w:spacing w:line="240" w:lineRule="auto" w:before="21" w:after="0"/>
        <w:ind w:left="1927" w:right="0" w:hanging="681"/>
        <w:jc w:val="left"/>
        <w:rPr>
          <w:sz w:val="18"/>
        </w:rPr>
      </w:pPr>
      <w:r>
        <w:rPr>
          <w:color w:val="87888A"/>
          <w:w w:val="120"/>
          <w:sz w:val="18"/>
        </w:rPr>
        <w:t>reading the signs of the times and speaking</w:t>
      </w:r>
      <w:r>
        <w:rPr>
          <w:color w:val="87888A"/>
          <w:spacing w:val="16"/>
          <w:w w:val="120"/>
          <w:sz w:val="18"/>
        </w:rPr>
        <w:t> </w:t>
      </w:r>
      <w:r>
        <w:rPr>
          <w:color w:val="87888A"/>
          <w:w w:val="120"/>
          <w:sz w:val="18"/>
        </w:rPr>
        <w:t>prophetically;</w:t>
      </w:r>
    </w:p>
    <w:p>
      <w:pPr>
        <w:pStyle w:val="ListParagraph"/>
        <w:numPr>
          <w:ilvl w:val="0"/>
          <w:numId w:val="105"/>
        </w:numPr>
        <w:tabs>
          <w:tab w:pos="1927" w:val="left" w:leader="none"/>
          <w:tab w:pos="1928" w:val="left" w:leader="none"/>
        </w:tabs>
        <w:spacing w:line="240" w:lineRule="auto" w:before="20" w:after="0"/>
        <w:ind w:left="1927" w:right="0" w:hanging="681"/>
        <w:jc w:val="left"/>
        <w:rPr>
          <w:sz w:val="18"/>
        </w:rPr>
      </w:pPr>
      <w:r>
        <w:rPr>
          <w:color w:val="87888A"/>
          <w:w w:val="120"/>
          <w:sz w:val="18"/>
        </w:rPr>
        <w:t>working with partners;</w:t>
      </w:r>
      <w:r>
        <w:rPr>
          <w:color w:val="87888A"/>
          <w:spacing w:val="17"/>
          <w:w w:val="120"/>
          <w:sz w:val="18"/>
        </w:rPr>
        <w:t> </w:t>
      </w:r>
      <w:r>
        <w:rPr>
          <w:color w:val="87888A"/>
          <w:w w:val="120"/>
          <w:sz w:val="18"/>
        </w:rPr>
        <w:t>and</w:t>
      </w:r>
    </w:p>
    <w:p>
      <w:pPr>
        <w:pStyle w:val="ListParagraph"/>
        <w:numPr>
          <w:ilvl w:val="0"/>
          <w:numId w:val="105"/>
        </w:numPr>
        <w:tabs>
          <w:tab w:pos="1927" w:val="left" w:leader="none"/>
          <w:tab w:pos="1928" w:val="left" w:leader="none"/>
        </w:tabs>
        <w:spacing w:line="261" w:lineRule="auto" w:before="20" w:after="0"/>
        <w:ind w:left="1927" w:right="2975" w:hanging="681"/>
        <w:jc w:val="left"/>
        <w:rPr>
          <w:sz w:val="18"/>
        </w:rPr>
      </w:pPr>
      <w:r>
        <w:rPr>
          <w:color w:val="87888A"/>
          <w:w w:val="120"/>
          <w:sz w:val="18"/>
        </w:rPr>
        <w:t>continuously evaluating the place of mission and evangelism within the work of General</w:t>
      </w:r>
      <w:r>
        <w:rPr>
          <w:color w:val="87888A"/>
          <w:spacing w:val="1"/>
          <w:w w:val="120"/>
          <w:sz w:val="18"/>
        </w:rPr>
        <w:t> </w:t>
      </w:r>
      <w:r>
        <w:rPr>
          <w:color w:val="87888A"/>
          <w:w w:val="120"/>
          <w:sz w:val="18"/>
        </w:rPr>
        <w:t>Assembly.</w:t>
      </w:r>
    </w:p>
    <w:p>
      <w:pPr>
        <w:pStyle w:val="BodyText"/>
        <w:spacing w:before="9"/>
        <w:rPr>
          <w:sz w:val="19"/>
        </w:rPr>
      </w:pPr>
    </w:p>
    <w:p>
      <w:pPr>
        <w:spacing w:before="0"/>
        <w:ind w:left="1247" w:right="0" w:firstLine="0"/>
        <w:jc w:val="left"/>
        <w:rPr>
          <w:sz w:val="18"/>
        </w:rPr>
      </w:pPr>
      <w:r>
        <w:rPr>
          <w:color w:val="87888A"/>
          <w:w w:val="120"/>
          <w:sz w:val="18"/>
        </w:rPr>
        <w:t>Committee members:</w:t>
      </w:r>
    </w:p>
    <w:p>
      <w:pPr>
        <w:spacing w:before="20"/>
        <w:ind w:left="1247" w:right="0" w:firstLine="0"/>
        <w:jc w:val="left"/>
        <w:rPr>
          <w:sz w:val="18"/>
        </w:rPr>
      </w:pPr>
      <w:r>
        <w:rPr>
          <w:color w:val="87888A"/>
          <w:w w:val="120"/>
          <w:sz w:val="18"/>
        </w:rPr>
        <w:t>Convener: Tracey Lewis</w:t>
      </w:r>
    </w:p>
    <w:p>
      <w:pPr>
        <w:spacing w:line="261" w:lineRule="auto" w:before="21"/>
        <w:ind w:left="1247" w:right="2167" w:firstLine="0"/>
        <w:jc w:val="left"/>
        <w:rPr>
          <w:sz w:val="18"/>
        </w:rPr>
      </w:pPr>
      <w:r>
        <w:rPr>
          <w:color w:val="87888A"/>
          <w:w w:val="120"/>
          <w:sz w:val="18"/>
        </w:rPr>
        <w:t>Staff secretaries: Francis Brienen (mission), Michael Jagessar (racial justice and intercultural ministry), Graham Jones (rural officer, until end 2013), Andrew Bradstock (church and society, from September 2013), Linda Mead (commitment for life), Jane Rowell (world church relations), David Tatem (ecumenical relations).</w:t>
      </w:r>
    </w:p>
    <w:p>
      <w:pPr>
        <w:spacing w:before="2"/>
        <w:ind w:left="1247" w:right="0" w:firstLine="0"/>
        <w:jc w:val="left"/>
        <w:rPr>
          <w:sz w:val="18"/>
        </w:rPr>
      </w:pPr>
      <w:r>
        <w:rPr>
          <w:color w:val="87888A"/>
          <w:w w:val="120"/>
          <w:sz w:val="18"/>
        </w:rPr>
        <w:t>Members: Pat Poinen (to 2013), Vacancy North Western, Andrew Willett, Tessa Henry-Robinson,</w:t>
      </w:r>
    </w:p>
    <w:p>
      <w:pPr>
        <w:spacing w:before="20"/>
        <w:ind w:left="1247" w:right="0" w:firstLine="0"/>
        <w:jc w:val="left"/>
        <w:rPr>
          <w:sz w:val="18"/>
        </w:rPr>
      </w:pPr>
      <w:r>
        <w:rPr>
          <w:color w:val="87888A"/>
          <w:w w:val="120"/>
          <w:sz w:val="18"/>
        </w:rPr>
        <w:t>David Dean, Louise Franklin (to February 2014), Samantha White, Janet Sutton Webb</w:t>
      </w:r>
    </w:p>
    <w:p>
      <w:pPr>
        <w:spacing w:line="261" w:lineRule="auto" w:before="20"/>
        <w:ind w:left="1247" w:right="2216" w:firstLine="0"/>
        <w:jc w:val="left"/>
        <w:rPr>
          <w:sz w:val="18"/>
        </w:rPr>
      </w:pPr>
      <w:r>
        <w:rPr>
          <w:color w:val="87888A"/>
          <w:w w:val="120"/>
          <w:sz w:val="18"/>
        </w:rPr>
        <w:t>(till January 2014), Peter Hurter, Naison Hove, Martin Hayward, Nick Stanyon (to October 2013), Lindsey Sanderson, Marie Trubic (co-opted)</w:t>
      </w:r>
    </w:p>
    <w:p>
      <w:pPr>
        <w:pStyle w:val="BodyText"/>
        <w:rPr>
          <w:sz w:val="22"/>
        </w:rPr>
      </w:pPr>
    </w:p>
    <w:p>
      <w:pPr>
        <w:pStyle w:val="Heading4"/>
        <w:numPr>
          <w:ilvl w:val="0"/>
          <w:numId w:val="106"/>
        </w:numPr>
        <w:tabs>
          <w:tab w:pos="1927" w:val="left" w:leader="none"/>
          <w:tab w:pos="1928" w:val="left" w:leader="none"/>
        </w:tabs>
        <w:spacing w:line="240" w:lineRule="auto" w:before="170" w:after="0"/>
        <w:ind w:left="1927" w:right="0" w:hanging="681"/>
        <w:jc w:val="left"/>
      </w:pPr>
      <w:r>
        <w:rPr>
          <w:spacing w:val="4"/>
          <w:w w:val="110"/>
        </w:rPr>
        <w:t>Introduction</w:t>
      </w:r>
    </w:p>
    <w:p>
      <w:pPr>
        <w:pStyle w:val="ListParagraph"/>
        <w:numPr>
          <w:ilvl w:val="1"/>
          <w:numId w:val="106"/>
        </w:numPr>
        <w:tabs>
          <w:tab w:pos="1927" w:val="left" w:leader="none"/>
          <w:tab w:pos="1928" w:val="left" w:leader="none"/>
        </w:tabs>
        <w:spacing w:line="235" w:lineRule="auto" w:before="69" w:after="0"/>
        <w:ind w:left="1247" w:right="1981" w:firstLine="0"/>
        <w:jc w:val="left"/>
        <w:rPr>
          <w:sz w:val="20"/>
        </w:rPr>
      </w:pPr>
      <w:r>
        <w:rPr>
          <w:w w:val="120"/>
          <w:sz w:val="20"/>
        </w:rPr>
        <w:t>Mission is what happens when the Holy Spirit is alive in Christian people living  out their calling to love their neighbours. What do we need to do as a whole Church  </w:t>
      </w:r>
      <w:r>
        <w:rPr>
          <w:spacing w:val="-3"/>
          <w:w w:val="120"/>
          <w:sz w:val="20"/>
        </w:rPr>
        <w:t>(that </w:t>
      </w:r>
      <w:r>
        <w:rPr>
          <w:w w:val="120"/>
          <w:sz w:val="20"/>
        </w:rPr>
        <w:t>cannot be done by the local </w:t>
      </w:r>
      <w:r>
        <w:rPr>
          <w:spacing w:val="-3"/>
          <w:w w:val="120"/>
          <w:sz w:val="20"/>
        </w:rPr>
        <w:t>church) </w:t>
      </w:r>
      <w:r>
        <w:rPr>
          <w:w w:val="120"/>
          <w:sz w:val="20"/>
        </w:rPr>
        <w:t>in order to be the United Reformed Church well equipped, vibrant and adventurous in mission? The mission committee holds this question in the forefront of its thinking, work and engagement with the wide mission agenda of the United Reformed Church. In the following </w:t>
      </w:r>
      <w:r>
        <w:rPr>
          <w:spacing w:val="2"/>
          <w:w w:val="120"/>
          <w:sz w:val="20"/>
        </w:rPr>
        <w:t>reports </w:t>
      </w:r>
      <w:r>
        <w:rPr>
          <w:w w:val="120"/>
          <w:sz w:val="20"/>
        </w:rPr>
        <w:t>we offer an account of the ways in which mission is alive and well and being progressed. The work represented here is a treasury of resources available to all our churches, its purpose being to open opportunities and equip local churches so that we might all reach beyond ourselves    and join in the passionate and active love of God for the world around</w:t>
      </w:r>
      <w:r>
        <w:rPr>
          <w:spacing w:val="37"/>
          <w:w w:val="120"/>
          <w:sz w:val="20"/>
        </w:rPr>
        <w:t> </w:t>
      </w:r>
      <w:r>
        <w:rPr>
          <w:w w:val="120"/>
          <w:sz w:val="20"/>
        </w:rPr>
        <w:t>us.</w:t>
      </w:r>
    </w:p>
    <w:p>
      <w:pPr>
        <w:pStyle w:val="BodyText"/>
        <w:rPr>
          <w:sz w:val="18"/>
        </w:rPr>
      </w:pPr>
    </w:p>
    <w:p>
      <w:pPr>
        <w:pStyle w:val="ListParagraph"/>
        <w:numPr>
          <w:ilvl w:val="0"/>
          <w:numId w:val="106"/>
        </w:numPr>
        <w:tabs>
          <w:tab w:pos="1927" w:val="left" w:leader="none"/>
          <w:tab w:pos="1928" w:val="left" w:leader="none"/>
        </w:tabs>
        <w:spacing w:line="240" w:lineRule="auto" w:before="0" w:after="0"/>
        <w:ind w:left="1927" w:right="0" w:hanging="681"/>
        <w:jc w:val="left"/>
        <w:rPr>
          <w:rFonts w:ascii="Stone Sans II ITC Std Bk"/>
          <w:b/>
          <w:i/>
          <w:sz w:val="29"/>
        </w:rPr>
      </w:pPr>
      <w:r>
        <w:rPr/>
        <w:pict>
          <v:group style="position:absolute;margin-left:352.446991pt;margin-top:1.825097pt;width:149.950pt;height:161.6pt;mso-position-horizontal-relative:page;mso-position-vertical-relative:paragraph;z-index:252136448" coordorigin="7049,37" coordsize="2999,3232">
            <v:shape style="position:absolute;left:7503;top:36;width:327;height:863" type="#_x0000_t75" stroked="false">
              <v:imagedata r:id="rId435" o:title=""/>
            </v:shape>
            <v:shape style="position:absolute;left:7908;top:600;width:504;height:1514" type="#_x0000_t75" stroked="false">
              <v:imagedata r:id="rId436" o:title=""/>
            </v:shape>
            <v:shape style="position:absolute;left:8343;top:204;width:985;height:1903" type="#_x0000_t75" stroked="false">
              <v:imagedata r:id="rId437" o:title=""/>
            </v:shape>
            <v:shape style="position:absolute;left:7329;top:2954;width:272;height:306" type="#_x0000_t75" stroked="false">
              <v:imagedata r:id="rId438" o:title=""/>
            </v:shape>
            <v:line style="position:absolute" from="7657,2954" to="7657,3259" stroked="true" strokeweight="1.864pt" strokecolor="#e53f17">
              <v:stroke dashstyle="solid"/>
            </v:line>
            <v:rect style="position:absolute;left:7638;top:2837;width:38;height:60" filled="true" fillcolor="#e53f17" stroked="false">
              <v:fill type="solid"/>
            </v:rect>
            <v:shape style="position:absolute;left:7730;top:2945;width:248;height:323" type="#_x0000_t75" stroked="false">
              <v:imagedata r:id="rId439" o:title=""/>
            </v:shape>
            <v:line style="position:absolute" from="8051,2954" to="8051,3259" stroked="true" strokeweight="1.863pt" strokecolor="#e53f17">
              <v:stroke dashstyle="solid"/>
            </v:line>
            <v:shape style="position:absolute;left:8126;top:2945;width:289;height:323" type="#_x0000_t75" stroked="false">
              <v:imagedata r:id="rId440" o:title=""/>
            </v:shape>
            <v:shape style="position:absolute;left:8469;top:2945;width:248;height:315" type="#_x0000_t75" stroked="false">
              <v:imagedata r:id="rId441" o:title=""/>
            </v:shape>
            <v:shape style="position:absolute;left:8775;top:2837;width:1272;height:431" coordorigin="8776,2837" coordsize="1272,431" path="m9059,2964l9053,2922,9037,2893,9031,2881,8989,2849,8926,2837,8865,2849,8820,2883,8793,2933,8783,2997,8851,2997,8855,2956,8867,2923,8889,2901,8922,2893,8957,2901,8979,2919,8989,2943,8992,2967,8979,3010,8949,3044,8909,3074,8867,3103,8829,3133,8801,3169,8782,3211,8776,3259,9059,3259,9059,3199,8857,3199,8872,3173,8898,3150,8931,3128,8967,3104,9001,3077,9031,3046,9051,3009,9059,2964m9389,3052l9384,2979,9362,2909,9349,2893,9322,2861,9322,3052,9318,3114,9306,3164,9283,3199,9246,3212,9209,3199,9186,3164,9174,3114,9170,3052,9174,2991,9186,2940,9209,2906,9246,2893,9283,2906,9306,2940,9318,2991,9322,3052,9322,2861,9319,2857,9246,2837,9174,2857,9130,2909,9109,2979,9103,3052,9109,3126,9130,3195,9174,3247,9246,3268,9319,3247,9349,3212,9362,3195,9384,3126,9389,3052m9717,2964l9710,2922,9695,2893,9688,2881,9647,2849,9584,2837,9523,2849,9478,2883,9451,2933,9441,2997,9509,2997,9513,2956,9525,2923,9546,2901,9580,2893,9615,2901,9637,2919,9647,2943,9650,2967,9637,3010,9607,3044,9567,3074,9525,3103,9487,3133,9459,3169,9440,3211,9434,3259,9716,3259,9716,3199,9515,3199,9530,3173,9556,3150,9589,3128,9625,3104,9659,3077,9689,3046,9709,3009,9717,2964m10047,3052l10041,2979,10020,2909,10006,2893,9980,2861,9980,3052,9976,3114,9964,3164,9941,3199,9904,3212,9867,3199,9844,3164,9832,3114,9828,3052,9832,2991,9844,2940,9867,2906,9904,2893,9941,2906,9964,2940,9976,2991,9980,3052,9980,2861,9976,2857,9904,2837,9831,2857,9788,2909,9766,2979,9761,3052,9766,3126,9788,3195,9831,3247,9904,3268,9976,3247,10006,3212,10020,3195,10041,3126,10047,3052e" filled="true" fillcolor="#f6a500" stroked="false">
              <v:path arrowok="t"/>
              <v:fill type="solid"/>
            </v:shape>
            <v:shape style="position:absolute;left:7048;top:737;width:2040;height:2164" type="#_x0000_t75" stroked="false">
              <v:imagedata r:id="rId442" o:title=""/>
            </v:shape>
            <w10:wrap type="none"/>
          </v:group>
        </w:pict>
      </w:r>
      <w:r>
        <w:rPr>
          <w:rFonts w:ascii="Stone Sans II ITC Std Bk"/>
          <w:b/>
          <w:i/>
          <w:spacing w:val="2"/>
          <w:w w:val="110"/>
          <w:sz w:val="29"/>
        </w:rPr>
        <w:t>Vision2020</w:t>
      </w:r>
    </w:p>
    <w:p>
      <w:pPr>
        <w:pStyle w:val="ListParagraph"/>
        <w:numPr>
          <w:ilvl w:val="1"/>
          <w:numId w:val="106"/>
        </w:numPr>
        <w:tabs>
          <w:tab w:pos="1927" w:val="left" w:leader="none"/>
          <w:tab w:pos="1928" w:val="left" w:leader="none"/>
        </w:tabs>
        <w:spacing w:line="235" w:lineRule="auto" w:before="69" w:after="0"/>
        <w:ind w:left="1247" w:right="4995" w:firstLine="0"/>
        <w:jc w:val="left"/>
        <w:rPr>
          <w:i/>
          <w:sz w:val="20"/>
        </w:rPr>
      </w:pPr>
      <w:r>
        <w:rPr>
          <w:w w:val="120"/>
          <w:sz w:val="20"/>
        </w:rPr>
        <w:t>The</w:t>
      </w:r>
      <w:r>
        <w:rPr>
          <w:spacing w:val="-11"/>
          <w:w w:val="120"/>
          <w:sz w:val="20"/>
        </w:rPr>
        <w:t> </w:t>
      </w:r>
      <w:r>
        <w:rPr>
          <w:i/>
          <w:w w:val="120"/>
          <w:sz w:val="20"/>
        </w:rPr>
        <w:t>vision2020</w:t>
      </w:r>
      <w:r>
        <w:rPr>
          <w:i/>
          <w:spacing w:val="-11"/>
          <w:w w:val="120"/>
          <w:sz w:val="20"/>
        </w:rPr>
        <w:t> </w:t>
      </w:r>
      <w:r>
        <w:rPr>
          <w:w w:val="120"/>
          <w:sz w:val="20"/>
        </w:rPr>
        <w:t>framework</w:t>
      </w:r>
      <w:r>
        <w:rPr>
          <w:spacing w:val="-10"/>
          <w:w w:val="120"/>
          <w:sz w:val="20"/>
        </w:rPr>
        <w:t> </w:t>
      </w:r>
      <w:r>
        <w:rPr>
          <w:w w:val="120"/>
          <w:sz w:val="20"/>
        </w:rPr>
        <w:t>for</w:t>
      </w:r>
      <w:r>
        <w:rPr>
          <w:spacing w:val="-11"/>
          <w:w w:val="120"/>
          <w:sz w:val="20"/>
        </w:rPr>
        <w:t> </w:t>
      </w:r>
      <w:r>
        <w:rPr>
          <w:w w:val="120"/>
          <w:sz w:val="20"/>
        </w:rPr>
        <w:t>mission</w:t>
      </w:r>
      <w:r>
        <w:rPr>
          <w:spacing w:val="-10"/>
          <w:w w:val="120"/>
          <w:sz w:val="20"/>
        </w:rPr>
        <w:t> </w:t>
      </w:r>
      <w:r>
        <w:rPr>
          <w:w w:val="120"/>
          <w:sz w:val="20"/>
        </w:rPr>
        <w:t>was</w:t>
      </w:r>
      <w:r>
        <w:rPr>
          <w:spacing w:val="-11"/>
          <w:w w:val="120"/>
          <w:sz w:val="20"/>
        </w:rPr>
        <w:t> </w:t>
      </w:r>
      <w:r>
        <w:rPr>
          <w:w w:val="120"/>
          <w:sz w:val="20"/>
        </w:rPr>
        <w:t>adopted by General Assembly </w:t>
      </w:r>
      <w:r>
        <w:rPr>
          <w:spacing w:val="-6"/>
          <w:w w:val="120"/>
          <w:sz w:val="20"/>
        </w:rPr>
        <w:t>2010 </w:t>
      </w:r>
      <w:r>
        <w:rPr>
          <w:w w:val="120"/>
          <w:sz w:val="20"/>
        </w:rPr>
        <w:t>and the mission committee and staff continue to support local churches, synods and Assembly in their engagement with it. At the November </w:t>
      </w:r>
      <w:r>
        <w:rPr>
          <w:spacing w:val="-8"/>
          <w:w w:val="120"/>
          <w:sz w:val="20"/>
        </w:rPr>
        <w:t>2013 </w:t>
      </w:r>
      <w:r>
        <w:rPr>
          <w:w w:val="120"/>
          <w:sz w:val="20"/>
        </w:rPr>
        <w:t>Mission Council synods reported back on </w:t>
      </w:r>
      <w:r>
        <w:rPr>
          <w:i/>
          <w:w w:val="120"/>
          <w:sz w:val="20"/>
        </w:rPr>
        <w:t>vision2020 </w:t>
      </w:r>
      <w:r>
        <w:rPr>
          <w:w w:val="120"/>
          <w:sz w:val="20"/>
        </w:rPr>
        <w:t>and many encouraging stories were shared. Various synods have sought to integrate </w:t>
      </w:r>
      <w:r>
        <w:rPr>
          <w:i/>
          <w:w w:val="120"/>
          <w:sz w:val="20"/>
        </w:rPr>
        <w:t>vision2020 </w:t>
      </w:r>
      <w:r>
        <w:rPr>
          <w:w w:val="120"/>
          <w:sz w:val="20"/>
        </w:rPr>
        <w:t>with the local mission and ministry review. Others have engaged with   it in different ways, offering it as a tool for identifying mission priorities alongside others. The synod</w:t>
      </w:r>
      <w:r>
        <w:rPr>
          <w:spacing w:val="-10"/>
          <w:w w:val="120"/>
          <w:sz w:val="20"/>
        </w:rPr>
        <w:t> </w:t>
      </w:r>
      <w:r>
        <w:rPr>
          <w:i/>
          <w:w w:val="120"/>
          <w:sz w:val="20"/>
        </w:rPr>
        <w:t>vision2020</w:t>
      </w:r>
    </w:p>
    <w:p>
      <w:pPr>
        <w:pStyle w:val="BodyText"/>
        <w:spacing w:line="235" w:lineRule="auto" w:before="7"/>
        <w:ind w:left="1247" w:right="4972"/>
      </w:pPr>
      <w:r>
        <w:rPr>
          <w:spacing w:val="2"/>
          <w:w w:val="125"/>
        </w:rPr>
        <w:t>reports</w:t>
      </w:r>
      <w:r>
        <w:rPr>
          <w:spacing w:val="-27"/>
          <w:w w:val="125"/>
        </w:rPr>
        <w:t> </w:t>
      </w:r>
      <w:r>
        <w:rPr>
          <w:w w:val="125"/>
        </w:rPr>
        <w:t>are</w:t>
      </w:r>
      <w:r>
        <w:rPr>
          <w:spacing w:val="-28"/>
          <w:w w:val="125"/>
        </w:rPr>
        <w:t> </w:t>
      </w:r>
      <w:r>
        <w:rPr>
          <w:w w:val="125"/>
        </w:rPr>
        <w:t>available</w:t>
      </w:r>
      <w:r>
        <w:rPr>
          <w:spacing w:val="-27"/>
          <w:w w:val="125"/>
        </w:rPr>
        <w:t> </w:t>
      </w:r>
      <w:r>
        <w:rPr>
          <w:w w:val="125"/>
        </w:rPr>
        <w:t>on</w:t>
      </w:r>
      <w:r>
        <w:rPr>
          <w:spacing w:val="-27"/>
          <w:w w:val="125"/>
        </w:rPr>
        <w:t> </w:t>
      </w:r>
      <w:hyperlink r:id="rId443">
        <w:r>
          <w:rPr>
            <w:w w:val="125"/>
          </w:rPr>
          <w:t>www.urc.org.uk</w:t>
        </w:r>
        <w:r>
          <w:rPr>
            <w:spacing w:val="-27"/>
            <w:w w:val="125"/>
          </w:rPr>
          <w:t> </w:t>
        </w:r>
      </w:hyperlink>
      <w:r>
        <w:rPr>
          <w:w w:val="125"/>
        </w:rPr>
        <w:t>(Mission</w:t>
      </w:r>
      <w:r>
        <w:rPr>
          <w:spacing w:val="-27"/>
          <w:w w:val="125"/>
        </w:rPr>
        <w:t> </w:t>
      </w:r>
      <w:r>
        <w:rPr>
          <w:w w:val="125"/>
        </w:rPr>
        <w:t>Council November</w:t>
      </w:r>
      <w:r>
        <w:rPr>
          <w:spacing w:val="-1"/>
          <w:w w:val="125"/>
        </w:rPr>
        <w:t> </w:t>
      </w:r>
      <w:r>
        <w:rPr>
          <w:spacing w:val="-9"/>
          <w:w w:val="125"/>
        </w:rPr>
        <w:t>2013).</w:t>
      </w:r>
    </w:p>
    <w:p>
      <w:pPr>
        <w:pStyle w:val="BodyText"/>
        <w:spacing w:before="10"/>
        <w:rPr>
          <w:sz w:val="19"/>
        </w:rPr>
      </w:pPr>
    </w:p>
    <w:p>
      <w:pPr>
        <w:pStyle w:val="ListParagraph"/>
        <w:numPr>
          <w:ilvl w:val="1"/>
          <w:numId w:val="106"/>
        </w:numPr>
        <w:tabs>
          <w:tab w:pos="1927" w:val="left" w:leader="none"/>
          <w:tab w:pos="1928" w:val="left" w:leader="none"/>
        </w:tabs>
        <w:spacing w:line="235" w:lineRule="auto" w:before="0" w:after="0"/>
        <w:ind w:left="1247" w:right="2266" w:firstLine="0"/>
        <w:jc w:val="left"/>
        <w:rPr>
          <w:sz w:val="20"/>
        </w:rPr>
      </w:pPr>
      <w:r>
        <w:rPr>
          <w:w w:val="120"/>
          <w:sz w:val="20"/>
        </w:rPr>
        <w:t>Mission</w:t>
      </w:r>
      <w:r>
        <w:rPr>
          <w:spacing w:val="-8"/>
          <w:w w:val="120"/>
          <w:sz w:val="20"/>
        </w:rPr>
        <w:t> </w:t>
      </w:r>
      <w:r>
        <w:rPr>
          <w:w w:val="120"/>
          <w:sz w:val="20"/>
        </w:rPr>
        <w:t>committee</w:t>
      </w:r>
      <w:r>
        <w:rPr>
          <w:spacing w:val="-8"/>
          <w:w w:val="120"/>
          <w:sz w:val="20"/>
        </w:rPr>
        <w:t> </w:t>
      </w:r>
      <w:r>
        <w:rPr>
          <w:w w:val="120"/>
          <w:sz w:val="20"/>
        </w:rPr>
        <w:t>and</w:t>
      </w:r>
      <w:r>
        <w:rPr>
          <w:spacing w:val="-8"/>
          <w:w w:val="120"/>
          <w:sz w:val="20"/>
        </w:rPr>
        <w:t> </w:t>
      </w:r>
      <w:r>
        <w:rPr>
          <w:w w:val="120"/>
          <w:sz w:val="20"/>
        </w:rPr>
        <w:t>team</w:t>
      </w:r>
      <w:r>
        <w:rPr>
          <w:spacing w:val="-8"/>
          <w:w w:val="120"/>
          <w:sz w:val="20"/>
        </w:rPr>
        <w:t> </w:t>
      </w:r>
      <w:r>
        <w:rPr>
          <w:w w:val="120"/>
          <w:sz w:val="20"/>
        </w:rPr>
        <w:t>members</w:t>
      </w:r>
      <w:r>
        <w:rPr>
          <w:spacing w:val="-8"/>
          <w:w w:val="120"/>
          <w:sz w:val="20"/>
        </w:rPr>
        <w:t> </w:t>
      </w:r>
      <w:r>
        <w:rPr>
          <w:w w:val="120"/>
          <w:sz w:val="20"/>
        </w:rPr>
        <w:t>have</w:t>
      </w:r>
      <w:r>
        <w:rPr>
          <w:spacing w:val="-8"/>
          <w:w w:val="120"/>
          <w:sz w:val="20"/>
        </w:rPr>
        <w:t> </w:t>
      </w:r>
      <w:r>
        <w:rPr>
          <w:w w:val="120"/>
          <w:sz w:val="20"/>
        </w:rPr>
        <w:t>also</w:t>
      </w:r>
      <w:r>
        <w:rPr>
          <w:spacing w:val="-8"/>
          <w:w w:val="120"/>
          <w:sz w:val="20"/>
        </w:rPr>
        <w:t> </w:t>
      </w:r>
      <w:r>
        <w:rPr>
          <w:w w:val="120"/>
          <w:sz w:val="20"/>
        </w:rPr>
        <w:t>been</w:t>
      </w:r>
      <w:r>
        <w:rPr>
          <w:spacing w:val="-8"/>
          <w:w w:val="120"/>
          <w:sz w:val="20"/>
        </w:rPr>
        <w:t> </w:t>
      </w:r>
      <w:r>
        <w:rPr>
          <w:w w:val="120"/>
          <w:sz w:val="20"/>
        </w:rPr>
        <w:t>able</w:t>
      </w:r>
      <w:r>
        <w:rPr>
          <w:spacing w:val="-8"/>
          <w:w w:val="120"/>
          <w:sz w:val="20"/>
        </w:rPr>
        <w:t> </w:t>
      </w:r>
      <w:r>
        <w:rPr>
          <w:w w:val="120"/>
          <w:sz w:val="20"/>
        </w:rPr>
        <w:t>to</w:t>
      </w:r>
      <w:r>
        <w:rPr>
          <w:spacing w:val="-8"/>
          <w:w w:val="120"/>
          <w:sz w:val="20"/>
        </w:rPr>
        <w:t> </w:t>
      </w:r>
      <w:r>
        <w:rPr>
          <w:w w:val="120"/>
          <w:sz w:val="20"/>
        </w:rPr>
        <w:t>share</w:t>
      </w:r>
      <w:r>
        <w:rPr>
          <w:spacing w:val="-8"/>
          <w:w w:val="120"/>
          <w:sz w:val="20"/>
        </w:rPr>
        <w:t> </w:t>
      </w:r>
      <w:r>
        <w:rPr>
          <w:i/>
          <w:w w:val="120"/>
          <w:sz w:val="20"/>
        </w:rPr>
        <w:t>vision2020 </w:t>
      </w:r>
      <w:r>
        <w:rPr>
          <w:w w:val="120"/>
          <w:sz w:val="20"/>
        </w:rPr>
        <w:t>by providing input at new ministers’ conferences, at the ‘Welcome to the United Reformed Church’ course and through the programmes of the Resource Centres for Learning. Another bi-annual </w:t>
      </w:r>
      <w:r>
        <w:rPr>
          <w:i/>
          <w:w w:val="120"/>
          <w:sz w:val="20"/>
        </w:rPr>
        <w:t>vision2020 </w:t>
      </w:r>
      <w:r>
        <w:rPr>
          <w:w w:val="120"/>
          <w:sz w:val="20"/>
        </w:rPr>
        <w:t>conference was held in the summer of </w:t>
      </w:r>
      <w:r>
        <w:rPr>
          <w:spacing w:val="-7"/>
          <w:w w:val="120"/>
          <w:sz w:val="20"/>
        </w:rPr>
        <w:t>2013, </w:t>
      </w:r>
      <w:r>
        <w:rPr>
          <w:w w:val="120"/>
          <w:sz w:val="20"/>
        </w:rPr>
        <w:t>this time focusing on church</w:t>
      </w:r>
      <w:r>
        <w:rPr>
          <w:spacing w:val="12"/>
          <w:w w:val="120"/>
          <w:sz w:val="20"/>
        </w:rPr>
        <w:t> </w:t>
      </w:r>
      <w:r>
        <w:rPr>
          <w:w w:val="120"/>
          <w:sz w:val="20"/>
        </w:rPr>
        <w:t>growth.</w:t>
      </w:r>
    </w:p>
    <w:p>
      <w:pPr>
        <w:spacing w:after="0" w:line="235" w:lineRule="auto"/>
        <w:jc w:val="left"/>
        <w:rPr>
          <w:sz w:val="20"/>
        </w:rPr>
        <w:sectPr>
          <w:headerReference w:type="even" r:id="rId432"/>
          <w:footerReference w:type="even" r:id="rId433"/>
          <w:footerReference w:type="default" r:id="rId434"/>
          <w:pgSz w:w="11910" w:h="16840"/>
          <w:pgMar w:header="0" w:footer="647" w:top="0" w:bottom="84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
        <w:rPr>
          <w:sz w:val="21"/>
        </w:rPr>
      </w:pPr>
    </w:p>
    <w:p>
      <w:pPr>
        <w:spacing w:line="252" w:lineRule="auto" w:before="0"/>
        <w:ind w:left="2891" w:right="1352" w:firstLine="0"/>
        <w:jc w:val="left"/>
        <w:rPr>
          <w:sz w:val="18"/>
        </w:rPr>
      </w:pPr>
      <w:r>
        <w:rPr>
          <w:color w:val="7EAABF"/>
          <w:w w:val="120"/>
          <w:sz w:val="18"/>
        </w:rPr>
        <w:t>The mission team from </w:t>
      </w:r>
      <w:r>
        <w:rPr>
          <w:color w:val="7EAABF"/>
          <w:spacing w:val="2"/>
          <w:w w:val="120"/>
          <w:sz w:val="18"/>
        </w:rPr>
        <w:t>left </w:t>
      </w:r>
      <w:r>
        <w:rPr>
          <w:color w:val="7EAABF"/>
          <w:w w:val="120"/>
          <w:sz w:val="18"/>
        </w:rPr>
        <w:t>to right, the Revd Dr Michael Jagessar, Mrs Wendy Cooper, the Revd David </w:t>
      </w:r>
      <w:r>
        <w:rPr>
          <w:color w:val="7EAABF"/>
          <w:spacing w:val="-3"/>
          <w:w w:val="120"/>
          <w:sz w:val="18"/>
        </w:rPr>
        <w:t>Tatem, </w:t>
      </w:r>
      <w:r>
        <w:rPr>
          <w:color w:val="7EAABF"/>
          <w:w w:val="120"/>
          <w:sz w:val="18"/>
        </w:rPr>
        <w:t>Dr Andrew Bradstock,  Mrs  Tracey  Hardingham,  the  Revd Helen</w:t>
      </w:r>
      <w:r>
        <w:rPr>
          <w:color w:val="7EAABF"/>
          <w:spacing w:val="5"/>
          <w:w w:val="120"/>
          <w:sz w:val="18"/>
        </w:rPr>
        <w:t> </w:t>
      </w:r>
      <w:r>
        <w:rPr>
          <w:color w:val="7EAABF"/>
          <w:w w:val="120"/>
          <w:sz w:val="18"/>
        </w:rPr>
        <w:t>Garton,</w:t>
      </w:r>
      <w:r>
        <w:rPr>
          <w:color w:val="7EAABF"/>
          <w:spacing w:val="6"/>
          <w:w w:val="120"/>
          <w:sz w:val="18"/>
        </w:rPr>
        <w:t> </w:t>
      </w:r>
      <w:r>
        <w:rPr>
          <w:color w:val="7EAABF"/>
          <w:w w:val="120"/>
          <w:sz w:val="18"/>
        </w:rPr>
        <w:t>Miss</w:t>
      </w:r>
      <w:r>
        <w:rPr>
          <w:color w:val="7EAABF"/>
          <w:spacing w:val="6"/>
          <w:w w:val="120"/>
          <w:sz w:val="18"/>
        </w:rPr>
        <w:t> </w:t>
      </w:r>
      <w:r>
        <w:rPr>
          <w:color w:val="7EAABF"/>
          <w:spacing w:val="2"/>
          <w:w w:val="120"/>
          <w:sz w:val="18"/>
        </w:rPr>
        <w:t>Becky</w:t>
      </w:r>
      <w:r>
        <w:rPr>
          <w:color w:val="7EAABF"/>
          <w:spacing w:val="6"/>
          <w:w w:val="120"/>
          <w:sz w:val="18"/>
        </w:rPr>
        <w:t> </w:t>
      </w:r>
      <w:r>
        <w:rPr>
          <w:color w:val="7EAABF"/>
          <w:w w:val="120"/>
          <w:sz w:val="18"/>
        </w:rPr>
        <w:t>Harrington,</w:t>
      </w:r>
      <w:r>
        <w:rPr>
          <w:color w:val="7EAABF"/>
          <w:spacing w:val="5"/>
          <w:w w:val="120"/>
          <w:sz w:val="18"/>
        </w:rPr>
        <w:t> </w:t>
      </w:r>
      <w:r>
        <w:rPr>
          <w:color w:val="7EAABF"/>
          <w:w w:val="120"/>
          <w:sz w:val="18"/>
        </w:rPr>
        <w:t>Mrs</w:t>
      </w:r>
      <w:r>
        <w:rPr>
          <w:color w:val="7EAABF"/>
          <w:spacing w:val="6"/>
          <w:w w:val="120"/>
          <w:sz w:val="18"/>
        </w:rPr>
        <w:t> </w:t>
      </w:r>
      <w:r>
        <w:rPr>
          <w:color w:val="7EAABF"/>
          <w:w w:val="120"/>
          <w:sz w:val="18"/>
        </w:rPr>
        <w:t>Linda</w:t>
      </w:r>
      <w:r>
        <w:rPr>
          <w:color w:val="7EAABF"/>
          <w:spacing w:val="6"/>
          <w:w w:val="120"/>
          <w:sz w:val="18"/>
        </w:rPr>
        <w:t> </w:t>
      </w:r>
      <w:r>
        <w:rPr>
          <w:color w:val="7EAABF"/>
          <w:w w:val="120"/>
          <w:sz w:val="18"/>
        </w:rPr>
        <w:t>Mead</w:t>
      </w:r>
      <w:r>
        <w:rPr>
          <w:color w:val="7EAABF"/>
          <w:spacing w:val="6"/>
          <w:w w:val="120"/>
          <w:sz w:val="18"/>
        </w:rPr>
        <w:t> </w:t>
      </w:r>
      <w:r>
        <w:rPr>
          <w:color w:val="7EAABF"/>
          <w:w w:val="120"/>
          <w:sz w:val="18"/>
        </w:rPr>
        <w:t>and</w:t>
      </w:r>
      <w:r>
        <w:rPr>
          <w:color w:val="7EAABF"/>
          <w:spacing w:val="5"/>
          <w:w w:val="120"/>
          <w:sz w:val="18"/>
        </w:rPr>
        <w:t> </w:t>
      </w:r>
      <w:r>
        <w:rPr>
          <w:color w:val="7EAABF"/>
          <w:w w:val="120"/>
          <w:sz w:val="18"/>
        </w:rPr>
        <w:t>Ms</w:t>
      </w:r>
      <w:r>
        <w:rPr>
          <w:color w:val="7EAABF"/>
          <w:spacing w:val="6"/>
          <w:w w:val="120"/>
          <w:sz w:val="18"/>
        </w:rPr>
        <w:t> </w:t>
      </w:r>
      <w:r>
        <w:rPr>
          <w:color w:val="7EAABF"/>
          <w:w w:val="120"/>
          <w:sz w:val="18"/>
        </w:rPr>
        <w:t>Francis</w:t>
      </w:r>
      <w:r>
        <w:rPr>
          <w:color w:val="7EAABF"/>
          <w:spacing w:val="6"/>
          <w:w w:val="120"/>
          <w:sz w:val="18"/>
        </w:rPr>
        <w:t> </w:t>
      </w:r>
      <w:r>
        <w:rPr>
          <w:color w:val="7EAABF"/>
          <w:w w:val="120"/>
          <w:sz w:val="18"/>
        </w:rPr>
        <w:t>Brienen</w:t>
      </w:r>
    </w:p>
    <w:p>
      <w:pPr>
        <w:pStyle w:val="BodyText"/>
        <w:spacing w:before="8"/>
        <w:rPr>
          <w:sz w:val="23"/>
        </w:rPr>
      </w:pPr>
    </w:p>
    <w:p>
      <w:pPr>
        <w:pStyle w:val="ListParagraph"/>
        <w:numPr>
          <w:ilvl w:val="1"/>
          <w:numId w:val="106"/>
        </w:numPr>
        <w:tabs>
          <w:tab w:pos="2664" w:val="left" w:leader="none"/>
          <w:tab w:pos="2665" w:val="left" w:leader="none"/>
        </w:tabs>
        <w:spacing w:line="235" w:lineRule="auto" w:before="0" w:after="0"/>
        <w:ind w:left="1984" w:right="1658" w:firstLine="0"/>
        <w:jc w:val="left"/>
        <w:rPr>
          <w:sz w:val="20"/>
        </w:rPr>
      </w:pPr>
      <w:r>
        <w:rPr>
          <w:w w:val="120"/>
          <w:sz w:val="20"/>
        </w:rPr>
        <w:t>There has been an increase in applications to the </w:t>
      </w:r>
      <w:r>
        <w:rPr>
          <w:i/>
          <w:w w:val="120"/>
          <w:sz w:val="20"/>
        </w:rPr>
        <w:t>vision2020 </w:t>
      </w:r>
      <w:r>
        <w:rPr>
          <w:w w:val="120"/>
          <w:sz w:val="20"/>
        </w:rPr>
        <w:t>grants fund, which offers grants for </w:t>
      </w:r>
      <w:r>
        <w:rPr>
          <w:spacing w:val="2"/>
          <w:w w:val="120"/>
          <w:sz w:val="20"/>
        </w:rPr>
        <w:t>one-off </w:t>
      </w:r>
      <w:r>
        <w:rPr>
          <w:w w:val="120"/>
          <w:sz w:val="20"/>
        </w:rPr>
        <w:t>special projects and for longer term developmental work. Grants were given for the development of Messy Church, for the creation of</w:t>
      </w:r>
      <w:r>
        <w:rPr>
          <w:spacing w:val="39"/>
          <w:w w:val="120"/>
          <w:sz w:val="20"/>
        </w:rPr>
        <w:t> </w:t>
      </w:r>
      <w:r>
        <w:rPr>
          <w:w w:val="120"/>
          <w:sz w:val="20"/>
        </w:rPr>
        <w:t>a</w:t>
      </w:r>
    </w:p>
    <w:p>
      <w:pPr>
        <w:pStyle w:val="BodyText"/>
        <w:spacing w:line="235" w:lineRule="auto" w:before="3"/>
        <w:ind w:left="1984" w:right="1352"/>
      </w:pPr>
      <w:r>
        <w:rPr>
          <w:w w:val="120"/>
        </w:rPr>
        <w:t>community garden, to buy equipment for puppet ministry, and for a writers’ workshop for inclusive worship material, to name some examples.</w:t>
      </w:r>
    </w:p>
    <w:p>
      <w:pPr>
        <w:pStyle w:val="BodyText"/>
        <w:spacing w:before="9"/>
        <w:rPr>
          <w:sz w:val="19"/>
        </w:rPr>
      </w:pPr>
    </w:p>
    <w:p>
      <w:pPr>
        <w:pStyle w:val="ListParagraph"/>
        <w:numPr>
          <w:ilvl w:val="1"/>
          <w:numId w:val="106"/>
        </w:numPr>
        <w:tabs>
          <w:tab w:pos="2664" w:val="left" w:leader="none"/>
          <w:tab w:pos="2665" w:val="left" w:leader="none"/>
        </w:tabs>
        <w:spacing w:line="235" w:lineRule="auto" w:before="0" w:after="0"/>
        <w:ind w:left="1984" w:right="1556" w:firstLine="0"/>
        <w:jc w:val="left"/>
        <w:rPr>
          <w:sz w:val="20"/>
        </w:rPr>
      </w:pPr>
      <w:r>
        <w:rPr>
          <w:w w:val="120"/>
          <w:sz w:val="20"/>
        </w:rPr>
        <w:t>A </w:t>
      </w:r>
      <w:r>
        <w:rPr>
          <w:spacing w:val="2"/>
          <w:w w:val="120"/>
          <w:sz w:val="20"/>
        </w:rPr>
        <w:t>report </w:t>
      </w:r>
      <w:r>
        <w:rPr>
          <w:w w:val="120"/>
          <w:sz w:val="20"/>
        </w:rPr>
        <w:t>on the work in the past </w:t>
      </w:r>
      <w:r>
        <w:rPr>
          <w:spacing w:val="-7"/>
          <w:w w:val="120"/>
          <w:sz w:val="20"/>
        </w:rPr>
        <w:t>18 </w:t>
      </w:r>
      <w:r>
        <w:rPr>
          <w:w w:val="120"/>
          <w:sz w:val="20"/>
        </w:rPr>
        <w:t>months is now given for each area of work of the mission committee and team. It offers an account of the broad remit and wide range of activities the committee and team engage in and demonstrates how each contributes to</w:t>
      </w:r>
      <w:r>
        <w:rPr>
          <w:spacing w:val="3"/>
          <w:w w:val="120"/>
          <w:sz w:val="20"/>
        </w:rPr>
        <w:t> </w:t>
      </w:r>
      <w:r>
        <w:rPr>
          <w:i/>
          <w:spacing w:val="-3"/>
          <w:w w:val="120"/>
          <w:sz w:val="20"/>
        </w:rPr>
        <w:t>vision2020</w:t>
      </w:r>
      <w:r>
        <w:rPr>
          <w:spacing w:val="-3"/>
          <w:w w:val="120"/>
          <w:sz w:val="20"/>
        </w:rPr>
        <w:t>.</w:t>
      </w:r>
    </w:p>
    <w:p>
      <w:pPr>
        <w:pStyle w:val="Heading4"/>
        <w:numPr>
          <w:ilvl w:val="0"/>
          <w:numId w:val="106"/>
        </w:numPr>
        <w:tabs>
          <w:tab w:pos="2664" w:val="left" w:leader="none"/>
          <w:tab w:pos="2665" w:val="left" w:leader="none"/>
        </w:tabs>
        <w:spacing w:line="240" w:lineRule="auto" w:before="215" w:after="0"/>
        <w:ind w:left="2664" w:right="0" w:hanging="681"/>
        <w:jc w:val="left"/>
      </w:pPr>
      <w:r>
        <w:rPr>
          <w:spacing w:val="3"/>
          <w:w w:val="110"/>
        </w:rPr>
        <w:t>Church and</w:t>
      </w:r>
      <w:r>
        <w:rPr>
          <w:spacing w:val="22"/>
          <w:w w:val="110"/>
        </w:rPr>
        <w:t> </w:t>
      </w:r>
      <w:r>
        <w:rPr>
          <w:spacing w:val="4"/>
          <w:w w:val="110"/>
        </w:rPr>
        <w:t>society</w:t>
      </w:r>
    </w:p>
    <w:p>
      <w:pPr>
        <w:pStyle w:val="ListParagraph"/>
        <w:numPr>
          <w:ilvl w:val="0"/>
          <w:numId w:val="107"/>
        </w:numPr>
        <w:tabs>
          <w:tab w:pos="2228" w:val="left" w:leader="none"/>
          <w:tab w:pos="2664" w:val="left" w:leader="none"/>
        </w:tabs>
        <w:spacing w:line="235" w:lineRule="auto" w:before="69" w:after="0"/>
        <w:ind w:left="1984" w:right="1363" w:firstLine="0"/>
        <w:jc w:val="left"/>
        <w:rPr>
          <w:sz w:val="20"/>
        </w:rPr>
      </w:pPr>
      <w:r>
        <w:rPr>
          <w:w w:val="120"/>
          <w:sz w:val="20"/>
        </w:rPr>
        <w:t>1</w:t>
        <w:tab/>
        <w:t>Church and society continues to help the United Reformed Church bring the  “life in all its fullness” that Jesus announced to the communities it serves. Working in close and fruitful partnership with its Methodist and Baptist colleagues within the joint public issues team (JPIT) church and society develops resources and briefings to help churches and their members learn more about contemporary issues and respond to them through prayer and action. Through </w:t>
      </w:r>
      <w:r>
        <w:rPr>
          <w:spacing w:val="-3"/>
          <w:w w:val="120"/>
          <w:sz w:val="20"/>
        </w:rPr>
        <w:t>JPIT, </w:t>
      </w:r>
      <w:r>
        <w:rPr>
          <w:w w:val="120"/>
          <w:sz w:val="20"/>
        </w:rPr>
        <w:t>church and society also enables our </w:t>
      </w:r>
      <w:r>
        <w:rPr>
          <w:spacing w:val="-3"/>
          <w:w w:val="120"/>
          <w:sz w:val="20"/>
        </w:rPr>
        <w:t>Church’s  </w:t>
      </w:r>
      <w:r>
        <w:rPr>
          <w:w w:val="120"/>
          <w:sz w:val="20"/>
        </w:rPr>
        <w:t>concerns regarding social justice, peacemaking and the integrity of creation  to be heard in the public square. </w:t>
      </w:r>
      <w:r>
        <w:rPr>
          <w:i/>
          <w:w w:val="120"/>
          <w:sz w:val="20"/>
        </w:rPr>
        <w:t>Vision2020 </w:t>
      </w:r>
      <w:r>
        <w:rPr>
          <w:w w:val="120"/>
          <w:sz w:val="20"/>
        </w:rPr>
        <w:t>continues to provide the framework within which the church and society team</w:t>
      </w:r>
      <w:r>
        <w:rPr>
          <w:spacing w:val="13"/>
          <w:w w:val="120"/>
          <w:sz w:val="20"/>
        </w:rPr>
        <w:t> </w:t>
      </w:r>
      <w:r>
        <w:rPr>
          <w:w w:val="120"/>
          <w:sz w:val="20"/>
        </w:rPr>
        <w:t>works.</w:t>
      </w:r>
    </w:p>
    <w:p>
      <w:pPr>
        <w:pStyle w:val="BodyText"/>
        <w:spacing w:before="9"/>
        <w:rPr>
          <w:sz w:val="11"/>
        </w:rPr>
      </w:pPr>
    </w:p>
    <w:p>
      <w:pPr>
        <w:spacing w:after="0"/>
        <w:rPr>
          <w:sz w:val="11"/>
        </w:rPr>
        <w:sectPr>
          <w:headerReference w:type="default" r:id="rId444"/>
          <w:pgSz w:w="11910" w:h="16840"/>
          <w:pgMar w:header="0" w:footer="647" w:top="1580" w:bottom="840" w:left="0" w:right="0"/>
        </w:sectPr>
      </w:pPr>
    </w:p>
    <w:p>
      <w:pPr>
        <w:pStyle w:val="ListParagraph"/>
        <w:numPr>
          <w:ilvl w:val="1"/>
          <w:numId w:val="108"/>
        </w:numPr>
        <w:tabs>
          <w:tab w:pos="2664" w:val="left" w:leader="none"/>
          <w:tab w:pos="2665" w:val="left" w:leader="none"/>
        </w:tabs>
        <w:spacing w:line="235" w:lineRule="auto" w:before="104" w:after="0"/>
        <w:ind w:left="1984" w:right="0" w:firstLine="0"/>
        <w:jc w:val="left"/>
        <w:rPr>
          <w:sz w:val="20"/>
        </w:rPr>
      </w:pPr>
      <w:r>
        <w:rPr>
          <w:w w:val="120"/>
          <w:sz w:val="20"/>
        </w:rPr>
        <w:t>In the last Assembly </w:t>
      </w:r>
      <w:r>
        <w:rPr>
          <w:spacing w:val="2"/>
          <w:w w:val="120"/>
          <w:sz w:val="20"/>
        </w:rPr>
        <w:t>report </w:t>
      </w:r>
      <w:r>
        <w:rPr>
          <w:w w:val="120"/>
          <w:sz w:val="20"/>
        </w:rPr>
        <w:t>we noted that working within JPIT has many advantages over working alone. JPIT’s role in “building a prophetic voice across three nations” helps to increase awareness of our denominations’ identities, and releasing our media statements on social</w:t>
      </w:r>
      <w:r>
        <w:rPr>
          <w:spacing w:val="11"/>
          <w:w w:val="120"/>
          <w:sz w:val="20"/>
        </w:rPr>
        <w:t> </w:t>
      </w:r>
      <w:r>
        <w:rPr>
          <w:w w:val="120"/>
          <w:sz w:val="20"/>
        </w:rPr>
        <w:t>and</w:t>
      </w:r>
    </w:p>
    <w:p>
      <w:pPr>
        <w:spacing w:before="161"/>
        <w:ind w:left="157" w:right="0" w:firstLine="0"/>
        <w:jc w:val="left"/>
        <w:rPr>
          <w:b/>
          <w:sz w:val="29"/>
        </w:rPr>
      </w:pPr>
      <w:r>
        <w:rPr/>
        <w:br w:type="column"/>
      </w:r>
      <w:r>
        <w:rPr/>
        <w:drawing>
          <wp:inline distT="0" distB="0" distL="0" distR="0">
            <wp:extent cx="199516" cy="521614"/>
            <wp:effectExtent l="0" t="0" r="0" b="0"/>
            <wp:docPr id="359" name="image41.png"/>
            <wp:cNvGraphicFramePr>
              <a:graphicFrameLocks noChangeAspect="1"/>
            </wp:cNvGraphicFramePr>
            <a:graphic>
              <a:graphicData uri="http://schemas.openxmlformats.org/drawingml/2006/picture">
                <pic:pic>
                  <pic:nvPicPr>
                    <pic:cNvPr id="360" name="image41.png"/>
                    <pic:cNvPicPr/>
                  </pic:nvPicPr>
                  <pic:blipFill>
                    <a:blip r:embed="rId445" cstate="print"/>
                    <a:stretch>
                      <a:fillRect/>
                    </a:stretch>
                  </pic:blipFill>
                  <pic:spPr>
                    <a:xfrm>
                      <a:off x="0" y="0"/>
                      <a:ext cx="199516" cy="521614"/>
                    </a:xfrm>
                    <a:prstGeom prst="rect">
                      <a:avLst/>
                    </a:prstGeom>
                  </pic:spPr>
                </pic:pic>
              </a:graphicData>
            </a:graphic>
          </wp:inline>
        </w:drawing>
      </w:r>
      <w:r>
        <w:rPr/>
      </w:r>
      <w:r>
        <w:rPr>
          <w:rFonts w:ascii="Times New Roman"/>
          <w:spacing w:val="22"/>
          <w:sz w:val="20"/>
        </w:rPr>
        <w:t> </w:t>
      </w:r>
      <w:r>
        <w:rPr>
          <w:b/>
          <w:color w:val="FF3300"/>
          <w:w w:val="110"/>
          <w:sz w:val="29"/>
        </w:rPr>
        <w:t>Spirituality and</w:t>
      </w:r>
      <w:r>
        <w:rPr>
          <w:b/>
          <w:color w:val="FF3300"/>
          <w:spacing w:val="-3"/>
          <w:w w:val="110"/>
          <w:sz w:val="29"/>
        </w:rPr>
        <w:t> </w:t>
      </w:r>
      <w:r>
        <w:rPr>
          <w:b/>
          <w:color w:val="FF3300"/>
          <w:w w:val="110"/>
          <w:sz w:val="29"/>
        </w:rPr>
        <w:t>prayer</w:t>
      </w:r>
    </w:p>
    <w:p>
      <w:pPr>
        <w:spacing w:after="0"/>
        <w:jc w:val="left"/>
        <w:rPr>
          <w:sz w:val="29"/>
        </w:rPr>
        <w:sectPr>
          <w:type w:val="continuous"/>
          <w:pgSz w:w="11910" w:h="16840"/>
          <w:pgMar w:top="680" w:bottom="280" w:left="0" w:right="0"/>
          <w:cols w:num="2" w:equalWidth="0">
            <w:col w:w="6889" w:space="40"/>
            <w:col w:w="4981"/>
          </w:cols>
        </w:sectPr>
      </w:pPr>
    </w:p>
    <w:p>
      <w:pPr>
        <w:pStyle w:val="BodyText"/>
        <w:spacing w:line="235" w:lineRule="auto" w:before="4"/>
        <w:ind w:left="1984" w:right="1352"/>
      </w:pPr>
      <w:r>
        <w:rPr>
          <w:w w:val="120"/>
        </w:rPr>
        <w:t>political issues jointly results in our work receiving far greater coverage. Both these outcomes can increase the attractiveness of the Church as it becomes identified with a bold, prophetic and authentically Christian approach to our society.</w:t>
      </w:r>
    </w:p>
    <w:p>
      <w:pPr>
        <w:pStyle w:val="BodyText"/>
        <w:spacing w:before="4"/>
        <w:rPr>
          <w:sz w:val="11"/>
        </w:rPr>
      </w:pPr>
    </w:p>
    <w:p>
      <w:pPr>
        <w:spacing w:after="0"/>
        <w:rPr>
          <w:sz w:val="11"/>
        </w:rPr>
        <w:sectPr>
          <w:type w:val="continuous"/>
          <w:pgSz w:w="11910" w:h="16840"/>
          <w:pgMar w:top="680" w:bottom="280" w:left="0" w:right="0"/>
        </w:sectPr>
      </w:pPr>
    </w:p>
    <w:p>
      <w:pPr>
        <w:pStyle w:val="ListParagraph"/>
        <w:numPr>
          <w:ilvl w:val="2"/>
          <w:numId w:val="108"/>
        </w:numPr>
        <w:tabs>
          <w:tab w:pos="2665" w:val="left" w:leader="none"/>
        </w:tabs>
        <w:spacing w:line="235" w:lineRule="auto" w:before="104" w:after="0"/>
        <w:ind w:left="1984" w:right="0" w:firstLine="0"/>
        <w:jc w:val="left"/>
        <w:rPr>
          <w:sz w:val="20"/>
        </w:rPr>
      </w:pPr>
      <w:r>
        <w:rPr>
          <w:w w:val="120"/>
          <w:sz w:val="20"/>
        </w:rPr>
        <w:t>A </w:t>
      </w:r>
      <w:r>
        <w:rPr>
          <w:spacing w:val="2"/>
          <w:w w:val="120"/>
          <w:sz w:val="20"/>
        </w:rPr>
        <w:t>report </w:t>
      </w:r>
      <w:r>
        <w:rPr>
          <w:w w:val="120"/>
          <w:sz w:val="20"/>
        </w:rPr>
        <w:t>issued jointly by the JPIT churches and the Church</w:t>
      </w:r>
      <w:r>
        <w:rPr>
          <w:spacing w:val="-15"/>
          <w:w w:val="120"/>
          <w:sz w:val="20"/>
        </w:rPr>
        <w:t> </w:t>
      </w:r>
      <w:r>
        <w:rPr>
          <w:w w:val="120"/>
          <w:sz w:val="20"/>
        </w:rPr>
        <w:t>of</w:t>
      </w:r>
      <w:r>
        <w:rPr>
          <w:spacing w:val="-14"/>
          <w:w w:val="120"/>
          <w:sz w:val="20"/>
        </w:rPr>
        <w:t> </w:t>
      </w:r>
      <w:r>
        <w:rPr>
          <w:w w:val="120"/>
          <w:sz w:val="20"/>
        </w:rPr>
        <w:t>Scotland</w:t>
      </w:r>
      <w:r>
        <w:rPr>
          <w:spacing w:val="-14"/>
          <w:w w:val="120"/>
          <w:sz w:val="20"/>
        </w:rPr>
        <w:t> </w:t>
      </w:r>
      <w:r>
        <w:rPr>
          <w:w w:val="120"/>
          <w:sz w:val="20"/>
        </w:rPr>
        <w:t>in</w:t>
      </w:r>
      <w:r>
        <w:rPr>
          <w:spacing w:val="-14"/>
          <w:w w:val="120"/>
          <w:sz w:val="20"/>
        </w:rPr>
        <w:t> </w:t>
      </w:r>
      <w:r>
        <w:rPr>
          <w:spacing w:val="-7"/>
          <w:w w:val="120"/>
          <w:sz w:val="20"/>
        </w:rPr>
        <w:t>2013,</w:t>
      </w:r>
      <w:r>
        <w:rPr>
          <w:spacing w:val="-14"/>
          <w:w w:val="120"/>
          <w:sz w:val="20"/>
        </w:rPr>
        <w:t> </w:t>
      </w:r>
      <w:r>
        <w:rPr>
          <w:i/>
          <w:w w:val="120"/>
          <w:sz w:val="20"/>
        </w:rPr>
        <w:t>The</w:t>
      </w:r>
      <w:r>
        <w:rPr>
          <w:i/>
          <w:spacing w:val="-16"/>
          <w:w w:val="120"/>
          <w:sz w:val="20"/>
        </w:rPr>
        <w:t> </w:t>
      </w:r>
      <w:r>
        <w:rPr>
          <w:i/>
          <w:w w:val="120"/>
          <w:sz w:val="20"/>
        </w:rPr>
        <w:t>lies</w:t>
      </w:r>
      <w:r>
        <w:rPr>
          <w:i/>
          <w:spacing w:val="-16"/>
          <w:w w:val="120"/>
          <w:sz w:val="20"/>
        </w:rPr>
        <w:t> </w:t>
      </w:r>
      <w:r>
        <w:rPr>
          <w:i/>
          <w:w w:val="120"/>
          <w:sz w:val="20"/>
        </w:rPr>
        <w:t>we</w:t>
      </w:r>
      <w:r>
        <w:rPr>
          <w:i/>
          <w:spacing w:val="-17"/>
          <w:w w:val="120"/>
          <w:sz w:val="20"/>
        </w:rPr>
        <w:t> </w:t>
      </w:r>
      <w:r>
        <w:rPr>
          <w:i/>
          <w:w w:val="120"/>
          <w:sz w:val="20"/>
        </w:rPr>
        <w:t>tell</w:t>
      </w:r>
      <w:r>
        <w:rPr>
          <w:i/>
          <w:spacing w:val="-16"/>
          <w:w w:val="120"/>
          <w:sz w:val="20"/>
        </w:rPr>
        <w:t> </w:t>
      </w:r>
      <w:r>
        <w:rPr>
          <w:i/>
          <w:w w:val="120"/>
          <w:sz w:val="20"/>
        </w:rPr>
        <w:t>ourselves:</w:t>
      </w:r>
      <w:r>
        <w:rPr>
          <w:i/>
          <w:spacing w:val="-16"/>
          <w:w w:val="120"/>
          <w:sz w:val="20"/>
        </w:rPr>
        <w:t> </w:t>
      </w:r>
      <w:r>
        <w:rPr>
          <w:i/>
          <w:w w:val="120"/>
          <w:sz w:val="20"/>
        </w:rPr>
        <w:t>ending </w:t>
      </w:r>
      <w:r>
        <w:rPr>
          <w:i/>
          <w:w w:val="120"/>
          <w:sz w:val="20"/>
        </w:rPr>
        <w:t>comfortable myths about poverty</w:t>
      </w:r>
      <w:r>
        <w:rPr>
          <w:w w:val="120"/>
          <w:sz w:val="20"/>
        </w:rPr>
        <w:t>, had an impact which could never have been imagined when the </w:t>
      </w:r>
      <w:r>
        <w:rPr>
          <w:spacing w:val="-7"/>
          <w:w w:val="120"/>
          <w:sz w:val="20"/>
        </w:rPr>
        <w:t>2012 </w:t>
      </w:r>
      <w:r>
        <w:rPr>
          <w:w w:val="120"/>
          <w:sz w:val="20"/>
        </w:rPr>
        <w:t>Assembly </w:t>
      </w:r>
      <w:r>
        <w:rPr>
          <w:spacing w:val="2"/>
          <w:w w:val="120"/>
          <w:sz w:val="20"/>
        </w:rPr>
        <w:t>report </w:t>
      </w:r>
      <w:r>
        <w:rPr>
          <w:w w:val="120"/>
          <w:sz w:val="20"/>
        </w:rPr>
        <w:t>was penned. </w:t>
      </w:r>
      <w:r>
        <w:rPr>
          <w:spacing w:val="3"/>
          <w:w w:val="120"/>
          <w:sz w:val="20"/>
        </w:rPr>
        <w:t>As </w:t>
      </w:r>
      <w:r>
        <w:rPr>
          <w:w w:val="120"/>
          <w:sz w:val="20"/>
        </w:rPr>
        <w:t>its title suggests, </w:t>
      </w:r>
      <w:r>
        <w:rPr>
          <w:i/>
          <w:w w:val="120"/>
          <w:sz w:val="20"/>
        </w:rPr>
        <w:t>The lies </w:t>
      </w:r>
      <w:r>
        <w:rPr>
          <w:w w:val="120"/>
          <w:sz w:val="20"/>
        </w:rPr>
        <w:t>set out to promote more truthful debate around poverty,</w:t>
      </w:r>
      <w:r>
        <w:rPr>
          <w:spacing w:val="28"/>
          <w:w w:val="120"/>
          <w:sz w:val="20"/>
        </w:rPr>
        <w:t> </w:t>
      </w:r>
      <w:r>
        <w:rPr>
          <w:w w:val="120"/>
          <w:sz w:val="20"/>
        </w:rPr>
        <w:t>naming</w:t>
      </w:r>
    </w:p>
    <w:p>
      <w:pPr>
        <w:spacing w:before="133"/>
        <w:ind w:left="265" w:right="0" w:firstLine="0"/>
        <w:jc w:val="left"/>
        <w:rPr>
          <w:b/>
          <w:sz w:val="29"/>
        </w:rPr>
      </w:pPr>
      <w:r>
        <w:rPr/>
        <w:br w:type="column"/>
      </w:r>
      <w:r>
        <w:rPr/>
        <w:drawing>
          <wp:inline distT="0" distB="0" distL="0" distR="0">
            <wp:extent cx="199516" cy="521614"/>
            <wp:effectExtent l="0" t="0" r="0" b="0"/>
            <wp:docPr id="361" name="image42.png"/>
            <wp:cNvGraphicFramePr>
              <a:graphicFrameLocks noChangeAspect="1"/>
            </wp:cNvGraphicFramePr>
            <a:graphic>
              <a:graphicData uri="http://schemas.openxmlformats.org/drawingml/2006/picture">
                <pic:pic>
                  <pic:nvPicPr>
                    <pic:cNvPr id="362" name="image42.png"/>
                    <pic:cNvPicPr/>
                  </pic:nvPicPr>
                  <pic:blipFill>
                    <a:blip r:embed="rId446" cstate="print"/>
                    <a:stretch>
                      <a:fillRect/>
                    </a:stretch>
                  </pic:blipFill>
                  <pic:spPr>
                    <a:xfrm>
                      <a:off x="0" y="0"/>
                      <a:ext cx="199516" cy="521614"/>
                    </a:xfrm>
                    <a:prstGeom prst="rect">
                      <a:avLst/>
                    </a:prstGeom>
                  </pic:spPr>
                </pic:pic>
              </a:graphicData>
            </a:graphic>
          </wp:inline>
        </w:drawing>
      </w:r>
      <w:r>
        <w:rPr/>
      </w:r>
      <w:r>
        <w:rPr>
          <w:rFonts w:ascii="Times New Roman"/>
          <w:spacing w:val="22"/>
          <w:sz w:val="20"/>
        </w:rPr>
        <w:t> </w:t>
      </w:r>
      <w:r>
        <w:rPr>
          <w:b/>
          <w:color w:val="FF3300"/>
          <w:w w:val="110"/>
          <w:sz w:val="29"/>
        </w:rPr>
        <w:t>Church</w:t>
      </w:r>
      <w:r>
        <w:rPr>
          <w:b/>
          <w:color w:val="FF3300"/>
          <w:spacing w:val="-1"/>
          <w:w w:val="110"/>
          <w:sz w:val="29"/>
        </w:rPr>
        <w:t> </w:t>
      </w:r>
      <w:r>
        <w:rPr>
          <w:b/>
          <w:color w:val="FF3300"/>
          <w:w w:val="110"/>
          <w:sz w:val="29"/>
        </w:rPr>
        <w:t>growth</w:t>
      </w:r>
    </w:p>
    <w:p>
      <w:pPr>
        <w:spacing w:after="0"/>
        <w:jc w:val="left"/>
        <w:rPr>
          <w:sz w:val="29"/>
        </w:rPr>
        <w:sectPr>
          <w:type w:val="continuous"/>
          <w:pgSz w:w="11910" w:h="16840"/>
          <w:pgMar w:top="680" w:bottom="280" w:left="0" w:right="0"/>
          <w:cols w:num="2" w:equalWidth="0">
            <w:col w:w="7741" w:space="40"/>
            <w:col w:w="4129"/>
          </w:cols>
        </w:sectPr>
      </w:pPr>
    </w:p>
    <w:p>
      <w:pPr>
        <w:pStyle w:val="BodyText"/>
        <w:spacing w:before="1"/>
        <w:ind w:left="1984"/>
      </w:pPr>
      <w:r>
        <w:rPr/>
        <w:pict>
          <v:group style="position:absolute;margin-left:99.921303pt;margin-top:.000015pt;width:495.4pt;height:841.9pt;mso-position-horizontal-relative:page;mso-position-vertical-relative:page;z-index:-267138048" coordorigin="1998,0" coordsize="9908,16838">
            <v:shape style="position:absolute;left:10984;top:0;width:922;height:16838" type="#_x0000_t75" stroked="false">
              <v:imagedata r:id="rId357" o:title=""/>
            </v:shape>
            <v:shape style="position:absolute;left:2008;top:0;width:8973;height:4828" type="#_x0000_t75" stroked="false">
              <v:imagedata r:id="rId447" o:title=""/>
            </v:shape>
            <v:shape style="position:absolute;left:1998;top:3328;width:1540;height:1513" coordorigin="1998,3329" coordsize="1540,1513" path="m1998,3329l1998,4842,3535,4842,3459,4840,3384,4834,3310,4825,3237,4813,3166,4797,3095,4778,3026,4755,2959,4730,2893,4701,2829,4670,2766,4636,2705,4598,2646,4559,2590,4516,2535,4471,2482,4424,2432,4374,2384,4322,2338,4268,2295,4212,2254,4154,2216,4093,2181,4031,2148,3968,2119,3902,2092,3835,2069,3767,2049,3697,2032,3625,2018,3553,2008,3479,2001,3405,1998,3329xm3538,4841l3537,4841,3536,4842,3538,4842,3538,4841xe" filled="true" fillcolor="#ffffff" stroked="false">
              <v:path arrowok="t"/>
              <v:fill type="solid"/>
            </v:shape>
            <w10:wrap type="none"/>
          </v:group>
        </w:pict>
      </w:r>
      <w:r>
        <w:rPr/>
        <w:pict>
          <v:shape style="position:absolute;margin-left:554.141174pt;margin-top:48.890015pt;width:25.9pt;height:78.850pt;mso-position-horizontal-relative:page;mso-position-vertical-relative:page;z-index:252139520" type="#_x0000_t202" filled="false" stroked="false">
            <v:textbox inset="0,0,0,0" style="layout-flow:vertical">
              <w:txbxContent>
                <w:p>
                  <w:pPr>
                    <w:spacing w:before="27"/>
                    <w:ind w:left="20" w:right="0" w:firstLine="0"/>
                    <w:jc w:val="left"/>
                    <w:rPr>
                      <w:sz w:val="39"/>
                    </w:rPr>
                  </w:pPr>
                  <w:r>
                    <w:rPr>
                      <w:color w:val="FFFFFF"/>
                      <w:w w:val="115"/>
                      <w:sz w:val="39"/>
                    </w:rPr>
                    <w:t>Mission</w:t>
                  </w:r>
                </w:p>
              </w:txbxContent>
            </v:textbox>
            <w10:wrap type="none"/>
          </v:shape>
        </w:pict>
      </w:r>
      <w:r>
        <w:rPr>
          <w:w w:val="120"/>
        </w:rPr>
        <w:t>and challenging six myths about its causes and effects promulgated by politicians and</w:t>
      </w:r>
    </w:p>
    <w:p>
      <w:pPr>
        <w:spacing w:after="0"/>
        <w:sectPr>
          <w:type w:val="continuous"/>
          <w:pgSz w:w="11910" w:h="16840"/>
          <w:pgMar w:top="680" w:bottom="280" w:left="0" w:right="0"/>
        </w:sectPr>
      </w:pPr>
    </w:p>
    <w:p>
      <w:pPr>
        <w:pStyle w:val="BodyText"/>
      </w:pPr>
    </w:p>
    <w:p>
      <w:pPr>
        <w:pStyle w:val="BodyText"/>
        <w:spacing w:before="7"/>
        <w:rPr>
          <w:sz w:val="21"/>
        </w:rPr>
      </w:pPr>
    </w:p>
    <w:p>
      <w:pPr>
        <w:pStyle w:val="Heading5"/>
      </w:pPr>
      <w:r>
        <w:rPr/>
        <w:pict>
          <v:shape style="position:absolute;margin-left:20.519100pt;margin-top:22.593945pt;width:25.9pt;height:78.850pt;mso-position-horizontal-relative:page;mso-position-vertical-relative:paragraph;z-index:252142592" type="#_x0000_t202" filled="false" stroked="false">
            <v:textbox inset="0,0,0,0" style="layout-flow:vertical">
              <w:txbxContent>
                <w:p>
                  <w:pPr>
                    <w:spacing w:before="27"/>
                    <w:ind w:left="20" w:right="0" w:firstLine="0"/>
                    <w:jc w:val="left"/>
                    <w:rPr>
                      <w:sz w:val="39"/>
                    </w:rPr>
                  </w:pPr>
                  <w:r>
                    <w:rPr>
                      <w:color w:val="FFFFFF"/>
                      <w:w w:val="115"/>
                      <w:sz w:val="39"/>
                    </w:rPr>
                    <w:t>Mission</w:t>
                  </w:r>
                </w:p>
              </w:txbxContent>
            </v:textbox>
            <w10:wrap type="none"/>
          </v:shape>
        </w:pict>
      </w:r>
      <w:bookmarkStart w:name="_TOC_250002" w:id="50"/>
      <w:bookmarkEnd w:id="50"/>
      <w:r>
        <w:rPr>
          <w:color w:val="7EAABF"/>
          <w:w w:val="115"/>
        </w:rPr>
        <w:t>Mission</w:t>
      </w:r>
    </w:p>
    <w:p>
      <w:pPr>
        <w:pStyle w:val="BodyText"/>
        <w:spacing w:line="235" w:lineRule="auto" w:before="236"/>
        <w:ind w:left="1247" w:right="2004"/>
      </w:pPr>
      <w:r>
        <w:rPr>
          <w:w w:val="120"/>
        </w:rPr>
        <w:t>influential sections of the media. These myths both hide the complexity of the true nature of poverty in the</w:t>
      </w:r>
    </w:p>
    <w:p>
      <w:pPr>
        <w:pStyle w:val="BodyText"/>
        <w:spacing w:line="235" w:lineRule="auto" w:before="1"/>
        <w:ind w:left="1247" w:right="2543"/>
      </w:pPr>
      <w:r>
        <w:rPr>
          <w:w w:val="120"/>
        </w:rPr>
        <w:t>UK and, by blaming the poor for their condition, enable society at large to avoid taking any responsibility for it. With the benefit of a judiciously-timed press release the </w:t>
      </w:r>
      <w:r>
        <w:rPr>
          <w:spacing w:val="2"/>
          <w:w w:val="120"/>
        </w:rPr>
        <w:t>report </w:t>
      </w:r>
      <w:r>
        <w:rPr>
          <w:w w:val="120"/>
        </w:rPr>
        <w:t>received extensive media coverage over Easter </w:t>
      </w:r>
      <w:r>
        <w:rPr>
          <w:spacing w:val="-7"/>
          <w:w w:val="120"/>
        </w:rPr>
        <w:t>2013, </w:t>
      </w:r>
      <w:r>
        <w:rPr>
          <w:w w:val="120"/>
        </w:rPr>
        <w:t>featuring widely  on national radio and television, in national and international papers and on</w:t>
      </w:r>
      <w:r>
        <w:rPr>
          <w:spacing w:val="27"/>
          <w:w w:val="120"/>
        </w:rPr>
        <w:t> </w:t>
      </w:r>
      <w:r>
        <w:rPr>
          <w:w w:val="120"/>
        </w:rPr>
        <w:t>social</w:t>
      </w:r>
    </w:p>
    <w:p>
      <w:pPr>
        <w:pStyle w:val="BodyText"/>
        <w:spacing w:line="235" w:lineRule="auto" w:before="3"/>
        <w:ind w:left="1247" w:right="2004"/>
      </w:pPr>
      <w:r>
        <w:rPr>
          <w:w w:val="120"/>
        </w:rPr>
        <w:t>media. Many hundreds of people wrote to their MPs about the report, and numerous churches have used the worship and study resources available on the JPIT website (www.jointpublicissues.org.uk). No less importantly, the report provoked a response from government ministers, and it continues to inform the debate about poverty and welfare reform.</w:t>
      </w:r>
    </w:p>
    <w:p>
      <w:pPr>
        <w:pStyle w:val="BodyText"/>
      </w:pPr>
    </w:p>
    <w:p>
      <w:pPr>
        <w:pStyle w:val="ListParagraph"/>
        <w:numPr>
          <w:ilvl w:val="2"/>
          <w:numId w:val="108"/>
        </w:numPr>
        <w:tabs>
          <w:tab w:pos="1928" w:val="left" w:leader="none"/>
        </w:tabs>
        <w:spacing w:line="235" w:lineRule="auto" w:before="0" w:after="0"/>
        <w:ind w:left="1247" w:right="2383" w:firstLine="0"/>
        <w:jc w:val="left"/>
        <w:rPr>
          <w:sz w:val="20"/>
        </w:rPr>
      </w:pPr>
      <w:r>
        <w:rPr>
          <w:w w:val="115"/>
          <w:sz w:val="20"/>
        </w:rPr>
        <w:t>Some of the groundwork for </w:t>
      </w:r>
      <w:r>
        <w:rPr>
          <w:i/>
          <w:w w:val="115"/>
          <w:sz w:val="20"/>
        </w:rPr>
        <w:t>The lies </w:t>
      </w:r>
      <w:r>
        <w:rPr>
          <w:w w:val="115"/>
          <w:sz w:val="20"/>
        </w:rPr>
        <w:t>was laid at the </w:t>
      </w:r>
      <w:r>
        <w:rPr>
          <w:spacing w:val="-7"/>
          <w:w w:val="115"/>
          <w:sz w:val="20"/>
        </w:rPr>
        <w:t>2012 </w:t>
      </w:r>
      <w:r>
        <w:rPr>
          <w:w w:val="115"/>
          <w:sz w:val="20"/>
        </w:rPr>
        <w:t>Assembly in Scarborough, where a resolution was passed based upon the joint Mission Council/ Methodist Council </w:t>
      </w:r>
      <w:r>
        <w:rPr>
          <w:spacing w:val="2"/>
          <w:w w:val="115"/>
          <w:sz w:val="20"/>
        </w:rPr>
        <w:t>report </w:t>
      </w:r>
      <w:r>
        <w:rPr>
          <w:i/>
          <w:w w:val="115"/>
          <w:sz w:val="20"/>
        </w:rPr>
        <w:t>Social Impact of Poverty and Inequality in the UK – a challenge </w:t>
      </w:r>
      <w:r>
        <w:rPr>
          <w:i/>
          <w:w w:val="115"/>
          <w:sz w:val="20"/>
        </w:rPr>
        <w:t>to the church </w:t>
      </w:r>
      <w:r>
        <w:rPr>
          <w:spacing w:val="-4"/>
          <w:w w:val="115"/>
          <w:sz w:val="20"/>
        </w:rPr>
        <w:t>(see  </w:t>
      </w:r>
      <w:r>
        <w:rPr>
          <w:w w:val="115"/>
          <w:sz w:val="20"/>
        </w:rPr>
        <w:t>appendix </w:t>
      </w:r>
      <w:r>
        <w:rPr>
          <w:spacing w:val="-12"/>
          <w:w w:val="115"/>
          <w:sz w:val="20"/>
        </w:rPr>
        <w:t>17  </w:t>
      </w:r>
      <w:r>
        <w:rPr>
          <w:w w:val="115"/>
          <w:sz w:val="20"/>
        </w:rPr>
        <w:t>of the </w:t>
      </w:r>
      <w:r>
        <w:rPr>
          <w:i/>
          <w:w w:val="115"/>
          <w:sz w:val="20"/>
        </w:rPr>
        <w:t>Book of Reports </w:t>
      </w:r>
      <w:r>
        <w:rPr>
          <w:i/>
          <w:spacing w:val="-7"/>
          <w:w w:val="115"/>
          <w:sz w:val="20"/>
        </w:rPr>
        <w:t>2012</w:t>
      </w:r>
      <w:r>
        <w:rPr>
          <w:spacing w:val="-7"/>
          <w:w w:val="115"/>
          <w:sz w:val="20"/>
        </w:rPr>
        <w:t>).  </w:t>
      </w:r>
      <w:r>
        <w:rPr>
          <w:w w:val="115"/>
          <w:sz w:val="20"/>
        </w:rPr>
        <w:t>This resolution formed </w:t>
      </w:r>
      <w:r>
        <w:rPr>
          <w:spacing w:val="2"/>
          <w:w w:val="115"/>
          <w:sz w:val="20"/>
        </w:rPr>
        <w:t>part</w:t>
      </w:r>
      <w:r>
        <w:rPr>
          <w:spacing w:val="17"/>
          <w:w w:val="115"/>
          <w:sz w:val="20"/>
        </w:rPr>
        <w:t> </w:t>
      </w:r>
      <w:r>
        <w:rPr>
          <w:w w:val="115"/>
          <w:sz w:val="20"/>
        </w:rPr>
        <w:t>of</w:t>
      </w:r>
      <w:r>
        <w:rPr>
          <w:spacing w:val="18"/>
          <w:w w:val="115"/>
          <w:sz w:val="20"/>
        </w:rPr>
        <w:t> </w:t>
      </w:r>
      <w:r>
        <w:rPr>
          <w:w w:val="115"/>
          <w:sz w:val="20"/>
        </w:rPr>
        <w:t>a</w:t>
      </w:r>
      <w:r>
        <w:rPr>
          <w:spacing w:val="18"/>
          <w:w w:val="115"/>
          <w:sz w:val="20"/>
        </w:rPr>
        <w:t> </w:t>
      </w:r>
      <w:r>
        <w:rPr>
          <w:w w:val="115"/>
          <w:sz w:val="20"/>
        </w:rPr>
        <w:t>longer</w:t>
      </w:r>
      <w:r>
        <w:rPr>
          <w:spacing w:val="17"/>
          <w:w w:val="115"/>
          <w:sz w:val="20"/>
        </w:rPr>
        <w:t> </w:t>
      </w:r>
      <w:r>
        <w:rPr>
          <w:w w:val="115"/>
          <w:sz w:val="20"/>
        </w:rPr>
        <w:t>document</w:t>
      </w:r>
      <w:r>
        <w:rPr>
          <w:spacing w:val="18"/>
          <w:w w:val="115"/>
          <w:sz w:val="20"/>
        </w:rPr>
        <w:t> </w:t>
      </w:r>
      <w:r>
        <w:rPr>
          <w:w w:val="115"/>
          <w:sz w:val="20"/>
        </w:rPr>
        <w:t>known</w:t>
      </w:r>
      <w:r>
        <w:rPr>
          <w:spacing w:val="18"/>
          <w:w w:val="115"/>
          <w:sz w:val="20"/>
        </w:rPr>
        <w:t> </w:t>
      </w:r>
      <w:r>
        <w:rPr>
          <w:w w:val="115"/>
          <w:sz w:val="20"/>
        </w:rPr>
        <w:t>as</w:t>
      </w:r>
      <w:r>
        <w:rPr>
          <w:spacing w:val="18"/>
          <w:w w:val="115"/>
          <w:sz w:val="20"/>
        </w:rPr>
        <w:t> </w:t>
      </w:r>
      <w:r>
        <w:rPr>
          <w:w w:val="115"/>
          <w:sz w:val="20"/>
        </w:rPr>
        <w:t>‘The</w:t>
      </w:r>
      <w:r>
        <w:rPr>
          <w:spacing w:val="17"/>
          <w:w w:val="115"/>
          <w:sz w:val="20"/>
        </w:rPr>
        <w:t> </w:t>
      </w:r>
      <w:r>
        <w:rPr>
          <w:w w:val="115"/>
          <w:sz w:val="20"/>
        </w:rPr>
        <w:t>Scarborough</w:t>
      </w:r>
      <w:r>
        <w:rPr>
          <w:spacing w:val="18"/>
          <w:w w:val="115"/>
          <w:sz w:val="20"/>
        </w:rPr>
        <w:t> </w:t>
      </w:r>
      <w:r>
        <w:rPr>
          <w:w w:val="115"/>
          <w:sz w:val="20"/>
        </w:rPr>
        <w:t>Statement’,</w:t>
      </w:r>
      <w:r>
        <w:rPr>
          <w:spacing w:val="18"/>
          <w:w w:val="115"/>
          <w:sz w:val="20"/>
        </w:rPr>
        <w:t> </w:t>
      </w:r>
      <w:r>
        <w:rPr>
          <w:w w:val="115"/>
          <w:sz w:val="20"/>
        </w:rPr>
        <w:t>a</w:t>
      </w:r>
      <w:r>
        <w:rPr>
          <w:spacing w:val="18"/>
          <w:w w:val="115"/>
          <w:sz w:val="20"/>
        </w:rPr>
        <w:t> </w:t>
      </w:r>
      <w:r>
        <w:rPr>
          <w:w w:val="115"/>
          <w:sz w:val="20"/>
        </w:rPr>
        <w:t>copy</w:t>
      </w:r>
      <w:r>
        <w:rPr>
          <w:spacing w:val="17"/>
          <w:w w:val="115"/>
          <w:sz w:val="20"/>
        </w:rPr>
        <w:t> </w:t>
      </w:r>
      <w:r>
        <w:rPr>
          <w:w w:val="115"/>
          <w:sz w:val="20"/>
        </w:rPr>
        <w:t>of</w:t>
      </w:r>
    </w:p>
    <w:p>
      <w:pPr>
        <w:pStyle w:val="BodyText"/>
        <w:spacing w:line="235" w:lineRule="auto" w:before="3"/>
        <w:ind w:left="1247" w:right="7038"/>
        <w:jc w:val="both"/>
      </w:pPr>
      <w:r>
        <w:rPr/>
        <w:pict>
          <v:group style="position:absolute;margin-left:261.977905pt;margin-top:11.166236pt;width:232.7pt;height:202.8pt;mso-position-horizontal-relative:page;mso-position-vertical-relative:paragraph;z-index:252141568" coordorigin="5240,223" coordsize="4654,4056">
            <v:shape style="position:absolute;left:5253;top:223;width:4640;height:4056" type="#_x0000_t75" stroked="false">
              <v:imagedata r:id="rId451" o:title=""/>
            </v:shape>
            <v:shape style="position:absolute;left:5239;top:2766;width:1540;height:1513" coordorigin="5240,2766" coordsize="1540,1513" path="m5240,2766l5240,4279,6776,4279,6700,4277,6625,4272,6551,4263,6478,4250,6407,4234,6336,4215,6267,4193,6200,4167,6134,4139,6070,4107,6007,4073,5946,4036,5888,3996,5831,3954,5776,3909,5723,3861,5673,3812,5625,3760,5579,3706,5536,3649,5495,3591,5457,3531,5422,3469,5390,3405,5360,3340,5334,3273,5310,3204,5290,3134,5273,3063,5259,2990,5249,2917,5243,2842,5240,2766xm6779,4279l6778,4279,6777,4279,6779,4279,6779,4279xe" filled="true" fillcolor="#ffffff" stroked="false">
              <v:path arrowok="t"/>
              <v:fill type="solid"/>
            </v:shape>
            <w10:wrap type="none"/>
          </v:group>
        </w:pict>
      </w:r>
      <w:r>
        <w:rPr>
          <w:w w:val="120"/>
        </w:rPr>
        <w:t>which was presented to the local MP following a Walk of Witness through the town during Assembly.</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5"/>
        <w:rPr>
          <w:sz w:val="28"/>
        </w:rPr>
      </w:pPr>
    </w:p>
    <w:p>
      <w:pPr>
        <w:spacing w:line="247" w:lineRule="auto" w:before="0"/>
        <w:ind w:left="1587" w:right="7126" w:firstLine="0"/>
        <w:jc w:val="left"/>
        <w:rPr>
          <w:sz w:val="18"/>
        </w:rPr>
      </w:pPr>
      <w:r>
        <w:rPr>
          <w:color w:val="7EAABF"/>
          <w:w w:val="120"/>
          <w:sz w:val="18"/>
        </w:rPr>
        <w:t>The General Assembly moderator, the Revd Dr Michael Jagessar hands over ‘The Scarborough Statement’ to the local MP</w:t>
      </w:r>
    </w:p>
    <w:p>
      <w:pPr>
        <w:pStyle w:val="BodyText"/>
        <w:rPr>
          <w:sz w:val="22"/>
        </w:rPr>
      </w:pPr>
    </w:p>
    <w:p>
      <w:pPr>
        <w:pStyle w:val="BodyText"/>
        <w:spacing w:before="7"/>
        <w:rPr>
          <w:sz w:val="26"/>
        </w:rPr>
      </w:pPr>
    </w:p>
    <w:p>
      <w:pPr>
        <w:pStyle w:val="ListParagraph"/>
        <w:numPr>
          <w:ilvl w:val="2"/>
          <w:numId w:val="108"/>
        </w:numPr>
        <w:tabs>
          <w:tab w:pos="1928" w:val="left" w:leader="none"/>
        </w:tabs>
        <w:spacing w:line="235" w:lineRule="auto" w:before="0" w:after="0"/>
        <w:ind w:left="1247" w:right="2046" w:firstLine="0"/>
        <w:jc w:val="left"/>
        <w:rPr>
          <w:sz w:val="20"/>
        </w:rPr>
      </w:pPr>
      <w:r>
        <w:rPr>
          <w:w w:val="120"/>
          <w:sz w:val="20"/>
        </w:rPr>
        <w:t>That </w:t>
      </w:r>
      <w:r>
        <w:rPr>
          <w:spacing w:val="-7"/>
          <w:w w:val="120"/>
          <w:sz w:val="20"/>
        </w:rPr>
        <w:t>2012 </w:t>
      </w:r>
      <w:r>
        <w:rPr>
          <w:w w:val="120"/>
          <w:sz w:val="20"/>
        </w:rPr>
        <w:t>resolution, which included a plea to government to take into account the effects of its policies on vulnerable people in the </w:t>
      </w:r>
      <w:r>
        <w:rPr>
          <w:spacing w:val="2"/>
          <w:w w:val="120"/>
          <w:sz w:val="20"/>
        </w:rPr>
        <w:t>UK, </w:t>
      </w:r>
      <w:r>
        <w:rPr>
          <w:w w:val="120"/>
          <w:sz w:val="20"/>
        </w:rPr>
        <w:t>has informed our work in  other ways. The impact of social policy reforms and spending cuts on those Jesus called the ‘least of my brothers and sisters’ (Matthew </w:t>
      </w:r>
      <w:r>
        <w:rPr>
          <w:spacing w:val="-4"/>
          <w:w w:val="120"/>
          <w:sz w:val="20"/>
        </w:rPr>
        <w:t>25:40) </w:t>
      </w:r>
      <w:r>
        <w:rPr>
          <w:w w:val="120"/>
          <w:sz w:val="20"/>
        </w:rPr>
        <w:t>is a constant concern of </w:t>
      </w:r>
      <w:r>
        <w:rPr>
          <w:spacing w:val="-3"/>
          <w:w w:val="120"/>
          <w:sz w:val="20"/>
        </w:rPr>
        <w:t>JPIT, </w:t>
      </w:r>
      <w:r>
        <w:rPr>
          <w:w w:val="120"/>
          <w:sz w:val="20"/>
        </w:rPr>
        <w:t>as evidenced in its programmes, its representations to parliament, its public statements, blogs and tweets,</w:t>
      </w:r>
      <w:r>
        <w:rPr>
          <w:spacing w:val="6"/>
          <w:w w:val="120"/>
          <w:sz w:val="20"/>
        </w:rPr>
        <w:t> </w:t>
      </w:r>
      <w:r>
        <w:rPr>
          <w:w w:val="120"/>
          <w:sz w:val="20"/>
        </w:rPr>
        <w:t>etc.</w:t>
      </w:r>
    </w:p>
    <w:p>
      <w:pPr>
        <w:pStyle w:val="BodyText"/>
      </w:pPr>
    </w:p>
    <w:p>
      <w:pPr>
        <w:pStyle w:val="ListParagraph"/>
        <w:numPr>
          <w:ilvl w:val="1"/>
          <w:numId w:val="109"/>
        </w:numPr>
        <w:tabs>
          <w:tab w:pos="1927" w:val="left" w:leader="none"/>
          <w:tab w:pos="1928" w:val="left" w:leader="none"/>
        </w:tabs>
        <w:spacing w:line="235" w:lineRule="auto" w:before="1" w:after="0"/>
        <w:ind w:left="1247" w:right="2229" w:firstLine="0"/>
        <w:jc w:val="left"/>
        <w:rPr>
          <w:sz w:val="20"/>
        </w:rPr>
      </w:pPr>
      <w:r>
        <w:rPr>
          <w:w w:val="120"/>
          <w:sz w:val="20"/>
        </w:rPr>
        <w:t>In January </w:t>
      </w:r>
      <w:r>
        <w:rPr>
          <w:spacing w:val="-8"/>
          <w:w w:val="120"/>
          <w:sz w:val="20"/>
        </w:rPr>
        <w:t>2013 </w:t>
      </w:r>
      <w:r>
        <w:rPr>
          <w:w w:val="120"/>
          <w:sz w:val="20"/>
        </w:rPr>
        <w:t>we and our JPIT colleagues hosted a one day conference in Birmingham offering “inspiration and practical advice to help join the dots between action, politics and </w:t>
      </w:r>
      <w:r>
        <w:rPr>
          <w:spacing w:val="-3"/>
          <w:w w:val="120"/>
          <w:sz w:val="20"/>
        </w:rPr>
        <w:t>discipleship”. </w:t>
      </w:r>
      <w:r>
        <w:rPr>
          <w:w w:val="120"/>
          <w:sz w:val="20"/>
        </w:rPr>
        <w:t>Called </w:t>
      </w:r>
      <w:r>
        <w:rPr>
          <w:i/>
          <w:w w:val="120"/>
          <w:sz w:val="20"/>
        </w:rPr>
        <w:t>Think Speak Act</w:t>
      </w:r>
      <w:r>
        <w:rPr>
          <w:w w:val="120"/>
          <w:sz w:val="20"/>
        </w:rPr>
        <w:t>, this extremely popular event attracted 200 people from our three denominations and beyond to hear key speakers such as Giles Fraser, learn and share ideas, and be inspired and equipped to bring justice to the heart of mission. A short video showing highlights of the day is at</w:t>
      </w:r>
      <w:hyperlink r:id="rId452">
        <w:r>
          <w:rPr>
            <w:w w:val="120"/>
            <w:sz w:val="20"/>
          </w:rPr>
          <w:t> </w:t>
        </w:r>
        <w:r>
          <w:rPr>
            <w:spacing w:val="-3"/>
            <w:w w:val="120"/>
            <w:sz w:val="20"/>
          </w:rPr>
          <w:t>www.youtube.com/watch?v=VfPeYXuTgQ4.</w:t>
        </w:r>
      </w:hyperlink>
    </w:p>
    <w:p>
      <w:pPr>
        <w:pStyle w:val="BodyText"/>
        <w:spacing w:before="7"/>
        <w:rPr>
          <w:sz w:val="11"/>
        </w:rPr>
      </w:pPr>
    </w:p>
    <w:p>
      <w:pPr>
        <w:spacing w:after="0"/>
        <w:rPr>
          <w:sz w:val="11"/>
        </w:rPr>
        <w:sectPr>
          <w:headerReference w:type="even" r:id="rId448"/>
          <w:footerReference w:type="even" r:id="rId449"/>
          <w:footerReference w:type="default" r:id="rId450"/>
          <w:pgSz w:w="11910" w:h="16840"/>
          <w:pgMar w:header="0" w:footer="647" w:top="0" w:bottom="840" w:left="0" w:right="0"/>
          <w:pgNumType w:start="192"/>
        </w:sectPr>
      </w:pPr>
    </w:p>
    <w:p>
      <w:pPr>
        <w:pStyle w:val="ListParagraph"/>
        <w:numPr>
          <w:ilvl w:val="1"/>
          <w:numId w:val="109"/>
        </w:numPr>
        <w:tabs>
          <w:tab w:pos="1927" w:val="left" w:leader="none"/>
          <w:tab w:pos="1928" w:val="left" w:leader="none"/>
        </w:tabs>
        <w:spacing w:line="235" w:lineRule="auto" w:before="104" w:after="0"/>
        <w:ind w:left="1247" w:right="0" w:firstLine="0"/>
        <w:jc w:val="left"/>
        <w:rPr>
          <w:sz w:val="20"/>
        </w:rPr>
      </w:pPr>
      <w:r>
        <w:rPr>
          <w:w w:val="120"/>
          <w:sz w:val="20"/>
        </w:rPr>
        <w:t>JPIT had a presence at the three main </w:t>
      </w:r>
      <w:r>
        <w:rPr>
          <w:spacing w:val="2"/>
          <w:w w:val="120"/>
          <w:sz w:val="20"/>
        </w:rPr>
        <w:t>party </w:t>
      </w:r>
      <w:r>
        <w:rPr>
          <w:w w:val="120"/>
          <w:sz w:val="20"/>
        </w:rPr>
        <w:t>conferences, facilitating meetings between our moderators and MPs (including government ministers) and briefing them</w:t>
      </w:r>
      <w:r>
        <w:rPr>
          <w:spacing w:val="2"/>
          <w:w w:val="120"/>
          <w:sz w:val="20"/>
        </w:rPr>
        <w:t> </w:t>
      </w:r>
      <w:r>
        <w:rPr>
          <w:w w:val="120"/>
          <w:sz w:val="20"/>
        </w:rPr>
        <w:t>accordingly.</w:t>
      </w:r>
    </w:p>
    <w:p>
      <w:pPr>
        <w:spacing w:before="5"/>
        <w:ind w:left="130" w:right="0" w:firstLine="0"/>
        <w:jc w:val="left"/>
        <w:rPr>
          <w:b/>
          <w:sz w:val="29"/>
        </w:rPr>
      </w:pPr>
      <w:r>
        <w:rPr/>
        <w:br w:type="column"/>
      </w:r>
      <w:r>
        <w:rPr/>
        <w:drawing>
          <wp:inline distT="0" distB="0" distL="0" distR="0">
            <wp:extent cx="199516" cy="521601"/>
            <wp:effectExtent l="0" t="0" r="0" b="0"/>
            <wp:docPr id="363" name="image45.png"/>
            <wp:cNvGraphicFramePr>
              <a:graphicFrameLocks noChangeAspect="1"/>
            </wp:cNvGraphicFramePr>
            <a:graphic>
              <a:graphicData uri="http://schemas.openxmlformats.org/drawingml/2006/picture">
                <pic:pic>
                  <pic:nvPicPr>
                    <pic:cNvPr id="364" name="image45.png"/>
                    <pic:cNvPicPr/>
                  </pic:nvPicPr>
                  <pic:blipFill>
                    <a:blip r:embed="rId453" cstate="print"/>
                    <a:stretch>
                      <a:fillRect/>
                    </a:stretch>
                  </pic:blipFill>
                  <pic:spPr>
                    <a:xfrm>
                      <a:off x="0" y="0"/>
                      <a:ext cx="199516" cy="521601"/>
                    </a:xfrm>
                    <a:prstGeom prst="rect">
                      <a:avLst/>
                    </a:prstGeom>
                  </pic:spPr>
                </pic:pic>
              </a:graphicData>
            </a:graphic>
          </wp:inline>
        </w:drawing>
      </w:r>
      <w:r>
        <w:rPr/>
      </w:r>
      <w:r>
        <w:rPr>
          <w:rFonts w:ascii="Times New Roman"/>
          <w:spacing w:val="22"/>
          <w:sz w:val="20"/>
        </w:rPr>
        <w:t> </w:t>
      </w:r>
      <w:r>
        <w:rPr>
          <w:b/>
          <w:color w:val="FF3300"/>
          <w:w w:val="110"/>
          <w:sz w:val="29"/>
        </w:rPr>
        <w:t>Justice and</w:t>
      </w:r>
      <w:r>
        <w:rPr>
          <w:b/>
          <w:color w:val="FF3300"/>
          <w:spacing w:val="-1"/>
          <w:w w:val="110"/>
          <w:sz w:val="29"/>
        </w:rPr>
        <w:t> </w:t>
      </w:r>
      <w:r>
        <w:rPr>
          <w:b/>
          <w:color w:val="FF3300"/>
          <w:w w:val="110"/>
          <w:sz w:val="29"/>
        </w:rPr>
        <w:t>peace</w:t>
      </w:r>
    </w:p>
    <w:p>
      <w:pPr>
        <w:spacing w:after="0"/>
        <w:jc w:val="left"/>
        <w:rPr>
          <w:sz w:val="29"/>
        </w:rPr>
        <w:sectPr>
          <w:type w:val="continuous"/>
          <w:pgSz w:w="11910" w:h="16840"/>
          <w:pgMar w:top="680" w:bottom="280" w:left="0" w:right="0"/>
          <w:cols w:num="2" w:equalWidth="0">
            <w:col w:w="7092" w:space="40"/>
            <w:col w:w="4778"/>
          </w:cols>
        </w:sectPr>
      </w:pPr>
    </w:p>
    <w:p>
      <w:pPr>
        <w:pStyle w:val="BodyText"/>
        <w:spacing w:before="4"/>
        <w:rPr>
          <w:b/>
          <w:sz w:val="11"/>
        </w:rPr>
      </w:pPr>
      <w:r>
        <w:rPr/>
        <w:drawing>
          <wp:anchor distT="0" distB="0" distL="0" distR="0" allowOverlap="1" layoutInCell="1" locked="0" behindDoc="0" simplePos="0" relativeHeight="252140544">
            <wp:simplePos x="0" y="0"/>
            <wp:positionH relativeFrom="page">
              <wp:posOffset>0</wp:posOffset>
            </wp:positionH>
            <wp:positionV relativeFrom="page">
              <wp:posOffset>0</wp:posOffset>
            </wp:positionV>
            <wp:extent cx="594067" cy="10692003"/>
            <wp:effectExtent l="0" t="0" r="0" b="0"/>
            <wp:wrapNone/>
            <wp:docPr id="365" name="image32.png"/>
            <wp:cNvGraphicFramePr>
              <a:graphicFrameLocks noChangeAspect="1"/>
            </wp:cNvGraphicFramePr>
            <a:graphic>
              <a:graphicData uri="http://schemas.openxmlformats.org/drawingml/2006/picture">
                <pic:pic>
                  <pic:nvPicPr>
                    <pic:cNvPr id="366" name="image32.png"/>
                    <pic:cNvPicPr/>
                  </pic:nvPicPr>
                  <pic:blipFill>
                    <a:blip r:embed="rId362" cstate="print"/>
                    <a:stretch>
                      <a:fillRect/>
                    </a:stretch>
                  </pic:blipFill>
                  <pic:spPr>
                    <a:xfrm>
                      <a:off x="0" y="0"/>
                      <a:ext cx="594067" cy="10692003"/>
                    </a:xfrm>
                    <a:prstGeom prst="rect">
                      <a:avLst/>
                    </a:prstGeom>
                  </pic:spPr>
                </pic:pic>
              </a:graphicData>
            </a:graphic>
          </wp:anchor>
        </w:drawing>
      </w:r>
    </w:p>
    <w:p>
      <w:pPr>
        <w:pStyle w:val="ListParagraph"/>
        <w:numPr>
          <w:ilvl w:val="1"/>
          <w:numId w:val="109"/>
        </w:numPr>
        <w:tabs>
          <w:tab w:pos="1927" w:val="left" w:leader="none"/>
          <w:tab w:pos="1928" w:val="left" w:leader="none"/>
        </w:tabs>
        <w:spacing w:line="235" w:lineRule="auto" w:before="104" w:after="0"/>
        <w:ind w:left="1247" w:right="1997" w:firstLine="0"/>
        <w:jc w:val="left"/>
        <w:rPr>
          <w:sz w:val="20"/>
        </w:rPr>
      </w:pPr>
      <w:r>
        <w:rPr>
          <w:w w:val="120"/>
          <w:sz w:val="20"/>
        </w:rPr>
        <w:t>In our last </w:t>
      </w:r>
      <w:r>
        <w:rPr>
          <w:spacing w:val="2"/>
          <w:w w:val="120"/>
          <w:sz w:val="20"/>
        </w:rPr>
        <w:t>report </w:t>
      </w:r>
      <w:r>
        <w:rPr>
          <w:w w:val="120"/>
          <w:sz w:val="20"/>
        </w:rPr>
        <w:t>we noted that people in the West Midlands were discussing the idea of forming a local joint public issues team. The moderator of West Midlands Synod has played a strategic role in this project, and it has been exciting to see this regional body come into being and to hear of other </w:t>
      </w:r>
      <w:r>
        <w:rPr>
          <w:spacing w:val="2"/>
          <w:w w:val="120"/>
          <w:sz w:val="20"/>
        </w:rPr>
        <w:t>parts </w:t>
      </w:r>
      <w:r>
        <w:rPr>
          <w:w w:val="120"/>
          <w:sz w:val="20"/>
        </w:rPr>
        <w:t>of the UK where a similar idea</w:t>
      </w:r>
      <w:r>
        <w:rPr>
          <w:spacing w:val="36"/>
          <w:w w:val="120"/>
          <w:sz w:val="20"/>
        </w:rPr>
        <w:t> </w:t>
      </w:r>
      <w:r>
        <w:rPr>
          <w:w w:val="120"/>
          <w:sz w:val="20"/>
        </w:rPr>
        <w:t>has</w:t>
      </w:r>
    </w:p>
    <w:p>
      <w:pPr>
        <w:spacing w:after="0" w:line="235" w:lineRule="auto"/>
        <w:jc w:val="left"/>
        <w:rPr>
          <w:sz w:val="20"/>
        </w:rPr>
        <w:sectPr>
          <w:type w:val="continuous"/>
          <w:pgSz w:w="11910" w:h="16840"/>
          <w:pgMar w:top="680" w:bottom="280" w:left="0" w:right="0"/>
        </w:sectPr>
      </w:pPr>
    </w:p>
    <w:p>
      <w:pPr>
        <w:pStyle w:val="BodyText"/>
      </w:pPr>
    </w:p>
    <w:p>
      <w:pPr>
        <w:pStyle w:val="BodyText"/>
        <w:spacing w:before="7"/>
        <w:rPr>
          <w:sz w:val="21"/>
        </w:rPr>
      </w:pPr>
    </w:p>
    <w:p>
      <w:pPr>
        <w:pStyle w:val="Heading5"/>
        <w:ind w:left="0" w:right="1245"/>
        <w:jc w:val="right"/>
      </w:pPr>
      <w:r>
        <w:rPr/>
        <w:pict>
          <v:shape style="position:absolute;margin-left:554.141174pt;margin-top:22.593945pt;width:25.9pt;height:78.850pt;mso-position-horizontal-relative:page;mso-position-vertical-relative:paragraph;z-index:252144640" type="#_x0000_t202" filled="false" stroked="false">
            <v:textbox inset="0,0,0,0" style="layout-flow:vertical">
              <w:txbxContent>
                <w:p>
                  <w:pPr>
                    <w:spacing w:before="27"/>
                    <w:ind w:left="20" w:right="0" w:firstLine="0"/>
                    <w:jc w:val="left"/>
                    <w:rPr>
                      <w:sz w:val="39"/>
                    </w:rPr>
                  </w:pPr>
                  <w:r>
                    <w:rPr>
                      <w:color w:val="FFFFFF"/>
                      <w:w w:val="115"/>
                      <w:sz w:val="39"/>
                    </w:rPr>
                    <w:t>Mission</w:t>
                  </w:r>
                </w:p>
              </w:txbxContent>
            </v:textbox>
            <w10:wrap type="none"/>
          </v:shape>
        </w:pict>
      </w:r>
      <w:r>
        <w:rPr>
          <w:color w:val="7EAABF"/>
          <w:w w:val="110"/>
        </w:rPr>
        <w:t>Mission</w:t>
      </w:r>
    </w:p>
    <w:p>
      <w:pPr>
        <w:pStyle w:val="BodyText"/>
        <w:spacing w:line="235" w:lineRule="auto" w:before="222"/>
        <w:ind w:left="1984" w:right="2004"/>
      </w:pPr>
      <w:r>
        <w:rPr>
          <w:w w:val="120"/>
        </w:rPr>
        <w:t>been mooted. The secretary for church and society has played a role in supporting the West Midlands venture.</w:t>
      </w:r>
    </w:p>
    <w:p>
      <w:pPr>
        <w:pStyle w:val="BodyText"/>
        <w:spacing w:before="3"/>
        <w:rPr>
          <w:sz w:val="11"/>
        </w:rPr>
      </w:pPr>
    </w:p>
    <w:p>
      <w:pPr>
        <w:pStyle w:val="ListParagraph"/>
        <w:numPr>
          <w:ilvl w:val="1"/>
          <w:numId w:val="109"/>
        </w:numPr>
        <w:tabs>
          <w:tab w:pos="2664" w:val="left" w:leader="none"/>
          <w:tab w:pos="2665" w:val="left" w:leader="none"/>
        </w:tabs>
        <w:spacing w:line="235" w:lineRule="auto" w:before="104" w:after="0"/>
        <w:ind w:left="1984" w:right="1865" w:firstLine="0"/>
        <w:jc w:val="left"/>
        <w:rPr>
          <w:sz w:val="20"/>
        </w:rPr>
      </w:pPr>
      <w:r>
        <w:rPr>
          <w:w w:val="120"/>
          <w:sz w:val="20"/>
        </w:rPr>
        <w:t>Through JPIT we have been involved in public issues on the global stage, including climate change, nuclear disarmament, the Middle East situation and the use of</w:t>
      </w:r>
      <w:r>
        <w:rPr>
          <w:spacing w:val="3"/>
          <w:w w:val="120"/>
          <w:sz w:val="20"/>
        </w:rPr>
        <w:t> </w:t>
      </w:r>
      <w:r>
        <w:rPr>
          <w:w w:val="120"/>
          <w:sz w:val="20"/>
        </w:rPr>
        <w:t>drones.</w:t>
      </w:r>
    </w:p>
    <w:p>
      <w:pPr>
        <w:pStyle w:val="Heading4"/>
        <w:numPr>
          <w:ilvl w:val="0"/>
          <w:numId w:val="107"/>
        </w:numPr>
        <w:tabs>
          <w:tab w:pos="2664" w:val="left" w:leader="none"/>
          <w:tab w:pos="2665" w:val="left" w:leader="none"/>
        </w:tabs>
        <w:spacing w:line="240" w:lineRule="auto" w:before="214" w:after="0"/>
        <w:ind w:left="2664" w:right="0" w:hanging="681"/>
        <w:jc w:val="left"/>
      </w:pPr>
      <w:r>
        <w:rPr>
          <w:spacing w:val="3"/>
          <w:w w:val="110"/>
        </w:rPr>
        <w:t>Commitment for</w:t>
      </w:r>
      <w:r>
        <w:rPr>
          <w:spacing w:val="22"/>
          <w:w w:val="110"/>
        </w:rPr>
        <w:t> </w:t>
      </w:r>
      <w:r>
        <w:rPr>
          <w:spacing w:val="3"/>
          <w:w w:val="110"/>
        </w:rPr>
        <w:t>life</w:t>
      </w:r>
    </w:p>
    <w:p>
      <w:pPr>
        <w:pStyle w:val="ListParagraph"/>
        <w:numPr>
          <w:ilvl w:val="1"/>
          <w:numId w:val="107"/>
        </w:numPr>
        <w:tabs>
          <w:tab w:pos="2664" w:val="left" w:leader="none"/>
          <w:tab w:pos="2665" w:val="left" w:leader="none"/>
        </w:tabs>
        <w:spacing w:line="242" w:lineRule="exact" w:before="66" w:after="0"/>
        <w:ind w:left="2664" w:right="0" w:hanging="681"/>
        <w:jc w:val="left"/>
        <w:rPr>
          <w:sz w:val="20"/>
        </w:rPr>
      </w:pPr>
      <w:r>
        <w:rPr>
          <w:spacing w:val="3"/>
          <w:w w:val="120"/>
          <w:sz w:val="20"/>
        </w:rPr>
        <w:t>As </w:t>
      </w:r>
      <w:r>
        <w:rPr>
          <w:w w:val="120"/>
          <w:sz w:val="20"/>
        </w:rPr>
        <w:t>a programme of General Assembly, commitment for life sits</w:t>
      </w:r>
      <w:r>
        <w:rPr>
          <w:spacing w:val="14"/>
          <w:w w:val="120"/>
          <w:sz w:val="20"/>
        </w:rPr>
        <w:t> </w:t>
      </w:r>
      <w:r>
        <w:rPr>
          <w:w w:val="120"/>
          <w:sz w:val="20"/>
        </w:rPr>
        <w:t>within</w:t>
      </w:r>
    </w:p>
    <w:p>
      <w:pPr>
        <w:pStyle w:val="BodyText"/>
        <w:spacing w:line="235" w:lineRule="auto" w:before="1"/>
        <w:ind w:left="1984" w:right="1820"/>
      </w:pPr>
      <w:r>
        <w:rPr>
          <w:w w:val="120"/>
        </w:rPr>
        <w:t>the mission team but also has its own reference group convened by John Griffith. The group meets three times a year and is the regulating and supportive body for the programme coordinator and administrator.</w:t>
      </w:r>
    </w:p>
    <w:p>
      <w:pPr>
        <w:pStyle w:val="BodyText"/>
        <w:spacing w:before="10"/>
        <w:rPr>
          <w:sz w:val="19"/>
        </w:rPr>
      </w:pPr>
    </w:p>
    <w:p>
      <w:pPr>
        <w:pStyle w:val="ListParagraph"/>
        <w:numPr>
          <w:ilvl w:val="1"/>
          <w:numId w:val="107"/>
        </w:numPr>
        <w:tabs>
          <w:tab w:pos="2664" w:val="left" w:leader="none"/>
          <w:tab w:pos="2665" w:val="left" w:leader="none"/>
        </w:tabs>
        <w:spacing w:line="235" w:lineRule="auto" w:before="1" w:after="0"/>
        <w:ind w:left="1984" w:right="1661" w:firstLine="0"/>
        <w:jc w:val="left"/>
        <w:rPr>
          <w:sz w:val="20"/>
        </w:rPr>
      </w:pPr>
      <w:r>
        <w:rPr>
          <w:w w:val="120"/>
          <w:sz w:val="20"/>
        </w:rPr>
        <w:t>Christian Aid receives </w:t>
      </w:r>
      <w:r>
        <w:rPr>
          <w:spacing w:val="-7"/>
          <w:w w:val="120"/>
          <w:sz w:val="20"/>
        </w:rPr>
        <w:t>75% </w:t>
      </w:r>
      <w:r>
        <w:rPr>
          <w:w w:val="120"/>
          <w:sz w:val="20"/>
        </w:rPr>
        <w:t>of the money contributed, to be divided equally among our four partner countries. The World Development Movement receives  </w:t>
      </w:r>
      <w:r>
        <w:rPr>
          <w:spacing w:val="-3"/>
          <w:w w:val="120"/>
          <w:sz w:val="20"/>
        </w:rPr>
        <w:t>10% </w:t>
      </w:r>
      <w:r>
        <w:rPr>
          <w:w w:val="120"/>
          <w:sz w:val="20"/>
        </w:rPr>
        <w:t>for their work on the root causes of poverty. The remaining </w:t>
      </w:r>
      <w:r>
        <w:rPr>
          <w:spacing w:val="-9"/>
          <w:w w:val="120"/>
          <w:sz w:val="20"/>
        </w:rPr>
        <w:t>15% </w:t>
      </w:r>
      <w:r>
        <w:rPr>
          <w:w w:val="120"/>
          <w:sz w:val="20"/>
        </w:rPr>
        <w:t>is used for the administration of the scheme and for grants. In recent years these have been given to the Jubilee Debt Campaign, Fairtrade Fortnight, Banana Link, the Ecumenical Accompanying Programme in Palestine and Israel, the Trade Justice Movement and our intern</w:t>
      </w:r>
      <w:r>
        <w:rPr>
          <w:spacing w:val="3"/>
          <w:w w:val="120"/>
          <w:sz w:val="20"/>
        </w:rPr>
        <w:t> </w:t>
      </w:r>
      <w:r>
        <w:rPr>
          <w:w w:val="120"/>
          <w:sz w:val="20"/>
        </w:rPr>
        <w:t>scheme.</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3"/>
        <w:rPr>
          <w:sz w:val="24"/>
        </w:rPr>
      </w:pPr>
    </w:p>
    <w:p>
      <w:pPr>
        <w:spacing w:line="261" w:lineRule="auto" w:before="0"/>
        <w:ind w:left="2891" w:right="6841" w:firstLine="0"/>
        <w:jc w:val="left"/>
        <w:rPr>
          <w:sz w:val="18"/>
        </w:rPr>
      </w:pPr>
      <w:r>
        <w:rPr>
          <w:color w:val="7EAABF"/>
          <w:w w:val="120"/>
          <w:sz w:val="18"/>
        </w:rPr>
        <w:t>Members of FURY at the IF campaign gathering</w:t>
      </w:r>
    </w:p>
    <w:p>
      <w:pPr>
        <w:pStyle w:val="BodyText"/>
        <w:rPr>
          <w:sz w:val="22"/>
        </w:rPr>
      </w:pPr>
    </w:p>
    <w:p>
      <w:pPr>
        <w:pStyle w:val="BodyText"/>
        <w:rPr>
          <w:sz w:val="22"/>
        </w:rPr>
      </w:pPr>
    </w:p>
    <w:p>
      <w:pPr>
        <w:pStyle w:val="BodyText"/>
        <w:rPr>
          <w:sz w:val="22"/>
        </w:rPr>
      </w:pPr>
    </w:p>
    <w:p>
      <w:pPr>
        <w:pStyle w:val="ListParagraph"/>
        <w:numPr>
          <w:ilvl w:val="1"/>
          <w:numId w:val="107"/>
        </w:numPr>
        <w:tabs>
          <w:tab w:pos="2664" w:val="left" w:leader="none"/>
          <w:tab w:pos="2665" w:val="left" w:leader="none"/>
        </w:tabs>
        <w:spacing w:line="235" w:lineRule="auto" w:before="197" w:after="0"/>
        <w:ind w:left="1984" w:right="1303" w:firstLine="0"/>
        <w:jc w:val="left"/>
        <w:rPr>
          <w:sz w:val="20"/>
        </w:rPr>
      </w:pPr>
      <w:r>
        <w:rPr>
          <w:w w:val="120"/>
          <w:sz w:val="20"/>
        </w:rPr>
        <w:t>During the last two years contributions from churches have remained steady but are </w:t>
      </w:r>
      <w:r>
        <w:rPr>
          <w:spacing w:val="2"/>
          <w:w w:val="120"/>
          <w:sz w:val="20"/>
        </w:rPr>
        <w:t>part </w:t>
      </w:r>
      <w:r>
        <w:rPr>
          <w:w w:val="120"/>
          <w:sz w:val="20"/>
        </w:rPr>
        <w:t>of a gradual decline. This has been masked by a legacy we received over three years from </w:t>
      </w:r>
      <w:r>
        <w:rPr>
          <w:spacing w:val="-9"/>
          <w:w w:val="120"/>
          <w:sz w:val="20"/>
        </w:rPr>
        <w:t>2011. </w:t>
      </w:r>
      <w:r>
        <w:rPr>
          <w:w w:val="120"/>
          <w:sz w:val="20"/>
        </w:rPr>
        <w:t>Churches are looking closely at how and where their giving is</w:t>
      </w:r>
      <w:r>
        <w:rPr>
          <w:spacing w:val="42"/>
          <w:w w:val="120"/>
          <w:sz w:val="20"/>
        </w:rPr>
        <w:t> </w:t>
      </w:r>
      <w:r>
        <w:rPr>
          <w:w w:val="120"/>
          <w:sz w:val="20"/>
        </w:rPr>
        <w:t>sent,</w:t>
      </w:r>
    </w:p>
    <w:p>
      <w:pPr>
        <w:pStyle w:val="BodyText"/>
        <w:spacing w:line="235" w:lineRule="auto" w:before="2"/>
        <w:ind w:left="1984" w:right="1352"/>
      </w:pPr>
      <w:r>
        <w:rPr>
          <w:w w:val="120"/>
        </w:rPr>
        <w:t>so we are pleased to see that the total has not declined further. Grateful thanks are expressed to all contributing churches.</w:t>
      </w:r>
    </w:p>
    <w:p>
      <w:pPr>
        <w:pStyle w:val="BodyText"/>
        <w:spacing w:before="4"/>
        <w:rPr>
          <w:sz w:val="11"/>
        </w:rPr>
      </w:pPr>
    </w:p>
    <w:p>
      <w:pPr>
        <w:spacing w:after="0"/>
        <w:rPr>
          <w:sz w:val="11"/>
        </w:rPr>
        <w:sectPr>
          <w:headerReference w:type="default" r:id="rId454"/>
          <w:pgSz w:w="11910" w:h="16840"/>
          <w:pgMar w:header="0" w:footer="647" w:top="0" w:bottom="840" w:left="0" w:right="0"/>
        </w:sectPr>
      </w:pPr>
    </w:p>
    <w:p>
      <w:pPr>
        <w:pStyle w:val="ListParagraph"/>
        <w:numPr>
          <w:ilvl w:val="1"/>
          <w:numId w:val="107"/>
        </w:numPr>
        <w:tabs>
          <w:tab w:pos="2664" w:val="left" w:leader="none"/>
          <w:tab w:pos="2665" w:val="left" w:leader="none"/>
        </w:tabs>
        <w:spacing w:line="235" w:lineRule="auto" w:before="103" w:after="0"/>
        <w:ind w:left="1984" w:right="0" w:firstLine="0"/>
        <w:jc w:val="left"/>
        <w:rPr>
          <w:sz w:val="20"/>
        </w:rPr>
      </w:pPr>
      <w:r>
        <w:rPr>
          <w:w w:val="120"/>
          <w:sz w:val="20"/>
        </w:rPr>
        <w:t>Commitment for life is very much </w:t>
      </w:r>
      <w:r>
        <w:rPr>
          <w:spacing w:val="2"/>
          <w:w w:val="120"/>
          <w:sz w:val="20"/>
        </w:rPr>
        <w:t>part </w:t>
      </w:r>
      <w:r>
        <w:rPr>
          <w:w w:val="120"/>
          <w:sz w:val="20"/>
        </w:rPr>
        <w:t>of the identity of the United Reformed Church as a church passionate about justice and living out our faith through action as well as words. </w:t>
      </w:r>
      <w:r>
        <w:rPr>
          <w:spacing w:val="3"/>
          <w:w w:val="120"/>
          <w:sz w:val="20"/>
        </w:rPr>
        <w:t>As </w:t>
      </w:r>
      <w:r>
        <w:rPr>
          <w:w w:val="120"/>
          <w:sz w:val="20"/>
        </w:rPr>
        <w:t>the single largest denominational giver to Christian Aid our contributions are vital for the work in our partner countries/region. Churches are more informed of issues related to their partner country and build a relationship with the</w:t>
      </w:r>
      <w:r>
        <w:rPr>
          <w:spacing w:val="5"/>
          <w:w w:val="120"/>
          <w:sz w:val="20"/>
        </w:rPr>
        <w:t> </w:t>
      </w:r>
      <w:r>
        <w:rPr>
          <w:w w:val="120"/>
          <w:sz w:val="20"/>
        </w:rPr>
        <w:t>partners.</w:t>
      </w:r>
    </w:p>
    <w:p>
      <w:pPr>
        <w:pStyle w:val="BodyText"/>
        <w:rPr>
          <w:sz w:val="34"/>
        </w:rPr>
      </w:pPr>
      <w:r>
        <w:rPr/>
        <w:br w:type="column"/>
      </w:r>
      <w:r>
        <w:rPr>
          <w:sz w:val="34"/>
        </w:rPr>
      </w:r>
    </w:p>
    <w:p>
      <w:pPr>
        <w:spacing w:before="244"/>
        <w:ind w:left="754" w:right="0" w:firstLine="0"/>
        <w:jc w:val="left"/>
        <w:rPr>
          <w:b/>
          <w:sz w:val="29"/>
        </w:rPr>
      </w:pPr>
      <w:r>
        <w:rPr>
          <w:b/>
          <w:color w:val="FF3300"/>
          <w:w w:val="110"/>
          <w:sz w:val="29"/>
        </w:rPr>
        <w:t>Identity</w:t>
      </w:r>
    </w:p>
    <w:p>
      <w:pPr>
        <w:spacing w:after="0"/>
        <w:jc w:val="left"/>
        <w:rPr>
          <w:sz w:val="29"/>
        </w:rPr>
        <w:sectPr>
          <w:type w:val="continuous"/>
          <w:pgSz w:w="11910" w:h="16840"/>
          <w:pgMar w:top="680" w:bottom="280" w:left="0" w:right="0"/>
          <w:cols w:num="2" w:equalWidth="0">
            <w:col w:w="8665" w:space="40"/>
            <w:col w:w="3205"/>
          </w:cols>
        </w:sectPr>
      </w:pPr>
    </w:p>
    <w:p>
      <w:pPr>
        <w:pStyle w:val="BodyText"/>
        <w:spacing w:before="8"/>
        <w:rPr>
          <w:b/>
          <w:sz w:val="11"/>
        </w:rPr>
      </w:pPr>
      <w:r>
        <w:rPr/>
        <w:pict>
          <v:group style="position:absolute;margin-left:291.0065pt;margin-top:.000015pt;width:304.3pt;height:841.9pt;mso-position-horizontal-relative:page;mso-position-vertical-relative:page;z-index:-267132928" coordorigin="5820,0" coordsize="6086,16838">
            <v:shape style="position:absolute;left:10984;top:0;width:922;height:16838" type="#_x0000_t75" stroked="false">
              <v:imagedata r:id="rId357" o:title=""/>
            </v:shape>
            <v:shape style="position:absolute;left:5834;top:6122;width:5150;height:3863" type="#_x0000_t75" stroked="false">
              <v:imagedata r:id="rId455" o:title=""/>
            </v:shape>
            <v:shape style="position:absolute;left:9071;top:11730;width:315;height:822" type="#_x0000_t75" stroked="false">
              <v:imagedata r:id="rId456" o:title=""/>
            </v:shape>
            <v:shape style="position:absolute;left:5820;top:8482;width:1540;height:1513" coordorigin="5820,8483" coordsize="1540,1513" path="m5820,8483l5820,9995,7357,9995,7281,9994,7206,9988,7132,9979,7059,9967,6987,9951,6917,9931,6848,9909,6780,9884,6715,9855,6650,9824,6588,9789,6527,9752,6468,9712,6411,9670,6356,9625,6304,9578,6253,9528,6205,9476,6160,9422,6116,9366,6076,9307,6038,9247,6002,9185,5970,9121,5941,9056,5914,8989,5891,8920,5871,8850,5854,8779,5840,8707,5830,8633,5823,8558,5820,8483xm7360,9995l7359,9995,7358,9995,7360,9995,7360,9995xe" filled="true" fillcolor="#ffffff" stroked="false">
              <v:path arrowok="t"/>
              <v:fill type="solid"/>
            </v:shape>
            <w10:wrap type="none"/>
          </v:group>
        </w:pict>
      </w:r>
    </w:p>
    <w:p>
      <w:pPr>
        <w:pStyle w:val="ListParagraph"/>
        <w:numPr>
          <w:ilvl w:val="1"/>
          <w:numId w:val="107"/>
        </w:numPr>
        <w:tabs>
          <w:tab w:pos="2664" w:val="left" w:leader="none"/>
          <w:tab w:pos="2665" w:val="left" w:leader="none"/>
        </w:tabs>
        <w:spacing w:line="235" w:lineRule="auto" w:before="103" w:after="0"/>
        <w:ind w:left="1984" w:right="1475" w:firstLine="0"/>
        <w:jc w:val="left"/>
        <w:rPr>
          <w:sz w:val="20"/>
        </w:rPr>
      </w:pPr>
      <w:r>
        <w:rPr>
          <w:w w:val="120"/>
          <w:sz w:val="20"/>
        </w:rPr>
        <w:t>In </w:t>
      </w:r>
      <w:r>
        <w:rPr>
          <w:spacing w:val="-8"/>
          <w:w w:val="120"/>
          <w:sz w:val="20"/>
        </w:rPr>
        <w:t>2013 </w:t>
      </w:r>
      <w:r>
        <w:rPr>
          <w:w w:val="120"/>
          <w:sz w:val="20"/>
        </w:rPr>
        <w:t>Christian Aid made the difficult decision to cease funding work in Jamaica. Following discussion with Christian Aid and Reference Group members, Central America was chosen as our new region. This comprises Honduras, El Salvador, Guatemala and Nicaragua. We look forward to learning more about this</w:t>
      </w:r>
      <w:r>
        <w:rPr>
          <w:spacing w:val="45"/>
          <w:w w:val="120"/>
          <w:sz w:val="20"/>
        </w:rPr>
        <w:t> </w:t>
      </w:r>
      <w:r>
        <w:rPr>
          <w:w w:val="120"/>
          <w:sz w:val="20"/>
        </w:rPr>
        <w:t>region.</w:t>
      </w:r>
    </w:p>
    <w:p>
      <w:pPr>
        <w:pStyle w:val="BodyText"/>
        <w:spacing w:before="11"/>
        <w:rPr>
          <w:sz w:val="19"/>
        </w:rPr>
      </w:pPr>
    </w:p>
    <w:p>
      <w:pPr>
        <w:pStyle w:val="ListParagraph"/>
        <w:numPr>
          <w:ilvl w:val="1"/>
          <w:numId w:val="107"/>
        </w:numPr>
        <w:tabs>
          <w:tab w:pos="2664" w:val="left" w:leader="none"/>
          <w:tab w:pos="2665" w:val="left" w:leader="none"/>
        </w:tabs>
        <w:spacing w:line="235" w:lineRule="auto" w:before="0" w:after="0"/>
        <w:ind w:left="1984" w:right="1410" w:firstLine="0"/>
        <w:jc w:val="left"/>
        <w:rPr>
          <w:sz w:val="20"/>
        </w:rPr>
      </w:pPr>
      <w:r>
        <w:rPr>
          <w:w w:val="120"/>
          <w:sz w:val="20"/>
        </w:rPr>
        <w:t>We continue to provide educational and worship resources. A service outline  for Commitment for Life Sundays has been particularly well received. The </w:t>
      </w:r>
      <w:r>
        <w:rPr>
          <w:spacing w:val="-7"/>
          <w:w w:val="120"/>
          <w:sz w:val="20"/>
        </w:rPr>
        <w:t>2014 </w:t>
      </w:r>
      <w:r>
        <w:rPr>
          <w:w w:val="120"/>
          <w:sz w:val="20"/>
        </w:rPr>
        <w:t>outline focuses on </w:t>
      </w:r>
      <w:r>
        <w:rPr>
          <w:i/>
          <w:w w:val="120"/>
          <w:sz w:val="20"/>
        </w:rPr>
        <w:t>Water – A precious resource</w:t>
      </w:r>
      <w:r>
        <w:rPr>
          <w:w w:val="120"/>
          <w:sz w:val="20"/>
        </w:rPr>
        <w:t>. The annual visit to Israel and the occupied Palestinian territory and advocates’ days provide opportunities for people to</w:t>
      </w:r>
      <w:r>
        <w:rPr>
          <w:spacing w:val="29"/>
          <w:w w:val="120"/>
          <w:sz w:val="20"/>
        </w:rPr>
        <w:t> </w:t>
      </w:r>
      <w:r>
        <w:rPr>
          <w:w w:val="120"/>
          <w:sz w:val="20"/>
        </w:rPr>
        <w:t>learn</w:t>
      </w:r>
    </w:p>
    <w:p>
      <w:pPr>
        <w:spacing w:after="0" w:line="235" w:lineRule="auto"/>
        <w:jc w:val="left"/>
        <w:rPr>
          <w:sz w:val="20"/>
        </w:rPr>
        <w:sectPr>
          <w:type w:val="continuous"/>
          <w:pgSz w:w="11910" w:h="16840"/>
          <w:pgMar w:top="680" w:bottom="280" w:left="0" w:right="0"/>
        </w:sectPr>
      </w:pPr>
    </w:p>
    <w:p>
      <w:pPr>
        <w:pStyle w:val="BodyText"/>
      </w:pPr>
    </w:p>
    <w:p>
      <w:pPr>
        <w:pStyle w:val="BodyText"/>
        <w:spacing w:before="7"/>
        <w:rPr>
          <w:sz w:val="21"/>
        </w:rPr>
      </w:pPr>
    </w:p>
    <w:p>
      <w:pPr>
        <w:pStyle w:val="Heading5"/>
      </w:pPr>
      <w:r>
        <w:rPr/>
        <w:pict>
          <v:shape style="position:absolute;margin-left:20.519100pt;margin-top:22.593945pt;width:25.9pt;height:78.850pt;mso-position-horizontal-relative:page;mso-position-vertical-relative:paragraph;z-index:252147712" type="#_x0000_t202" filled="false" stroked="false">
            <v:textbox inset="0,0,0,0" style="layout-flow:vertical">
              <w:txbxContent>
                <w:p>
                  <w:pPr>
                    <w:spacing w:before="27"/>
                    <w:ind w:left="20" w:right="0" w:firstLine="0"/>
                    <w:jc w:val="left"/>
                    <w:rPr>
                      <w:sz w:val="39"/>
                    </w:rPr>
                  </w:pPr>
                  <w:r>
                    <w:rPr>
                      <w:color w:val="FFFFFF"/>
                      <w:w w:val="115"/>
                      <w:sz w:val="39"/>
                    </w:rPr>
                    <w:t>Mission</w:t>
                  </w:r>
                </w:p>
              </w:txbxContent>
            </v:textbox>
            <w10:wrap type="none"/>
          </v:shape>
        </w:pict>
      </w:r>
      <w:r>
        <w:rPr>
          <w:color w:val="7EAABF"/>
          <w:w w:val="115"/>
        </w:rPr>
        <w:t>Mission</w:t>
      </w:r>
    </w:p>
    <w:p>
      <w:pPr>
        <w:pStyle w:val="BodyText"/>
        <w:spacing w:line="235" w:lineRule="auto" w:before="222"/>
        <w:ind w:left="1247" w:right="2074"/>
      </w:pPr>
      <w:r>
        <w:rPr>
          <w:w w:val="120"/>
        </w:rPr>
        <w:t>more about our work and the issues involved. Monthly emails continue to be a great source of information for local churches. </w:t>
      </w:r>
      <w:r>
        <w:rPr>
          <w:i/>
          <w:w w:val="120"/>
        </w:rPr>
        <w:t>Stories for change </w:t>
      </w:r>
      <w:r>
        <w:rPr>
          <w:w w:val="120"/>
        </w:rPr>
        <w:t>provides stories on the issues in Central America, Bangladesh and Zimbabwe whilst </w:t>
      </w:r>
      <w:r>
        <w:rPr>
          <w:i/>
          <w:w w:val="120"/>
        </w:rPr>
        <w:t>Moving Stories </w:t>
      </w:r>
      <w:r>
        <w:rPr>
          <w:w w:val="120"/>
        </w:rPr>
        <w:t>looks at the situation in Israel and the occupied Palestinian territory.</w:t>
      </w:r>
    </w:p>
    <w:p>
      <w:pPr>
        <w:pStyle w:val="BodyText"/>
        <w:spacing w:before="4"/>
        <w:rPr>
          <w:sz w:val="11"/>
        </w:rPr>
      </w:pPr>
    </w:p>
    <w:p>
      <w:pPr>
        <w:spacing w:after="0"/>
        <w:rPr>
          <w:sz w:val="11"/>
        </w:rPr>
        <w:sectPr>
          <w:headerReference w:type="even" r:id="rId457"/>
          <w:footerReference w:type="even" r:id="rId458"/>
          <w:footerReference w:type="default" r:id="rId459"/>
          <w:pgSz w:w="11910" w:h="16840"/>
          <w:pgMar w:header="0" w:footer="647" w:top="0" w:bottom="840" w:left="0" w:right="0"/>
          <w:pgNumType w:start="194"/>
        </w:sectPr>
      </w:pPr>
    </w:p>
    <w:p>
      <w:pPr>
        <w:pStyle w:val="ListParagraph"/>
        <w:numPr>
          <w:ilvl w:val="1"/>
          <w:numId w:val="107"/>
        </w:numPr>
        <w:tabs>
          <w:tab w:pos="1927" w:val="left" w:leader="none"/>
          <w:tab w:pos="1928" w:val="left" w:leader="none"/>
        </w:tabs>
        <w:spacing w:line="235" w:lineRule="auto" w:before="104" w:after="0"/>
        <w:ind w:left="1247" w:right="0" w:firstLine="0"/>
        <w:jc w:val="left"/>
        <w:rPr>
          <w:sz w:val="20"/>
        </w:rPr>
      </w:pPr>
      <w:r>
        <w:rPr>
          <w:w w:val="120"/>
          <w:sz w:val="20"/>
        </w:rPr>
        <w:t>Since the last Assembly commitment for life has been </w:t>
      </w:r>
      <w:r>
        <w:rPr>
          <w:spacing w:val="2"/>
          <w:w w:val="120"/>
          <w:sz w:val="20"/>
        </w:rPr>
        <w:t>part </w:t>
      </w:r>
      <w:r>
        <w:rPr>
          <w:w w:val="120"/>
          <w:sz w:val="20"/>
        </w:rPr>
        <w:t>of organising two conferences within the ecumenical World Development Conference group. The last one took place in </w:t>
      </w:r>
      <w:r>
        <w:rPr>
          <w:spacing w:val="2"/>
          <w:w w:val="120"/>
          <w:sz w:val="20"/>
        </w:rPr>
        <w:t>February </w:t>
      </w:r>
      <w:r>
        <w:rPr>
          <w:spacing w:val="-7"/>
          <w:w w:val="120"/>
          <w:sz w:val="20"/>
        </w:rPr>
        <w:t>2014 </w:t>
      </w:r>
      <w:r>
        <w:rPr>
          <w:w w:val="120"/>
          <w:sz w:val="20"/>
        </w:rPr>
        <w:t>and focused on </w:t>
      </w:r>
      <w:r>
        <w:rPr>
          <w:i/>
          <w:w w:val="120"/>
          <w:sz w:val="20"/>
        </w:rPr>
        <w:t>Good Work</w:t>
      </w:r>
      <w:r>
        <w:rPr>
          <w:w w:val="120"/>
          <w:sz w:val="20"/>
        </w:rPr>
        <w:t>. These events bring</w:t>
      </w:r>
      <w:r>
        <w:rPr>
          <w:spacing w:val="-24"/>
          <w:w w:val="120"/>
          <w:sz w:val="20"/>
        </w:rPr>
        <w:t> </w:t>
      </w:r>
      <w:r>
        <w:rPr>
          <w:w w:val="120"/>
          <w:sz w:val="20"/>
        </w:rPr>
        <w:t>together</w:t>
      </w:r>
    </w:p>
    <w:p>
      <w:pPr>
        <w:spacing w:before="87"/>
        <w:ind w:left="152" w:right="0" w:firstLine="0"/>
        <w:jc w:val="left"/>
        <w:rPr>
          <w:b/>
          <w:sz w:val="29"/>
        </w:rPr>
      </w:pPr>
      <w:r>
        <w:rPr/>
        <w:br w:type="column"/>
      </w:r>
      <w:r>
        <w:rPr/>
        <w:drawing>
          <wp:inline distT="0" distB="0" distL="0" distR="0">
            <wp:extent cx="199516" cy="521614"/>
            <wp:effectExtent l="0" t="0" r="0" b="0"/>
            <wp:docPr id="367" name="image41.png"/>
            <wp:cNvGraphicFramePr>
              <a:graphicFrameLocks noChangeAspect="1"/>
            </wp:cNvGraphicFramePr>
            <a:graphic>
              <a:graphicData uri="http://schemas.openxmlformats.org/drawingml/2006/picture">
                <pic:pic>
                  <pic:nvPicPr>
                    <pic:cNvPr id="368" name="image41.png"/>
                    <pic:cNvPicPr/>
                  </pic:nvPicPr>
                  <pic:blipFill>
                    <a:blip r:embed="rId445" cstate="print"/>
                    <a:stretch>
                      <a:fillRect/>
                    </a:stretch>
                  </pic:blipFill>
                  <pic:spPr>
                    <a:xfrm>
                      <a:off x="0" y="0"/>
                      <a:ext cx="199516" cy="521614"/>
                    </a:xfrm>
                    <a:prstGeom prst="rect">
                      <a:avLst/>
                    </a:prstGeom>
                  </pic:spPr>
                </pic:pic>
              </a:graphicData>
            </a:graphic>
          </wp:inline>
        </w:drawing>
      </w:r>
      <w:r>
        <w:rPr/>
      </w:r>
      <w:r>
        <w:rPr>
          <w:rFonts w:ascii="Times New Roman"/>
          <w:spacing w:val="22"/>
          <w:sz w:val="20"/>
        </w:rPr>
        <w:t> </w:t>
      </w:r>
      <w:r>
        <w:rPr>
          <w:b/>
          <w:color w:val="FF3300"/>
          <w:w w:val="110"/>
          <w:sz w:val="29"/>
        </w:rPr>
        <w:t>The integrity of</w:t>
      </w:r>
      <w:r>
        <w:rPr>
          <w:b/>
          <w:color w:val="FF3300"/>
          <w:spacing w:val="-2"/>
          <w:w w:val="110"/>
          <w:sz w:val="29"/>
        </w:rPr>
        <w:t> </w:t>
      </w:r>
      <w:r>
        <w:rPr>
          <w:b/>
          <w:color w:val="FF3300"/>
          <w:w w:val="110"/>
          <w:sz w:val="29"/>
        </w:rPr>
        <w:t>creation</w:t>
      </w:r>
    </w:p>
    <w:p>
      <w:pPr>
        <w:spacing w:after="0"/>
        <w:jc w:val="left"/>
        <w:rPr>
          <w:sz w:val="29"/>
        </w:rPr>
        <w:sectPr>
          <w:type w:val="continuous"/>
          <w:pgSz w:w="11910" w:h="16840"/>
          <w:pgMar w:top="680" w:bottom="280" w:left="0" w:right="0"/>
          <w:cols w:num="2" w:equalWidth="0">
            <w:col w:w="6399" w:space="40"/>
            <w:col w:w="5471"/>
          </w:cols>
        </w:sectPr>
      </w:pPr>
    </w:p>
    <w:p>
      <w:pPr>
        <w:pStyle w:val="BodyText"/>
        <w:spacing w:line="235" w:lineRule="auto" w:before="4"/>
        <w:ind w:left="1247" w:right="2230"/>
      </w:pPr>
      <w:r>
        <w:rPr>
          <w:w w:val="120"/>
        </w:rPr>
        <w:t>supporters from across the denominations, non-government organisations and charities to engage and be inspired on development issues. Other ecumenical work has included the the World Council of Churches’ planning group for the World Week for Peace in Palestine and Israel. Last September a vigil was arranged outside Friends’ Meeting House, London at which the Revd Paul Dean from Ashford shared the service with Bishop William </w:t>
      </w:r>
      <w:r>
        <w:rPr>
          <w:spacing w:val="-4"/>
          <w:w w:val="120"/>
        </w:rPr>
        <w:t>Kenny, </w:t>
      </w:r>
      <w:r>
        <w:rPr>
          <w:w w:val="120"/>
        </w:rPr>
        <w:t>auxiliary Bishop in the Archdiocese of</w:t>
      </w:r>
      <w:r>
        <w:rPr>
          <w:spacing w:val="40"/>
          <w:w w:val="120"/>
        </w:rPr>
        <w:t> </w:t>
      </w:r>
      <w:r>
        <w:rPr>
          <w:w w:val="120"/>
        </w:rPr>
        <w:t>Birmingham.</w:t>
      </w:r>
    </w:p>
    <w:p>
      <w:pPr>
        <w:pStyle w:val="BodyText"/>
      </w:pPr>
    </w:p>
    <w:p>
      <w:pPr>
        <w:pStyle w:val="ListParagraph"/>
        <w:numPr>
          <w:ilvl w:val="1"/>
          <w:numId w:val="107"/>
        </w:numPr>
        <w:tabs>
          <w:tab w:pos="1927" w:val="left" w:leader="none"/>
          <w:tab w:pos="1928" w:val="left" w:leader="none"/>
        </w:tabs>
        <w:spacing w:line="235" w:lineRule="auto" w:before="0" w:after="0"/>
        <w:ind w:left="1247" w:right="2119" w:firstLine="0"/>
        <w:jc w:val="left"/>
        <w:rPr>
          <w:sz w:val="20"/>
        </w:rPr>
      </w:pPr>
      <w:r>
        <w:rPr>
          <w:w w:val="120"/>
          <w:sz w:val="20"/>
        </w:rPr>
        <w:t>Our website continues to offer information and inspiration for churches. Over the last two years it has advertised the IF campaign, Fairtrade Fortnight, Christian </w:t>
      </w:r>
      <w:r>
        <w:rPr>
          <w:spacing w:val="-3"/>
          <w:w w:val="120"/>
          <w:sz w:val="20"/>
        </w:rPr>
        <w:t>Aid’s </w:t>
      </w:r>
      <w:r>
        <w:rPr>
          <w:spacing w:val="-4"/>
          <w:w w:val="120"/>
          <w:sz w:val="20"/>
        </w:rPr>
        <w:t>Tax </w:t>
      </w:r>
      <w:r>
        <w:rPr>
          <w:w w:val="120"/>
          <w:sz w:val="20"/>
        </w:rPr>
        <w:t>and Climate Justice Campaigns and The World Development Movement’s Carbon Capital and Food Speculation campaigns. All these campaigns have the potential to make a huge difference to people in</w:t>
      </w:r>
      <w:r>
        <w:rPr>
          <w:spacing w:val="15"/>
          <w:w w:val="120"/>
          <w:sz w:val="20"/>
        </w:rPr>
        <w:t> </w:t>
      </w:r>
      <w:r>
        <w:rPr>
          <w:w w:val="120"/>
          <w:sz w:val="20"/>
        </w:rPr>
        <w:t>poverty.</w:t>
      </w:r>
    </w:p>
    <w:p>
      <w:pPr>
        <w:pStyle w:val="BodyText"/>
      </w:pPr>
    </w:p>
    <w:p>
      <w:pPr>
        <w:pStyle w:val="ListParagraph"/>
        <w:numPr>
          <w:ilvl w:val="1"/>
          <w:numId w:val="107"/>
        </w:numPr>
        <w:tabs>
          <w:tab w:pos="1927" w:val="left" w:leader="none"/>
          <w:tab w:pos="1928" w:val="left" w:leader="none"/>
        </w:tabs>
        <w:spacing w:line="235" w:lineRule="auto" w:before="0" w:after="0"/>
        <w:ind w:left="1247" w:right="2056" w:firstLine="0"/>
        <w:jc w:val="left"/>
        <w:rPr>
          <w:sz w:val="20"/>
        </w:rPr>
      </w:pPr>
      <w:r>
        <w:rPr>
          <w:w w:val="120"/>
          <w:sz w:val="20"/>
        </w:rPr>
        <w:t>The IF campaign achieved the political targets that it had set itself. There was a significant amount of funding pledged for nutrition </w:t>
      </w:r>
      <w:r>
        <w:rPr>
          <w:spacing w:val="-8"/>
          <w:w w:val="120"/>
          <w:sz w:val="20"/>
        </w:rPr>
        <w:t>($4.1 </w:t>
      </w:r>
      <w:r>
        <w:rPr>
          <w:w w:val="120"/>
          <w:sz w:val="20"/>
        </w:rPr>
        <w:t>billion in total) and progress towards the </w:t>
      </w:r>
      <w:r>
        <w:rPr>
          <w:spacing w:val="-3"/>
          <w:w w:val="120"/>
          <w:sz w:val="20"/>
        </w:rPr>
        <w:t>0.7% </w:t>
      </w:r>
      <w:r>
        <w:rPr>
          <w:w w:val="120"/>
          <w:sz w:val="20"/>
        </w:rPr>
        <w:t>target for aid and development, but most significant were the achievements around tax. </w:t>
      </w:r>
      <w:r>
        <w:rPr>
          <w:spacing w:val="-4"/>
          <w:w w:val="120"/>
          <w:sz w:val="20"/>
        </w:rPr>
        <w:t>Tax </w:t>
      </w:r>
      <w:r>
        <w:rPr>
          <w:w w:val="120"/>
          <w:sz w:val="20"/>
        </w:rPr>
        <w:t>was put on the G8 agenda and the government talked openly about the links between </w:t>
      </w:r>
      <w:r>
        <w:rPr>
          <w:spacing w:val="2"/>
          <w:w w:val="120"/>
          <w:sz w:val="20"/>
        </w:rPr>
        <w:t>tax </w:t>
      </w:r>
      <w:r>
        <w:rPr>
          <w:w w:val="120"/>
          <w:sz w:val="20"/>
        </w:rPr>
        <w:t>and development and the beginnings of a process towards beneficial ownership and greater information exchange. Another success is the Interfaith group, set up by coalition agencies who were </w:t>
      </w:r>
      <w:r>
        <w:rPr>
          <w:spacing w:val="2"/>
          <w:w w:val="120"/>
          <w:sz w:val="20"/>
        </w:rPr>
        <w:t>part </w:t>
      </w:r>
      <w:r>
        <w:rPr>
          <w:w w:val="120"/>
          <w:sz w:val="20"/>
        </w:rPr>
        <w:t>of the IF campaign, which will continue meeting and working collaboratively where</w:t>
      </w:r>
      <w:r>
        <w:rPr>
          <w:spacing w:val="26"/>
          <w:w w:val="120"/>
          <w:sz w:val="20"/>
        </w:rPr>
        <w:t> </w:t>
      </w:r>
      <w:r>
        <w:rPr>
          <w:w w:val="120"/>
          <w:sz w:val="20"/>
        </w:rPr>
        <w:t>possible.</w:t>
      </w:r>
    </w:p>
    <w:p>
      <w:pPr>
        <w:pStyle w:val="BodyText"/>
        <w:spacing w:before="8"/>
        <w:rPr>
          <w:sz w:val="11"/>
        </w:rPr>
      </w:pPr>
    </w:p>
    <w:p>
      <w:pPr>
        <w:spacing w:after="0"/>
        <w:rPr>
          <w:sz w:val="11"/>
        </w:rPr>
        <w:sectPr>
          <w:type w:val="continuous"/>
          <w:pgSz w:w="11910" w:h="16840"/>
          <w:pgMar w:top="680" w:bottom="280" w:left="0" w:right="0"/>
        </w:sectPr>
      </w:pPr>
    </w:p>
    <w:p>
      <w:pPr>
        <w:pStyle w:val="ListParagraph"/>
        <w:numPr>
          <w:ilvl w:val="1"/>
          <w:numId w:val="107"/>
        </w:numPr>
        <w:tabs>
          <w:tab w:pos="1927" w:val="left" w:leader="none"/>
          <w:tab w:pos="1928" w:val="left" w:leader="none"/>
        </w:tabs>
        <w:spacing w:line="235" w:lineRule="auto" w:before="104" w:after="0"/>
        <w:ind w:left="1247" w:right="0" w:firstLine="0"/>
        <w:jc w:val="left"/>
        <w:rPr>
          <w:sz w:val="20"/>
        </w:rPr>
      </w:pPr>
      <w:r>
        <w:rPr>
          <w:w w:val="120"/>
          <w:sz w:val="20"/>
        </w:rPr>
        <w:t>The joint Belonging to the World Church/ commitment for life trip to Israel and the occupied Palestinian territory in </w:t>
      </w:r>
      <w:r>
        <w:rPr>
          <w:spacing w:val="2"/>
          <w:w w:val="120"/>
          <w:sz w:val="20"/>
        </w:rPr>
        <w:t>February </w:t>
      </w:r>
      <w:r>
        <w:rPr>
          <w:spacing w:val="-8"/>
          <w:w w:val="120"/>
          <w:sz w:val="20"/>
        </w:rPr>
        <w:t>2013 </w:t>
      </w:r>
      <w:r>
        <w:rPr>
          <w:w w:val="120"/>
          <w:sz w:val="20"/>
        </w:rPr>
        <w:t>enabled the group to see the work of Christian Aid partners and meet with Palestinian Christians, both in the West Bank and Israel. This was a deep learning experience for </w:t>
      </w:r>
      <w:r>
        <w:rPr>
          <w:spacing w:val="-4"/>
          <w:w w:val="120"/>
          <w:sz w:val="20"/>
        </w:rPr>
        <w:t>many.</w:t>
      </w:r>
      <w:r>
        <w:rPr>
          <w:spacing w:val="31"/>
          <w:w w:val="120"/>
          <w:sz w:val="20"/>
        </w:rPr>
        <w:t> </w:t>
      </w:r>
      <w:r>
        <w:rPr>
          <w:w w:val="120"/>
          <w:sz w:val="20"/>
        </w:rPr>
        <w:t>Since</w:t>
      </w:r>
    </w:p>
    <w:p>
      <w:pPr>
        <w:spacing w:before="135"/>
        <w:ind w:left="388" w:right="0" w:firstLine="0"/>
        <w:jc w:val="left"/>
        <w:rPr>
          <w:b/>
          <w:sz w:val="29"/>
        </w:rPr>
      </w:pPr>
      <w:r>
        <w:rPr/>
        <w:br w:type="column"/>
      </w:r>
      <w:r>
        <w:rPr/>
        <w:drawing>
          <wp:inline distT="0" distB="0" distL="0" distR="0">
            <wp:extent cx="199516" cy="521614"/>
            <wp:effectExtent l="0" t="0" r="0" b="0"/>
            <wp:docPr id="369" name="image48.png"/>
            <wp:cNvGraphicFramePr>
              <a:graphicFrameLocks noChangeAspect="1"/>
            </wp:cNvGraphicFramePr>
            <a:graphic>
              <a:graphicData uri="http://schemas.openxmlformats.org/drawingml/2006/picture">
                <pic:pic>
                  <pic:nvPicPr>
                    <pic:cNvPr id="370" name="image48.png"/>
                    <pic:cNvPicPr/>
                  </pic:nvPicPr>
                  <pic:blipFill>
                    <a:blip r:embed="rId460" cstate="print"/>
                    <a:stretch>
                      <a:fillRect/>
                    </a:stretch>
                  </pic:blipFill>
                  <pic:spPr>
                    <a:xfrm>
                      <a:off x="0" y="0"/>
                      <a:ext cx="199516" cy="521614"/>
                    </a:xfrm>
                    <a:prstGeom prst="rect">
                      <a:avLst/>
                    </a:prstGeom>
                  </pic:spPr>
                </pic:pic>
              </a:graphicData>
            </a:graphic>
          </wp:inline>
        </w:drawing>
      </w:r>
      <w:r>
        <w:rPr/>
      </w:r>
      <w:r>
        <w:rPr>
          <w:rFonts w:ascii="Times New Roman"/>
          <w:spacing w:val="22"/>
          <w:sz w:val="20"/>
        </w:rPr>
        <w:t> </w:t>
      </w:r>
      <w:r>
        <w:rPr>
          <w:b/>
          <w:color w:val="FF3300"/>
          <w:w w:val="110"/>
          <w:sz w:val="29"/>
        </w:rPr>
        <w:t>Justice and</w:t>
      </w:r>
      <w:r>
        <w:rPr>
          <w:b/>
          <w:color w:val="FF3300"/>
          <w:spacing w:val="-1"/>
          <w:w w:val="110"/>
          <w:sz w:val="29"/>
        </w:rPr>
        <w:t> </w:t>
      </w:r>
      <w:r>
        <w:rPr>
          <w:b/>
          <w:color w:val="FF3300"/>
          <w:w w:val="110"/>
          <w:sz w:val="29"/>
        </w:rPr>
        <w:t>peace</w:t>
      </w:r>
    </w:p>
    <w:p>
      <w:pPr>
        <w:spacing w:after="0"/>
        <w:jc w:val="left"/>
        <w:rPr>
          <w:sz w:val="29"/>
        </w:rPr>
        <w:sectPr>
          <w:type w:val="continuous"/>
          <w:pgSz w:w="11910" w:h="16840"/>
          <w:pgMar w:top="680" w:bottom="280" w:left="0" w:right="0"/>
          <w:cols w:num="2" w:equalWidth="0">
            <w:col w:w="6796" w:space="40"/>
            <w:col w:w="5074"/>
          </w:cols>
        </w:sectPr>
      </w:pPr>
    </w:p>
    <w:p>
      <w:pPr>
        <w:pStyle w:val="BodyText"/>
        <w:spacing w:line="235" w:lineRule="auto" w:before="4"/>
        <w:ind w:left="1247" w:right="2167"/>
        <w:jc w:val="both"/>
      </w:pPr>
      <w:r>
        <w:rPr/>
        <w:drawing>
          <wp:anchor distT="0" distB="0" distL="0" distR="0" allowOverlap="1" layoutInCell="1" locked="0" behindDoc="0" simplePos="0" relativeHeight="252145664">
            <wp:simplePos x="0" y="0"/>
            <wp:positionH relativeFrom="page">
              <wp:posOffset>0</wp:posOffset>
            </wp:positionH>
            <wp:positionV relativeFrom="page">
              <wp:posOffset>0</wp:posOffset>
            </wp:positionV>
            <wp:extent cx="594067" cy="10692003"/>
            <wp:effectExtent l="0" t="0" r="0" b="0"/>
            <wp:wrapNone/>
            <wp:docPr id="371" name="image32.png"/>
            <wp:cNvGraphicFramePr>
              <a:graphicFrameLocks noChangeAspect="1"/>
            </wp:cNvGraphicFramePr>
            <a:graphic>
              <a:graphicData uri="http://schemas.openxmlformats.org/drawingml/2006/picture">
                <pic:pic>
                  <pic:nvPicPr>
                    <pic:cNvPr id="372" name="image32.png"/>
                    <pic:cNvPicPr/>
                  </pic:nvPicPr>
                  <pic:blipFill>
                    <a:blip r:embed="rId362" cstate="print"/>
                    <a:stretch>
                      <a:fillRect/>
                    </a:stretch>
                  </pic:blipFill>
                  <pic:spPr>
                    <a:xfrm>
                      <a:off x="0" y="0"/>
                      <a:ext cx="594067" cy="10692003"/>
                    </a:xfrm>
                    <a:prstGeom prst="rect">
                      <a:avLst/>
                    </a:prstGeom>
                  </pic:spPr>
                </pic:pic>
              </a:graphicData>
            </a:graphic>
          </wp:anchor>
        </w:drawing>
      </w:r>
      <w:r>
        <w:rPr/>
        <w:pict>
          <v:group style="position:absolute;margin-left:233.283905pt;margin-top:46.067524pt;width:274pt;height:205.7pt;mso-position-horizontal-relative:page;mso-position-vertical-relative:paragraph;z-index:252146688" coordorigin="4666,921" coordsize="5480,4114">
            <v:shape style="position:absolute;left:4679;top:921;width:5466;height:4100" type="#_x0000_t75" stroked="false">
              <v:imagedata r:id="rId461" o:title=""/>
            </v:shape>
            <v:shape style="position:absolute;left:4665;top:3522;width:1540;height:1513" coordorigin="4666,3522" coordsize="1540,1513" path="m4666,3522l4666,5035,6202,5035,6126,5033,6051,5027,5977,5018,5904,5006,5833,4990,5762,4971,5694,4948,5626,4923,5560,4894,5496,4863,5433,4829,5373,4792,5314,4752,5257,4709,5202,4664,5149,4617,5099,4567,5051,4515,5005,4461,4962,4405,4921,4347,4883,4286,4848,4224,4816,4161,4786,4095,4760,4028,4736,3960,4716,3890,4699,3819,4686,3746,4675,3672,4669,3598,4666,3522xm6205,5035l6204,5035,6203,5035,6205,5035,6205,5035xe" filled="true" fillcolor="#ffffff" stroked="false">
              <v:path arrowok="t"/>
              <v:fill type="solid"/>
            </v:shape>
            <w10:wrap type="none"/>
          </v:group>
        </w:pict>
      </w:r>
      <w:r>
        <w:rPr>
          <w:w w:val="120"/>
        </w:rPr>
        <w:t>returning, many of the trip’s participants have shared their reflections and stories with congregations across the Church and the mission team is looking at new ways to build relationships in this area and understand more of the complex issues and injustices.</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1"/>
        <w:rPr>
          <w:sz w:val="24"/>
        </w:rPr>
      </w:pPr>
    </w:p>
    <w:p>
      <w:pPr>
        <w:spacing w:line="247" w:lineRule="auto" w:before="0"/>
        <w:ind w:left="1587" w:right="7935" w:firstLine="0"/>
        <w:jc w:val="left"/>
        <w:rPr>
          <w:sz w:val="18"/>
        </w:rPr>
      </w:pPr>
      <w:r>
        <w:rPr>
          <w:color w:val="7EAABF"/>
          <w:w w:val="120"/>
          <w:sz w:val="18"/>
        </w:rPr>
        <w:t>A URC group meeting the director of the YMCA in Beit Sahour, Palestinian Occupied Territory</w:t>
      </w:r>
    </w:p>
    <w:p>
      <w:pPr>
        <w:spacing w:after="0" w:line="247" w:lineRule="auto"/>
        <w:jc w:val="left"/>
        <w:rPr>
          <w:sz w:val="18"/>
        </w:rPr>
        <w:sectPr>
          <w:type w:val="continuous"/>
          <w:pgSz w:w="11910" w:h="16840"/>
          <w:pgMar w:top="680" w:bottom="280" w:left="0" w:right="0"/>
        </w:sectPr>
      </w:pPr>
    </w:p>
    <w:p>
      <w:pPr>
        <w:pStyle w:val="BodyText"/>
      </w:pPr>
    </w:p>
    <w:p>
      <w:pPr>
        <w:pStyle w:val="BodyText"/>
        <w:spacing w:before="7"/>
        <w:rPr>
          <w:sz w:val="21"/>
        </w:rPr>
      </w:pPr>
    </w:p>
    <w:p>
      <w:pPr>
        <w:pStyle w:val="Heading5"/>
        <w:ind w:left="0" w:right="1245"/>
        <w:jc w:val="right"/>
      </w:pPr>
      <w:r>
        <w:rPr/>
        <w:pict>
          <v:shape style="position:absolute;margin-left:554.141174pt;margin-top:22.593945pt;width:25.9pt;height:78.850pt;mso-position-horizontal-relative:page;mso-position-vertical-relative:paragraph;z-index:252149760" type="#_x0000_t202" filled="false" stroked="false">
            <v:textbox inset="0,0,0,0" style="layout-flow:vertical">
              <w:txbxContent>
                <w:p>
                  <w:pPr>
                    <w:spacing w:before="27"/>
                    <w:ind w:left="20" w:right="0" w:firstLine="0"/>
                    <w:jc w:val="left"/>
                    <w:rPr>
                      <w:sz w:val="39"/>
                    </w:rPr>
                  </w:pPr>
                  <w:r>
                    <w:rPr>
                      <w:color w:val="FFFFFF"/>
                      <w:w w:val="115"/>
                      <w:sz w:val="39"/>
                    </w:rPr>
                    <w:t>Mission</w:t>
                  </w:r>
                </w:p>
              </w:txbxContent>
            </v:textbox>
            <w10:wrap type="none"/>
          </v:shape>
        </w:pict>
      </w:r>
      <w:r>
        <w:rPr>
          <w:color w:val="7EAABF"/>
          <w:w w:val="110"/>
        </w:rPr>
        <w:t>Mission</w:t>
      </w:r>
    </w:p>
    <w:p>
      <w:pPr>
        <w:pStyle w:val="ListParagraph"/>
        <w:numPr>
          <w:ilvl w:val="1"/>
          <w:numId w:val="107"/>
        </w:numPr>
        <w:tabs>
          <w:tab w:pos="2664" w:val="left" w:leader="none"/>
          <w:tab w:pos="2665" w:val="left" w:leader="none"/>
        </w:tabs>
        <w:spacing w:line="235" w:lineRule="auto" w:before="222" w:after="0"/>
        <w:ind w:left="1984" w:right="1288" w:firstLine="0"/>
        <w:jc w:val="left"/>
        <w:rPr>
          <w:sz w:val="20"/>
        </w:rPr>
      </w:pPr>
      <w:r>
        <w:rPr>
          <w:w w:val="120"/>
          <w:sz w:val="20"/>
        </w:rPr>
        <w:t>In August </w:t>
      </w:r>
      <w:r>
        <w:rPr>
          <w:spacing w:val="-7"/>
          <w:w w:val="120"/>
          <w:sz w:val="20"/>
        </w:rPr>
        <w:t>2012, </w:t>
      </w:r>
      <w:r>
        <w:rPr>
          <w:w w:val="120"/>
          <w:sz w:val="20"/>
        </w:rPr>
        <w:t>Miriam Webb took on the role as Christian Aid Collective/ commitment for life intern. August </w:t>
      </w:r>
      <w:r>
        <w:rPr>
          <w:spacing w:val="-8"/>
          <w:w w:val="120"/>
          <w:sz w:val="20"/>
        </w:rPr>
        <w:t>2013  </w:t>
      </w:r>
      <w:r>
        <w:rPr>
          <w:w w:val="120"/>
          <w:sz w:val="20"/>
        </w:rPr>
        <w:t>saw Ian Rowe come into the post. He has  spent much of his time working with Pilots groups, especially in Yorkshire and Scotland. This successful scheme has given us a real opportunity to work more closely with younger people in churches and at synod events. With a focus on helping young    people understand about the injustice in this world it is also our way of offering a   legacy for the</w:t>
      </w:r>
      <w:r>
        <w:rPr>
          <w:spacing w:val="5"/>
          <w:w w:val="120"/>
          <w:sz w:val="20"/>
        </w:rPr>
        <w:t> </w:t>
      </w:r>
      <w:r>
        <w:rPr>
          <w:w w:val="120"/>
          <w:sz w:val="20"/>
        </w:rPr>
        <w:t>future.</w:t>
      </w:r>
    </w:p>
    <w:p>
      <w:pPr>
        <w:pStyle w:val="BodyText"/>
        <w:spacing w:before="9"/>
        <w:rPr>
          <w:sz w:val="17"/>
        </w:rPr>
      </w:pPr>
    </w:p>
    <w:p>
      <w:pPr>
        <w:pStyle w:val="Heading4"/>
        <w:numPr>
          <w:ilvl w:val="0"/>
          <w:numId w:val="107"/>
        </w:numPr>
        <w:tabs>
          <w:tab w:pos="2664" w:val="left" w:leader="none"/>
          <w:tab w:pos="2665" w:val="left" w:leader="none"/>
        </w:tabs>
        <w:spacing w:line="240" w:lineRule="auto" w:before="1" w:after="0"/>
        <w:ind w:left="2664" w:right="0" w:hanging="681"/>
        <w:jc w:val="left"/>
      </w:pPr>
      <w:r>
        <w:rPr>
          <w:spacing w:val="3"/>
          <w:w w:val="110"/>
        </w:rPr>
        <w:t>Ecumenical</w:t>
      </w:r>
      <w:r>
        <w:rPr>
          <w:spacing w:val="12"/>
          <w:w w:val="110"/>
        </w:rPr>
        <w:t> </w:t>
      </w:r>
      <w:r>
        <w:rPr>
          <w:spacing w:val="3"/>
          <w:w w:val="110"/>
        </w:rPr>
        <w:t>relations</w:t>
      </w:r>
    </w:p>
    <w:p>
      <w:pPr>
        <w:pStyle w:val="ListParagraph"/>
        <w:numPr>
          <w:ilvl w:val="1"/>
          <w:numId w:val="107"/>
        </w:numPr>
        <w:tabs>
          <w:tab w:pos="2665" w:val="left" w:leader="none"/>
        </w:tabs>
        <w:spacing w:line="235" w:lineRule="auto" w:before="69" w:after="0"/>
        <w:ind w:left="1984" w:right="1694" w:firstLine="0"/>
        <w:jc w:val="both"/>
        <w:rPr>
          <w:sz w:val="20"/>
        </w:rPr>
      </w:pPr>
      <w:r>
        <w:rPr>
          <w:w w:val="120"/>
          <w:sz w:val="20"/>
        </w:rPr>
        <w:t>Much of the work of ecumenical and interfaith relations lies in responding to events at local, national and international level. There is much ‘business as usual’ to </w:t>
      </w:r>
      <w:r>
        <w:rPr>
          <w:spacing w:val="2"/>
          <w:w w:val="120"/>
          <w:sz w:val="20"/>
        </w:rPr>
        <w:t>report </w:t>
      </w:r>
      <w:r>
        <w:rPr>
          <w:w w:val="120"/>
          <w:sz w:val="20"/>
        </w:rPr>
        <w:t>along with new</w:t>
      </w:r>
      <w:r>
        <w:rPr>
          <w:spacing w:val="8"/>
          <w:w w:val="120"/>
          <w:sz w:val="20"/>
        </w:rPr>
        <w:t> </w:t>
      </w:r>
      <w:r>
        <w:rPr>
          <w:w w:val="120"/>
          <w:sz w:val="20"/>
        </w:rPr>
        <w:t>developments.</w:t>
      </w:r>
    </w:p>
    <w:p>
      <w:pPr>
        <w:pStyle w:val="BodyText"/>
        <w:spacing w:before="10"/>
        <w:rPr>
          <w:sz w:val="19"/>
        </w:rPr>
      </w:pPr>
    </w:p>
    <w:p>
      <w:pPr>
        <w:pStyle w:val="ListParagraph"/>
        <w:numPr>
          <w:ilvl w:val="1"/>
          <w:numId w:val="107"/>
        </w:numPr>
        <w:tabs>
          <w:tab w:pos="2664" w:val="left" w:leader="none"/>
          <w:tab w:pos="2665" w:val="left" w:leader="none"/>
        </w:tabs>
        <w:spacing w:line="235" w:lineRule="auto" w:before="0" w:after="0"/>
        <w:ind w:left="1984" w:right="1585" w:firstLine="0"/>
        <w:jc w:val="left"/>
        <w:rPr>
          <w:sz w:val="20"/>
        </w:rPr>
      </w:pPr>
      <w:r>
        <w:rPr>
          <w:w w:val="120"/>
          <w:sz w:val="20"/>
        </w:rPr>
        <w:t>Following the service of healing of memories in Westminster Abbey, we have established a dialogue group with the Church of England. In Wales we are involved with other ecumenical partners in considering the proposals for a uniting Church  that emerged from the Gathering in </w:t>
      </w:r>
      <w:r>
        <w:rPr>
          <w:spacing w:val="2"/>
          <w:w w:val="120"/>
          <w:sz w:val="20"/>
        </w:rPr>
        <w:t>Aberystwyth. </w:t>
      </w:r>
      <w:r>
        <w:rPr>
          <w:w w:val="120"/>
          <w:sz w:val="20"/>
        </w:rPr>
        <w:t>Our conversation with the Roman Catholics in England and Wales has entered its second</w:t>
      </w:r>
      <w:r>
        <w:rPr>
          <w:spacing w:val="22"/>
          <w:w w:val="120"/>
          <w:sz w:val="20"/>
        </w:rPr>
        <w:t> </w:t>
      </w:r>
      <w:r>
        <w:rPr>
          <w:w w:val="120"/>
          <w:sz w:val="20"/>
        </w:rPr>
        <w:t>phase.</w:t>
      </w:r>
    </w:p>
    <w:p>
      <w:pPr>
        <w:pStyle w:val="BodyText"/>
        <w:spacing w:before="5"/>
        <w:rPr>
          <w:sz w:val="11"/>
        </w:rPr>
      </w:pPr>
    </w:p>
    <w:p>
      <w:pPr>
        <w:spacing w:after="0"/>
        <w:rPr>
          <w:sz w:val="11"/>
        </w:rPr>
        <w:sectPr>
          <w:headerReference w:type="default" r:id="rId462"/>
          <w:pgSz w:w="11910" w:h="16840"/>
          <w:pgMar w:header="0" w:footer="647" w:top="0" w:bottom="840" w:left="0" w:right="0"/>
        </w:sectPr>
      </w:pPr>
    </w:p>
    <w:p>
      <w:pPr>
        <w:pStyle w:val="ListParagraph"/>
        <w:numPr>
          <w:ilvl w:val="1"/>
          <w:numId w:val="107"/>
        </w:numPr>
        <w:tabs>
          <w:tab w:pos="2664" w:val="left" w:leader="none"/>
          <w:tab w:pos="2665" w:val="left" w:leader="none"/>
        </w:tabs>
        <w:spacing w:line="235" w:lineRule="auto" w:before="104" w:after="0"/>
        <w:ind w:left="1984" w:right="250" w:firstLine="0"/>
        <w:jc w:val="left"/>
        <w:rPr>
          <w:sz w:val="20"/>
        </w:rPr>
      </w:pPr>
      <w:r>
        <w:rPr>
          <w:w w:val="120"/>
          <w:sz w:val="20"/>
        </w:rPr>
        <w:t>The secretary for ecumenical relations, has represented the United Reformed Church on the Joint Implementation Commission of the Anglican Methodist Covenant and on</w:t>
      </w:r>
      <w:r>
        <w:rPr>
          <w:spacing w:val="45"/>
          <w:w w:val="120"/>
          <w:sz w:val="20"/>
        </w:rPr>
        <w:t> </w:t>
      </w:r>
      <w:r>
        <w:rPr>
          <w:w w:val="120"/>
          <w:sz w:val="20"/>
        </w:rPr>
        <w:t>the</w:t>
      </w:r>
    </w:p>
    <w:p>
      <w:pPr>
        <w:pStyle w:val="BodyText"/>
        <w:spacing w:line="239" w:lineRule="exact"/>
        <w:ind w:left="1984"/>
      </w:pPr>
      <w:r>
        <w:rPr>
          <w:w w:val="120"/>
        </w:rPr>
        <w:t>Methodist/Anglican Panel on Unity and Mission.</w:t>
      </w:r>
    </w:p>
    <w:p>
      <w:pPr>
        <w:spacing w:before="58"/>
        <w:ind w:left="137" w:right="0" w:firstLine="0"/>
        <w:jc w:val="left"/>
        <w:rPr>
          <w:b/>
          <w:sz w:val="29"/>
        </w:rPr>
      </w:pPr>
      <w:r>
        <w:rPr/>
        <w:br w:type="column"/>
      </w:r>
      <w:r>
        <w:rPr/>
        <w:drawing>
          <wp:inline distT="0" distB="0" distL="0" distR="0">
            <wp:extent cx="199394" cy="521627"/>
            <wp:effectExtent l="0" t="0" r="0" b="0"/>
            <wp:docPr id="373" name="image50.png"/>
            <wp:cNvGraphicFramePr>
              <a:graphicFrameLocks noChangeAspect="1"/>
            </wp:cNvGraphicFramePr>
            <a:graphic>
              <a:graphicData uri="http://schemas.openxmlformats.org/drawingml/2006/picture">
                <pic:pic>
                  <pic:nvPicPr>
                    <pic:cNvPr id="374" name="image50.png"/>
                    <pic:cNvPicPr/>
                  </pic:nvPicPr>
                  <pic:blipFill>
                    <a:blip r:embed="rId463" cstate="print"/>
                    <a:stretch>
                      <a:fillRect/>
                    </a:stretch>
                  </pic:blipFill>
                  <pic:spPr>
                    <a:xfrm>
                      <a:off x="0" y="0"/>
                      <a:ext cx="199394" cy="521627"/>
                    </a:xfrm>
                    <a:prstGeom prst="rect">
                      <a:avLst/>
                    </a:prstGeom>
                  </pic:spPr>
                </pic:pic>
              </a:graphicData>
            </a:graphic>
          </wp:inline>
        </w:drawing>
      </w:r>
      <w:r>
        <w:rPr/>
      </w:r>
      <w:r>
        <w:rPr>
          <w:rFonts w:ascii="Times New Roman"/>
          <w:spacing w:val="22"/>
          <w:sz w:val="20"/>
        </w:rPr>
        <w:t> </w:t>
      </w:r>
      <w:r>
        <w:rPr>
          <w:b/>
          <w:color w:val="FF3300"/>
          <w:w w:val="110"/>
          <w:sz w:val="29"/>
        </w:rPr>
        <w:t>Ecumenical</w:t>
      </w:r>
      <w:r>
        <w:rPr>
          <w:b/>
          <w:color w:val="FF3300"/>
          <w:spacing w:val="-2"/>
          <w:w w:val="110"/>
          <w:sz w:val="29"/>
        </w:rPr>
        <w:t> </w:t>
      </w:r>
      <w:r>
        <w:rPr>
          <w:b/>
          <w:color w:val="FF3300"/>
          <w:w w:val="110"/>
          <w:sz w:val="29"/>
        </w:rPr>
        <w:t>partnerships</w:t>
      </w:r>
    </w:p>
    <w:p>
      <w:pPr>
        <w:spacing w:after="0"/>
        <w:jc w:val="left"/>
        <w:rPr>
          <w:sz w:val="29"/>
        </w:rPr>
        <w:sectPr>
          <w:type w:val="continuous"/>
          <w:pgSz w:w="11910" w:h="16840"/>
          <w:pgMar w:top="680" w:bottom="280" w:left="0" w:right="0"/>
          <w:cols w:num="2" w:equalWidth="0">
            <w:col w:w="6725" w:space="40"/>
            <w:col w:w="5145"/>
          </w:cols>
        </w:sectPr>
      </w:pPr>
    </w:p>
    <w:p>
      <w:pPr>
        <w:pStyle w:val="BodyText"/>
        <w:spacing w:line="235" w:lineRule="auto" w:before="4"/>
        <w:ind w:left="1984" w:right="1414"/>
      </w:pPr>
      <w:r>
        <w:rPr/>
        <w:pict>
          <v:group style="position:absolute;margin-left:333.071289pt;margin-top:.000015pt;width:262.25pt;height:841.9pt;mso-position-horizontal-relative:page;mso-position-vertical-relative:page;z-index:-267127808" coordorigin="6661,0" coordsize="5245,16838">
            <v:shape style="position:absolute;left:10984;top:0;width:922;height:16838" type="#_x0000_t75" stroked="false">
              <v:imagedata r:id="rId357" o:title=""/>
            </v:shape>
            <v:shape style="position:absolute;left:6675;top:9496;width:4656;height:6208" type="#_x0000_t75" stroked="false">
              <v:imagedata r:id="rId464" o:title=""/>
            </v:shape>
            <v:shape style="position:absolute;left:6661;top:9481;width:1513;height:1540" coordorigin="6661,9482" coordsize="1513,1540" path="m6661,11020l6661,11021,6662,11021,6661,11020xm8174,9482l6661,9482,6661,11019,6663,10943,6669,10868,6678,10794,6690,10721,6706,10649,6725,10579,6748,10510,6773,10442,6802,10376,6833,10312,6867,10249,6905,10189,6944,10130,6987,10073,7032,10018,7079,9966,7129,9915,7181,9867,7235,9821,7291,9778,7349,9737,7410,9699,7472,9664,7535,9632,7601,9602,7668,9576,7736,9553,7806,9532,7878,9515,7950,9502,8024,9492,8098,9485,8174,9482xe" filled="true" fillcolor="#ffffff" stroked="false">
              <v:path arrowok="t"/>
              <v:fill type="solid"/>
            </v:shape>
            <w10:wrap type="none"/>
          </v:group>
        </w:pict>
      </w:r>
      <w:r>
        <w:rPr>
          <w:w w:val="120"/>
        </w:rPr>
        <w:t>He has continued to sit on the Church of England’s Council for Christian Unity. More widely he serves on the Churches Together in England Enabling Group, the Theology and Unity Group and the Churches’ Inter-religious Network of Churches Together in Britain and Ireland, as well as in a number of more informal ecumenical and interfaith networks. Part of his work is concerned with interfaith relations and therefore he serves as co-secretary to the Methodist/URC Interfaith Reference Group which is still undergoing review and possible restructuring following reductions in the Methodist interfaith budget. The interfaith agenda is a growing area of work. We now have a network of synod interfaith advocates who meet annually.</w:t>
      </w:r>
    </w:p>
    <w:p>
      <w:pPr>
        <w:pStyle w:val="BodyText"/>
        <w:spacing w:before="2"/>
      </w:pPr>
    </w:p>
    <w:p>
      <w:pPr>
        <w:pStyle w:val="ListParagraph"/>
        <w:numPr>
          <w:ilvl w:val="1"/>
          <w:numId w:val="107"/>
        </w:numPr>
        <w:tabs>
          <w:tab w:pos="2664" w:val="left" w:leader="none"/>
          <w:tab w:pos="2665" w:val="left" w:leader="none"/>
        </w:tabs>
        <w:spacing w:line="235" w:lineRule="auto" w:before="0" w:after="0"/>
        <w:ind w:left="1984" w:right="5486" w:firstLine="0"/>
        <w:jc w:val="left"/>
        <w:rPr>
          <w:sz w:val="20"/>
        </w:rPr>
      </w:pPr>
      <w:r>
        <w:rPr>
          <w:w w:val="120"/>
          <w:sz w:val="20"/>
        </w:rPr>
        <w:t>Ecumenical and interfaith roles are fulfilled by the Revd Sally Thomas in Wales and the Revd Mitchell Bunting in Scotland. The three officers operate together as a</w:t>
      </w:r>
      <w:r>
        <w:rPr>
          <w:spacing w:val="-29"/>
          <w:w w:val="120"/>
          <w:sz w:val="20"/>
        </w:rPr>
        <w:t> </w:t>
      </w:r>
      <w:r>
        <w:rPr>
          <w:w w:val="120"/>
          <w:sz w:val="20"/>
        </w:rPr>
        <w:t>team and have begun regular meetings to ensure co-operation on ecumenical issues  that affect the United Reformed Church across the three</w:t>
      </w:r>
      <w:r>
        <w:rPr>
          <w:spacing w:val="3"/>
          <w:w w:val="120"/>
          <w:sz w:val="20"/>
        </w:rPr>
        <w:t> </w:t>
      </w:r>
      <w:r>
        <w:rPr>
          <w:w w:val="120"/>
          <w:sz w:val="20"/>
        </w:rPr>
        <w:t>nations.</w:t>
      </w:r>
    </w:p>
    <w:p>
      <w:pPr>
        <w:pStyle w:val="BodyText"/>
        <w:spacing w:before="2"/>
      </w:pPr>
    </w:p>
    <w:p>
      <w:pPr>
        <w:pStyle w:val="ListParagraph"/>
        <w:numPr>
          <w:ilvl w:val="1"/>
          <w:numId w:val="107"/>
        </w:numPr>
        <w:tabs>
          <w:tab w:pos="2664" w:val="left" w:leader="none"/>
          <w:tab w:pos="2665" w:val="left" w:leader="none"/>
        </w:tabs>
        <w:spacing w:line="235" w:lineRule="auto" w:before="0" w:after="0"/>
        <w:ind w:left="1984" w:right="5500" w:firstLine="0"/>
        <w:jc w:val="left"/>
        <w:rPr>
          <w:sz w:val="20"/>
        </w:rPr>
      </w:pPr>
      <w:r>
        <w:rPr>
          <w:w w:val="120"/>
          <w:sz w:val="20"/>
        </w:rPr>
        <w:t>There have been a number of events of significance since the last Assembly. September </w:t>
      </w:r>
      <w:r>
        <w:rPr>
          <w:spacing w:val="-7"/>
          <w:w w:val="120"/>
          <w:sz w:val="20"/>
        </w:rPr>
        <w:t>2012 </w:t>
      </w:r>
      <w:r>
        <w:rPr>
          <w:w w:val="120"/>
          <w:sz w:val="20"/>
        </w:rPr>
        <w:t>saw the Churches Together in England (CTE) Forum in Swanwick where the United Reformed Church representation exceeded the allotted number due to United Reformed Church members fulfilling other ecumenical roles, a </w:t>
      </w:r>
      <w:r>
        <w:rPr>
          <w:spacing w:val="2"/>
          <w:w w:val="120"/>
          <w:sz w:val="20"/>
        </w:rPr>
        <w:t>fact </w:t>
      </w:r>
      <w:r>
        <w:rPr>
          <w:w w:val="120"/>
          <w:sz w:val="20"/>
        </w:rPr>
        <w:t>which does</w:t>
      </w:r>
      <w:r>
        <w:rPr>
          <w:spacing w:val="14"/>
          <w:w w:val="120"/>
          <w:sz w:val="20"/>
        </w:rPr>
        <w:t> </w:t>
      </w:r>
      <w:r>
        <w:rPr>
          <w:w w:val="120"/>
          <w:sz w:val="20"/>
        </w:rPr>
        <w:t>not</w:t>
      </w:r>
    </w:p>
    <w:p>
      <w:pPr>
        <w:pStyle w:val="BodyText"/>
        <w:spacing w:line="235" w:lineRule="auto" w:before="6"/>
        <w:ind w:left="1984" w:right="5910"/>
      </w:pPr>
      <w:r>
        <w:rPr>
          <w:w w:val="120"/>
        </w:rPr>
        <w:t>go unnoticed. The Forum also indicated the changing pattern of ecumenism in the new Churches that are coming into</w:t>
      </w:r>
    </w:p>
    <w:p>
      <w:pPr>
        <w:pStyle w:val="BodyText"/>
        <w:spacing w:line="235" w:lineRule="auto" w:before="2"/>
        <w:ind w:left="1984" w:right="5011"/>
      </w:pPr>
      <w:r>
        <w:rPr>
          <w:w w:val="120"/>
        </w:rPr>
        <w:t>membership and which are expanding CTE’s ecclesiological and theological spectrum.</w:t>
      </w:r>
    </w:p>
    <w:p>
      <w:pPr>
        <w:pStyle w:val="BodyText"/>
        <w:spacing w:before="5"/>
        <w:rPr>
          <w:sz w:val="19"/>
        </w:rPr>
      </w:pPr>
    </w:p>
    <w:p>
      <w:pPr>
        <w:spacing w:line="261" w:lineRule="auto" w:before="0"/>
        <w:ind w:left="2891" w:right="5691" w:firstLine="0"/>
        <w:jc w:val="left"/>
        <w:rPr>
          <w:sz w:val="18"/>
        </w:rPr>
      </w:pPr>
      <w:r>
        <w:rPr>
          <w:color w:val="7EAABF"/>
          <w:w w:val="120"/>
          <w:sz w:val="18"/>
        </w:rPr>
        <w:t>The World Council of Churches Assembly in Busan, South Korea</w:t>
      </w:r>
    </w:p>
    <w:p>
      <w:pPr>
        <w:spacing w:after="0" w:line="261" w:lineRule="auto"/>
        <w:jc w:val="left"/>
        <w:rPr>
          <w:sz w:val="18"/>
        </w:rPr>
        <w:sectPr>
          <w:type w:val="continuous"/>
          <w:pgSz w:w="11910" w:h="16840"/>
          <w:pgMar w:top="680" w:bottom="280" w:left="0" w:right="0"/>
        </w:sectPr>
      </w:pPr>
    </w:p>
    <w:p>
      <w:pPr>
        <w:pStyle w:val="BodyText"/>
      </w:pPr>
    </w:p>
    <w:p>
      <w:pPr>
        <w:pStyle w:val="BodyText"/>
        <w:spacing w:before="7"/>
        <w:rPr>
          <w:sz w:val="21"/>
        </w:rPr>
      </w:pPr>
    </w:p>
    <w:p>
      <w:pPr>
        <w:pStyle w:val="Heading5"/>
      </w:pPr>
      <w:r>
        <w:rPr/>
        <w:pict>
          <v:shape style="position:absolute;margin-left:20.519100pt;margin-top:22.593945pt;width:25.9pt;height:78.850pt;mso-position-horizontal-relative:page;mso-position-vertical-relative:paragraph;z-index:252153856" type="#_x0000_t202" filled="false" stroked="false">
            <v:textbox inset="0,0,0,0" style="layout-flow:vertical">
              <w:txbxContent>
                <w:p>
                  <w:pPr>
                    <w:spacing w:before="27"/>
                    <w:ind w:left="20" w:right="0" w:firstLine="0"/>
                    <w:jc w:val="left"/>
                    <w:rPr>
                      <w:sz w:val="39"/>
                    </w:rPr>
                  </w:pPr>
                  <w:r>
                    <w:rPr>
                      <w:color w:val="FFFFFF"/>
                      <w:w w:val="115"/>
                      <w:sz w:val="39"/>
                    </w:rPr>
                    <w:t>Mission</w:t>
                  </w:r>
                </w:p>
              </w:txbxContent>
            </v:textbox>
            <w10:wrap type="none"/>
          </v:shape>
        </w:pict>
      </w:r>
      <w:r>
        <w:rPr>
          <w:color w:val="7EAABF"/>
          <w:w w:val="115"/>
        </w:rPr>
        <w:t>Mission</w:t>
      </w:r>
    </w:p>
    <w:p>
      <w:pPr>
        <w:pStyle w:val="ListParagraph"/>
        <w:numPr>
          <w:ilvl w:val="1"/>
          <w:numId w:val="107"/>
        </w:numPr>
        <w:tabs>
          <w:tab w:pos="1927" w:val="left" w:leader="none"/>
          <w:tab w:pos="1928" w:val="left" w:leader="none"/>
        </w:tabs>
        <w:spacing w:line="235" w:lineRule="auto" w:before="222" w:after="0"/>
        <w:ind w:left="1247" w:right="1995" w:firstLine="0"/>
        <w:jc w:val="left"/>
        <w:rPr>
          <w:sz w:val="20"/>
        </w:rPr>
      </w:pPr>
      <w:r>
        <w:rPr>
          <w:w w:val="120"/>
          <w:sz w:val="20"/>
        </w:rPr>
        <w:t>October </w:t>
      </w:r>
      <w:r>
        <w:rPr>
          <w:spacing w:val="-7"/>
          <w:w w:val="120"/>
          <w:sz w:val="20"/>
        </w:rPr>
        <w:t>2012 </w:t>
      </w:r>
      <w:r>
        <w:rPr>
          <w:w w:val="120"/>
          <w:sz w:val="20"/>
        </w:rPr>
        <w:t>saw the second joint meeting of the Methodist Council with our own Mission Council. This has resulted in a good deal of reflection on the similarities  and differences between our two denominations and the different directions in which we are moving. Recently the Methodist/United Reformed Church Liaison Group has moved towards a new pattern of working as a task group, with responsibility for dealing with the day to day issues that need to be resolved between the two churches. Often these relate to the lives of the approximately 300 United Reformed Church/Methodist local ecumenical partnerships. Recently the secretary for ecumenical relations is to be </w:t>
      </w:r>
      <w:r>
        <w:rPr>
          <w:spacing w:val="2"/>
          <w:w w:val="120"/>
          <w:sz w:val="20"/>
        </w:rPr>
        <w:t>part </w:t>
      </w:r>
      <w:r>
        <w:rPr>
          <w:w w:val="120"/>
          <w:sz w:val="20"/>
        </w:rPr>
        <w:t>of a small </w:t>
      </w:r>
      <w:r>
        <w:rPr>
          <w:spacing w:val="3"/>
          <w:w w:val="120"/>
          <w:sz w:val="20"/>
        </w:rPr>
        <w:t>CTE </w:t>
      </w:r>
      <w:r>
        <w:rPr>
          <w:w w:val="120"/>
          <w:sz w:val="20"/>
        </w:rPr>
        <w:t>group that is currently reviewing the life and necessary support for local ecumenical partnerships in</w:t>
      </w:r>
      <w:r>
        <w:rPr>
          <w:spacing w:val="10"/>
          <w:w w:val="120"/>
          <w:sz w:val="20"/>
        </w:rPr>
        <w:t> </w:t>
      </w:r>
      <w:r>
        <w:rPr>
          <w:w w:val="120"/>
          <w:sz w:val="20"/>
        </w:rPr>
        <w:t>England.</w:t>
      </w:r>
    </w:p>
    <w:p>
      <w:pPr>
        <w:pStyle w:val="BodyText"/>
        <w:spacing w:before="3"/>
      </w:pPr>
    </w:p>
    <w:p>
      <w:pPr>
        <w:pStyle w:val="ListParagraph"/>
        <w:numPr>
          <w:ilvl w:val="1"/>
          <w:numId w:val="107"/>
        </w:numPr>
        <w:tabs>
          <w:tab w:pos="1928" w:val="left" w:leader="none"/>
        </w:tabs>
        <w:spacing w:line="235" w:lineRule="auto" w:before="0" w:after="0"/>
        <w:ind w:left="1247" w:right="2152" w:firstLine="0"/>
        <w:jc w:val="both"/>
        <w:rPr>
          <w:sz w:val="20"/>
        </w:rPr>
      </w:pPr>
      <w:r>
        <w:rPr>
          <w:w w:val="120"/>
          <w:sz w:val="20"/>
        </w:rPr>
        <w:t>There have now been two occasions where our synod ecumenical officers have met together with their Church of England and Methodist counterparts, most recently in November</w:t>
      </w:r>
      <w:r>
        <w:rPr>
          <w:spacing w:val="4"/>
          <w:w w:val="120"/>
          <w:sz w:val="20"/>
        </w:rPr>
        <w:t> </w:t>
      </w:r>
      <w:r>
        <w:rPr>
          <w:spacing w:val="-7"/>
          <w:w w:val="120"/>
          <w:sz w:val="20"/>
        </w:rPr>
        <w:t>2013.</w:t>
      </w:r>
    </w:p>
    <w:p>
      <w:pPr>
        <w:pStyle w:val="BodyText"/>
        <w:spacing w:before="4"/>
        <w:rPr>
          <w:sz w:val="11"/>
        </w:rPr>
      </w:pPr>
    </w:p>
    <w:p>
      <w:pPr>
        <w:spacing w:after="0"/>
        <w:rPr>
          <w:sz w:val="11"/>
        </w:rPr>
        <w:sectPr>
          <w:headerReference w:type="even" r:id="rId465"/>
          <w:footerReference w:type="even" r:id="rId466"/>
          <w:footerReference w:type="default" r:id="rId467"/>
          <w:pgSz w:w="11910" w:h="16840"/>
          <w:pgMar w:header="0" w:footer="647" w:top="0" w:bottom="840" w:left="0" w:right="0"/>
          <w:pgNumType w:start="196"/>
        </w:sectPr>
      </w:pPr>
    </w:p>
    <w:p>
      <w:pPr>
        <w:pStyle w:val="ListParagraph"/>
        <w:numPr>
          <w:ilvl w:val="1"/>
          <w:numId w:val="107"/>
        </w:numPr>
        <w:tabs>
          <w:tab w:pos="1927" w:val="left" w:leader="none"/>
          <w:tab w:pos="1928" w:val="left" w:leader="none"/>
        </w:tabs>
        <w:spacing w:line="235" w:lineRule="auto" w:before="104" w:after="0"/>
        <w:ind w:left="1247" w:right="0" w:firstLine="0"/>
        <w:jc w:val="left"/>
        <w:rPr>
          <w:sz w:val="20"/>
        </w:rPr>
      </w:pPr>
      <w:r>
        <w:rPr>
          <w:w w:val="120"/>
          <w:sz w:val="20"/>
        </w:rPr>
        <w:t>In September </w:t>
      </w:r>
      <w:r>
        <w:rPr>
          <w:spacing w:val="-7"/>
          <w:w w:val="120"/>
          <w:sz w:val="20"/>
        </w:rPr>
        <w:t>2012 </w:t>
      </w:r>
      <w:r>
        <w:rPr>
          <w:w w:val="120"/>
          <w:sz w:val="20"/>
        </w:rPr>
        <w:t>the secretary for ecumenical relations, along with other delegates from the United Reformed Church, attended the General Assembly of the Community of Protestant Churches in Europe. In June </w:t>
      </w:r>
      <w:r>
        <w:rPr>
          <w:spacing w:val="-8"/>
          <w:w w:val="120"/>
          <w:sz w:val="20"/>
        </w:rPr>
        <w:t>2013 </w:t>
      </w:r>
      <w:r>
        <w:rPr>
          <w:w w:val="120"/>
          <w:sz w:val="20"/>
        </w:rPr>
        <w:t>two</w:t>
      </w:r>
      <w:r>
        <w:rPr>
          <w:spacing w:val="5"/>
          <w:w w:val="120"/>
          <w:sz w:val="20"/>
        </w:rPr>
        <w:t> </w:t>
      </w:r>
      <w:r>
        <w:rPr>
          <w:w w:val="120"/>
          <w:sz w:val="20"/>
        </w:rPr>
        <w:t>delegates</w:t>
      </w:r>
    </w:p>
    <w:p>
      <w:pPr>
        <w:pStyle w:val="BodyText"/>
        <w:spacing w:before="7"/>
        <w:rPr>
          <w:sz w:val="38"/>
        </w:rPr>
      </w:pPr>
      <w:r>
        <w:rPr/>
        <w:br w:type="column"/>
      </w:r>
      <w:r>
        <w:rPr>
          <w:sz w:val="38"/>
        </w:rPr>
      </w:r>
    </w:p>
    <w:p>
      <w:pPr>
        <w:spacing w:before="0"/>
        <w:ind w:left="889" w:right="0" w:firstLine="0"/>
        <w:jc w:val="left"/>
        <w:rPr>
          <w:b/>
          <w:sz w:val="29"/>
        </w:rPr>
      </w:pPr>
      <w:r>
        <w:rPr/>
        <w:drawing>
          <wp:anchor distT="0" distB="0" distL="0" distR="0" allowOverlap="1" layoutInCell="1" locked="0" behindDoc="0" simplePos="0" relativeHeight="252151808">
            <wp:simplePos x="0" y="0"/>
            <wp:positionH relativeFrom="page">
              <wp:posOffset>4274997</wp:posOffset>
            </wp:positionH>
            <wp:positionV relativeFrom="paragraph">
              <wp:posOffset>-346280</wp:posOffset>
            </wp:positionV>
            <wp:extent cx="199529" cy="521627"/>
            <wp:effectExtent l="0" t="0" r="0" b="0"/>
            <wp:wrapNone/>
            <wp:docPr id="375" name="image52.png"/>
            <wp:cNvGraphicFramePr>
              <a:graphicFrameLocks noChangeAspect="1"/>
            </wp:cNvGraphicFramePr>
            <a:graphic>
              <a:graphicData uri="http://schemas.openxmlformats.org/drawingml/2006/picture">
                <pic:pic>
                  <pic:nvPicPr>
                    <pic:cNvPr id="376" name="image52.png"/>
                    <pic:cNvPicPr/>
                  </pic:nvPicPr>
                  <pic:blipFill>
                    <a:blip r:embed="rId468" cstate="print"/>
                    <a:stretch>
                      <a:fillRect/>
                    </a:stretch>
                  </pic:blipFill>
                  <pic:spPr>
                    <a:xfrm>
                      <a:off x="0" y="0"/>
                      <a:ext cx="199529" cy="521627"/>
                    </a:xfrm>
                    <a:prstGeom prst="rect">
                      <a:avLst/>
                    </a:prstGeom>
                  </pic:spPr>
                </pic:pic>
              </a:graphicData>
            </a:graphic>
          </wp:anchor>
        </w:drawing>
      </w:r>
      <w:r>
        <w:rPr>
          <w:b/>
          <w:color w:val="FF3300"/>
          <w:w w:val="110"/>
          <w:sz w:val="29"/>
        </w:rPr>
        <w:t>Global partnerships</w:t>
      </w:r>
    </w:p>
    <w:p>
      <w:pPr>
        <w:spacing w:after="0"/>
        <w:jc w:val="left"/>
        <w:rPr>
          <w:sz w:val="29"/>
        </w:rPr>
        <w:sectPr>
          <w:type w:val="continuous"/>
          <w:pgSz w:w="11910" w:h="16840"/>
          <w:pgMar w:top="680" w:bottom="280" w:left="0" w:right="0"/>
          <w:cols w:num="2" w:equalWidth="0">
            <w:col w:w="6189" w:space="40"/>
            <w:col w:w="5681"/>
          </w:cols>
        </w:sectPr>
      </w:pPr>
    </w:p>
    <w:p>
      <w:pPr>
        <w:pStyle w:val="BodyText"/>
        <w:spacing w:line="235" w:lineRule="auto" w:before="4"/>
        <w:ind w:left="1247" w:right="2269"/>
      </w:pPr>
      <w:r>
        <w:rPr/>
        <w:drawing>
          <wp:anchor distT="0" distB="0" distL="0" distR="0" allowOverlap="1" layoutInCell="1" locked="0" behindDoc="0" simplePos="0" relativeHeight="252150784">
            <wp:simplePos x="0" y="0"/>
            <wp:positionH relativeFrom="page">
              <wp:posOffset>0</wp:posOffset>
            </wp:positionH>
            <wp:positionV relativeFrom="page">
              <wp:posOffset>0</wp:posOffset>
            </wp:positionV>
            <wp:extent cx="594067" cy="10692003"/>
            <wp:effectExtent l="0" t="0" r="0" b="0"/>
            <wp:wrapNone/>
            <wp:docPr id="377" name="image32.png"/>
            <wp:cNvGraphicFramePr>
              <a:graphicFrameLocks noChangeAspect="1"/>
            </wp:cNvGraphicFramePr>
            <a:graphic>
              <a:graphicData uri="http://schemas.openxmlformats.org/drawingml/2006/picture">
                <pic:pic>
                  <pic:nvPicPr>
                    <pic:cNvPr id="378" name="image32.png"/>
                    <pic:cNvPicPr/>
                  </pic:nvPicPr>
                  <pic:blipFill>
                    <a:blip r:embed="rId362" cstate="print"/>
                    <a:stretch>
                      <a:fillRect/>
                    </a:stretch>
                  </pic:blipFill>
                  <pic:spPr>
                    <a:xfrm>
                      <a:off x="0" y="0"/>
                      <a:ext cx="594067" cy="10692003"/>
                    </a:xfrm>
                    <a:prstGeom prst="rect">
                      <a:avLst/>
                    </a:prstGeom>
                  </pic:spPr>
                </pic:pic>
              </a:graphicData>
            </a:graphic>
          </wp:anchor>
        </w:drawing>
      </w:r>
      <w:r>
        <w:rPr/>
        <w:pict>
          <v:group style="position:absolute;margin-left:209.628906pt;margin-top:103.877274pt;width:324.75pt;height:243.75pt;mso-position-horizontal-relative:page;mso-position-vertical-relative:paragraph;z-index:252152832" coordorigin="4193,2078" coordsize="6495,4875">
            <v:shape style="position:absolute;left:4206;top:2091;width:6480;height:4860" type="#_x0000_t75" stroked="false">
              <v:imagedata r:id="rId469" o:title=""/>
            </v:shape>
            <v:shape style="position:absolute;left:4192;top:2077;width:1513;height:1540" coordorigin="4193,2078" coordsize="1513,1540" path="m4193,3615l4193,3617,4193,3617,4193,3615xm5705,2078l4193,2078,4193,3614,4194,3538,4200,3463,4209,3389,4221,3316,4237,3245,4256,3174,4279,3105,4304,3038,4333,2972,4364,2908,4399,2845,4436,2784,4476,2726,4518,2669,4563,2614,4610,2561,4660,2511,4712,2463,4766,2417,4822,2374,4881,2333,4941,2295,5003,2260,5067,2228,5132,2198,5199,2172,5268,2148,5338,2128,5409,2111,5481,2097,5555,2087,5630,2081,5705,2078xe" filled="true" fillcolor="#ffffff" stroked="false">
              <v:path arrowok="t"/>
              <v:fill type="solid"/>
            </v:shape>
            <w10:wrap type="none"/>
          </v:group>
        </w:pict>
      </w:r>
      <w:r>
        <w:rPr>
          <w:w w:val="120"/>
        </w:rPr>
        <w:t>attended the General Assembly of the Conference of European Churches in Budapest and in November </w:t>
      </w:r>
      <w:r>
        <w:rPr>
          <w:spacing w:val="-8"/>
          <w:w w:val="120"/>
        </w:rPr>
        <w:t>2013  </w:t>
      </w:r>
      <w:r>
        <w:rPr>
          <w:w w:val="120"/>
        </w:rPr>
        <w:t>two delegates with the secretary acting as adviser attended the General Assembly of the World Council of Churches in Busan, South Korea. At this Assembly the Revd Sarah Moore, one of our delegates, was appointed to the Central Committee. A number of other United Reformed Church representatives continue to contribute and serve on international committees dealing with theology, ethics and a range of social and political</w:t>
      </w:r>
      <w:r>
        <w:rPr>
          <w:spacing w:val="10"/>
          <w:w w:val="120"/>
        </w:rPr>
        <w:t> </w:t>
      </w:r>
      <w:r>
        <w:rPr>
          <w:w w:val="120"/>
        </w:rPr>
        <w:t>issues.</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11"/>
        <w:rPr>
          <w:sz w:val="30"/>
        </w:rPr>
      </w:pPr>
    </w:p>
    <w:p>
      <w:pPr>
        <w:spacing w:line="252" w:lineRule="auto" w:before="0"/>
        <w:ind w:left="1587" w:right="8216" w:firstLine="0"/>
        <w:jc w:val="left"/>
        <w:rPr>
          <w:sz w:val="18"/>
        </w:rPr>
      </w:pPr>
      <w:r>
        <w:rPr>
          <w:color w:val="7EAABF"/>
          <w:w w:val="120"/>
          <w:sz w:val="18"/>
        </w:rPr>
        <w:t>The World Council of Churches Assembly in Busan, South Korea</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ListParagraph"/>
        <w:numPr>
          <w:ilvl w:val="1"/>
          <w:numId w:val="107"/>
        </w:numPr>
        <w:tabs>
          <w:tab w:pos="1927" w:val="left" w:leader="none"/>
          <w:tab w:pos="1928" w:val="left" w:leader="none"/>
        </w:tabs>
        <w:spacing w:line="235" w:lineRule="auto" w:before="147" w:after="0"/>
        <w:ind w:left="1247" w:right="2040" w:firstLine="0"/>
        <w:jc w:val="left"/>
        <w:rPr>
          <w:sz w:val="20"/>
        </w:rPr>
      </w:pPr>
      <w:r>
        <w:rPr>
          <w:w w:val="120"/>
          <w:sz w:val="20"/>
        </w:rPr>
        <w:t>September </w:t>
      </w:r>
      <w:r>
        <w:rPr>
          <w:spacing w:val="-8"/>
          <w:w w:val="120"/>
          <w:sz w:val="20"/>
        </w:rPr>
        <w:t>2013  </w:t>
      </w:r>
      <w:r>
        <w:rPr>
          <w:w w:val="120"/>
          <w:sz w:val="20"/>
        </w:rPr>
        <w:t>saw another theological consultation with our covenant partners in the Church of the Palatinate </w:t>
      </w:r>
      <w:r>
        <w:rPr>
          <w:spacing w:val="-4"/>
          <w:w w:val="120"/>
          <w:sz w:val="20"/>
        </w:rPr>
        <w:t>(Germany),  </w:t>
      </w:r>
      <w:r>
        <w:rPr>
          <w:w w:val="120"/>
          <w:sz w:val="20"/>
        </w:rPr>
        <w:t>reminding us that this long  standing</w:t>
      </w:r>
      <w:r>
        <w:rPr>
          <w:spacing w:val="9"/>
          <w:w w:val="120"/>
          <w:sz w:val="20"/>
        </w:rPr>
        <w:t> </w:t>
      </w:r>
      <w:r>
        <w:rPr>
          <w:w w:val="120"/>
          <w:sz w:val="20"/>
        </w:rPr>
        <w:t>partnership</w:t>
      </w:r>
      <w:r>
        <w:rPr>
          <w:spacing w:val="9"/>
          <w:w w:val="120"/>
          <w:sz w:val="20"/>
        </w:rPr>
        <w:t> </w:t>
      </w:r>
      <w:r>
        <w:rPr>
          <w:w w:val="120"/>
          <w:sz w:val="20"/>
        </w:rPr>
        <w:t>with</w:t>
      </w:r>
      <w:r>
        <w:rPr>
          <w:spacing w:val="9"/>
          <w:w w:val="120"/>
          <w:sz w:val="20"/>
        </w:rPr>
        <w:t> </w:t>
      </w:r>
      <w:r>
        <w:rPr>
          <w:w w:val="120"/>
          <w:sz w:val="20"/>
        </w:rPr>
        <w:t>another</w:t>
      </w:r>
      <w:r>
        <w:rPr>
          <w:spacing w:val="9"/>
          <w:w w:val="120"/>
          <w:sz w:val="20"/>
        </w:rPr>
        <w:t> </w:t>
      </w:r>
      <w:r>
        <w:rPr>
          <w:w w:val="120"/>
          <w:sz w:val="20"/>
        </w:rPr>
        <w:t>European</w:t>
      </w:r>
      <w:r>
        <w:rPr>
          <w:spacing w:val="9"/>
          <w:w w:val="120"/>
          <w:sz w:val="20"/>
        </w:rPr>
        <w:t> </w:t>
      </w:r>
      <w:r>
        <w:rPr>
          <w:w w:val="120"/>
          <w:sz w:val="20"/>
        </w:rPr>
        <w:t>Church</w:t>
      </w:r>
      <w:r>
        <w:rPr>
          <w:spacing w:val="9"/>
          <w:w w:val="120"/>
          <w:sz w:val="20"/>
        </w:rPr>
        <w:t> </w:t>
      </w:r>
      <w:r>
        <w:rPr>
          <w:w w:val="120"/>
          <w:sz w:val="20"/>
        </w:rPr>
        <w:t>continues</w:t>
      </w:r>
      <w:r>
        <w:rPr>
          <w:spacing w:val="9"/>
          <w:w w:val="120"/>
          <w:sz w:val="20"/>
        </w:rPr>
        <w:t> </w:t>
      </w:r>
      <w:r>
        <w:rPr>
          <w:w w:val="120"/>
          <w:sz w:val="20"/>
        </w:rPr>
        <w:t>to</w:t>
      </w:r>
      <w:r>
        <w:rPr>
          <w:spacing w:val="9"/>
          <w:w w:val="120"/>
          <w:sz w:val="20"/>
        </w:rPr>
        <w:t> </w:t>
      </w:r>
      <w:r>
        <w:rPr>
          <w:w w:val="120"/>
          <w:sz w:val="20"/>
        </w:rPr>
        <w:t>be</w:t>
      </w:r>
      <w:r>
        <w:rPr>
          <w:spacing w:val="9"/>
          <w:w w:val="120"/>
          <w:sz w:val="20"/>
        </w:rPr>
        <w:t> </w:t>
      </w:r>
      <w:r>
        <w:rPr>
          <w:w w:val="120"/>
          <w:sz w:val="20"/>
        </w:rPr>
        <w:t>active</w:t>
      </w:r>
      <w:r>
        <w:rPr>
          <w:spacing w:val="9"/>
          <w:w w:val="120"/>
          <w:sz w:val="20"/>
        </w:rPr>
        <w:t> </w:t>
      </w:r>
      <w:r>
        <w:rPr>
          <w:w w:val="120"/>
          <w:sz w:val="20"/>
        </w:rPr>
        <w:t>and</w:t>
      </w:r>
      <w:r>
        <w:rPr>
          <w:spacing w:val="9"/>
          <w:w w:val="120"/>
          <w:sz w:val="20"/>
        </w:rPr>
        <w:t> </w:t>
      </w:r>
      <w:r>
        <w:rPr>
          <w:w w:val="120"/>
          <w:sz w:val="20"/>
        </w:rPr>
        <w:t>valued.</w:t>
      </w:r>
    </w:p>
    <w:p>
      <w:pPr>
        <w:pStyle w:val="BodyText"/>
        <w:spacing w:before="10"/>
        <w:rPr>
          <w:sz w:val="19"/>
        </w:rPr>
      </w:pPr>
    </w:p>
    <w:p>
      <w:pPr>
        <w:pStyle w:val="ListParagraph"/>
        <w:numPr>
          <w:ilvl w:val="1"/>
          <w:numId w:val="107"/>
        </w:numPr>
        <w:tabs>
          <w:tab w:pos="1927" w:val="left" w:leader="none"/>
          <w:tab w:pos="1928" w:val="left" w:leader="none"/>
        </w:tabs>
        <w:spacing w:line="235" w:lineRule="auto" w:before="0" w:after="0"/>
        <w:ind w:left="1247" w:right="2249" w:firstLine="0"/>
        <w:jc w:val="left"/>
        <w:rPr>
          <w:sz w:val="20"/>
        </w:rPr>
      </w:pPr>
      <w:r>
        <w:rPr>
          <w:w w:val="120"/>
          <w:sz w:val="20"/>
        </w:rPr>
        <w:t>The ecumenical and interfaith scene therefore has continued to be both active and evolving. The secretary also serves as secretary to the faith and order committee and the discussions initiated by that committee around the future of the Church have inevitably taken into consideration our ecumenical relations and the wider scene and will continue to do</w:t>
      </w:r>
      <w:r>
        <w:rPr>
          <w:spacing w:val="8"/>
          <w:w w:val="120"/>
          <w:sz w:val="20"/>
        </w:rPr>
        <w:t> </w:t>
      </w:r>
      <w:r>
        <w:rPr>
          <w:w w:val="120"/>
          <w:sz w:val="20"/>
        </w:rPr>
        <w:t>so.</w:t>
      </w:r>
    </w:p>
    <w:p>
      <w:pPr>
        <w:spacing w:after="0" w:line="235" w:lineRule="auto"/>
        <w:jc w:val="left"/>
        <w:rPr>
          <w:sz w:val="20"/>
        </w:rPr>
        <w:sectPr>
          <w:type w:val="continuous"/>
          <w:pgSz w:w="11910" w:h="16840"/>
          <w:pgMar w:top="680" w:bottom="280" w:left="0" w:right="0"/>
        </w:sectPr>
      </w:pPr>
    </w:p>
    <w:p>
      <w:pPr>
        <w:pStyle w:val="BodyText"/>
      </w:pPr>
    </w:p>
    <w:p>
      <w:pPr>
        <w:pStyle w:val="BodyText"/>
        <w:spacing w:before="7"/>
        <w:rPr>
          <w:sz w:val="21"/>
        </w:rPr>
      </w:pPr>
    </w:p>
    <w:p>
      <w:pPr>
        <w:spacing w:after="0"/>
        <w:rPr>
          <w:sz w:val="21"/>
        </w:rPr>
        <w:sectPr>
          <w:headerReference w:type="default" r:id="rId470"/>
          <w:pgSz w:w="11910" w:h="16840"/>
          <w:pgMar w:header="0" w:footer="647" w:top="0" w:bottom="840" w:left="0" w:right="0"/>
        </w:sectPr>
      </w:pPr>
    </w:p>
    <w:p>
      <w:pPr>
        <w:pStyle w:val="BodyText"/>
        <w:spacing w:before="4"/>
        <w:rPr>
          <w:sz w:val="52"/>
        </w:rPr>
      </w:pPr>
    </w:p>
    <w:p>
      <w:pPr>
        <w:pStyle w:val="Heading4"/>
        <w:numPr>
          <w:ilvl w:val="0"/>
          <w:numId w:val="107"/>
        </w:numPr>
        <w:tabs>
          <w:tab w:pos="2664" w:val="left" w:leader="none"/>
          <w:tab w:pos="2665" w:val="left" w:leader="none"/>
        </w:tabs>
        <w:spacing w:line="240" w:lineRule="auto" w:before="0" w:after="0"/>
        <w:ind w:left="2664" w:right="0" w:hanging="681"/>
        <w:jc w:val="left"/>
      </w:pPr>
      <w:r>
        <w:rPr>
          <w:spacing w:val="3"/>
          <w:w w:val="110"/>
        </w:rPr>
        <w:t>Mission</w:t>
      </w:r>
    </w:p>
    <w:p>
      <w:pPr>
        <w:pStyle w:val="Heading5"/>
        <w:ind w:left="1984"/>
      </w:pPr>
      <w:r>
        <w:rPr/>
        <w:br w:type="column"/>
      </w:r>
      <w:r>
        <w:rPr>
          <w:color w:val="7EAABF"/>
          <w:w w:val="115"/>
        </w:rPr>
        <w:t>Mission</w:t>
      </w:r>
    </w:p>
    <w:p>
      <w:pPr>
        <w:spacing w:after="0"/>
        <w:sectPr>
          <w:type w:val="continuous"/>
          <w:pgSz w:w="11910" w:h="16840"/>
          <w:pgMar w:top="680" w:bottom="280" w:left="0" w:right="0"/>
          <w:cols w:num="2" w:equalWidth="0">
            <w:col w:w="3892" w:space="3853"/>
            <w:col w:w="4165"/>
          </w:cols>
        </w:sectPr>
      </w:pPr>
    </w:p>
    <w:p>
      <w:pPr>
        <w:pStyle w:val="ListParagraph"/>
        <w:numPr>
          <w:ilvl w:val="1"/>
          <w:numId w:val="107"/>
        </w:numPr>
        <w:tabs>
          <w:tab w:pos="2664" w:val="left" w:leader="none"/>
          <w:tab w:pos="2665" w:val="left" w:leader="none"/>
        </w:tabs>
        <w:spacing w:line="235" w:lineRule="auto" w:before="69" w:after="0"/>
        <w:ind w:left="1984" w:right="1742" w:firstLine="0"/>
        <w:jc w:val="left"/>
        <w:rPr>
          <w:sz w:val="20"/>
        </w:rPr>
      </w:pPr>
      <w:r>
        <w:rPr/>
        <w:pict>
          <v:shape style="position:absolute;margin-left:554.141174pt;margin-top:-28.931347pt;width:25.9pt;height:78.850pt;mso-position-horizontal-relative:page;mso-position-vertical-relative:paragraph;z-index:252155904" type="#_x0000_t202" filled="false" stroked="false">
            <v:textbox inset="0,0,0,0" style="layout-flow:vertical">
              <w:txbxContent>
                <w:p>
                  <w:pPr>
                    <w:spacing w:before="27"/>
                    <w:ind w:left="20" w:right="0" w:firstLine="0"/>
                    <w:jc w:val="left"/>
                    <w:rPr>
                      <w:sz w:val="39"/>
                    </w:rPr>
                  </w:pPr>
                  <w:r>
                    <w:rPr>
                      <w:color w:val="FFFFFF"/>
                      <w:w w:val="115"/>
                      <w:sz w:val="39"/>
                    </w:rPr>
                    <w:t>Mission</w:t>
                  </w:r>
                </w:p>
              </w:txbxContent>
            </v:textbox>
            <w10:wrap type="none"/>
          </v:shape>
        </w:pict>
      </w:r>
      <w:r>
        <w:rPr>
          <w:w w:val="120"/>
          <w:sz w:val="20"/>
        </w:rPr>
        <w:t>The Church is called, sent and empowered through the Holy Spirit to join in God’s mission of transformation. The Mission </w:t>
      </w:r>
      <w:r>
        <w:rPr>
          <w:spacing w:val="-4"/>
          <w:w w:val="120"/>
          <w:sz w:val="20"/>
        </w:rPr>
        <w:t>Team </w:t>
      </w:r>
      <w:r>
        <w:rPr>
          <w:w w:val="120"/>
          <w:sz w:val="20"/>
        </w:rPr>
        <w:t>seeks to support the Church at all levels in responding to the call to “be God’s people, transformed by the Gospel, making a difference for Christ’s </w:t>
      </w:r>
      <w:r>
        <w:rPr>
          <w:spacing w:val="-4"/>
          <w:w w:val="120"/>
          <w:sz w:val="20"/>
        </w:rPr>
        <w:t>sake”. </w:t>
      </w:r>
      <w:r>
        <w:rPr>
          <w:w w:val="120"/>
          <w:sz w:val="20"/>
        </w:rPr>
        <w:t>Within the wide brief of the mission team, the secretary for </w:t>
      </w:r>
      <w:r>
        <w:rPr>
          <w:spacing w:val="-3"/>
          <w:w w:val="120"/>
          <w:sz w:val="20"/>
        </w:rPr>
        <w:t>mission’s </w:t>
      </w:r>
      <w:r>
        <w:rPr>
          <w:w w:val="120"/>
          <w:sz w:val="20"/>
        </w:rPr>
        <w:t>work has focused primarily on equipping churches for engagement with evangelism and church</w:t>
      </w:r>
      <w:r>
        <w:rPr>
          <w:spacing w:val="17"/>
          <w:w w:val="120"/>
          <w:sz w:val="20"/>
        </w:rPr>
        <w:t> </w:t>
      </w:r>
      <w:r>
        <w:rPr>
          <w:w w:val="120"/>
          <w:sz w:val="20"/>
        </w:rPr>
        <w:t>growth.</w:t>
      </w:r>
    </w:p>
    <w:p>
      <w:pPr>
        <w:pStyle w:val="BodyText"/>
      </w:pPr>
    </w:p>
    <w:p>
      <w:pPr>
        <w:pStyle w:val="ListParagraph"/>
        <w:numPr>
          <w:ilvl w:val="1"/>
          <w:numId w:val="107"/>
        </w:numPr>
        <w:tabs>
          <w:tab w:pos="2664" w:val="left" w:leader="none"/>
          <w:tab w:pos="2665" w:val="left" w:leader="none"/>
        </w:tabs>
        <w:spacing w:line="235" w:lineRule="auto" w:before="0" w:after="0"/>
        <w:ind w:left="1984" w:right="1274" w:firstLine="0"/>
        <w:jc w:val="left"/>
        <w:rPr>
          <w:sz w:val="20"/>
        </w:rPr>
      </w:pPr>
      <w:r>
        <w:rPr>
          <w:w w:val="120"/>
          <w:sz w:val="20"/>
        </w:rPr>
        <w:t>Together with the secretary for racial justice and intercultural ministries, the secretary for mission organised a second </w:t>
      </w:r>
      <w:r>
        <w:rPr>
          <w:i/>
          <w:w w:val="120"/>
          <w:sz w:val="20"/>
        </w:rPr>
        <w:t>vision2020 </w:t>
      </w:r>
      <w:r>
        <w:rPr>
          <w:w w:val="120"/>
          <w:sz w:val="20"/>
        </w:rPr>
        <w:t>conference in July </w:t>
      </w:r>
      <w:r>
        <w:rPr>
          <w:spacing w:val="-8"/>
          <w:w w:val="120"/>
          <w:sz w:val="20"/>
        </w:rPr>
        <w:t>2013 </w:t>
      </w:r>
      <w:r>
        <w:rPr>
          <w:w w:val="120"/>
          <w:sz w:val="20"/>
        </w:rPr>
        <w:t>focused on church growth. The conference was attended by nearly 60 people, including ministers, local church leaders and synod moderators. The keynote speaker was the Revd John Daniel of the Presbyterian Church of Aotearoa New Zealand. Input from practitioners, through workshops and case studies, formed a crucial </w:t>
      </w:r>
      <w:r>
        <w:rPr>
          <w:spacing w:val="2"/>
          <w:w w:val="120"/>
          <w:sz w:val="20"/>
        </w:rPr>
        <w:t>part </w:t>
      </w:r>
      <w:r>
        <w:rPr>
          <w:w w:val="120"/>
          <w:sz w:val="20"/>
        </w:rPr>
        <w:t>of the programme. A church growth Facebook page (Growing the </w:t>
      </w:r>
      <w:r>
        <w:rPr>
          <w:spacing w:val="-3"/>
          <w:w w:val="120"/>
          <w:sz w:val="20"/>
        </w:rPr>
        <w:t>chURCh) </w:t>
      </w:r>
      <w:r>
        <w:rPr>
          <w:w w:val="120"/>
          <w:sz w:val="20"/>
        </w:rPr>
        <w:t>has been set  up  and  is  engendering lively debate. The presentations, case studies and workshop notes are available</w:t>
      </w:r>
      <w:r>
        <w:rPr>
          <w:spacing w:val="20"/>
          <w:w w:val="120"/>
          <w:sz w:val="20"/>
        </w:rPr>
        <w:t> </w:t>
      </w:r>
      <w:r>
        <w:rPr>
          <w:w w:val="120"/>
          <w:sz w:val="20"/>
        </w:rPr>
        <w:t>on</w:t>
      </w:r>
    </w:p>
    <w:p>
      <w:pPr>
        <w:pStyle w:val="BodyText"/>
        <w:spacing w:line="235" w:lineRule="auto" w:before="6"/>
        <w:ind w:left="1984" w:right="1301"/>
      </w:pPr>
      <w:r>
        <w:rPr>
          <w:w w:val="120"/>
        </w:rPr>
        <w:t>the URC website together with an annotated bibliography on church growth. The conference provided inspiration to a number of synods to start or strengthen their work on church growth. A follow up to the conference will be held in the autumn of 2014.</w:t>
      </w:r>
    </w:p>
    <w:p>
      <w:pPr>
        <w:pStyle w:val="BodyText"/>
        <w:rPr>
          <w:sz w:val="24"/>
        </w:rPr>
      </w:pPr>
    </w:p>
    <w:p>
      <w:pPr>
        <w:pStyle w:val="BodyText"/>
        <w:spacing w:before="10"/>
        <w:rPr>
          <w:sz w:val="34"/>
        </w:rPr>
      </w:pPr>
    </w:p>
    <w:p>
      <w:pPr>
        <w:spacing w:line="252" w:lineRule="auto" w:before="0"/>
        <w:ind w:left="2324" w:right="7823" w:firstLine="0"/>
        <w:jc w:val="left"/>
        <w:rPr>
          <w:sz w:val="18"/>
        </w:rPr>
      </w:pPr>
      <w:r>
        <w:rPr>
          <w:color w:val="7EAABF"/>
          <w:w w:val="120"/>
          <w:sz w:val="18"/>
        </w:rPr>
        <w:t>Speed faithing at the Church Growth Conference</w:t>
      </w:r>
    </w:p>
    <w:p>
      <w:pPr>
        <w:pStyle w:val="BodyText"/>
        <w:spacing w:before="8"/>
        <w:rPr>
          <w:sz w:val="23"/>
        </w:rPr>
      </w:pPr>
    </w:p>
    <w:p>
      <w:pPr>
        <w:pStyle w:val="ListParagraph"/>
        <w:numPr>
          <w:ilvl w:val="1"/>
          <w:numId w:val="107"/>
        </w:numPr>
        <w:tabs>
          <w:tab w:pos="2664" w:val="left" w:leader="none"/>
          <w:tab w:pos="2665" w:val="left" w:leader="none"/>
        </w:tabs>
        <w:spacing w:line="235" w:lineRule="auto" w:before="0" w:after="0"/>
        <w:ind w:left="1984" w:right="7703" w:firstLine="0"/>
        <w:jc w:val="left"/>
        <w:rPr>
          <w:sz w:val="20"/>
        </w:rPr>
      </w:pPr>
      <w:r>
        <w:rPr>
          <w:w w:val="120"/>
          <w:sz w:val="20"/>
        </w:rPr>
        <w:t>Extensive </w:t>
      </w:r>
      <w:r>
        <w:rPr>
          <w:spacing w:val="-3"/>
          <w:w w:val="120"/>
          <w:sz w:val="20"/>
        </w:rPr>
        <w:t>discussions have </w:t>
      </w:r>
      <w:r>
        <w:rPr>
          <w:w w:val="120"/>
          <w:sz w:val="20"/>
        </w:rPr>
        <w:t>taken </w:t>
      </w:r>
      <w:r>
        <w:rPr>
          <w:spacing w:val="-3"/>
          <w:w w:val="120"/>
          <w:sz w:val="20"/>
        </w:rPr>
        <w:t>place </w:t>
      </w:r>
      <w:r>
        <w:rPr>
          <w:w w:val="120"/>
          <w:sz w:val="20"/>
        </w:rPr>
        <w:t>with all partners in Fresh Expressions regarding its </w:t>
      </w:r>
      <w:r>
        <w:rPr>
          <w:spacing w:val="-3"/>
          <w:w w:val="120"/>
          <w:sz w:val="20"/>
        </w:rPr>
        <w:t>future. </w:t>
      </w:r>
      <w:r>
        <w:rPr>
          <w:w w:val="120"/>
          <w:sz w:val="20"/>
        </w:rPr>
        <w:t>The </w:t>
      </w:r>
      <w:r>
        <w:rPr>
          <w:spacing w:val="-3"/>
          <w:w w:val="120"/>
          <w:sz w:val="20"/>
        </w:rPr>
        <w:t>second </w:t>
      </w:r>
      <w:r>
        <w:rPr>
          <w:w w:val="120"/>
          <w:sz w:val="20"/>
        </w:rPr>
        <w:t>phase of Fresh Expressions is </w:t>
      </w:r>
      <w:r>
        <w:rPr>
          <w:spacing w:val="-3"/>
          <w:w w:val="120"/>
          <w:sz w:val="20"/>
        </w:rPr>
        <w:t>coming to </w:t>
      </w:r>
      <w:r>
        <w:rPr>
          <w:w w:val="120"/>
          <w:sz w:val="20"/>
        </w:rPr>
        <w:t>an end in </w:t>
      </w:r>
      <w:r>
        <w:rPr>
          <w:spacing w:val="-8"/>
          <w:w w:val="120"/>
          <w:sz w:val="20"/>
        </w:rPr>
        <w:t>2014. </w:t>
      </w:r>
      <w:r>
        <w:rPr>
          <w:w w:val="120"/>
          <w:sz w:val="20"/>
        </w:rPr>
        <w:t>Several new partners </w:t>
      </w:r>
      <w:r>
        <w:rPr>
          <w:spacing w:val="-3"/>
          <w:w w:val="120"/>
          <w:sz w:val="20"/>
        </w:rPr>
        <w:t>have </w:t>
      </w:r>
      <w:r>
        <w:rPr>
          <w:w w:val="120"/>
          <w:sz w:val="20"/>
        </w:rPr>
        <w:t>joined, </w:t>
      </w:r>
      <w:r>
        <w:rPr>
          <w:spacing w:val="-3"/>
          <w:w w:val="120"/>
          <w:sz w:val="20"/>
        </w:rPr>
        <w:t>including </w:t>
      </w:r>
      <w:r>
        <w:rPr>
          <w:w w:val="120"/>
          <w:sz w:val="20"/>
        </w:rPr>
        <w:t>the Salvation Army and the </w:t>
      </w:r>
      <w:r>
        <w:rPr>
          <w:spacing w:val="-3"/>
          <w:w w:val="120"/>
          <w:sz w:val="20"/>
        </w:rPr>
        <w:t>Church </w:t>
      </w:r>
      <w:r>
        <w:rPr>
          <w:w w:val="120"/>
          <w:sz w:val="20"/>
        </w:rPr>
        <w:t>of </w:t>
      </w:r>
      <w:r>
        <w:rPr>
          <w:spacing w:val="-3"/>
          <w:w w:val="120"/>
          <w:sz w:val="20"/>
        </w:rPr>
        <w:t>Scotland. </w:t>
      </w:r>
      <w:r>
        <w:rPr>
          <w:w w:val="120"/>
          <w:sz w:val="20"/>
        </w:rPr>
        <w:t>A</w:t>
      </w:r>
      <w:r>
        <w:rPr>
          <w:spacing w:val="-1"/>
          <w:w w:val="120"/>
          <w:sz w:val="20"/>
        </w:rPr>
        <w:t> </w:t>
      </w:r>
      <w:r>
        <w:rPr>
          <w:w w:val="120"/>
          <w:sz w:val="20"/>
        </w:rPr>
        <w:t>new</w:t>
      </w:r>
    </w:p>
    <w:p>
      <w:pPr>
        <w:pStyle w:val="BodyText"/>
        <w:spacing w:line="235" w:lineRule="auto" w:before="10"/>
        <w:ind w:left="1984" w:right="1244"/>
      </w:pPr>
      <w:r>
        <w:rPr>
          <w:w w:val="120"/>
        </w:rPr>
        <w:t>board, more broadly representative of all the partners, is being formed and an </w:t>
      </w:r>
      <w:r>
        <w:rPr>
          <w:spacing w:val="-3"/>
          <w:w w:val="120"/>
        </w:rPr>
        <w:t>annual </w:t>
      </w:r>
      <w:r>
        <w:rPr>
          <w:w w:val="120"/>
        </w:rPr>
        <w:t>meeting of all stakeholders will be </w:t>
      </w:r>
      <w:r>
        <w:rPr>
          <w:spacing w:val="-3"/>
          <w:w w:val="120"/>
        </w:rPr>
        <w:t>introduced. </w:t>
      </w:r>
      <w:r>
        <w:rPr>
          <w:w w:val="120"/>
        </w:rPr>
        <w:t>The current </w:t>
      </w:r>
      <w:r>
        <w:rPr>
          <w:spacing w:val="-3"/>
          <w:w w:val="120"/>
        </w:rPr>
        <w:t>team </w:t>
      </w:r>
      <w:r>
        <w:rPr>
          <w:w w:val="120"/>
        </w:rPr>
        <w:t>leader Bishop Graham Cray will retire in April </w:t>
      </w:r>
      <w:r>
        <w:rPr>
          <w:spacing w:val="-8"/>
          <w:w w:val="120"/>
        </w:rPr>
        <w:t>2014 </w:t>
      </w:r>
      <w:r>
        <w:rPr>
          <w:w w:val="120"/>
        </w:rPr>
        <w:t>and will be </w:t>
      </w:r>
      <w:r>
        <w:rPr>
          <w:spacing w:val="-3"/>
          <w:w w:val="120"/>
        </w:rPr>
        <w:t>succeeded </w:t>
      </w:r>
      <w:r>
        <w:rPr>
          <w:w w:val="120"/>
        </w:rPr>
        <w:t>by Canon </w:t>
      </w:r>
      <w:r>
        <w:rPr>
          <w:spacing w:val="-3"/>
          <w:w w:val="120"/>
        </w:rPr>
        <w:t>Phil </w:t>
      </w:r>
      <w:r>
        <w:rPr>
          <w:spacing w:val="-5"/>
          <w:w w:val="120"/>
        </w:rPr>
        <w:t>Potter. </w:t>
      </w:r>
      <w:r>
        <w:rPr>
          <w:w w:val="120"/>
        </w:rPr>
        <w:t>The Mission </w:t>
      </w:r>
      <w:r>
        <w:rPr>
          <w:spacing w:val="-3"/>
          <w:w w:val="120"/>
        </w:rPr>
        <w:t>Committee </w:t>
      </w:r>
      <w:r>
        <w:rPr>
          <w:w w:val="120"/>
        </w:rPr>
        <w:t>supports the </w:t>
      </w:r>
      <w:r>
        <w:rPr>
          <w:spacing w:val="-3"/>
          <w:w w:val="120"/>
        </w:rPr>
        <w:t>United </w:t>
      </w:r>
      <w:r>
        <w:rPr>
          <w:w w:val="120"/>
        </w:rPr>
        <w:t>Reformed </w:t>
      </w:r>
      <w:r>
        <w:rPr>
          <w:spacing w:val="-5"/>
          <w:w w:val="120"/>
        </w:rPr>
        <w:t>Church’s </w:t>
      </w:r>
      <w:r>
        <w:rPr>
          <w:spacing w:val="-3"/>
          <w:w w:val="120"/>
        </w:rPr>
        <w:t>continued involvement </w:t>
      </w:r>
      <w:r>
        <w:rPr>
          <w:w w:val="120"/>
        </w:rPr>
        <w:t>through the employment</w:t>
      </w:r>
      <w:r>
        <w:rPr>
          <w:spacing w:val="-12"/>
          <w:w w:val="120"/>
        </w:rPr>
        <w:t> </w:t>
      </w:r>
      <w:r>
        <w:rPr>
          <w:w w:val="120"/>
        </w:rPr>
        <w:t>of</w:t>
      </w:r>
      <w:r>
        <w:rPr>
          <w:spacing w:val="-12"/>
          <w:w w:val="120"/>
        </w:rPr>
        <w:t> </w:t>
      </w:r>
      <w:r>
        <w:rPr>
          <w:w w:val="120"/>
        </w:rPr>
        <w:t>a</w:t>
      </w:r>
      <w:r>
        <w:rPr>
          <w:spacing w:val="-12"/>
          <w:w w:val="120"/>
        </w:rPr>
        <w:t> </w:t>
      </w:r>
      <w:r>
        <w:rPr>
          <w:w w:val="120"/>
        </w:rPr>
        <w:t>half-time</w:t>
      </w:r>
      <w:r>
        <w:rPr>
          <w:spacing w:val="-12"/>
          <w:w w:val="120"/>
        </w:rPr>
        <w:t> </w:t>
      </w:r>
      <w:r>
        <w:rPr>
          <w:spacing w:val="-3"/>
          <w:w w:val="120"/>
        </w:rPr>
        <w:t>coordinator</w:t>
      </w:r>
      <w:r>
        <w:rPr>
          <w:spacing w:val="-12"/>
          <w:w w:val="120"/>
        </w:rPr>
        <w:t> </w:t>
      </w:r>
      <w:r>
        <w:rPr>
          <w:w w:val="120"/>
        </w:rPr>
        <w:t>who</w:t>
      </w:r>
      <w:r>
        <w:rPr>
          <w:spacing w:val="-12"/>
          <w:w w:val="120"/>
        </w:rPr>
        <w:t> </w:t>
      </w:r>
      <w:r>
        <w:rPr>
          <w:w w:val="120"/>
        </w:rPr>
        <w:t>is</w:t>
      </w:r>
      <w:r>
        <w:rPr>
          <w:spacing w:val="-12"/>
          <w:w w:val="120"/>
        </w:rPr>
        <w:t> </w:t>
      </w:r>
      <w:r>
        <w:rPr>
          <w:w w:val="120"/>
        </w:rPr>
        <w:t>part</w:t>
      </w:r>
      <w:r>
        <w:rPr>
          <w:spacing w:val="-12"/>
          <w:w w:val="120"/>
        </w:rPr>
        <w:t> </w:t>
      </w:r>
      <w:r>
        <w:rPr>
          <w:w w:val="120"/>
        </w:rPr>
        <w:t>of</w:t>
      </w:r>
      <w:r>
        <w:rPr>
          <w:spacing w:val="-12"/>
          <w:w w:val="120"/>
        </w:rPr>
        <w:t> </w:t>
      </w:r>
      <w:r>
        <w:rPr>
          <w:w w:val="120"/>
        </w:rPr>
        <w:t>the</w:t>
      </w:r>
      <w:r>
        <w:rPr>
          <w:spacing w:val="-12"/>
          <w:w w:val="120"/>
        </w:rPr>
        <w:t> </w:t>
      </w:r>
      <w:r>
        <w:rPr>
          <w:w w:val="120"/>
        </w:rPr>
        <w:t>Fresh</w:t>
      </w:r>
      <w:r>
        <w:rPr>
          <w:spacing w:val="-12"/>
          <w:w w:val="120"/>
        </w:rPr>
        <w:t> </w:t>
      </w:r>
      <w:r>
        <w:rPr>
          <w:w w:val="120"/>
        </w:rPr>
        <w:t>Expressions</w:t>
      </w:r>
      <w:r>
        <w:rPr>
          <w:spacing w:val="-12"/>
          <w:w w:val="120"/>
        </w:rPr>
        <w:t> </w:t>
      </w:r>
      <w:r>
        <w:rPr>
          <w:spacing w:val="-3"/>
          <w:w w:val="120"/>
        </w:rPr>
        <w:t>team.</w:t>
      </w:r>
      <w:r>
        <w:rPr>
          <w:spacing w:val="-12"/>
          <w:w w:val="120"/>
        </w:rPr>
        <w:t> </w:t>
      </w:r>
      <w:r>
        <w:rPr>
          <w:w w:val="120"/>
        </w:rPr>
        <w:t>It</w:t>
      </w:r>
      <w:r>
        <w:rPr>
          <w:spacing w:val="-12"/>
          <w:w w:val="120"/>
        </w:rPr>
        <w:t> </w:t>
      </w:r>
      <w:r>
        <w:rPr>
          <w:w w:val="120"/>
        </w:rPr>
        <w:t>is</w:t>
      </w:r>
      <w:r>
        <w:rPr>
          <w:spacing w:val="-12"/>
          <w:w w:val="120"/>
        </w:rPr>
        <w:t> </w:t>
      </w:r>
      <w:r>
        <w:rPr>
          <w:w w:val="120"/>
        </w:rPr>
        <w:t>also exploring </w:t>
      </w:r>
      <w:r>
        <w:rPr>
          <w:spacing w:val="-3"/>
          <w:w w:val="120"/>
        </w:rPr>
        <w:t>committing </w:t>
      </w:r>
      <w:r>
        <w:rPr>
          <w:w w:val="120"/>
        </w:rPr>
        <w:t>more financial </w:t>
      </w:r>
      <w:r>
        <w:rPr>
          <w:spacing w:val="-3"/>
          <w:w w:val="120"/>
        </w:rPr>
        <w:t>resources to </w:t>
      </w:r>
      <w:r>
        <w:rPr>
          <w:w w:val="120"/>
        </w:rPr>
        <w:t>the next phase as an expression of the importance of </w:t>
      </w:r>
      <w:r>
        <w:rPr>
          <w:spacing w:val="-3"/>
          <w:w w:val="120"/>
        </w:rPr>
        <w:t>this </w:t>
      </w:r>
      <w:r>
        <w:rPr>
          <w:w w:val="120"/>
        </w:rPr>
        <w:t>work for the </w:t>
      </w:r>
      <w:r>
        <w:rPr>
          <w:spacing w:val="-3"/>
          <w:w w:val="120"/>
        </w:rPr>
        <w:t>United </w:t>
      </w:r>
      <w:r>
        <w:rPr>
          <w:w w:val="120"/>
        </w:rPr>
        <w:t>Reformed </w:t>
      </w:r>
      <w:r>
        <w:rPr>
          <w:spacing w:val="-3"/>
          <w:w w:val="120"/>
        </w:rPr>
        <w:t>Church, </w:t>
      </w:r>
      <w:r>
        <w:rPr>
          <w:w w:val="120"/>
        </w:rPr>
        <w:t>which is further demonstrated by the growing number of pioneer </w:t>
      </w:r>
      <w:r>
        <w:rPr>
          <w:spacing w:val="-3"/>
          <w:w w:val="120"/>
        </w:rPr>
        <w:t>ministers </w:t>
      </w:r>
      <w:r>
        <w:rPr>
          <w:w w:val="120"/>
        </w:rPr>
        <w:t>in the</w:t>
      </w:r>
      <w:r>
        <w:rPr>
          <w:spacing w:val="-15"/>
          <w:w w:val="120"/>
        </w:rPr>
        <w:t> </w:t>
      </w:r>
      <w:r>
        <w:rPr>
          <w:w w:val="120"/>
        </w:rPr>
        <w:t>synods.</w:t>
      </w:r>
    </w:p>
    <w:p>
      <w:pPr>
        <w:pStyle w:val="BodyText"/>
        <w:spacing w:before="8"/>
        <w:rPr>
          <w:sz w:val="11"/>
        </w:rPr>
      </w:pPr>
    </w:p>
    <w:p>
      <w:pPr>
        <w:spacing w:after="0"/>
        <w:rPr>
          <w:sz w:val="11"/>
        </w:rPr>
        <w:sectPr>
          <w:type w:val="continuous"/>
          <w:pgSz w:w="11910" w:h="16840"/>
          <w:pgMar w:top="680" w:bottom="280" w:left="0" w:right="0"/>
        </w:sectPr>
      </w:pPr>
    </w:p>
    <w:p>
      <w:pPr>
        <w:pStyle w:val="ListParagraph"/>
        <w:numPr>
          <w:ilvl w:val="1"/>
          <w:numId w:val="107"/>
        </w:numPr>
        <w:tabs>
          <w:tab w:pos="2664" w:val="left" w:leader="none"/>
          <w:tab w:pos="2665" w:val="left" w:leader="none"/>
        </w:tabs>
        <w:spacing w:line="235" w:lineRule="auto" w:before="104" w:after="0"/>
        <w:ind w:left="1984" w:right="0" w:firstLine="0"/>
        <w:jc w:val="left"/>
        <w:rPr>
          <w:sz w:val="20"/>
        </w:rPr>
      </w:pPr>
      <w:r>
        <w:rPr>
          <w:w w:val="120"/>
          <w:sz w:val="20"/>
        </w:rPr>
        <w:t>The work of the coordinator for Fresh Expressions, Linda Rayner, has developed steadily and has seen a shift from mapping fresh expressions in the United Reformed Church to vision casting. She has led vision days and training in Eastern, West Midlands, </w:t>
      </w:r>
      <w:r>
        <w:rPr>
          <w:spacing w:val="2"/>
          <w:w w:val="120"/>
          <w:sz w:val="20"/>
        </w:rPr>
        <w:t>North </w:t>
      </w:r>
      <w:r>
        <w:rPr>
          <w:w w:val="120"/>
          <w:sz w:val="20"/>
        </w:rPr>
        <w:t>Western and</w:t>
      </w:r>
      <w:r>
        <w:rPr>
          <w:spacing w:val="-10"/>
          <w:w w:val="120"/>
          <w:sz w:val="20"/>
        </w:rPr>
        <w:t> </w:t>
      </w:r>
      <w:r>
        <w:rPr>
          <w:w w:val="120"/>
          <w:sz w:val="20"/>
        </w:rPr>
        <w:t>Mersey</w:t>
      </w:r>
    </w:p>
    <w:p>
      <w:pPr>
        <w:spacing w:before="100"/>
        <w:ind w:left="218" w:right="0" w:firstLine="0"/>
        <w:jc w:val="left"/>
        <w:rPr>
          <w:b/>
          <w:sz w:val="29"/>
        </w:rPr>
      </w:pPr>
      <w:r>
        <w:rPr/>
        <w:br w:type="column"/>
      </w:r>
      <w:r>
        <w:rPr/>
        <w:drawing>
          <wp:inline distT="0" distB="0" distL="0" distR="0">
            <wp:extent cx="199529" cy="521601"/>
            <wp:effectExtent l="0" t="0" r="0" b="0"/>
            <wp:docPr id="379" name="image54.png"/>
            <wp:cNvGraphicFramePr>
              <a:graphicFrameLocks noChangeAspect="1"/>
            </wp:cNvGraphicFramePr>
            <a:graphic>
              <a:graphicData uri="http://schemas.openxmlformats.org/drawingml/2006/picture">
                <pic:pic>
                  <pic:nvPicPr>
                    <pic:cNvPr id="380" name="image54.png"/>
                    <pic:cNvPicPr/>
                  </pic:nvPicPr>
                  <pic:blipFill>
                    <a:blip r:embed="rId471" cstate="print"/>
                    <a:stretch>
                      <a:fillRect/>
                    </a:stretch>
                  </pic:blipFill>
                  <pic:spPr>
                    <a:xfrm>
                      <a:off x="0" y="0"/>
                      <a:ext cx="199529" cy="521601"/>
                    </a:xfrm>
                    <a:prstGeom prst="rect">
                      <a:avLst/>
                    </a:prstGeom>
                  </pic:spPr>
                </pic:pic>
              </a:graphicData>
            </a:graphic>
          </wp:inline>
        </w:drawing>
      </w:r>
      <w:r>
        <w:rPr/>
      </w:r>
      <w:r>
        <w:rPr>
          <w:rFonts w:ascii="Times New Roman"/>
          <w:spacing w:val="22"/>
          <w:sz w:val="20"/>
        </w:rPr>
        <w:t> </w:t>
      </w:r>
      <w:r>
        <w:rPr>
          <w:b/>
          <w:color w:val="FF3300"/>
          <w:w w:val="110"/>
          <w:sz w:val="29"/>
        </w:rPr>
        <w:t>Church</w:t>
      </w:r>
      <w:r>
        <w:rPr>
          <w:b/>
          <w:color w:val="FF3300"/>
          <w:spacing w:val="-1"/>
          <w:w w:val="110"/>
          <w:sz w:val="29"/>
        </w:rPr>
        <w:t> </w:t>
      </w:r>
      <w:r>
        <w:rPr>
          <w:b/>
          <w:color w:val="FF3300"/>
          <w:w w:val="110"/>
          <w:sz w:val="29"/>
        </w:rPr>
        <w:t>growth</w:t>
      </w:r>
    </w:p>
    <w:p>
      <w:pPr>
        <w:spacing w:after="0"/>
        <w:jc w:val="left"/>
        <w:rPr>
          <w:sz w:val="29"/>
        </w:rPr>
        <w:sectPr>
          <w:type w:val="continuous"/>
          <w:pgSz w:w="11910" w:h="16840"/>
          <w:pgMar w:top="680" w:bottom="280" w:left="0" w:right="0"/>
          <w:cols w:num="2" w:equalWidth="0">
            <w:col w:w="7972" w:space="40"/>
            <w:col w:w="3898"/>
          </w:cols>
        </w:sectPr>
      </w:pPr>
    </w:p>
    <w:p>
      <w:pPr>
        <w:pStyle w:val="BodyText"/>
        <w:spacing w:line="235" w:lineRule="auto" w:before="3"/>
        <w:ind w:left="1984" w:right="1453"/>
      </w:pPr>
      <w:r>
        <w:rPr/>
        <w:pict>
          <v:group style="position:absolute;margin-left:224.363297pt;margin-top:.000015pt;width:370.95pt;height:841.9pt;mso-position-horizontal-relative:page;mso-position-vertical-relative:page;z-index:-267121664" coordorigin="4487,0" coordsize="7419,16838">
            <v:shape style="position:absolute;left:10984;top:0;width:922;height:16838" type="#_x0000_t75" stroked="false">
              <v:imagedata r:id="rId357" o:title=""/>
            </v:shape>
            <v:shape style="position:absolute;left:4501;top:6130;width:6480;height:4323" type="#_x0000_t75" stroked="false">
              <v:imagedata r:id="rId472" o:title=""/>
            </v:shape>
            <v:shape style="position:absolute;left:4487;top:8989;width:1540;height:1513" coordorigin="4487,8990" coordsize="1540,1513" path="m4487,8990l4487,10502,6024,10502,5948,10501,5873,10495,5799,10486,5726,10474,5654,10458,5584,10439,5515,10416,5448,10391,5382,10362,5317,10331,5255,10296,5194,10259,5135,10219,5078,10177,5024,10132,4971,10085,4920,10035,4872,9983,4827,9929,4783,9873,4743,9814,4705,9754,4670,9692,4637,9628,4608,9563,4581,9496,4558,9427,4538,9357,4521,9286,4507,9214,4497,9140,4490,9065,4487,8990xm6027,10502l6026,10502,6025,10502,6027,10502,6027,10502xe" filled="true" fillcolor="#ffffff" stroked="false">
              <v:path arrowok="t"/>
              <v:fill type="solid"/>
            </v:shape>
            <w10:wrap type="none"/>
          </v:group>
        </w:pict>
      </w:r>
      <w:r>
        <w:rPr>
          <w:w w:val="120"/>
        </w:rPr>
        <w:t>Synods. She has started discussions with the Resource Centres for Learning aimed at ensuring a Fresh Expressions focus to the learning programmes. Advocacy with leaders at all levels of the Church has also formed a major </w:t>
      </w:r>
      <w:r>
        <w:rPr>
          <w:spacing w:val="2"/>
          <w:w w:val="120"/>
        </w:rPr>
        <w:t>part </w:t>
      </w:r>
      <w:r>
        <w:rPr>
          <w:w w:val="120"/>
        </w:rPr>
        <w:t>of the work. The coordinator continues to network Fresh Expressions practitioners and link people in the synods   and is building up a social media presence. Major research on Fresh Expressions in the Church of England was recently published, which is significant to the United Reformed Church as well</w:t>
      </w:r>
      <w:r>
        <w:rPr>
          <w:spacing w:val="5"/>
          <w:w w:val="120"/>
        </w:rPr>
        <w:t> </w:t>
      </w:r>
      <w:r>
        <w:rPr>
          <w:w w:val="120"/>
        </w:rPr>
        <w:t>(</w:t>
      </w:r>
      <w:hyperlink r:id="rId473">
        <w:r>
          <w:rPr>
            <w:w w:val="120"/>
          </w:rPr>
          <w:t>www.freshexpressions.org.uk/news/anglicanresearch).</w:t>
        </w:r>
      </w:hyperlink>
    </w:p>
    <w:p>
      <w:pPr>
        <w:spacing w:after="0" w:line="235" w:lineRule="auto"/>
        <w:sectPr>
          <w:type w:val="continuous"/>
          <w:pgSz w:w="11910" w:h="16840"/>
          <w:pgMar w:top="680" w:bottom="280" w:left="0" w:right="0"/>
        </w:sectPr>
      </w:pPr>
    </w:p>
    <w:p>
      <w:pPr>
        <w:pStyle w:val="BodyText"/>
      </w:pPr>
    </w:p>
    <w:p>
      <w:pPr>
        <w:pStyle w:val="BodyText"/>
        <w:spacing w:before="7"/>
        <w:rPr>
          <w:sz w:val="21"/>
        </w:rPr>
      </w:pPr>
    </w:p>
    <w:p>
      <w:pPr>
        <w:pStyle w:val="Heading5"/>
      </w:pPr>
      <w:r>
        <w:rPr/>
        <w:pict>
          <v:shape style="position:absolute;margin-left:20.519100pt;margin-top:22.593945pt;width:25.9pt;height:78.850pt;mso-position-horizontal-relative:page;mso-position-vertical-relative:paragraph;z-index:252160000" type="#_x0000_t202" filled="false" stroked="false">
            <v:textbox inset="0,0,0,0" style="layout-flow:vertical">
              <w:txbxContent>
                <w:p>
                  <w:pPr>
                    <w:spacing w:before="27"/>
                    <w:ind w:left="20" w:right="0" w:firstLine="0"/>
                    <w:jc w:val="left"/>
                    <w:rPr>
                      <w:sz w:val="39"/>
                    </w:rPr>
                  </w:pPr>
                  <w:r>
                    <w:rPr>
                      <w:color w:val="FFFFFF"/>
                      <w:w w:val="115"/>
                      <w:sz w:val="39"/>
                    </w:rPr>
                    <w:t>Mission</w:t>
                  </w:r>
                </w:p>
              </w:txbxContent>
            </v:textbox>
            <w10:wrap type="none"/>
          </v:shape>
        </w:pict>
      </w:r>
      <w:r>
        <w:rPr>
          <w:color w:val="7EAABF"/>
          <w:w w:val="115"/>
        </w:rPr>
        <w:t>Mission</w:t>
      </w:r>
    </w:p>
    <w:p>
      <w:pPr>
        <w:pStyle w:val="ListParagraph"/>
        <w:numPr>
          <w:ilvl w:val="1"/>
          <w:numId w:val="107"/>
        </w:numPr>
        <w:tabs>
          <w:tab w:pos="1927" w:val="left" w:leader="none"/>
          <w:tab w:pos="1928" w:val="left" w:leader="none"/>
        </w:tabs>
        <w:spacing w:line="235" w:lineRule="auto" w:before="222" w:after="0"/>
        <w:ind w:left="1247" w:right="2250" w:firstLine="0"/>
        <w:jc w:val="left"/>
        <w:rPr>
          <w:sz w:val="20"/>
        </w:rPr>
      </w:pPr>
      <w:r>
        <w:rPr>
          <w:w w:val="120"/>
          <w:sz w:val="20"/>
        </w:rPr>
        <w:t>In October </w:t>
      </w:r>
      <w:r>
        <w:rPr>
          <w:spacing w:val="-7"/>
          <w:w w:val="120"/>
          <w:sz w:val="20"/>
        </w:rPr>
        <w:t>2012 </w:t>
      </w:r>
      <w:r>
        <w:rPr>
          <w:w w:val="120"/>
          <w:sz w:val="20"/>
        </w:rPr>
        <w:t>the mission committee started discussions on submitting an application to the Council for World </w:t>
      </w:r>
      <w:r>
        <w:rPr>
          <w:spacing w:val="-3"/>
          <w:w w:val="120"/>
          <w:sz w:val="20"/>
        </w:rPr>
        <w:t>Mission’s </w:t>
      </w:r>
      <w:r>
        <w:rPr>
          <w:w w:val="120"/>
          <w:sz w:val="20"/>
        </w:rPr>
        <w:t>mission support programme (phase </w:t>
      </w:r>
      <w:r>
        <w:rPr>
          <w:spacing w:val="-7"/>
          <w:w w:val="120"/>
          <w:sz w:val="20"/>
        </w:rPr>
        <w:t>3). </w:t>
      </w:r>
      <w:r>
        <w:rPr>
          <w:w w:val="120"/>
          <w:sz w:val="20"/>
        </w:rPr>
        <w:t>The committee identified the need for evangelism and how to equip people in the United Reformed Church for this task as the focus to be explored for a new mission programme. A small group of committee members and staff produced a proposal for a three-stage process for creating a culture of evangelism in the URC. This was</w:t>
      </w:r>
      <w:r>
        <w:rPr>
          <w:spacing w:val="52"/>
          <w:w w:val="120"/>
          <w:sz w:val="20"/>
        </w:rPr>
        <w:t> </w:t>
      </w:r>
      <w:r>
        <w:rPr>
          <w:w w:val="120"/>
          <w:sz w:val="20"/>
        </w:rPr>
        <w:t>widely</w:t>
      </w:r>
    </w:p>
    <w:p>
      <w:pPr>
        <w:pStyle w:val="BodyText"/>
        <w:spacing w:line="235" w:lineRule="auto" w:before="4"/>
        <w:ind w:left="1247" w:right="2004"/>
      </w:pPr>
      <w:r>
        <w:rPr>
          <w:w w:val="120"/>
        </w:rPr>
        <w:t>discussed across the Church between March and September 2013. Feedback showed a number of reservations about the proposal, including uncertainty whether evangelism should be the focus and how evangelism should be defined, concerns about initiative overload and most of all, lack of confidence in expressing/articulating one’s personal faith. As a result the mission committee has agreed that the proposal be reshaped to focus on pre-evangelism and discipleship.</w:t>
      </w:r>
    </w:p>
    <w:p>
      <w:pPr>
        <w:pStyle w:val="BodyText"/>
      </w:pPr>
    </w:p>
    <w:p>
      <w:pPr>
        <w:pStyle w:val="ListParagraph"/>
        <w:numPr>
          <w:ilvl w:val="1"/>
          <w:numId w:val="107"/>
        </w:numPr>
        <w:tabs>
          <w:tab w:pos="1927" w:val="left" w:leader="none"/>
          <w:tab w:pos="1928" w:val="left" w:leader="none"/>
        </w:tabs>
        <w:spacing w:line="235" w:lineRule="auto" w:before="0" w:after="0"/>
        <w:ind w:left="1247" w:right="2093" w:firstLine="0"/>
        <w:jc w:val="left"/>
        <w:rPr>
          <w:sz w:val="20"/>
        </w:rPr>
      </w:pPr>
      <w:r>
        <w:rPr>
          <w:w w:val="120"/>
          <w:sz w:val="20"/>
        </w:rPr>
        <w:t>In </w:t>
      </w:r>
      <w:r>
        <w:rPr>
          <w:spacing w:val="-7"/>
          <w:w w:val="120"/>
          <w:sz w:val="20"/>
        </w:rPr>
        <w:t>2012 </w:t>
      </w:r>
      <w:r>
        <w:rPr>
          <w:w w:val="120"/>
          <w:sz w:val="20"/>
        </w:rPr>
        <w:t>the United Reformed Church registered as a denomination to take </w:t>
      </w:r>
      <w:r>
        <w:rPr>
          <w:spacing w:val="2"/>
          <w:w w:val="120"/>
          <w:sz w:val="20"/>
        </w:rPr>
        <w:t>part </w:t>
      </w:r>
      <w:r>
        <w:rPr>
          <w:w w:val="120"/>
          <w:sz w:val="20"/>
        </w:rPr>
        <w:t>in Back to Church </w:t>
      </w:r>
      <w:r>
        <w:rPr>
          <w:spacing w:val="-3"/>
          <w:w w:val="120"/>
          <w:sz w:val="20"/>
        </w:rPr>
        <w:t>Sunday. </w:t>
      </w:r>
      <w:r>
        <w:rPr>
          <w:w w:val="120"/>
          <w:sz w:val="20"/>
        </w:rPr>
        <w:t>Back to Church Sunday started in </w:t>
      </w:r>
      <w:r>
        <w:rPr>
          <w:spacing w:val="2"/>
          <w:w w:val="120"/>
          <w:sz w:val="20"/>
        </w:rPr>
        <w:t>2004 </w:t>
      </w:r>
      <w:r>
        <w:rPr>
          <w:w w:val="120"/>
          <w:sz w:val="20"/>
        </w:rPr>
        <w:t>to encourage church members to invite a friend or family member to come to church on the last Sunday of September. The secretary for mission has continued to</w:t>
      </w:r>
      <w:r>
        <w:rPr>
          <w:spacing w:val="16"/>
          <w:w w:val="120"/>
          <w:sz w:val="20"/>
        </w:rPr>
        <w:t> </w:t>
      </w:r>
      <w:r>
        <w:rPr>
          <w:w w:val="120"/>
          <w:sz w:val="20"/>
        </w:rPr>
        <w:t>support</w:t>
      </w:r>
    </w:p>
    <w:p>
      <w:pPr>
        <w:pStyle w:val="BodyText"/>
        <w:spacing w:line="235" w:lineRule="auto" w:before="3"/>
        <w:ind w:left="1247" w:right="4439"/>
      </w:pPr>
      <w:r>
        <w:rPr/>
        <w:drawing>
          <wp:anchor distT="0" distB="0" distL="0" distR="0" allowOverlap="1" layoutInCell="1" locked="0" behindDoc="0" simplePos="0" relativeHeight="252157952">
            <wp:simplePos x="0" y="0"/>
            <wp:positionH relativeFrom="page">
              <wp:posOffset>5042992</wp:posOffset>
            </wp:positionH>
            <wp:positionV relativeFrom="paragraph">
              <wp:posOffset>69811</wp:posOffset>
            </wp:positionV>
            <wp:extent cx="199529" cy="521614"/>
            <wp:effectExtent l="0" t="0" r="0" b="0"/>
            <wp:wrapNone/>
            <wp:docPr id="381" name="image56.png"/>
            <wp:cNvGraphicFramePr>
              <a:graphicFrameLocks noChangeAspect="1"/>
            </wp:cNvGraphicFramePr>
            <a:graphic>
              <a:graphicData uri="http://schemas.openxmlformats.org/drawingml/2006/picture">
                <pic:pic>
                  <pic:nvPicPr>
                    <pic:cNvPr id="382" name="image56.png"/>
                    <pic:cNvPicPr/>
                  </pic:nvPicPr>
                  <pic:blipFill>
                    <a:blip r:embed="rId477" cstate="print"/>
                    <a:stretch>
                      <a:fillRect/>
                    </a:stretch>
                  </pic:blipFill>
                  <pic:spPr>
                    <a:xfrm>
                      <a:off x="0" y="0"/>
                      <a:ext cx="199529" cy="521614"/>
                    </a:xfrm>
                    <a:prstGeom prst="rect">
                      <a:avLst/>
                    </a:prstGeom>
                  </pic:spPr>
                </pic:pic>
              </a:graphicData>
            </a:graphic>
          </wp:anchor>
        </w:drawing>
      </w:r>
      <w:r>
        <w:rPr>
          <w:w w:val="120"/>
        </w:rPr>
        <w:t>the promotion of Back to Church </w:t>
      </w:r>
      <w:r>
        <w:rPr>
          <w:spacing w:val="-3"/>
          <w:w w:val="120"/>
        </w:rPr>
        <w:t>Sunday, </w:t>
      </w:r>
      <w:r>
        <w:rPr>
          <w:w w:val="120"/>
        </w:rPr>
        <w:t>with the support of the communications department. In </w:t>
      </w:r>
      <w:r>
        <w:rPr>
          <w:spacing w:val="-7"/>
          <w:w w:val="120"/>
        </w:rPr>
        <w:t>2012 </w:t>
      </w:r>
      <w:r>
        <w:rPr>
          <w:w w:val="120"/>
        </w:rPr>
        <w:t>a total of </w:t>
      </w:r>
      <w:r>
        <w:rPr>
          <w:spacing w:val="-8"/>
          <w:w w:val="120"/>
        </w:rPr>
        <w:t>197 </w:t>
      </w:r>
      <w:r>
        <w:rPr>
          <w:spacing w:val="14"/>
          <w:w w:val="120"/>
        </w:rPr>
        <w:t> </w:t>
      </w:r>
      <w:r>
        <w:rPr>
          <w:w w:val="120"/>
        </w:rPr>
        <w:t>United</w:t>
      </w:r>
    </w:p>
    <w:p>
      <w:pPr>
        <w:pStyle w:val="BodyText"/>
        <w:spacing w:line="176" w:lineRule="exact"/>
        <w:ind w:left="1247"/>
      </w:pPr>
      <w:r>
        <w:rPr>
          <w:w w:val="120"/>
        </w:rPr>
        <w:t>Reformed churches took part. However, in </w:t>
      </w:r>
      <w:r>
        <w:rPr>
          <w:spacing w:val="-8"/>
          <w:w w:val="120"/>
        </w:rPr>
        <w:t>2013 </w:t>
      </w:r>
      <w:r>
        <w:rPr>
          <w:w w:val="120"/>
        </w:rPr>
        <w:t>the number </w:t>
      </w:r>
      <w:r>
        <w:rPr>
          <w:spacing w:val="1"/>
          <w:w w:val="120"/>
        </w:rPr>
        <w:t> </w:t>
      </w:r>
      <w:r>
        <w:rPr>
          <w:w w:val="120"/>
        </w:rPr>
        <w:t>of</w:t>
      </w:r>
    </w:p>
    <w:p>
      <w:pPr>
        <w:spacing w:after="0" w:line="176" w:lineRule="exact"/>
        <w:sectPr>
          <w:headerReference w:type="even" r:id="rId474"/>
          <w:footerReference w:type="even" r:id="rId475"/>
          <w:footerReference w:type="default" r:id="rId476"/>
          <w:pgSz w:w="11910" w:h="16840"/>
          <w:pgMar w:header="0" w:footer="647" w:top="0" w:bottom="840" w:left="0" w:right="0"/>
          <w:pgNumType w:start="198"/>
        </w:sectPr>
      </w:pPr>
    </w:p>
    <w:p>
      <w:pPr>
        <w:pStyle w:val="BodyText"/>
        <w:spacing w:line="235" w:lineRule="auto" w:before="66"/>
        <w:ind w:left="1247" w:right="384"/>
      </w:pPr>
      <w:r>
        <w:rPr>
          <w:w w:val="120"/>
        </w:rPr>
        <w:t>participating churches dropped to 97. This was in line with an overall decline in participation in the UK in the past year, but in contrast to the overall success of Back to Church Sunday, with</w:t>
      </w:r>
    </w:p>
    <w:p>
      <w:pPr>
        <w:spacing w:line="353" w:lineRule="exact" w:before="0"/>
        <w:ind w:left="32" w:right="0" w:firstLine="0"/>
        <w:jc w:val="left"/>
        <w:rPr>
          <w:b/>
          <w:sz w:val="29"/>
        </w:rPr>
      </w:pPr>
      <w:r>
        <w:rPr/>
        <w:br w:type="column"/>
      </w:r>
      <w:r>
        <w:rPr>
          <w:b/>
          <w:color w:val="FF3300"/>
          <w:w w:val="110"/>
          <w:sz w:val="29"/>
        </w:rPr>
        <w:t>Evangelism</w:t>
      </w:r>
    </w:p>
    <w:p>
      <w:pPr>
        <w:spacing w:after="0" w:line="353" w:lineRule="exact"/>
        <w:jc w:val="left"/>
        <w:rPr>
          <w:sz w:val="29"/>
        </w:rPr>
        <w:sectPr>
          <w:type w:val="continuous"/>
          <w:pgSz w:w="11910" w:h="16840"/>
          <w:pgMar w:top="680" w:bottom="280" w:left="0" w:right="0"/>
          <w:cols w:num="2" w:equalWidth="0">
            <w:col w:w="8256" w:space="40"/>
            <w:col w:w="3614"/>
          </w:cols>
        </w:sectPr>
      </w:pPr>
    </w:p>
    <w:p>
      <w:pPr>
        <w:pStyle w:val="BodyText"/>
        <w:spacing w:line="235" w:lineRule="auto" w:before="2"/>
        <w:ind w:left="1247" w:right="2223"/>
        <w:jc w:val="both"/>
      </w:pPr>
      <w:r>
        <w:rPr/>
        <w:pict>
          <v:group style="position:absolute;margin-left:225.953201pt;margin-top:49.667946pt;width:278.650pt;height:212.35pt;mso-position-horizontal-relative:page;mso-position-vertical-relative:paragraph;z-index:252158976" coordorigin="4519,993" coordsize="5573,4247">
            <v:shape style="position:absolute;left:4533;top:993;width:5559;height:4167" type="#_x0000_t75" stroked="false">
              <v:imagedata r:id="rId478" o:title=""/>
            </v:shape>
            <v:shape style="position:absolute;left:4519;top:3726;width:1540;height:1513" coordorigin="4519,3727" coordsize="1540,1513" path="m4519,3727l4519,5239,6056,5239,5980,5238,5905,5232,5831,5223,5758,5211,5686,5195,5616,5176,5547,5153,5479,5128,5413,5099,5349,5068,5287,5033,5226,4996,5167,4956,5110,4914,5055,4869,5003,4822,4952,4772,4904,4720,4858,4666,4815,4610,4775,4551,4737,4491,4701,4429,4669,4365,4640,4300,4613,4233,4590,4164,4570,4095,4553,4023,4539,3951,4529,3877,4522,3802,4519,3727xm6059,5239l6058,5239,6057,5239,6059,5239,6059,5239xe" filled="true" fillcolor="#ffffff" stroked="false">
              <v:path arrowok="t"/>
              <v:fill type="solid"/>
            </v:shape>
            <w10:wrap type="none"/>
          </v:group>
        </w:pict>
      </w:r>
      <w:r>
        <w:rPr>
          <w:w w:val="120"/>
        </w:rPr>
        <w:t>25,000 participating churches in 13 countries. The BTCS team is considering how the initiative should develop further and a new format is proposed for 2014, comprising a season of invitation with five invitational Sundays (</w:t>
      </w:r>
      <w:hyperlink r:id="rId479">
        <w:r>
          <w:rPr>
            <w:w w:val="120"/>
          </w:rPr>
          <w:t>www.backtochurch.co.uk</w:t>
        </w:r>
      </w:hyperlink>
      <w:r>
        <w:rPr>
          <w:w w:val="120"/>
        </w:rPr>
        <w:t>).</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9"/>
        <w:rPr>
          <w:sz w:val="30"/>
        </w:rPr>
      </w:pPr>
    </w:p>
    <w:p>
      <w:pPr>
        <w:spacing w:line="252" w:lineRule="auto" w:before="0"/>
        <w:ind w:left="1587" w:right="8216" w:firstLine="0"/>
        <w:jc w:val="left"/>
        <w:rPr>
          <w:sz w:val="18"/>
        </w:rPr>
      </w:pPr>
      <w:r>
        <w:rPr>
          <w:color w:val="7EAABF"/>
          <w:w w:val="120"/>
          <w:sz w:val="18"/>
        </w:rPr>
        <w:t>The launch of Back to Church Sunday 2014 at Lambeth Palace</w:t>
      </w:r>
    </w:p>
    <w:p>
      <w:pPr>
        <w:pStyle w:val="BodyText"/>
        <w:rPr>
          <w:sz w:val="22"/>
        </w:rPr>
      </w:pPr>
    </w:p>
    <w:p>
      <w:pPr>
        <w:pStyle w:val="BodyText"/>
        <w:spacing w:before="4"/>
        <w:rPr>
          <w:sz w:val="21"/>
        </w:rPr>
      </w:pPr>
    </w:p>
    <w:p>
      <w:pPr>
        <w:pStyle w:val="ListParagraph"/>
        <w:numPr>
          <w:ilvl w:val="1"/>
          <w:numId w:val="107"/>
        </w:numPr>
        <w:tabs>
          <w:tab w:pos="1927" w:val="left" w:leader="none"/>
          <w:tab w:pos="1928" w:val="left" w:leader="none"/>
        </w:tabs>
        <w:spacing w:line="235" w:lineRule="auto" w:before="0" w:after="0"/>
        <w:ind w:left="1247" w:right="2550" w:firstLine="0"/>
        <w:jc w:val="left"/>
        <w:rPr>
          <w:sz w:val="20"/>
        </w:rPr>
      </w:pPr>
      <w:r>
        <w:rPr>
          <w:w w:val="120"/>
          <w:sz w:val="20"/>
        </w:rPr>
        <w:t>HOPE entered its penultimate year in </w:t>
      </w:r>
      <w:r>
        <w:rPr>
          <w:spacing w:val="-7"/>
          <w:w w:val="120"/>
          <w:sz w:val="20"/>
        </w:rPr>
        <w:t>2013. </w:t>
      </w:r>
      <w:r>
        <w:rPr>
          <w:w w:val="120"/>
          <w:sz w:val="20"/>
        </w:rPr>
        <w:t>In order to promote HOPE and to</w:t>
      </w:r>
      <w:r>
        <w:rPr>
          <w:spacing w:val="7"/>
          <w:w w:val="120"/>
          <w:sz w:val="20"/>
        </w:rPr>
        <w:t> </w:t>
      </w:r>
      <w:r>
        <w:rPr>
          <w:w w:val="120"/>
          <w:sz w:val="20"/>
        </w:rPr>
        <w:t>support</w:t>
      </w:r>
      <w:r>
        <w:rPr>
          <w:spacing w:val="7"/>
          <w:w w:val="120"/>
          <w:sz w:val="20"/>
        </w:rPr>
        <w:t> </w:t>
      </w:r>
      <w:r>
        <w:rPr>
          <w:w w:val="120"/>
          <w:sz w:val="20"/>
        </w:rPr>
        <w:t>local</w:t>
      </w:r>
      <w:r>
        <w:rPr>
          <w:spacing w:val="7"/>
          <w:w w:val="120"/>
          <w:sz w:val="20"/>
        </w:rPr>
        <w:t> </w:t>
      </w:r>
      <w:r>
        <w:rPr>
          <w:w w:val="120"/>
          <w:sz w:val="20"/>
        </w:rPr>
        <w:t>churches</w:t>
      </w:r>
      <w:r>
        <w:rPr>
          <w:spacing w:val="8"/>
          <w:w w:val="120"/>
          <w:sz w:val="20"/>
        </w:rPr>
        <w:t> </w:t>
      </w:r>
      <w:r>
        <w:rPr>
          <w:w w:val="120"/>
          <w:sz w:val="20"/>
        </w:rPr>
        <w:t>in</w:t>
      </w:r>
      <w:r>
        <w:rPr>
          <w:spacing w:val="7"/>
          <w:w w:val="120"/>
          <w:sz w:val="20"/>
        </w:rPr>
        <w:t> </w:t>
      </w:r>
      <w:r>
        <w:rPr>
          <w:w w:val="120"/>
          <w:sz w:val="20"/>
        </w:rPr>
        <w:t>their</w:t>
      </w:r>
      <w:r>
        <w:rPr>
          <w:spacing w:val="7"/>
          <w:w w:val="120"/>
          <w:sz w:val="20"/>
        </w:rPr>
        <w:t> </w:t>
      </w:r>
      <w:r>
        <w:rPr>
          <w:w w:val="120"/>
          <w:sz w:val="20"/>
        </w:rPr>
        <w:t>engagement</w:t>
      </w:r>
      <w:r>
        <w:rPr>
          <w:spacing w:val="7"/>
          <w:w w:val="120"/>
          <w:sz w:val="20"/>
        </w:rPr>
        <w:t> </w:t>
      </w:r>
      <w:r>
        <w:rPr>
          <w:w w:val="120"/>
          <w:sz w:val="20"/>
        </w:rPr>
        <w:t>in</w:t>
      </w:r>
      <w:r>
        <w:rPr>
          <w:spacing w:val="8"/>
          <w:w w:val="120"/>
          <w:sz w:val="20"/>
        </w:rPr>
        <w:t> </w:t>
      </w:r>
      <w:r>
        <w:rPr>
          <w:w w:val="120"/>
          <w:sz w:val="20"/>
        </w:rPr>
        <w:t>mission,</w:t>
      </w:r>
      <w:r>
        <w:rPr>
          <w:spacing w:val="7"/>
          <w:w w:val="120"/>
          <w:sz w:val="20"/>
        </w:rPr>
        <w:t> </w:t>
      </w:r>
      <w:r>
        <w:rPr>
          <w:w w:val="120"/>
          <w:sz w:val="20"/>
        </w:rPr>
        <w:t>the</w:t>
      </w:r>
      <w:r>
        <w:rPr>
          <w:spacing w:val="7"/>
          <w:w w:val="120"/>
          <w:sz w:val="20"/>
        </w:rPr>
        <w:t> </w:t>
      </w:r>
      <w:r>
        <w:rPr>
          <w:w w:val="120"/>
          <w:sz w:val="20"/>
        </w:rPr>
        <w:t>mission</w:t>
      </w:r>
      <w:r>
        <w:rPr>
          <w:spacing w:val="7"/>
          <w:w w:val="120"/>
          <w:sz w:val="20"/>
        </w:rPr>
        <w:t> </w:t>
      </w:r>
      <w:r>
        <w:rPr>
          <w:w w:val="120"/>
          <w:sz w:val="20"/>
        </w:rPr>
        <w:t>department</w:t>
      </w:r>
    </w:p>
    <w:p>
      <w:pPr>
        <w:pStyle w:val="BodyText"/>
        <w:spacing w:line="235" w:lineRule="auto" w:before="2"/>
        <w:ind w:left="1247" w:right="1820"/>
      </w:pPr>
      <w:r>
        <w:rPr>
          <w:w w:val="120"/>
        </w:rPr>
        <w:t>distributed</w:t>
      </w:r>
      <w:r>
        <w:rPr>
          <w:spacing w:val="-13"/>
          <w:w w:val="120"/>
        </w:rPr>
        <w:t> </w:t>
      </w:r>
      <w:r>
        <w:rPr>
          <w:w w:val="120"/>
        </w:rPr>
        <w:t>the</w:t>
      </w:r>
      <w:r>
        <w:rPr>
          <w:spacing w:val="-13"/>
          <w:w w:val="120"/>
        </w:rPr>
        <w:t> </w:t>
      </w:r>
      <w:r>
        <w:rPr>
          <w:w w:val="120"/>
        </w:rPr>
        <w:t>resource</w:t>
      </w:r>
      <w:r>
        <w:rPr>
          <w:spacing w:val="-13"/>
          <w:w w:val="120"/>
        </w:rPr>
        <w:t> </w:t>
      </w:r>
      <w:r>
        <w:rPr>
          <w:w w:val="120"/>
        </w:rPr>
        <w:t>book</w:t>
      </w:r>
      <w:r>
        <w:rPr>
          <w:spacing w:val="-12"/>
          <w:w w:val="120"/>
        </w:rPr>
        <w:t> </w:t>
      </w:r>
      <w:r>
        <w:rPr>
          <w:i/>
          <w:w w:val="120"/>
        </w:rPr>
        <w:t>Hope,</w:t>
      </w:r>
      <w:r>
        <w:rPr>
          <w:i/>
          <w:spacing w:val="-15"/>
          <w:w w:val="120"/>
        </w:rPr>
        <w:t> </w:t>
      </w:r>
      <w:r>
        <w:rPr>
          <w:i/>
          <w:w w:val="120"/>
        </w:rPr>
        <w:t>the</w:t>
      </w:r>
      <w:r>
        <w:rPr>
          <w:i/>
          <w:spacing w:val="-15"/>
          <w:w w:val="120"/>
        </w:rPr>
        <w:t> </w:t>
      </w:r>
      <w:r>
        <w:rPr>
          <w:i/>
          <w:w w:val="120"/>
        </w:rPr>
        <w:t>Heartbeat</w:t>
      </w:r>
      <w:r>
        <w:rPr>
          <w:i/>
          <w:spacing w:val="-15"/>
          <w:w w:val="120"/>
        </w:rPr>
        <w:t> </w:t>
      </w:r>
      <w:r>
        <w:rPr>
          <w:i/>
          <w:w w:val="120"/>
        </w:rPr>
        <w:t>of</w:t>
      </w:r>
      <w:r>
        <w:rPr>
          <w:i/>
          <w:spacing w:val="-15"/>
          <w:w w:val="120"/>
        </w:rPr>
        <w:t> </w:t>
      </w:r>
      <w:r>
        <w:rPr>
          <w:i/>
          <w:w w:val="120"/>
        </w:rPr>
        <w:t>Mission</w:t>
      </w:r>
      <w:r>
        <w:rPr>
          <w:i/>
          <w:spacing w:val="-13"/>
          <w:w w:val="120"/>
        </w:rPr>
        <w:t> </w:t>
      </w:r>
      <w:r>
        <w:rPr>
          <w:w w:val="120"/>
        </w:rPr>
        <w:t>to</w:t>
      </w:r>
      <w:r>
        <w:rPr>
          <w:spacing w:val="-13"/>
          <w:w w:val="120"/>
        </w:rPr>
        <w:t> </w:t>
      </w:r>
      <w:r>
        <w:rPr>
          <w:w w:val="120"/>
        </w:rPr>
        <w:t>local</w:t>
      </w:r>
      <w:r>
        <w:rPr>
          <w:spacing w:val="-12"/>
          <w:w w:val="120"/>
        </w:rPr>
        <w:t> </w:t>
      </w:r>
      <w:r>
        <w:rPr>
          <w:w w:val="120"/>
        </w:rPr>
        <w:t>churches,</w:t>
      </w:r>
      <w:r>
        <w:rPr>
          <w:spacing w:val="-13"/>
          <w:w w:val="120"/>
        </w:rPr>
        <w:t> </w:t>
      </w:r>
      <w:r>
        <w:rPr>
          <w:w w:val="120"/>
        </w:rPr>
        <w:t>ministers </w:t>
      </w:r>
      <w:r>
        <w:rPr>
          <w:w w:val="125"/>
        </w:rPr>
        <w:t>and</w:t>
      </w:r>
      <w:r>
        <w:rPr>
          <w:spacing w:val="-20"/>
          <w:w w:val="125"/>
        </w:rPr>
        <w:t> </w:t>
      </w:r>
      <w:r>
        <w:rPr>
          <w:w w:val="125"/>
        </w:rPr>
        <w:t>local</w:t>
      </w:r>
      <w:r>
        <w:rPr>
          <w:spacing w:val="-19"/>
          <w:w w:val="125"/>
        </w:rPr>
        <w:t> </w:t>
      </w:r>
      <w:r>
        <w:rPr>
          <w:w w:val="125"/>
        </w:rPr>
        <w:t>leaders.</w:t>
      </w:r>
      <w:r>
        <w:rPr>
          <w:spacing w:val="-20"/>
          <w:w w:val="125"/>
        </w:rPr>
        <w:t> </w:t>
      </w:r>
      <w:r>
        <w:rPr>
          <w:w w:val="125"/>
        </w:rPr>
        <w:t>Funded</w:t>
      </w:r>
      <w:r>
        <w:rPr>
          <w:spacing w:val="-19"/>
          <w:w w:val="125"/>
        </w:rPr>
        <w:t> </w:t>
      </w:r>
      <w:r>
        <w:rPr>
          <w:w w:val="125"/>
        </w:rPr>
        <w:t>by</w:t>
      </w:r>
      <w:r>
        <w:rPr>
          <w:spacing w:val="-19"/>
          <w:w w:val="125"/>
        </w:rPr>
        <w:t> </w:t>
      </w:r>
      <w:r>
        <w:rPr>
          <w:w w:val="125"/>
        </w:rPr>
        <w:t>the</w:t>
      </w:r>
      <w:r>
        <w:rPr>
          <w:spacing w:val="-20"/>
          <w:w w:val="125"/>
        </w:rPr>
        <w:t> </w:t>
      </w:r>
      <w:r>
        <w:rPr>
          <w:w w:val="125"/>
        </w:rPr>
        <w:t>James</w:t>
      </w:r>
      <w:r>
        <w:rPr>
          <w:spacing w:val="-19"/>
          <w:w w:val="125"/>
        </w:rPr>
        <w:t> </w:t>
      </w:r>
      <w:r>
        <w:rPr>
          <w:w w:val="125"/>
        </w:rPr>
        <w:t>Donald</w:t>
      </w:r>
      <w:r>
        <w:rPr>
          <w:spacing w:val="-20"/>
          <w:w w:val="125"/>
        </w:rPr>
        <w:t> </w:t>
      </w:r>
      <w:r>
        <w:rPr>
          <w:w w:val="125"/>
        </w:rPr>
        <w:t>Tract</w:t>
      </w:r>
      <w:r>
        <w:rPr>
          <w:spacing w:val="-19"/>
          <w:w w:val="125"/>
        </w:rPr>
        <w:t> </w:t>
      </w:r>
      <w:r>
        <w:rPr>
          <w:w w:val="125"/>
        </w:rPr>
        <w:t>Fund</w:t>
      </w:r>
      <w:r>
        <w:rPr>
          <w:spacing w:val="-19"/>
          <w:w w:val="125"/>
        </w:rPr>
        <w:t> </w:t>
      </w:r>
      <w:r>
        <w:rPr>
          <w:w w:val="125"/>
        </w:rPr>
        <w:t>more</w:t>
      </w:r>
      <w:r>
        <w:rPr>
          <w:spacing w:val="-20"/>
          <w:w w:val="125"/>
        </w:rPr>
        <w:t> </w:t>
      </w:r>
      <w:r>
        <w:rPr>
          <w:w w:val="125"/>
        </w:rPr>
        <w:t>than</w:t>
      </w:r>
      <w:r>
        <w:rPr>
          <w:spacing w:val="-19"/>
          <w:w w:val="125"/>
        </w:rPr>
        <w:t> </w:t>
      </w:r>
      <w:r>
        <w:rPr>
          <w:w w:val="125"/>
        </w:rPr>
        <w:t>1,500</w:t>
      </w:r>
      <w:r>
        <w:rPr>
          <w:spacing w:val="-19"/>
          <w:w w:val="125"/>
        </w:rPr>
        <w:t> </w:t>
      </w:r>
      <w:r>
        <w:rPr>
          <w:w w:val="125"/>
        </w:rPr>
        <w:t>copies</w:t>
      </w:r>
      <w:r>
        <w:rPr>
          <w:spacing w:val="-20"/>
          <w:w w:val="125"/>
        </w:rPr>
        <w:t> </w:t>
      </w:r>
      <w:r>
        <w:rPr>
          <w:w w:val="125"/>
        </w:rPr>
        <w:t>were given</w:t>
      </w:r>
      <w:r>
        <w:rPr>
          <w:spacing w:val="-19"/>
          <w:w w:val="125"/>
        </w:rPr>
        <w:t> </w:t>
      </w:r>
      <w:r>
        <w:rPr>
          <w:w w:val="125"/>
        </w:rPr>
        <w:t>out.</w:t>
      </w:r>
      <w:r>
        <w:rPr>
          <w:spacing w:val="-18"/>
          <w:w w:val="125"/>
        </w:rPr>
        <w:t> </w:t>
      </w:r>
      <w:r>
        <w:rPr>
          <w:w w:val="125"/>
        </w:rPr>
        <w:t>Four</w:t>
      </w:r>
      <w:r>
        <w:rPr>
          <w:spacing w:val="-19"/>
          <w:w w:val="125"/>
        </w:rPr>
        <w:t> </w:t>
      </w:r>
      <w:r>
        <w:rPr>
          <w:w w:val="125"/>
        </w:rPr>
        <w:t>training</w:t>
      </w:r>
      <w:r>
        <w:rPr>
          <w:spacing w:val="-18"/>
          <w:w w:val="125"/>
        </w:rPr>
        <w:t> </w:t>
      </w:r>
      <w:r>
        <w:rPr>
          <w:w w:val="125"/>
        </w:rPr>
        <w:t>events</w:t>
      </w:r>
      <w:r>
        <w:rPr>
          <w:spacing w:val="-19"/>
          <w:w w:val="125"/>
        </w:rPr>
        <w:t> </w:t>
      </w:r>
      <w:r>
        <w:rPr>
          <w:w w:val="125"/>
        </w:rPr>
        <w:t>during</w:t>
      </w:r>
      <w:r>
        <w:rPr>
          <w:spacing w:val="-18"/>
          <w:w w:val="125"/>
        </w:rPr>
        <w:t> </w:t>
      </w:r>
      <w:r>
        <w:rPr>
          <w:w w:val="125"/>
        </w:rPr>
        <w:t>June</w:t>
      </w:r>
      <w:r>
        <w:rPr>
          <w:spacing w:val="-19"/>
          <w:w w:val="125"/>
        </w:rPr>
        <w:t> </w:t>
      </w:r>
      <w:r>
        <w:rPr>
          <w:w w:val="125"/>
        </w:rPr>
        <w:t>and</w:t>
      </w:r>
      <w:r>
        <w:rPr>
          <w:spacing w:val="-18"/>
          <w:w w:val="125"/>
        </w:rPr>
        <w:t> </w:t>
      </w:r>
      <w:r>
        <w:rPr>
          <w:w w:val="125"/>
        </w:rPr>
        <w:t>July</w:t>
      </w:r>
      <w:r>
        <w:rPr>
          <w:spacing w:val="-19"/>
          <w:w w:val="125"/>
        </w:rPr>
        <w:t> </w:t>
      </w:r>
      <w:r>
        <w:rPr>
          <w:spacing w:val="-8"/>
          <w:w w:val="125"/>
        </w:rPr>
        <w:t>2013</w:t>
      </w:r>
      <w:r>
        <w:rPr>
          <w:spacing w:val="-18"/>
          <w:w w:val="125"/>
        </w:rPr>
        <w:t> </w:t>
      </w:r>
      <w:r>
        <w:rPr>
          <w:w w:val="125"/>
        </w:rPr>
        <w:t>were</w:t>
      </w:r>
      <w:r>
        <w:rPr>
          <w:spacing w:val="-19"/>
          <w:w w:val="125"/>
        </w:rPr>
        <w:t> </w:t>
      </w:r>
      <w:r>
        <w:rPr>
          <w:w w:val="125"/>
        </w:rPr>
        <w:t>also</w:t>
      </w:r>
      <w:r>
        <w:rPr>
          <w:spacing w:val="-18"/>
          <w:w w:val="125"/>
        </w:rPr>
        <w:t> </w:t>
      </w:r>
      <w:r>
        <w:rPr>
          <w:w w:val="125"/>
        </w:rPr>
        <w:t>offered,</w:t>
      </w:r>
      <w:r>
        <w:rPr>
          <w:spacing w:val="-19"/>
          <w:w w:val="125"/>
        </w:rPr>
        <w:t> </w:t>
      </w:r>
      <w:r>
        <w:rPr>
          <w:w w:val="125"/>
        </w:rPr>
        <w:t>in</w:t>
      </w:r>
      <w:r>
        <w:rPr>
          <w:spacing w:val="-18"/>
          <w:w w:val="125"/>
        </w:rPr>
        <w:t> </w:t>
      </w:r>
      <w:r>
        <w:rPr>
          <w:w w:val="125"/>
        </w:rPr>
        <w:t>Hinckley, Warrington, Wolverhampton and London. The HOPE book was accompanied by a leaflet on the Flesh and Blood Campaign, which seeks to encourage blood and organ donation.</w:t>
      </w:r>
      <w:r>
        <w:rPr>
          <w:spacing w:val="-22"/>
          <w:w w:val="125"/>
        </w:rPr>
        <w:t> </w:t>
      </w:r>
      <w:r>
        <w:rPr>
          <w:w w:val="125"/>
        </w:rPr>
        <w:t>The</w:t>
      </w:r>
      <w:r>
        <w:rPr>
          <w:spacing w:val="-21"/>
          <w:w w:val="125"/>
        </w:rPr>
        <w:t> </w:t>
      </w:r>
      <w:r>
        <w:rPr>
          <w:w w:val="125"/>
        </w:rPr>
        <w:t>mission</w:t>
      </w:r>
      <w:r>
        <w:rPr>
          <w:spacing w:val="-21"/>
          <w:w w:val="125"/>
        </w:rPr>
        <w:t> </w:t>
      </w:r>
      <w:r>
        <w:rPr>
          <w:w w:val="125"/>
        </w:rPr>
        <w:t>team</w:t>
      </w:r>
      <w:r>
        <w:rPr>
          <w:spacing w:val="-22"/>
          <w:w w:val="125"/>
        </w:rPr>
        <w:t> </w:t>
      </w:r>
      <w:r>
        <w:rPr>
          <w:w w:val="125"/>
        </w:rPr>
        <w:t>supports</w:t>
      </w:r>
      <w:r>
        <w:rPr>
          <w:spacing w:val="-21"/>
          <w:w w:val="125"/>
        </w:rPr>
        <w:t> </w:t>
      </w:r>
      <w:r>
        <w:rPr>
          <w:w w:val="125"/>
        </w:rPr>
        <w:t>the</w:t>
      </w:r>
      <w:r>
        <w:rPr>
          <w:spacing w:val="-21"/>
          <w:w w:val="125"/>
        </w:rPr>
        <w:t> </w:t>
      </w:r>
      <w:r>
        <w:rPr>
          <w:w w:val="125"/>
        </w:rPr>
        <w:t>campaign</w:t>
      </w:r>
      <w:r>
        <w:rPr>
          <w:spacing w:val="-22"/>
          <w:w w:val="125"/>
        </w:rPr>
        <w:t> </w:t>
      </w:r>
      <w:r>
        <w:rPr>
          <w:w w:val="125"/>
        </w:rPr>
        <w:t>together</w:t>
      </w:r>
      <w:r>
        <w:rPr>
          <w:spacing w:val="-21"/>
          <w:w w:val="125"/>
        </w:rPr>
        <w:t> </w:t>
      </w:r>
      <w:r>
        <w:rPr>
          <w:w w:val="125"/>
        </w:rPr>
        <w:t>with</w:t>
      </w:r>
      <w:r>
        <w:rPr>
          <w:spacing w:val="-21"/>
          <w:w w:val="125"/>
        </w:rPr>
        <w:t> </w:t>
      </w:r>
      <w:r>
        <w:rPr>
          <w:w w:val="125"/>
        </w:rPr>
        <w:t>the</w:t>
      </w:r>
      <w:r>
        <w:rPr>
          <w:spacing w:val="-22"/>
          <w:w w:val="125"/>
        </w:rPr>
        <w:t> </w:t>
      </w:r>
      <w:r>
        <w:rPr>
          <w:w w:val="125"/>
        </w:rPr>
        <w:t>communications department (www.hopetogether.org.uk)</w:t>
      </w:r>
      <w:r>
        <w:rPr>
          <w:spacing w:val="-9"/>
          <w:w w:val="125"/>
        </w:rPr>
        <w:t> </w:t>
      </w:r>
      <w:r>
        <w:rPr>
          <w:w w:val="125"/>
        </w:rPr>
        <w:t>(</w:t>
      </w:r>
      <w:hyperlink r:id="rId480">
        <w:r>
          <w:rPr>
            <w:w w:val="125"/>
          </w:rPr>
          <w:t>www.fleshandblood.org</w:t>
        </w:r>
      </w:hyperlink>
      <w:r>
        <w:rPr>
          <w:w w:val="125"/>
        </w:rPr>
        <w:t>).</w:t>
      </w:r>
    </w:p>
    <w:p>
      <w:pPr>
        <w:pStyle w:val="BodyText"/>
        <w:spacing w:before="7"/>
        <w:rPr>
          <w:sz w:val="11"/>
        </w:rPr>
      </w:pPr>
    </w:p>
    <w:p>
      <w:pPr>
        <w:spacing w:after="0"/>
        <w:rPr>
          <w:sz w:val="11"/>
        </w:rPr>
        <w:sectPr>
          <w:type w:val="continuous"/>
          <w:pgSz w:w="11910" w:h="16840"/>
          <w:pgMar w:top="680" w:bottom="280" w:left="0" w:right="0"/>
        </w:sectPr>
      </w:pPr>
    </w:p>
    <w:p>
      <w:pPr>
        <w:pStyle w:val="ListParagraph"/>
        <w:numPr>
          <w:ilvl w:val="1"/>
          <w:numId w:val="107"/>
        </w:numPr>
        <w:tabs>
          <w:tab w:pos="1927" w:val="left" w:leader="none"/>
          <w:tab w:pos="1928" w:val="left" w:leader="none"/>
        </w:tabs>
        <w:spacing w:line="235" w:lineRule="auto" w:before="104" w:after="0"/>
        <w:ind w:left="1247" w:right="0" w:firstLine="0"/>
        <w:jc w:val="left"/>
        <w:rPr>
          <w:sz w:val="20"/>
        </w:rPr>
      </w:pPr>
      <w:r>
        <w:rPr/>
        <w:drawing>
          <wp:anchor distT="0" distB="0" distL="0" distR="0" allowOverlap="1" layoutInCell="1" locked="0" behindDoc="0" simplePos="0" relativeHeight="252156928">
            <wp:simplePos x="0" y="0"/>
            <wp:positionH relativeFrom="page">
              <wp:posOffset>0</wp:posOffset>
            </wp:positionH>
            <wp:positionV relativeFrom="page">
              <wp:posOffset>0</wp:posOffset>
            </wp:positionV>
            <wp:extent cx="594067" cy="10692003"/>
            <wp:effectExtent l="0" t="0" r="0" b="0"/>
            <wp:wrapNone/>
            <wp:docPr id="383" name="image32.png"/>
            <wp:cNvGraphicFramePr>
              <a:graphicFrameLocks noChangeAspect="1"/>
            </wp:cNvGraphicFramePr>
            <a:graphic>
              <a:graphicData uri="http://schemas.openxmlformats.org/drawingml/2006/picture">
                <pic:pic>
                  <pic:nvPicPr>
                    <pic:cNvPr id="384" name="image32.png"/>
                    <pic:cNvPicPr/>
                  </pic:nvPicPr>
                  <pic:blipFill>
                    <a:blip r:embed="rId362" cstate="print"/>
                    <a:stretch>
                      <a:fillRect/>
                    </a:stretch>
                  </pic:blipFill>
                  <pic:spPr>
                    <a:xfrm>
                      <a:off x="0" y="0"/>
                      <a:ext cx="594067" cy="10692003"/>
                    </a:xfrm>
                    <a:prstGeom prst="rect">
                      <a:avLst/>
                    </a:prstGeom>
                  </pic:spPr>
                </pic:pic>
              </a:graphicData>
            </a:graphic>
          </wp:anchor>
        </w:drawing>
      </w:r>
      <w:r>
        <w:rPr>
          <w:w w:val="120"/>
          <w:sz w:val="20"/>
        </w:rPr>
        <w:t>The Mission Enablers Network  continues its quarterly meetings, supported by the secretary for mission and the administrator. The network continues to grow with several pioneer</w:t>
      </w:r>
      <w:r>
        <w:rPr>
          <w:spacing w:val="12"/>
          <w:w w:val="120"/>
          <w:sz w:val="20"/>
        </w:rPr>
        <w:t> </w:t>
      </w:r>
      <w:r>
        <w:rPr>
          <w:w w:val="120"/>
          <w:sz w:val="20"/>
        </w:rPr>
        <w:t>ministers</w:t>
      </w:r>
    </w:p>
    <w:p>
      <w:pPr>
        <w:spacing w:before="84"/>
        <w:ind w:left="155" w:right="0" w:firstLine="0"/>
        <w:jc w:val="left"/>
        <w:rPr>
          <w:b/>
          <w:sz w:val="29"/>
        </w:rPr>
      </w:pPr>
      <w:r>
        <w:rPr/>
        <w:br w:type="column"/>
      </w:r>
      <w:r>
        <w:rPr/>
        <w:drawing>
          <wp:inline distT="0" distB="0" distL="0" distR="0">
            <wp:extent cx="199516" cy="521627"/>
            <wp:effectExtent l="0" t="0" r="0" b="0"/>
            <wp:docPr id="385" name="image58.png"/>
            <wp:cNvGraphicFramePr>
              <a:graphicFrameLocks noChangeAspect="1"/>
            </wp:cNvGraphicFramePr>
            <a:graphic>
              <a:graphicData uri="http://schemas.openxmlformats.org/drawingml/2006/picture">
                <pic:pic>
                  <pic:nvPicPr>
                    <pic:cNvPr id="386" name="image58.png"/>
                    <pic:cNvPicPr/>
                  </pic:nvPicPr>
                  <pic:blipFill>
                    <a:blip r:embed="rId481" cstate="print"/>
                    <a:stretch>
                      <a:fillRect/>
                    </a:stretch>
                  </pic:blipFill>
                  <pic:spPr>
                    <a:xfrm>
                      <a:off x="0" y="0"/>
                      <a:ext cx="199516" cy="521627"/>
                    </a:xfrm>
                    <a:prstGeom prst="rect">
                      <a:avLst/>
                    </a:prstGeom>
                  </pic:spPr>
                </pic:pic>
              </a:graphicData>
            </a:graphic>
          </wp:inline>
        </w:drawing>
      </w:r>
      <w:r>
        <w:rPr/>
      </w:r>
      <w:r>
        <w:rPr>
          <w:rFonts w:ascii="Times New Roman"/>
          <w:spacing w:val="22"/>
          <w:sz w:val="20"/>
        </w:rPr>
        <w:t> </w:t>
      </w:r>
      <w:r>
        <w:rPr>
          <w:b/>
          <w:color w:val="FF3300"/>
          <w:w w:val="110"/>
          <w:sz w:val="29"/>
        </w:rPr>
        <w:t>Community</w:t>
      </w:r>
      <w:r>
        <w:rPr>
          <w:b/>
          <w:color w:val="FF3300"/>
          <w:spacing w:val="-1"/>
          <w:w w:val="110"/>
          <w:sz w:val="29"/>
        </w:rPr>
        <w:t> </w:t>
      </w:r>
      <w:r>
        <w:rPr>
          <w:b/>
          <w:color w:val="FF3300"/>
          <w:w w:val="110"/>
          <w:sz w:val="29"/>
        </w:rPr>
        <w:t>partnerships</w:t>
      </w:r>
    </w:p>
    <w:p>
      <w:pPr>
        <w:spacing w:after="0"/>
        <w:jc w:val="left"/>
        <w:rPr>
          <w:sz w:val="29"/>
        </w:rPr>
        <w:sectPr>
          <w:type w:val="continuous"/>
          <w:pgSz w:w="11910" w:h="16840"/>
          <w:pgMar w:top="680" w:bottom="280" w:left="0" w:right="0"/>
          <w:cols w:num="2" w:equalWidth="0">
            <w:col w:w="6206" w:space="40"/>
            <w:col w:w="5664"/>
          </w:cols>
        </w:sectPr>
      </w:pPr>
    </w:p>
    <w:p>
      <w:pPr>
        <w:pStyle w:val="BodyText"/>
        <w:rPr>
          <w:b/>
        </w:rPr>
      </w:pPr>
    </w:p>
    <w:p>
      <w:pPr>
        <w:pStyle w:val="BodyText"/>
        <w:spacing w:before="7"/>
        <w:rPr>
          <w:b/>
          <w:sz w:val="21"/>
        </w:rPr>
      </w:pPr>
    </w:p>
    <w:p>
      <w:pPr>
        <w:pStyle w:val="Heading5"/>
        <w:ind w:left="0" w:right="1245"/>
        <w:jc w:val="right"/>
      </w:pPr>
      <w:r>
        <w:rPr/>
        <w:pict>
          <v:shape style="position:absolute;margin-left:554.141174pt;margin-top:22.593945pt;width:25.9pt;height:78.850pt;mso-position-horizontal-relative:page;mso-position-vertical-relative:paragraph;z-index:252162048" type="#_x0000_t202" filled="false" stroked="false">
            <v:textbox inset="0,0,0,0" style="layout-flow:vertical">
              <w:txbxContent>
                <w:p>
                  <w:pPr>
                    <w:spacing w:before="27"/>
                    <w:ind w:left="20" w:right="0" w:firstLine="0"/>
                    <w:jc w:val="left"/>
                    <w:rPr>
                      <w:sz w:val="39"/>
                    </w:rPr>
                  </w:pPr>
                  <w:r>
                    <w:rPr>
                      <w:color w:val="FFFFFF"/>
                      <w:w w:val="115"/>
                      <w:sz w:val="39"/>
                    </w:rPr>
                    <w:t>Mission</w:t>
                  </w:r>
                </w:p>
              </w:txbxContent>
            </v:textbox>
            <w10:wrap type="none"/>
          </v:shape>
        </w:pict>
      </w:r>
      <w:r>
        <w:rPr>
          <w:color w:val="7EAABF"/>
          <w:w w:val="110"/>
        </w:rPr>
        <w:t>Mission</w:t>
      </w:r>
    </w:p>
    <w:p>
      <w:pPr>
        <w:pStyle w:val="BodyText"/>
        <w:spacing w:line="235" w:lineRule="auto" w:before="222"/>
        <w:ind w:left="1984" w:right="1484"/>
      </w:pPr>
      <w:r>
        <w:rPr>
          <w:w w:val="120"/>
        </w:rPr>
        <w:t>with synod roles also attending. For the first time a joint networking conference was held, bringing together the training and development officers, the mission enablers, the children and youth development officers and the Resource Centres for Learning. It provided an opportunity for the networks to get to know each other, reflect together on common issues (such as the future of the Church) and explore joint areas of work. Another joint network gathering will be held in 2015.</w:t>
      </w:r>
    </w:p>
    <w:p>
      <w:pPr>
        <w:pStyle w:val="BodyText"/>
        <w:spacing w:before="9"/>
        <w:rPr>
          <w:sz w:val="17"/>
        </w:rPr>
      </w:pPr>
    </w:p>
    <w:p>
      <w:pPr>
        <w:pStyle w:val="Heading4"/>
        <w:numPr>
          <w:ilvl w:val="0"/>
          <w:numId w:val="107"/>
        </w:numPr>
        <w:tabs>
          <w:tab w:pos="2664" w:val="left" w:leader="none"/>
          <w:tab w:pos="2665" w:val="left" w:leader="none"/>
        </w:tabs>
        <w:spacing w:line="240" w:lineRule="auto" w:before="0" w:after="0"/>
        <w:ind w:left="2664" w:right="0" w:hanging="681"/>
        <w:jc w:val="left"/>
      </w:pPr>
      <w:r>
        <w:rPr>
          <w:spacing w:val="3"/>
          <w:w w:val="110"/>
        </w:rPr>
        <w:t>Racial justice and </w:t>
      </w:r>
      <w:r>
        <w:rPr>
          <w:spacing w:val="2"/>
          <w:w w:val="110"/>
        </w:rPr>
        <w:t>intercultural</w:t>
      </w:r>
      <w:r>
        <w:rPr>
          <w:spacing w:val="45"/>
          <w:w w:val="110"/>
        </w:rPr>
        <w:t> </w:t>
      </w:r>
      <w:r>
        <w:rPr>
          <w:spacing w:val="4"/>
          <w:w w:val="110"/>
        </w:rPr>
        <w:t>ministry</w:t>
      </w:r>
    </w:p>
    <w:p>
      <w:pPr>
        <w:pStyle w:val="ListParagraph"/>
        <w:numPr>
          <w:ilvl w:val="1"/>
          <w:numId w:val="107"/>
        </w:numPr>
        <w:tabs>
          <w:tab w:pos="2664" w:val="left" w:leader="none"/>
          <w:tab w:pos="2665" w:val="left" w:leader="none"/>
        </w:tabs>
        <w:spacing w:line="235" w:lineRule="auto" w:before="69" w:after="0"/>
        <w:ind w:left="1984" w:right="1353" w:firstLine="0"/>
        <w:jc w:val="left"/>
        <w:rPr>
          <w:sz w:val="20"/>
        </w:rPr>
      </w:pPr>
      <w:r>
        <w:rPr>
          <w:w w:val="120"/>
          <w:sz w:val="20"/>
        </w:rPr>
        <w:t>A series of conversations around ‘multicultural church, intercultural habit’ led to Mission </w:t>
      </w:r>
      <w:r>
        <w:rPr>
          <w:spacing w:val="-3"/>
          <w:w w:val="120"/>
          <w:sz w:val="20"/>
        </w:rPr>
        <w:t>Council’s </w:t>
      </w:r>
      <w:r>
        <w:rPr>
          <w:w w:val="120"/>
          <w:sz w:val="20"/>
        </w:rPr>
        <w:t>adoption of the ‘Intercultural Charter’ affirming the evolving nature  of</w:t>
      </w:r>
      <w:r>
        <w:rPr>
          <w:spacing w:val="-4"/>
          <w:w w:val="120"/>
          <w:sz w:val="20"/>
        </w:rPr>
        <w:t> </w:t>
      </w:r>
      <w:r>
        <w:rPr>
          <w:w w:val="120"/>
          <w:sz w:val="20"/>
        </w:rPr>
        <w:t>the</w:t>
      </w:r>
      <w:r>
        <w:rPr>
          <w:spacing w:val="-4"/>
          <w:w w:val="120"/>
          <w:sz w:val="20"/>
        </w:rPr>
        <w:t> </w:t>
      </w:r>
      <w:r>
        <w:rPr>
          <w:w w:val="120"/>
          <w:sz w:val="20"/>
        </w:rPr>
        <w:t>work.</w:t>
      </w:r>
      <w:r>
        <w:rPr>
          <w:spacing w:val="-4"/>
          <w:w w:val="120"/>
          <w:sz w:val="20"/>
        </w:rPr>
        <w:t> </w:t>
      </w:r>
      <w:r>
        <w:rPr>
          <w:w w:val="120"/>
          <w:sz w:val="20"/>
        </w:rPr>
        <w:t>Racial</w:t>
      </w:r>
      <w:r>
        <w:rPr>
          <w:spacing w:val="-4"/>
          <w:w w:val="120"/>
          <w:sz w:val="20"/>
        </w:rPr>
        <w:t> </w:t>
      </w:r>
      <w:r>
        <w:rPr>
          <w:w w:val="120"/>
          <w:sz w:val="20"/>
        </w:rPr>
        <w:t>Justice</w:t>
      </w:r>
      <w:r>
        <w:rPr>
          <w:spacing w:val="-4"/>
          <w:w w:val="120"/>
          <w:sz w:val="20"/>
        </w:rPr>
        <w:t> </w:t>
      </w:r>
      <w:r>
        <w:rPr>
          <w:w w:val="120"/>
          <w:sz w:val="20"/>
        </w:rPr>
        <w:t>and</w:t>
      </w:r>
      <w:r>
        <w:rPr>
          <w:spacing w:val="-4"/>
          <w:w w:val="120"/>
          <w:sz w:val="20"/>
        </w:rPr>
        <w:t> </w:t>
      </w:r>
      <w:r>
        <w:rPr>
          <w:w w:val="120"/>
          <w:sz w:val="20"/>
        </w:rPr>
        <w:t>Multicultural</w:t>
      </w:r>
      <w:r>
        <w:rPr>
          <w:spacing w:val="-4"/>
          <w:w w:val="120"/>
          <w:sz w:val="20"/>
        </w:rPr>
        <w:t> </w:t>
      </w:r>
      <w:r>
        <w:rPr>
          <w:w w:val="120"/>
          <w:sz w:val="20"/>
        </w:rPr>
        <w:t>Ministry</w:t>
      </w:r>
      <w:r>
        <w:rPr>
          <w:spacing w:val="-3"/>
          <w:w w:val="120"/>
          <w:sz w:val="20"/>
        </w:rPr>
        <w:t> </w:t>
      </w:r>
      <w:r>
        <w:rPr>
          <w:w w:val="120"/>
          <w:sz w:val="20"/>
        </w:rPr>
        <w:t>(RJMM)</w:t>
      </w:r>
      <w:r>
        <w:rPr>
          <w:spacing w:val="-4"/>
          <w:w w:val="120"/>
          <w:sz w:val="20"/>
        </w:rPr>
        <w:t> </w:t>
      </w:r>
      <w:r>
        <w:rPr>
          <w:w w:val="120"/>
          <w:sz w:val="20"/>
        </w:rPr>
        <w:t>is</w:t>
      </w:r>
      <w:r>
        <w:rPr>
          <w:spacing w:val="-4"/>
          <w:w w:val="120"/>
          <w:sz w:val="20"/>
        </w:rPr>
        <w:t> </w:t>
      </w:r>
      <w:r>
        <w:rPr>
          <w:w w:val="120"/>
          <w:sz w:val="20"/>
        </w:rPr>
        <w:t>now</w:t>
      </w:r>
      <w:r>
        <w:rPr>
          <w:spacing w:val="-4"/>
          <w:w w:val="120"/>
          <w:sz w:val="20"/>
        </w:rPr>
        <w:t> </w:t>
      </w:r>
      <w:r>
        <w:rPr>
          <w:w w:val="120"/>
          <w:sz w:val="20"/>
        </w:rPr>
        <w:t>referred</w:t>
      </w:r>
      <w:r>
        <w:rPr>
          <w:spacing w:val="-4"/>
          <w:w w:val="120"/>
          <w:sz w:val="20"/>
        </w:rPr>
        <w:t> </w:t>
      </w:r>
      <w:r>
        <w:rPr>
          <w:w w:val="120"/>
          <w:sz w:val="20"/>
        </w:rPr>
        <w:t>to</w:t>
      </w:r>
      <w:r>
        <w:rPr>
          <w:spacing w:val="-4"/>
          <w:w w:val="120"/>
          <w:sz w:val="20"/>
        </w:rPr>
        <w:t> </w:t>
      </w:r>
      <w:r>
        <w:rPr>
          <w:w w:val="120"/>
          <w:sz w:val="20"/>
        </w:rPr>
        <w:t>as</w:t>
      </w:r>
      <w:r>
        <w:rPr>
          <w:spacing w:val="-4"/>
          <w:w w:val="120"/>
          <w:sz w:val="20"/>
        </w:rPr>
        <w:t> </w:t>
      </w:r>
      <w:r>
        <w:rPr>
          <w:w w:val="120"/>
          <w:sz w:val="20"/>
        </w:rPr>
        <w:t>racial justice and intercultural ministry (RJiM). This shift has seen a wider cross-section of the URC identify, own and support RJiM and has also encouraged a broader conversation on inclusion and diversity in helpful</w:t>
      </w:r>
      <w:r>
        <w:rPr>
          <w:spacing w:val="13"/>
          <w:w w:val="120"/>
          <w:sz w:val="20"/>
        </w:rPr>
        <w:t> </w:t>
      </w:r>
      <w:r>
        <w:rPr>
          <w:w w:val="120"/>
          <w:sz w:val="20"/>
        </w:rPr>
        <w:t>ways.</w:t>
      </w:r>
    </w:p>
    <w:p>
      <w:pPr>
        <w:pStyle w:val="BodyText"/>
        <w:spacing w:before="6"/>
        <w:rPr>
          <w:sz w:val="11"/>
        </w:rPr>
      </w:pPr>
    </w:p>
    <w:p>
      <w:pPr>
        <w:spacing w:after="0"/>
        <w:rPr>
          <w:sz w:val="11"/>
        </w:rPr>
        <w:sectPr>
          <w:headerReference w:type="default" r:id="rId482"/>
          <w:pgSz w:w="11910" w:h="16840"/>
          <w:pgMar w:header="0" w:footer="647" w:top="0" w:bottom="840" w:left="0" w:right="0"/>
        </w:sectPr>
      </w:pPr>
    </w:p>
    <w:p>
      <w:pPr>
        <w:pStyle w:val="ListParagraph"/>
        <w:numPr>
          <w:ilvl w:val="1"/>
          <w:numId w:val="107"/>
        </w:numPr>
        <w:tabs>
          <w:tab w:pos="2664" w:val="left" w:leader="none"/>
          <w:tab w:pos="2665" w:val="left" w:leader="none"/>
        </w:tabs>
        <w:spacing w:line="235" w:lineRule="auto" w:before="104" w:after="0"/>
        <w:ind w:left="1984" w:right="0" w:firstLine="0"/>
        <w:jc w:val="left"/>
        <w:rPr>
          <w:sz w:val="20"/>
        </w:rPr>
      </w:pPr>
      <w:r>
        <w:rPr>
          <w:w w:val="120"/>
          <w:sz w:val="20"/>
        </w:rPr>
        <w:t>Networks are at the heart of racial justice and</w:t>
      </w:r>
      <w:r>
        <w:rPr>
          <w:spacing w:val="-23"/>
          <w:w w:val="120"/>
          <w:sz w:val="20"/>
        </w:rPr>
        <w:t> </w:t>
      </w:r>
      <w:r>
        <w:rPr>
          <w:w w:val="120"/>
          <w:sz w:val="20"/>
        </w:rPr>
        <w:t>intercultural ministry work. Racial justice and intercultural advocates met regularly for strategic work, support and sharing of good practices. Among their focus were ‘Racism Avatars, Awareness and the Intercultural Agenda: Turning Principles into Practice’, ‘Curating Racism and the Intercultural </w:t>
      </w:r>
      <w:r>
        <w:rPr>
          <w:spacing w:val="-3"/>
          <w:w w:val="120"/>
          <w:sz w:val="20"/>
        </w:rPr>
        <w:t>Agenda’. </w:t>
      </w:r>
      <w:r>
        <w:rPr>
          <w:w w:val="120"/>
          <w:sz w:val="20"/>
        </w:rPr>
        <w:t>Ministers and</w:t>
      </w:r>
      <w:r>
        <w:rPr>
          <w:spacing w:val="36"/>
          <w:w w:val="120"/>
          <w:sz w:val="20"/>
        </w:rPr>
        <w:t> </w:t>
      </w:r>
      <w:r>
        <w:rPr>
          <w:w w:val="120"/>
          <w:sz w:val="20"/>
        </w:rPr>
        <w:t>lay</w:t>
      </w:r>
    </w:p>
    <w:p>
      <w:pPr>
        <w:pStyle w:val="Heading4"/>
        <w:spacing w:before="72"/>
        <w:ind w:left="300" w:firstLine="0"/>
        <w:rPr>
          <w:rFonts w:ascii="Calibri"/>
        </w:rPr>
      </w:pPr>
      <w:r>
        <w:rPr>
          <w:b w:val="0"/>
        </w:rPr>
        <w:br w:type="column"/>
      </w:r>
      <w:r>
        <w:rPr>
          <w:b w:val="0"/>
        </w:rPr>
        <w:drawing>
          <wp:inline distT="0" distB="0" distL="0" distR="0">
            <wp:extent cx="199394" cy="521601"/>
            <wp:effectExtent l="0" t="0" r="0" b="0"/>
            <wp:docPr id="387" name="image59.png"/>
            <wp:cNvGraphicFramePr>
              <a:graphicFrameLocks noChangeAspect="1"/>
            </wp:cNvGraphicFramePr>
            <a:graphic>
              <a:graphicData uri="http://schemas.openxmlformats.org/drawingml/2006/picture">
                <pic:pic>
                  <pic:nvPicPr>
                    <pic:cNvPr id="388" name="image59.png"/>
                    <pic:cNvPicPr/>
                  </pic:nvPicPr>
                  <pic:blipFill>
                    <a:blip r:embed="rId483" cstate="print"/>
                    <a:stretch>
                      <a:fillRect/>
                    </a:stretch>
                  </pic:blipFill>
                  <pic:spPr>
                    <a:xfrm>
                      <a:off x="0" y="0"/>
                      <a:ext cx="199394" cy="521601"/>
                    </a:xfrm>
                    <a:prstGeom prst="rect">
                      <a:avLst/>
                    </a:prstGeom>
                  </pic:spPr>
                </pic:pic>
              </a:graphicData>
            </a:graphic>
          </wp:inline>
        </w:drawing>
      </w:r>
      <w:r>
        <w:rPr>
          <w:b w:val="0"/>
        </w:rPr>
      </w:r>
      <w:r>
        <w:rPr>
          <w:rFonts w:ascii="Times New Roman"/>
          <w:b w:val="0"/>
          <w:spacing w:val="22"/>
          <w:sz w:val="20"/>
        </w:rPr>
        <w:t> </w:t>
      </w:r>
      <w:r>
        <w:rPr>
          <w:rFonts w:ascii="Calibri"/>
          <w:color w:val="FF3300"/>
          <w:w w:val="110"/>
        </w:rPr>
        <w:t>Identity</w:t>
      </w:r>
    </w:p>
    <w:p>
      <w:pPr>
        <w:spacing w:after="0"/>
        <w:rPr>
          <w:rFonts w:ascii="Calibri"/>
        </w:rPr>
        <w:sectPr>
          <w:type w:val="continuous"/>
          <w:pgSz w:w="11910" w:h="16840"/>
          <w:pgMar w:top="680" w:bottom="280" w:left="0" w:right="0"/>
          <w:cols w:num="2" w:equalWidth="0">
            <w:col w:w="8391" w:space="40"/>
            <w:col w:w="3479"/>
          </w:cols>
        </w:sectPr>
      </w:pPr>
    </w:p>
    <w:p>
      <w:pPr>
        <w:pStyle w:val="BodyText"/>
        <w:spacing w:line="242" w:lineRule="exact" w:before="1"/>
        <w:ind w:left="1984"/>
      </w:pPr>
      <w:r>
        <w:rPr/>
        <w:pict>
          <v:group style="position:absolute;margin-left:271.794312pt;margin-top:.000015pt;width:323.5pt;height:841.9pt;mso-position-horizontal-relative:page;mso-position-vertical-relative:page;z-index:-267115520" coordorigin="5436,0" coordsize="6470,16838">
            <v:shape style="position:absolute;left:10984;top:0;width:922;height:16838" type="#_x0000_t75" stroked="false">
              <v:imagedata r:id="rId357" o:title=""/>
            </v:shape>
            <v:shape style="position:absolute;left:5450;top:9127;width:5532;height:4060" type="#_x0000_t75" stroked="false">
              <v:imagedata r:id="rId484" o:title=""/>
            </v:shape>
            <v:shape style="position:absolute;left:5435;top:11688;width:1540;height:1513" coordorigin="5436,11689" coordsize="1540,1513" path="m5436,11689l5436,13202,6973,13202,6897,13200,6822,13194,6748,13185,6675,13173,6603,13157,6533,13138,6464,13115,6396,13090,6330,13061,6266,13030,6203,12995,6143,12958,6084,12919,6027,12876,5972,12831,5919,12784,5869,12734,5821,12682,5775,12628,5732,12572,5691,12513,5653,12453,5618,12391,5586,12327,5556,12262,5530,12195,5507,12127,5486,12057,5469,11985,5456,11913,5446,11839,5439,11765,5436,11689xm6975,13201l6974,13201,6974,13202,6975,13202,6975,13201xe" filled="true" fillcolor="#ffffff" stroked="false">
              <v:path arrowok="t"/>
              <v:fill type="solid"/>
            </v:shape>
            <w10:wrap type="none"/>
          </v:group>
        </w:pict>
      </w:r>
      <w:r>
        <w:rPr>
          <w:w w:val="120"/>
        </w:rPr>
        <w:t>leaders (EMLOM) gathered to reflect on ‘the URC as an Intercultural Church:</w:t>
      </w:r>
    </w:p>
    <w:p>
      <w:pPr>
        <w:pStyle w:val="BodyText"/>
        <w:spacing w:line="235" w:lineRule="auto" w:before="1"/>
        <w:ind w:left="1984" w:right="1880"/>
      </w:pPr>
      <w:r>
        <w:rPr>
          <w:w w:val="120"/>
        </w:rPr>
        <w:t>What We Need to do Differently and How?’ Cascades of Grace </w:t>
      </w:r>
      <w:r>
        <w:rPr>
          <w:spacing w:val="-6"/>
          <w:w w:val="120"/>
        </w:rPr>
        <w:t>(COG),  </w:t>
      </w:r>
      <w:r>
        <w:rPr>
          <w:w w:val="120"/>
        </w:rPr>
        <w:t>a network   of BAME women has focused on identifying and nurturing new leadership through mentoring. Culture-specific network gatherings included an annual</w:t>
      </w:r>
      <w:r>
        <w:rPr>
          <w:spacing w:val="53"/>
          <w:w w:val="120"/>
        </w:rPr>
        <w:t> </w:t>
      </w:r>
      <w:r>
        <w:rPr>
          <w:w w:val="120"/>
        </w:rPr>
        <w:t>Ghanaian</w:t>
      </w:r>
    </w:p>
    <w:p>
      <w:pPr>
        <w:pStyle w:val="BodyText"/>
        <w:spacing w:line="235" w:lineRule="auto" w:before="3"/>
        <w:ind w:left="1984" w:right="1360"/>
      </w:pPr>
      <w:r>
        <w:rPr>
          <w:w w:val="120"/>
        </w:rPr>
        <w:t>Conference </w:t>
      </w:r>
      <w:r>
        <w:rPr>
          <w:spacing w:val="-4"/>
          <w:w w:val="120"/>
        </w:rPr>
        <w:t>(May) </w:t>
      </w:r>
      <w:r>
        <w:rPr>
          <w:w w:val="120"/>
        </w:rPr>
        <w:t>and a gathering of Christians of Pakistani and Korean backgrounds. One impact of the intercultural conversation is the intentional work of these culture- specific groups on working closer together. Hence, the Ethnic Minority Lay and  Ordained Ministers Association (EMLOMA) has changed its remit and the Ghanaian and Asian culture-specific groups will now work on partnering events. Racial justice synod coordinators and advocates are strategically working across</w:t>
      </w:r>
      <w:r>
        <w:rPr>
          <w:spacing w:val="17"/>
          <w:w w:val="120"/>
        </w:rPr>
        <w:t> </w:t>
      </w:r>
      <w:r>
        <w:rPr>
          <w:w w:val="120"/>
        </w:rPr>
        <w:t>synods.</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10"/>
        <w:rPr>
          <w:sz w:val="30"/>
        </w:rPr>
      </w:pPr>
    </w:p>
    <w:p>
      <w:pPr>
        <w:spacing w:line="252" w:lineRule="auto" w:before="0"/>
        <w:ind w:left="2891" w:right="7124" w:firstLine="0"/>
        <w:jc w:val="left"/>
        <w:rPr>
          <w:sz w:val="18"/>
        </w:rPr>
      </w:pPr>
      <w:r>
        <w:rPr>
          <w:color w:val="7EAABF"/>
          <w:w w:val="120"/>
          <w:sz w:val="18"/>
        </w:rPr>
        <w:t>Networking is  vital to racial justice and intercultural</w:t>
      </w:r>
      <w:r>
        <w:rPr>
          <w:color w:val="7EAABF"/>
          <w:spacing w:val="20"/>
          <w:w w:val="120"/>
          <w:sz w:val="18"/>
        </w:rPr>
        <w:t> </w:t>
      </w:r>
      <w:r>
        <w:rPr>
          <w:color w:val="7EAABF"/>
          <w:w w:val="120"/>
          <w:sz w:val="18"/>
        </w:rPr>
        <w:t>ministry</w:t>
      </w:r>
    </w:p>
    <w:p>
      <w:pPr>
        <w:pStyle w:val="BodyText"/>
        <w:rPr>
          <w:sz w:val="22"/>
        </w:rPr>
      </w:pPr>
    </w:p>
    <w:p>
      <w:pPr>
        <w:pStyle w:val="BodyText"/>
        <w:rPr>
          <w:sz w:val="22"/>
        </w:rPr>
      </w:pPr>
    </w:p>
    <w:p>
      <w:pPr>
        <w:pStyle w:val="BodyText"/>
        <w:spacing w:before="1"/>
        <w:rPr>
          <w:sz w:val="19"/>
        </w:rPr>
      </w:pPr>
    </w:p>
    <w:p>
      <w:pPr>
        <w:pStyle w:val="ListParagraph"/>
        <w:numPr>
          <w:ilvl w:val="1"/>
          <w:numId w:val="107"/>
        </w:numPr>
        <w:tabs>
          <w:tab w:pos="2664" w:val="left" w:leader="none"/>
          <w:tab w:pos="2665" w:val="left" w:leader="none"/>
        </w:tabs>
        <w:spacing w:line="235" w:lineRule="auto" w:before="0" w:after="0"/>
        <w:ind w:left="1984" w:right="1304" w:firstLine="0"/>
        <w:jc w:val="left"/>
        <w:rPr>
          <w:sz w:val="20"/>
        </w:rPr>
      </w:pPr>
      <w:r>
        <w:rPr>
          <w:w w:val="120"/>
          <w:sz w:val="20"/>
        </w:rPr>
        <w:t>Racial justice and intercultural ministry work includes both monitoring the inclusion agenda of the United Reformed Church and enabling racism and diversity awareness training. This involves collaborative work with the equalities committee. Monitoring work has been carried out in the area of </w:t>
      </w:r>
      <w:r>
        <w:rPr>
          <w:spacing w:val="-3"/>
          <w:w w:val="120"/>
          <w:sz w:val="20"/>
        </w:rPr>
        <w:t>children’s </w:t>
      </w:r>
      <w:r>
        <w:rPr>
          <w:w w:val="120"/>
          <w:sz w:val="20"/>
        </w:rPr>
        <w:t>and youth work, education and learning and Church House. We are currently mapping the delivery of awareness training across the Church. Diversity awareness training/courses have been delivered at all the Resource Centres for Learning. Monitoring helped us become</w:t>
      </w:r>
      <w:r>
        <w:rPr>
          <w:spacing w:val="53"/>
          <w:w w:val="120"/>
          <w:sz w:val="20"/>
        </w:rPr>
        <w:t> </w:t>
      </w:r>
      <w:r>
        <w:rPr>
          <w:w w:val="120"/>
          <w:sz w:val="20"/>
        </w:rPr>
        <w:t>aware</w:t>
      </w:r>
    </w:p>
    <w:p>
      <w:pPr>
        <w:spacing w:after="0" w:line="235" w:lineRule="auto"/>
        <w:jc w:val="left"/>
        <w:rPr>
          <w:sz w:val="20"/>
        </w:rPr>
        <w:sectPr>
          <w:type w:val="continuous"/>
          <w:pgSz w:w="11910" w:h="16840"/>
          <w:pgMar w:top="680" w:bottom="280" w:left="0" w:right="0"/>
        </w:sectPr>
      </w:pPr>
    </w:p>
    <w:p>
      <w:pPr>
        <w:pStyle w:val="BodyText"/>
      </w:pPr>
    </w:p>
    <w:p>
      <w:pPr>
        <w:pStyle w:val="BodyText"/>
        <w:spacing w:before="7"/>
        <w:rPr>
          <w:sz w:val="21"/>
        </w:rPr>
      </w:pPr>
    </w:p>
    <w:p>
      <w:pPr>
        <w:pStyle w:val="Heading5"/>
      </w:pPr>
      <w:r>
        <w:rPr/>
        <w:pict>
          <v:shape style="position:absolute;margin-left:20.519100pt;margin-top:22.593945pt;width:25.9pt;height:78.850pt;mso-position-horizontal-relative:page;mso-position-vertical-relative:paragraph;z-index:252166144" type="#_x0000_t202" filled="false" stroked="false">
            <v:textbox inset="0,0,0,0" style="layout-flow:vertical">
              <w:txbxContent>
                <w:p>
                  <w:pPr>
                    <w:spacing w:before="27"/>
                    <w:ind w:left="20" w:right="0" w:firstLine="0"/>
                    <w:jc w:val="left"/>
                    <w:rPr>
                      <w:sz w:val="39"/>
                    </w:rPr>
                  </w:pPr>
                  <w:r>
                    <w:rPr>
                      <w:color w:val="FFFFFF"/>
                      <w:w w:val="115"/>
                      <w:sz w:val="39"/>
                    </w:rPr>
                    <w:t>Mission</w:t>
                  </w:r>
                </w:p>
              </w:txbxContent>
            </v:textbox>
            <w10:wrap type="none"/>
          </v:shape>
        </w:pict>
      </w:r>
      <w:r>
        <w:rPr>
          <w:color w:val="7EAABF"/>
          <w:w w:val="115"/>
        </w:rPr>
        <w:t>Mission</w:t>
      </w:r>
    </w:p>
    <w:p>
      <w:pPr>
        <w:pStyle w:val="BodyText"/>
        <w:spacing w:line="235" w:lineRule="auto" w:before="222"/>
        <w:ind w:left="1247" w:right="2167"/>
      </w:pPr>
      <w:r>
        <w:rPr>
          <w:w w:val="120"/>
        </w:rPr>
        <w:t>of the gaps in the delivery of our inclusion agenda and what needs to be done. We were also able to prepare new resources to help synods and local churches continue monitoring. Training remains on their agenda in helpful ways.</w:t>
      </w:r>
    </w:p>
    <w:p>
      <w:pPr>
        <w:pStyle w:val="BodyText"/>
        <w:spacing w:before="4"/>
        <w:rPr>
          <w:sz w:val="11"/>
        </w:rPr>
      </w:pPr>
    </w:p>
    <w:p>
      <w:pPr>
        <w:spacing w:after="0"/>
        <w:rPr>
          <w:sz w:val="11"/>
        </w:rPr>
        <w:sectPr>
          <w:headerReference w:type="even" r:id="rId485"/>
          <w:footerReference w:type="even" r:id="rId486"/>
          <w:footerReference w:type="default" r:id="rId487"/>
          <w:pgSz w:w="11910" w:h="16840"/>
          <w:pgMar w:header="0" w:footer="647" w:top="0" w:bottom="840" w:left="0" w:right="0"/>
          <w:pgNumType w:start="200"/>
        </w:sectPr>
      </w:pPr>
    </w:p>
    <w:p>
      <w:pPr>
        <w:pStyle w:val="ListParagraph"/>
        <w:numPr>
          <w:ilvl w:val="1"/>
          <w:numId w:val="107"/>
        </w:numPr>
        <w:tabs>
          <w:tab w:pos="1927" w:val="left" w:leader="none"/>
          <w:tab w:pos="1928" w:val="left" w:leader="none"/>
        </w:tabs>
        <w:spacing w:line="235" w:lineRule="auto" w:before="104" w:after="0"/>
        <w:ind w:left="1247" w:right="0" w:firstLine="0"/>
        <w:jc w:val="left"/>
        <w:rPr>
          <w:sz w:val="20"/>
        </w:rPr>
      </w:pPr>
      <w:r>
        <w:rPr>
          <w:w w:val="120"/>
          <w:sz w:val="20"/>
        </w:rPr>
        <w:t>A number of collaborative projects have been initiated: the church growth conference in July </w:t>
      </w:r>
      <w:r>
        <w:rPr>
          <w:spacing w:val="-3"/>
          <w:w w:val="120"/>
          <w:sz w:val="20"/>
        </w:rPr>
        <w:t>(with mission), </w:t>
      </w:r>
      <w:r>
        <w:rPr>
          <w:w w:val="120"/>
          <w:sz w:val="20"/>
        </w:rPr>
        <w:t>a ‘Rainbow of Spiritualities’ celebration event in June </w:t>
      </w:r>
      <w:r>
        <w:rPr>
          <w:spacing w:val="-3"/>
          <w:w w:val="120"/>
          <w:sz w:val="20"/>
        </w:rPr>
        <w:t>(with </w:t>
      </w:r>
      <w:r>
        <w:rPr>
          <w:w w:val="120"/>
          <w:sz w:val="20"/>
        </w:rPr>
        <w:t>Urban URC Network), ArtTalk which is an on-going</w:t>
      </w:r>
      <w:r>
        <w:rPr>
          <w:spacing w:val="7"/>
          <w:w w:val="120"/>
          <w:sz w:val="20"/>
        </w:rPr>
        <w:t> </w:t>
      </w:r>
      <w:r>
        <w:rPr>
          <w:w w:val="120"/>
          <w:sz w:val="20"/>
        </w:rPr>
        <w:t>project</w:t>
      </w:r>
    </w:p>
    <w:p>
      <w:pPr>
        <w:pStyle w:val="BodyText"/>
        <w:spacing w:before="6"/>
        <w:rPr>
          <w:sz w:val="43"/>
        </w:rPr>
      </w:pPr>
      <w:r>
        <w:rPr/>
        <w:br w:type="column"/>
      </w:r>
      <w:r>
        <w:rPr>
          <w:sz w:val="43"/>
        </w:rPr>
      </w:r>
    </w:p>
    <w:p>
      <w:pPr>
        <w:spacing w:before="0"/>
        <w:ind w:left="955" w:right="0" w:firstLine="0"/>
        <w:jc w:val="left"/>
        <w:rPr>
          <w:b/>
          <w:sz w:val="29"/>
        </w:rPr>
      </w:pPr>
      <w:r>
        <w:rPr/>
        <w:drawing>
          <wp:anchor distT="0" distB="0" distL="0" distR="0" allowOverlap="1" layoutInCell="1" locked="0" behindDoc="0" simplePos="0" relativeHeight="252164096">
            <wp:simplePos x="0" y="0"/>
            <wp:positionH relativeFrom="page">
              <wp:posOffset>4181995</wp:posOffset>
            </wp:positionH>
            <wp:positionV relativeFrom="paragraph">
              <wp:posOffset>-346273</wp:posOffset>
            </wp:positionV>
            <wp:extent cx="199516" cy="521614"/>
            <wp:effectExtent l="0" t="0" r="0" b="0"/>
            <wp:wrapNone/>
            <wp:docPr id="389" name="image61.png"/>
            <wp:cNvGraphicFramePr>
              <a:graphicFrameLocks noChangeAspect="1"/>
            </wp:cNvGraphicFramePr>
            <a:graphic>
              <a:graphicData uri="http://schemas.openxmlformats.org/drawingml/2006/picture">
                <pic:pic>
                  <pic:nvPicPr>
                    <pic:cNvPr id="390" name="image61.png"/>
                    <pic:cNvPicPr/>
                  </pic:nvPicPr>
                  <pic:blipFill>
                    <a:blip r:embed="rId488" cstate="print"/>
                    <a:stretch>
                      <a:fillRect/>
                    </a:stretch>
                  </pic:blipFill>
                  <pic:spPr>
                    <a:xfrm>
                      <a:off x="0" y="0"/>
                      <a:ext cx="199516" cy="521614"/>
                    </a:xfrm>
                    <a:prstGeom prst="rect">
                      <a:avLst/>
                    </a:prstGeom>
                  </pic:spPr>
                </pic:pic>
              </a:graphicData>
            </a:graphic>
          </wp:anchor>
        </w:drawing>
      </w:r>
      <w:r>
        <w:rPr>
          <w:b/>
          <w:color w:val="FF3300"/>
          <w:w w:val="110"/>
          <w:sz w:val="29"/>
        </w:rPr>
        <w:t>Hospitality and diversity</w:t>
      </w:r>
    </w:p>
    <w:p>
      <w:pPr>
        <w:spacing w:after="0"/>
        <w:jc w:val="left"/>
        <w:rPr>
          <w:sz w:val="29"/>
        </w:rPr>
        <w:sectPr>
          <w:type w:val="continuous"/>
          <w:pgSz w:w="11910" w:h="16840"/>
          <w:pgMar w:top="680" w:bottom="280" w:left="0" w:right="0"/>
          <w:cols w:num="2" w:equalWidth="0">
            <w:col w:w="5977" w:space="40"/>
            <w:col w:w="5893"/>
          </w:cols>
        </w:sectPr>
      </w:pPr>
    </w:p>
    <w:p>
      <w:pPr>
        <w:pStyle w:val="BodyText"/>
        <w:spacing w:line="235" w:lineRule="auto" w:before="3"/>
        <w:ind w:left="1247" w:right="2200"/>
      </w:pPr>
      <w:r>
        <w:rPr>
          <w:w w:val="120"/>
        </w:rPr>
        <w:t>(Moderator of General Assembly, Mission and Elizabeth Gray-King) and a conference on better hosting of migrant churches (with urban URC network). The ‘Rainbow of</w:t>
      </w:r>
    </w:p>
    <w:p>
      <w:pPr>
        <w:pStyle w:val="BodyText"/>
        <w:spacing w:line="235" w:lineRule="auto" w:before="2"/>
        <w:ind w:left="1247" w:right="2004"/>
      </w:pPr>
      <w:r>
        <w:rPr>
          <w:w w:val="120"/>
        </w:rPr>
        <w:t>Spiritualities’ resulted in the compilation of a significant resource of world Church songs and music (book and CD) by intercultural musicians of the United Reformed Church.</w:t>
      </w:r>
    </w:p>
    <w:p>
      <w:pPr>
        <w:pStyle w:val="BodyText"/>
        <w:spacing w:before="9"/>
        <w:rPr>
          <w:sz w:val="19"/>
        </w:rPr>
      </w:pPr>
    </w:p>
    <w:p>
      <w:pPr>
        <w:pStyle w:val="ListParagraph"/>
        <w:numPr>
          <w:ilvl w:val="1"/>
          <w:numId w:val="107"/>
        </w:numPr>
        <w:tabs>
          <w:tab w:pos="1927" w:val="left" w:leader="none"/>
          <w:tab w:pos="1928" w:val="left" w:leader="none"/>
        </w:tabs>
        <w:spacing w:line="235" w:lineRule="auto" w:before="0" w:after="0"/>
        <w:ind w:left="1247" w:right="1996" w:firstLine="0"/>
        <w:jc w:val="left"/>
        <w:rPr>
          <w:sz w:val="20"/>
        </w:rPr>
      </w:pPr>
      <w:r>
        <w:rPr>
          <w:w w:val="120"/>
          <w:sz w:val="20"/>
        </w:rPr>
        <w:t>ArtTalk was launched at General Assembly </w:t>
      </w:r>
      <w:r>
        <w:rPr>
          <w:spacing w:val="-7"/>
          <w:w w:val="120"/>
          <w:sz w:val="20"/>
        </w:rPr>
        <w:t>2012 </w:t>
      </w:r>
      <w:r>
        <w:rPr>
          <w:w w:val="120"/>
          <w:sz w:val="20"/>
        </w:rPr>
        <w:t>as an exciting opportunity for churches and church groups to connect with their communities through </w:t>
      </w:r>
      <w:r>
        <w:rPr>
          <w:spacing w:val="3"/>
          <w:w w:val="120"/>
          <w:sz w:val="20"/>
        </w:rPr>
        <w:t>arts </w:t>
      </w:r>
      <w:r>
        <w:rPr>
          <w:w w:val="120"/>
          <w:sz w:val="20"/>
        </w:rPr>
        <w:t>based activities. ArtTalk project awards and a resource pack have been funded from the legacy fund. Successful award recipients engaged in innovative mission work in Pontypridd, Newham, Redditch, Leicester, Collumpton, Leamington Spa and Huddersfield, all   making robust connections with their communities via exhibitions  and  workshops. </w:t>
      </w:r>
      <w:r>
        <w:rPr>
          <w:spacing w:val="-3"/>
          <w:w w:val="120"/>
          <w:sz w:val="20"/>
        </w:rPr>
        <w:t>New, </w:t>
      </w:r>
      <w:r>
        <w:rPr>
          <w:w w:val="120"/>
          <w:sz w:val="20"/>
        </w:rPr>
        <w:t>non-church based spirituality groups have formed and churches have made new relationships with their civic communities. Many churches and groups around</w:t>
      </w:r>
      <w:r>
        <w:rPr>
          <w:spacing w:val="34"/>
          <w:w w:val="120"/>
          <w:sz w:val="20"/>
        </w:rPr>
        <w:t> </w:t>
      </w:r>
      <w:r>
        <w:rPr>
          <w:w w:val="120"/>
          <w:sz w:val="20"/>
        </w:rPr>
        <w:t>the</w:t>
      </w:r>
    </w:p>
    <w:p>
      <w:pPr>
        <w:pStyle w:val="BodyText"/>
        <w:spacing w:line="235" w:lineRule="auto" w:before="6"/>
        <w:ind w:left="1247" w:right="2207"/>
      </w:pPr>
      <w:r>
        <w:rPr>
          <w:w w:val="120"/>
        </w:rPr>
        <w:t>UK have run ArtTalk activities without </w:t>
      </w:r>
      <w:r>
        <w:rPr>
          <w:spacing w:val="2"/>
          <w:w w:val="120"/>
        </w:rPr>
        <w:t>extra </w:t>
      </w:r>
      <w:r>
        <w:rPr>
          <w:w w:val="120"/>
        </w:rPr>
        <w:t>awards funding, with new connections  and greater understanding as a result. ArtTalk results show such rewarding signs that further development is in the pipeline for the future. </w:t>
      </w:r>
      <w:r>
        <w:rPr>
          <w:spacing w:val="2"/>
          <w:w w:val="120"/>
        </w:rPr>
        <w:t>Reports </w:t>
      </w:r>
      <w:r>
        <w:rPr>
          <w:w w:val="120"/>
        </w:rPr>
        <w:t>of the projects are being documented and made ready for the</w:t>
      </w:r>
      <w:r>
        <w:rPr>
          <w:spacing w:val="16"/>
          <w:w w:val="120"/>
        </w:rPr>
        <w:t> </w:t>
      </w:r>
      <w:r>
        <w:rPr>
          <w:w w:val="120"/>
        </w:rPr>
        <w:t>webpage.</w:t>
      </w:r>
    </w:p>
    <w:p>
      <w:pPr>
        <w:pStyle w:val="BodyText"/>
        <w:spacing w:before="5"/>
        <w:rPr>
          <w:sz w:val="11"/>
        </w:rPr>
      </w:pPr>
    </w:p>
    <w:p>
      <w:pPr>
        <w:spacing w:after="0"/>
        <w:rPr>
          <w:sz w:val="11"/>
        </w:rPr>
        <w:sectPr>
          <w:type w:val="continuous"/>
          <w:pgSz w:w="11910" w:h="16840"/>
          <w:pgMar w:top="680" w:bottom="280" w:left="0" w:right="0"/>
        </w:sectPr>
      </w:pPr>
    </w:p>
    <w:p>
      <w:pPr>
        <w:pStyle w:val="ListParagraph"/>
        <w:numPr>
          <w:ilvl w:val="1"/>
          <w:numId w:val="107"/>
        </w:numPr>
        <w:tabs>
          <w:tab w:pos="1927" w:val="left" w:leader="none"/>
          <w:tab w:pos="1928" w:val="left" w:leader="none"/>
        </w:tabs>
        <w:spacing w:line="235" w:lineRule="auto" w:before="104" w:after="0"/>
        <w:ind w:left="1247" w:right="0" w:firstLine="0"/>
        <w:jc w:val="left"/>
        <w:rPr>
          <w:sz w:val="20"/>
        </w:rPr>
      </w:pPr>
      <w:r>
        <w:rPr>
          <w:w w:val="120"/>
          <w:sz w:val="20"/>
        </w:rPr>
        <w:t>The two formal ecumenical networks with which we are associated are the Churches’ Racial Justice Network of Churches Together in Britain and Ireland and Minority Ethnic Christian Affairs (MECA) of Churches Together in England. Racial Justice and intercultural ministry is also involved in two</w:t>
      </w:r>
      <w:r>
        <w:rPr>
          <w:spacing w:val="7"/>
          <w:w w:val="120"/>
          <w:sz w:val="20"/>
        </w:rPr>
        <w:t> </w:t>
      </w:r>
      <w:r>
        <w:rPr>
          <w:w w:val="120"/>
          <w:sz w:val="20"/>
        </w:rPr>
        <w:t>focus</w:t>
      </w:r>
    </w:p>
    <w:p>
      <w:pPr>
        <w:spacing w:before="168"/>
        <w:ind w:left="187" w:right="0" w:firstLine="0"/>
        <w:jc w:val="left"/>
        <w:rPr>
          <w:b/>
          <w:sz w:val="29"/>
        </w:rPr>
      </w:pPr>
      <w:r>
        <w:rPr/>
        <w:br w:type="column"/>
      </w:r>
      <w:r>
        <w:rPr/>
        <w:drawing>
          <wp:inline distT="0" distB="0" distL="0" distR="0">
            <wp:extent cx="199516" cy="521614"/>
            <wp:effectExtent l="0" t="0" r="0" b="0"/>
            <wp:docPr id="391" name="image62.png"/>
            <wp:cNvGraphicFramePr>
              <a:graphicFrameLocks noChangeAspect="1"/>
            </wp:cNvGraphicFramePr>
            <a:graphic>
              <a:graphicData uri="http://schemas.openxmlformats.org/drawingml/2006/picture">
                <pic:pic>
                  <pic:nvPicPr>
                    <pic:cNvPr id="392" name="image62.png"/>
                    <pic:cNvPicPr/>
                  </pic:nvPicPr>
                  <pic:blipFill>
                    <a:blip r:embed="rId489" cstate="print"/>
                    <a:stretch>
                      <a:fillRect/>
                    </a:stretch>
                  </pic:blipFill>
                  <pic:spPr>
                    <a:xfrm>
                      <a:off x="0" y="0"/>
                      <a:ext cx="199516" cy="521614"/>
                    </a:xfrm>
                    <a:prstGeom prst="rect">
                      <a:avLst/>
                    </a:prstGeom>
                  </pic:spPr>
                </pic:pic>
              </a:graphicData>
            </a:graphic>
          </wp:inline>
        </w:drawing>
      </w:r>
      <w:r>
        <w:rPr/>
      </w:r>
      <w:r>
        <w:rPr>
          <w:rFonts w:ascii="Times New Roman"/>
          <w:spacing w:val="22"/>
          <w:sz w:val="20"/>
        </w:rPr>
        <w:t> </w:t>
      </w:r>
      <w:r>
        <w:rPr>
          <w:b/>
          <w:color w:val="FF3300"/>
          <w:w w:val="110"/>
          <w:sz w:val="29"/>
        </w:rPr>
        <w:t>Spirituality and</w:t>
      </w:r>
      <w:r>
        <w:rPr>
          <w:b/>
          <w:color w:val="FF3300"/>
          <w:spacing w:val="-3"/>
          <w:w w:val="110"/>
          <w:sz w:val="29"/>
        </w:rPr>
        <w:t> </w:t>
      </w:r>
      <w:r>
        <w:rPr>
          <w:b/>
          <w:color w:val="FF3300"/>
          <w:w w:val="110"/>
          <w:sz w:val="29"/>
        </w:rPr>
        <w:t>prayer</w:t>
      </w:r>
    </w:p>
    <w:p>
      <w:pPr>
        <w:spacing w:after="0"/>
        <w:jc w:val="left"/>
        <w:rPr>
          <w:sz w:val="29"/>
        </w:rPr>
        <w:sectPr>
          <w:type w:val="continuous"/>
          <w:pgSz w:w="11910" w:h="16840"/>
          <w:pgMar w:top="680" w:bottom="280" w:left="0" w:right="0"/>
          <w:cols w:num="2" w:equalWidth="0">
            <w:col w:w="6359" w:space="40"/>
            <w:col w:w="5511"/>
          </w:cols>
        </w:sectPr>
      </w:pPr>
    </w:p>
    <w:p>
      <w:pPr>
        <w:pStyle w:val="BodyText"/>
        <w:spacing w:line="235" w:lineRule="auto" w:before="4"/>
        <w:ind w:left="1247" w:right="2167"/>
      </w:pPr>
      <w:r>
        <w:rPr/>
        <w:drawing>
          <wp:anchor distT="0" distB="0" distL="0" distR="0" allowOverlap="1" layoutInCell="1" locked="0" behindDoc="0" simplePos="0" relativeHeight="252163072">
            <wp:simplePos x="0" y="0"/>
            <wp:positionH relativeFrom="page">
              <wp:posOffset>0</wp:posOffset>
            </wp:positionH>
            <wp:positionV relativeFrom="page">
              <wp:posOffset>0</wp:posOffset>
            </wp:positionV>
            <wp:extent cx="594067" cy="10692003"/>
            <wp:effectExtent l="0" t="0" r="0" b="0"/>
            <wp:wrapNone/>
            <wp:docPr id="393" name="image32.png"/>
            <wp:cNvGraphicFramePr>
              <a:graphicFrameLocks noChangeAspect="1"/>
            </wp:cNvGraphicFramePr>
            <a:graphic>
              <a:graphicData uri="http://schemas.openxmlformats.org/drawingml/2006/picture">
                <pic:pic>
                  <pic:nvPicPr>
                    <pic:cNvPr id="394" name="image32.png"/>
                    <pic:cNvPicPr/>
                  </pic:nvPicPr>
                  <pic:blipFill>
                    <a:blip r:embed="rId362" cstate="print"/>
                    <a:stretch>
                      <a:fillRect/>
                    </a:stretch>
                  </pic:blipFill>
                  <pic:spPr>
                    <a:xfrm>
                      <a:off x="0" y="0"/>
                      <a:ext cx="594067" cy="10692003"/>
                    </a:xfrm>
                    <a:prstGeom prst="rect">
                      <a:avLst/>
                    </a:prstGeom>
                  </pic:spPr>
                </pic:pic>
              </a:graphicData>
            </a:graphic>
          </wp:anchor>
        </w:drawing>
      </w:r>
      <w:r>
        <w:rPr/>
        <w:pict>
          <v:group style="position:absolute;margin-left:245.092499pt;margin-top:108.976242pt;width:350.2pt;height:195pt;mso-position-horizontal-relative:page;mso-position-vertical-relative:paragraph;z-index:252165120" coordorigin="4902,2180" coordsize="7004,3900">
            <v:shape style="position:absolute;left:4916;top:2193;width:6990;height:3886" type="#_x0000_t75" stroked="false">
              <v:imagedata r:id="rId490" o:title=""/>
            </v:shape>
            <v:shape style="position:absolute;left:4901;top:2179;width:1513;height:1540" coordorigin="4902,2180" coordsize="1513,1540" path="m4902,3717l4902,3719,4902,3719,4902,3717xm6415,2180l4902,2180,4902,3716,4904,3640,4909,3565,4918,3491,4931,3418,4947,3347,4966,3276,4988,3207,5014,3140,5042,3074,5074,3010,5108,2947,5145,2886,5185,2827,5227,2771,5272,2716,5320,2663,5369,2613,5421,2565,5475,2519,5532,2476,5590,2435,5650,2397,5712,2362,5776,2330,5841,2300,5908,2274,5977,2250,6047,2230,6118,2213,6191,2199,6264,2189,6339,2183,6415,2180xe" filled="true" fillcolor="#ffffff" stroked="false">
              <v:path arrowok="t"/>
              <v:fill type="solid"/>
            </v:shape>
            <w10:wrap type="none"/>
          </v:group>
        </w:pict>
      </w:r>
      <w:r>
        <w:rPr>
          <w:w w:val="120"/>
        </w:rPr>
        <w:t>groups: the countering politically extreme right group of JPIT, and Churches equality and diversity practitioners network. We also contributed to the Baptist Union of Great Britain’s re-thinking of its racial justice work. The Churches racial justice network’s key work is the production of the Racial Justice Sunday resources and resource sharing across the islands. MECA currently works on a political manifesto for Black Christian voters, resources for countering black Christian conversion to Islam, re-reading the Hebrew Bible (black ministers and rabbis in conversation), and the yearly online resource handbook of all black Churches in the UK.</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pPr>
    </w:p>
    <w:p>
      <w:pPr>
        <w:spacing w:line="261" w:lineRule="auto" w:before="1"/>
        <w:ind w:left="1587" w:right="6841" w:firstLine="0"/>
        <w:jc w:val="left"/>
        <w:rPr>
          <w:sz w:val="18"/>
        </w:rPr>
      </w:pPr>
      <w:r>
        <w:rPr>
          <w:color w:val="7EAABF"/>
          <w:w w:val="125"/>
          <w:sz w:val="18"/>
        </w:rPr>
        <w:t>Multicultural Celebration in September 2013</w:t>
      </w:r>
    </w:p>
    <w:p>
      <w:pPr>
        <w:spacing w:after="0" w:line="261" w:lineRule="auto"/>
        <w:jc w:val="left"/>
        <w:rPr>
          <w:sz w:val="18"/>
        </w:rPr>
        <w:sectPr>
          <w:type w:val="continuous"/>
          <w:pgSz w:w="11910" w:h="16840"/>
          <w:pgMar w:top="680" w:bottom="280" w:left="0" w:right="0"/>
        </w:sectPr>
      </w:pPr>
    </w:p>
    <w:p>
      <w:pPr>
        <w:pStyle w:val="BodyText"/>
      </w:pPr>
    </w:p>
    <w:p>
      <w:pPr>
        <w:pStyle w:val="BodyText"/>
        <w:spacing w:before="7"/>
        <w:rPr>
          <w:sz w:val="21"/>
        </w:rPr>
      </w:pPr>
    </w:p>
    <w:p>
      <w:pPr>
        <w:pStyle w:val="Heading5"/>
        <w:ind w:left="0" w:right="1245"/>
        <w:jc w:val="right"/>
      </w:pPr>
      <w:r>
        <w:rPr/>
        <w:pict>
          <v:shape style="position:absolute;margin-left:554.141174pt;margin-top:22.593945pt;width:25.9pt;height:78.850pt;mso-position-horizontal-relative:page;mso-position-vertical-relative:paragraph;z-index:252168192" type="#_x0000_t202" filled="false" stroked="false">
            <v:textbox inset="0,0,0,0" style="layout-flow:vertical">
              <w:txbxContent>
                <w:p>
                  <w:pPr>
                    <w:spacing w:before="27"/>
                    <w:ind w:left="20" w:right="0" w:firstLine="0"/>
                    <w:jc w:val="left"/>
                    <w:rPr>
                      <w:sz w:val="39"/>
                    </w:rPr>
                  </w:pPr>
                  <w:r>
                    <w:rPr>
                      <w:color w:val="FFFFFF"/>
                      <w:w w:val="115"/>
                      <w:sz w:val="39"/>
                    </w:rPr>
                    <w:t>Mission</w:t>
                  </w:r>
                </w:p>
              </w:txbxContent>
            </v:textbox>
            <w10:wrap type="none"/>
          </v:shape>
        </w:pict>
      </w:r>
      <w:r>
        <w:rPr>
          <w:color w:val="7EAABF"/>
          <w:w w:val="110"/>
        </w:rPr>
        <w:t>Mission</w:t>
      </w:r>
    </w:p>
    <w:p>
      <w:pPr>
        <w:pStyle w:val="ListParagraph"/>
        <w:numPr>
          <w:ilvl w:val="1"/>
          <w:numId w:val="107"/>
        </w:numPr>
        <w:tabs>
          <w:tab w:pos="2664" w:val="left" w:leader="none"/>
          <w:tab w:pos="2665" w:val="left" w:leader="none"/>
        </w:tabs>
        <w:spacing w:line="235" w:lineRule="auto" w:before="222" w:after="0"/>
        <w:ind w:left="1984" w:right="1588" w:firstLine="0"/>
        <w:jc w:val="left"/>
        <w:rPr>
          <w:sz w:val="20"/>
        </w:rPr>
      </w:pPr>
      <w:r>
        <w:rPr>
          <w:w w:val="120"/>
          <w:sz w:val="20"/>
        </w:rPr>
        <w:t>The multicultural celebration is a regular biennial event and in September </w:t>
      </w:r>
      <w:r>
        <w:rPr>
          <w:spacing w:val="-8"/>
          <w:w w:val="120"/>
          <w:sz w:val="20"/>
        </w:rPr>
        <w:t>2013 </w:t>
      </w:r>
      <w:r>
        <w:rPr>
          <w:w w:val="120"/>
          <w:sz w:val="20"/>
        </w:rPr>
        <w:t>it brought together over </w:t>
      </w:r>
      <w:r>
        <w:rPr>
          <w:spacing w:val="2"/>
          <w:w w:val="120"/>
          <w:sz w:val="20"/>
        </w:rPr>
        <w:t>400 </w:t>
      </w:r>
      <w:r>
        <w:rPr>
          <w:w w:val="120"/>
          <w:sz w:val="20"/>
        </w:rPr>
        <w:t>people representing a wide cross section of the United Reformed Church, including synod moderators, to celebrate our intercultural life together. Focussing on the theme, “Gifted! A Time of Plenty”, the</w:t>
      </w:r>
      <w:r>
        <w:rPr>
          <w:spacing w:val="42"/>
          <w:w w:val="120"/>
          <w:sz w:val="20"/>
        </w:rPr>
        <w:t> </w:t>
      </w:r>
      <w:r>
        <w:rPr>
          <w:w w:val="120"/>
          <w:sz w:val="20"/>
        </w:rPr>
        <w:t>programme</w:t>
      </w:r>
    </w:p>
    <w:p>
      <w:pPr>
        <w:pStyle w:val="BodyText"/>
        <w:spacing w:line="235" w:lineRule="auto" w:before="3"/>
        <w:ind w:left="1984" w:right="1352"/>
      </w:pPr>
      <w:r>
        <w:rPr>
          <w:w w:val="120"/>
        </w:rPr>
        <w:t>included a wide variety of activities, underscoring how truly intercultural the event has become and demonstrating that though small, we are a very gifted Church. The event also included an art award and a multicultural congregational story award, and it has generated energy and motivation for those who participated.</w:t>
      </w:r>
    </w:p>
    <w:p>
      <w:pPr>
        <w:pStyle w:val="BodyText"/>
        <w:spacing w:before="10"/>
        <w:rPr>
          <w:sz w:val="19"/>
        </w:rPr>
      </w:pPr>
    </w:p>
    <w:p>
      <w:pPr>
        <w:pStyle w:val="ListParagraph"/>
        <w:numPr>
          <w:ilvl w:val="1"/>
          <w:numId w:val="107"/>
        </w:numPr>
        <w:tabs>
          <w:tab w:pos="2664" w:val="left" w:leader="none"/>
          <w:tab w:pos="2665" w:val="left" w:leader="none"/>
        </w:tabs>
        <w:spacing w:line="235" w:lineRule="auto" w:before="1" w:after="0"/>
        <w:ind w:left="1984" w:right="1352" w:firstLine="0"/>
        <w:jc w:val="left"/>
        <w:rPr>
          <w:sz w:val="20"/>
        </w:rPr>
      </w:pPr>
      <w:r>
        <w:rPr>
          <w:w w:val="120"/>
          <w:sz w:val="20"/>
        </w:rPr>
        <w:t>For more information on the breadth of RJiM’s work, past, present and ongoing, please visit the RJiM and mission</w:t>
      </w:r>
      <w:r>
        <w:rPr>
          <w:spacing w:val="11"/>
          <w:w w:val="120"/>
          <w:sz w:val="20"/>
        </w:rPr>
        <w:t> </w:t>
      </w:r>
      <w:r>
        <w:rPr>
          <w:w w:val="120"/>
          <w:sz w:val="20"/>
        </w:rPr>
        <w:t>webpage.</w:t>
      </w:r>
    </w:p>
    <w:p>
      <w:pPr>
        <w:pStyle w:val="Heading4"/>
        <w:numPr>
          <w:ilvl w:val="0"/>
          <w:numId w:val="107"/>
        </w:numPr>
        <w:tabs>
          <w:tab w:pos="2664" w:val="left" w:leader="none"/>
          <w:tab w:pos="2665" w:val="left" w:leader="none"/>
        </w:tabs>
        <w:spacing w:line="240" w:lineRule="auto" w:before="213" w:after="0"/>
        <w:ind w:left="2664" w:right="0" w:hanging="681"/>
        <w:jc w:val="left"/>
      </w:pPr>
      <w:r>
        <w:rPr>
          <w:spacing w:val="3"/>
          <w:w w:val="110"/>
        </w:rPr>
        <w:t>Rural</w:t>
      </w:r>
      <w:r>
        <w:rPr>
          <w:spacing w:val="12"/>
          <w:w w:val="110"/>
        </w:rPr>
        <w:t> </w:t>
      </w:r>
      <w:r>
        <w:rPr>
          <w:spacing w:val="3"/>
          <w:w w:val="110"/>
        </w:rPr>
        <w:t>mission</w:t>
      </w:r>
    </w:p>
    <w:p>
      <w:pPr>
        <w:pStyle w:val="ListParagraph"/>
        <w:numPr>
          <w:ilvl w:val="1"/>
          <w:numId w:val="107"/>
        </w:numPr>
        <w:tabs>
          <w:tab w:pos="2664" w:val="left" w:leader="none"/>
          <w:tab w:pos="2665" w:val="left" w:leader="none"/>
        </w:tabs>
        <w:spacing w:line="235" w:lineRule="auto" w:before="69" w:after="0"/>
        <w:ind w:left="1984" w:right="1246" w:firstLine="0"/>
        <w:jc w:val="left"/>
        <w:rPr>
          <w:sz w:val="20"/>
        </w:rPr>
      </w:pPr>
      <w:r>
        <w:rPr>
          <w:w w:val="120"/>
          <w:sz w:val="20"/>
        </w:rPr>
        <w:t>A quarter of United Reformed churches are in rural communities. The rural  officer supports and equips them to respond to the challenges they face and to share in God’s mission in the countryside. In this work he is supported by the United Reformed Church/Methodist rural strategy group. This group fulfils a vital role in linking the rural officer post to the two denominations, in thinking strategically about rural mission, and in encouraging the post-holder to be accountable. The post and the group are excellent examples of creative and effective ecumenical</w:t>
      </w:r>
      <w:r>
        <w:rPr>
          <w:spacing w:val="10"/>
          <w:w w:val="120"/>
          <w:sz w:val="20"/>
        </w:rPr>
        <w:t> </w:t>
      </w:r>
      <w:r>
        <w:rPr>
          <w:w w:val="120"/>
          <w:sz w:val="20"/>
        </w:rPr>
        <w:t>partnership.</w:t>
      </w:r>
    </w:p>
    <w:p>
      <w:pPr>
        <w:pStyle w:val="BodyText"/>
        <w:spacing w:before="7"/>
        <w:rPr>
          <w:sz w:val="11"/>
        </w:rPr>
      </w:pPr>
    </w:p>
    <w:p>
      <w:pPr>
        <w:spacing w:after="0"/>
        <w:rPr>
          <w:sz w:val="11"/>
        </w:rPr>
        <w:sectPr>
          <w:headerReference w:type="default" r:id="rId491"/>
          <w:pgSz w:w="11910" w:h="16840"/>
          <w:pgMar w:header="0" w:footer="647" w:top="0" w:bottom="840" w:left="0" w:right="0"/>
        </w:sectPr>
      </w:pPr>
    </w:p>
    <w:p>
      <w:pPr>
        <w:pStyle w:val="ListParagraph"/>
        <w:numPr>
          <w:ilvl w:val="1"/>
          <w:numId w:val="107"/>
        </w:numPr>
        <w:tabs>
          <w:tab w:pos="2664" w:val="left" w:leader="none"/>
          <w:tab w:pos="2665" w:val="left" w:leader="none"/>
        </w:tabs>
        <w:spacing w:line="235" w:lineRule="auto" w:before="104" w:after="0"/>
        <w:ind w:left="1984" w:right="0" w:firstLine="0"/>
        <w:jc w:val="left"/>
        <w:rPr>
          <w:sz w:val="20"/>
        </w:rPr>
      </w:pPr>
      <w:r>
        <w:rPr>
          <w:w w:val="120"/>
          <w:sz w:val="20"/>
        </w:rPr>
        <w:t>Creative Leadership in the Rural Church </w:t>
      </w:r>
      <w:r>
        <w:rPr>
          <w:spacing w:val="-3"/>
          <w:w w:val="120"/>
          <w:sz w:val="20"/>
        </w:rPr>
        <w:t>(CLiRC) </w:t>
      </w:r>
      <w:r>
        <w:rPr>
          <w:w w:val="120"/>
          <w:sz w:val="20"/>
        </w:rPr>
        <w:t>completed its pilot programme in </w:t>
      </w:r>
      <w:r>
        <w:rPr>
          <w:spacing w:val="2"/>
          <w:w w:val="120"/>
          <w:sz w:val="20"/>
        </w:rPr>
        <w:t>February </w:t>
      </w:r>
      <w:r>
        <w:rPr>
          <w:spacing w:val="-8"/>
          <w:w w:val="120"/>
          <w:sz w:val="20"/>
        </w:rPr>
        <w:t>2013 </w:t>
      </w:r>
      <w:r>
        <w:rPr>
          <w:w w:val="120"/>
          <w:sz w:val="20"/>
        </w:rPr>
        <w:t>and met its target of attracting </w:t>
      </w:r>
      <w:r>
        <w:rPr>
          <w:spacing w:val="-9"/>
          <w:w w:val="120"/>
          <w:sz w:val="20"/>
        </w:rPr>
        <w:t>15 </w:t>
      </w:r>
      <w:r>
        <w:rPr>
          <w:w w:val="120"/>
          <w:sz w:val="20"/>
        </w:rPr>
        <w:t>ecumenical participants for the </w:t>
      </w:r>
      <w:r>
        <w:rPr>
          <w:spacing w:val="-9"/>
          <w:w w:val="120"/>
          <w:sz w:val="20"/>
        </w:rPr>
        <w:t>2013-15 </w:t>
      </w:r>
      <w:r>
        <w:rPr>
          <w:w w:val="120"/>
          <w:sz w:val="20"/>
        </w:rPr>
        <w:t>programme. CLiRC is an 18-month leadership development programme for lay and</w:t>
      </w:r>
      <w:r>
        <w:rPr>
          <w:spacing w:val="2"/>
          <w:w w:val="120"/>
          <w:sz w:val="20"/>
        </w:rPr>
        <w:t> </w:t>
      </w:r>
      <w:r>
        <w:rPr>
          <w:w w:val="120"/>
          <w:sz w:val="20"/>
        </w:rPr>
        <w:t>ordained</w:t>
      </w:r>
    </w:p>
    <w:p>
      <w:pPr>
        <w:spacing w:before="168"/>
        <w:ind w:left="268" w:right="0" w:firstLine="0"/>
        <w:jc w:val="left"/>
        <w:rPr>
          <w:b/>
          <w:sz w:val="29"/>
        </w:rPr>
      </w:pPr>
      <w:r>
        <w:rPr/>
        <w:br w:type="column"/>
      </w:r>
      <w:r>
        <w:rPr/>
        <w:drawing>
          <wp:inline distT="0" distB="0" distL="0" distR="0">
            <wp:extent cx="199516" cy="521601"/>
            <wp:effectExtent l="0" t="0" r="0" b="0"/>
            <wp:docPr id="395" name="image64.png"/>
            <wp:cNvGraphicFramePr>
              <a:graphicFrameLocks noChangeAspect="1"/>
            </wp:cNvGraphicFramePr>
            <a:graphic>
              <a:graphicData uri="http://schemas.openxmlformats.org/drawingml/2006/picture">
                <pic:pic>
                  <pic:nvPicPr>
                    <pic:cNvPr id="396" name="image64.png"/>
                    <pic:cNvPicPr/>
                  </pic:nvPicPr>
                  <pic:blipFill>
                    <a:blip r:embed="rId492" cstate="print"/>
                    <a:stretch>
                      <a:fillRect/>
                    </a:stretch>
                  </pic:blipFill>
                  <pic:spPr>
                    <a:xfrm>
                      <a:off x="0" y="0"/>
                      <a:ext cx="199516" cy="521601"/>
                    </a:xfrm>
                    <a:prstGeom prst="rect">
                      <a:avLst/>
                    </a:prstGeom>
                  </pic:spPr>
                </pic:pic>
              </a:graphicData>
            </a:graphic>
          </wp:inline>
        </w:drawing>
      </w:r>
      <w:r>
        <w:rPr/>
      </w:r>
      <w:r>
        <w:rPr>
          <w:rFonts w:ascii="Times New Roman"/>
          <w:spacing w:val="22"/>
          <w:sz w:val="20"/>
        </w:rPr>
        <w:t> </w:t>
      </w:r>
      <w:r>
        <w:rPr>
          <w:b/>
          <w:color w:val="FF3300"/>
          <w:w w:val="110"/>
          <w:sz w:val="29"/>
        </w:rPr>
        <w:t>Ecumenical</w:t>
      </w:r>
      <w:r>
        <w:rPr>
          <w:b/>
          <w:color w:val="FF3300"/>
          <w:spacing w:val="-2"/>
          <w:w w:val="110"/>
          <w:sz w:val="29"/>
        </w:rPr>
        <w:t> </w:t>
      </w:r>
      <w:r>
        <w:rPr>
          <w:b/>
          <w:color w:val="FF3300"/>
          <w:w w:val="110"/>
          <w:sz w:val="29"/>
        </w:rPr>
        <w:t>Partnerships</w:t>
      </w:r>
    </w:p>
    <w:p>
      <w:pPr>
        <w:spacing w:after="0"/>
        <w:jc w:val="left"/>
        <w:rPr>
          <w:sz w:val="29"/>
        </w:rPr>
        <w:sectPr>
          <w:type w:val="continuous"/>
          <w:pgSz w:w="11910" w:h="16840"/>
          <w:pgMar w:top="680" w:bottom="280" w:left="0" w:right="0"/>
          <w:cols w:num="2" w:equalWidth="0">
            <w:col w:w="6587" w:space="40"/>
            <w:col w:w="5283"/>
          </w:cols>
        </w:sectPr>
      </w:pPr>
    </w:p>
    <w:p>
      <w:pPr>
        <w:pStyle w:val="BodyText"/>
        <w:spacing w:line="242" w:lineRule="exact" w:before="1"/>
        <w:ind w:left="1984"/>
      </w:pPr>
      <w:r>
        <w:rPr>
          <w:w w:val="120"/>
        </w:rPr>
        <w:t>leaders in the rural church and the rural officer has acted as programme director.</w:t>
      </w:r>
    </w:p>
    <w:p>
      <w:pPr>
        <w:pStyle w:val="BodyText"/>
        <w:spacing w:line="235" w:lineRule="auto" w:before="2"/>
        <w:ind w:left="1984" w:right="1701"/>
      </w:pPr>
      <w:r>
        <w:rPr>
          <w:w w:val="120"/>
        </w:rPr>
        <w:t>A dynamic ecumenical partnership, its outcomes include leaders better equipped to lead communities in addressing all 10 </w:t>
      </w:r>
      <w:r>
        <w:rPr>
          <w:i/>
          <w:w w:val="120"/>
        </w:rPr>
        <w:t>vision2020 </w:t>
      </w:r>
      <w:r>
        <w:rPr>
          <w:w w:val="120"/>
        </w:rPr>
        <w:t>statements.</w:t>
      </w:r>
    </w:p>
    <w:p>
      <w:pPr>
        <w:pStyle w:val="BodyText"/>
        <w:spacing w:before="9"/>
        <w:rPr>
          <w:sz w:val="19"/>
        </w:rPr>
      </w:pPr>
    </w:p>
    <w:p>
      <w:pPr>
        <w:pStyle w:val="ListParagraph"/>
        <w:numPr>
          <w:ilvl w:val="1"/>
          <w:numId w:val="107"/>
        </w:numPr>
        <w:tabs>
          <w:tab w:pos="2664" w:val="left" w:leader="none"/>
          <w:tab w:pos="2665" w:val="left" w:leader="none"/>
        </w:tabs>
        <w:spacing w:line="235" w:lineRule="auto" w:before="0" w:after="0"/>
        <w:ind w:left="1984" w:right="1292" w:firstLine="0"/>
        <w:jc w:val="left"/>
        <w:rPr>
          <w:sz w:val="20"/>
        </w:rPr>
      </w:pPr>
      <w:r>
        <w:rPr>
          <w:w w:val="120"/>
          <w:sz w:val="20"/>
        </w:rPr>
        <w:t>The MA in rural mission and ministry, developed in partnership with the York Institute for Community Theology and York St John University, was put on hold whilst a new home for it was sought; the York Institute is closing in </w:t>
      </w:r>
      <w:r>
        <w:rPr>
          <w:spacing w:val="-6"/>
          <w:w w:val="120"/>
          <w:sz w:val="20"/>
        </w:rPr>
        <w:t>2014. </w:t>
      </w:r>
      <w:r>
        <w:rPr>
          <w:w w:val="120"/>
          <w:sz w:val="20"/>
        </w:rPr>
        <w:t>Cliff College has also developed an MA in rural mission and the York MA has fed into this. These programmes are</w:t>
      </w:r>
      <w:r>
        <w:rPr>
          <w:spacing w:val="8"/>
          <w:w w:val="120"/>
          <w:sz w:val="20"/>
        </w:rPr>
        <w:t> </w:t>
      </w:r>
      <w:r>
        <w:rPr>
          <w:w w:val="120"/>
          <w:sz w:val="20"/>
        </w:rPr>
        <w:t>designed</w:t>
      </w:r>
      <w:r>
        <w:rPr>
          <w:spacing w:val="9"/>
          <w:w w:val="120"/>
          <w:sz w:val="20"/>
        </w:rPr>
        <w:t> </w:t>
      </w:r>
      <w:r>
        <w:rPr>
          <w:w w:val="120"/>
          <w:sz w:val="20"/>
        </w:rPr>
        <w:t>to</w:t>
      </w:r>
      <w:r>
        <w:rPr>
          <w:spacing w:val="9"/>
          <w:w w:val="120"/>
          <w:sz w:val="20"/>
        </w:rPr>
        <w:t> </w:t>
      </w:r>
      <w:r>
        <w:rPr>
          <w:w w:val="120"/>
          <w:sz w:val="20"/>
        </w:rPr>
        <w:t>resource</w:t>
      </w:r>
      <w:r>
        <w:rPr>
          <w:spacing w:val="9"/>
          <w:w w:val="120"/>
          <w:sz w:val="20"/>
        </w:rPr>
        <w:t> </w:t>
      </w:r>
      <w:r>
        <w:rPr>
          <w:w w:val="120"/>
          <w:sz w:val="20"/>
        </w:rPr>
        <w:t>people</w:t>
      </w:r>
      <w:r>
        <w:rPr>
          <w:spacing w:val="8"/>
          <w:w w:val="120"/>
          <w:sz w:val="20"/>
        </w:rPr>
        <w:t> </w:t>
      </w:r>
      <w:r>
        <w:rPr>
          <w:w w:val="120"/>
          <w:sz w:val="20"/>
        </w:rPr>
        <w:t>engaged</w:t>
      </w:r>
      <w:r>
        <w:rPr>
          <w:spacing w:val="9"/>
          <w:w w:val="120"/>
          <w:sz w:val="20"/>
        </w:rPr>
        <w:t> </w:t>
      </w:r>
      <w:r>
        <w:rPr>
          <w:w w:val="120"/>
          <w:sz w:val="20"/>
        </w:rPr>
        <w:t>in</w:t>
      </w:r>
      <w:r>
        <w:rPr>
          <w:spacing w:val="9"/>
          <w:w w:val="120"/>
          <w:sz w:val="20"/>
        </w:rPr>
        <w:t> </w:t>
      </w:r>
      <w:r>
        <w:rPr>
          <w:w w:val="120"/>
          <w:sz w:val="20"/>
        </w:rPr>
        <w:t>mission</w:t>
      </w:r>
      <w:r>
        <w:rPr>
          <w:spacing w:val="9"/>
          <w:w w:val="120"/>
          <w:sz w:val="20"/>
        </w:rPr>
        <w:t> </w:t>
      </w:r>
      <w:r>
        <w:rPr>
          <w:w w:val="120"/>
          <w:sz w:val="20"/>
        </w:rPr>
        <w:t>and</w:t>
      </w:r>
      <w:r>
        <w:rPr>
          <w:spacing w:val="9"/>
          <w:w w:val="120"/>
          <w:sz w:val="20"/>
        </w:rPr>
        <w:t> </w:t>
      </w:r>
      <w:r>
        <w:rPr>
          <w:w w:val="120"/>
          <w:sz w:val="20"/>
        </w:rPr>
        <w:t>ministry</w:t>
      </w:r>
      <w:r>
        <w:rPr>
          <w:spacing w:val="8"/>
          <w:w w:val="120"/>
          <w:sz w:val="20"/>
        </w:rPr>
        <w:t> </w:t>
      </w:r>
      <w:r>
        <w:rPr>
          <w:w w:val="120"/>
          <w:sz w:val="20"/>
        </w:rPr>
        <w:t>in</w:t>
      </w:r>
      <w:r>
        <w:rPr>
          <w:spacing w:val="9"/>
          <w:w w:val="120"/>
          <w:sz w:val="20"/>
        </w:rPr>
        <w:t> </w:t>
      </w:r>
      <w:r>
        <w:rPr>
          <w:w w:val="120"/>
          <w:sz w:val="20"/>
        </w:rPr>
        <w:t>rural</w:t>
      </w:r>
      <w:r>
        <w:rPr>
          <w:spacing w:val="9"/>
          <w:w w:val="120"/>
          <w:sz w:val="20"/>
        </w:rPr>
        <w:t> </w:t>
      </w:r>
      <w:r>
        <w:rPr>
          <w:w w:val="120"/>
          <w:sz w:val="20"/>
        </w:rPr>
        <w:t>communities.</w:t>
      </w:r>
    </w:p>
    <w:p>
      <w:pPr>
        <w:pStyle w:val="BodyText"/>
      </w:pPr>
    </w:p>
    <w:p>
      <w:pPr>
        <w:pStyle w:val="ListParagraph"/>
        <w:numPr>
          <w:ilvl w:val="1"/>
          <w:numId w:val="107"/>
        </w:numPr>
        <w:tabs>
          <w:tab w:pos="2665" w:val="left" w:leader="none"/>
        </w:tabs>
        <w:spacing w:line="235" w:lineRule="auto" w:before="0" w:after="0"/>
        <w:ind w:left="1984" w:right="1501" w:firstLine="0"/>
        <w:jc w:val="both"/>
        <w:rPr>
          <w:sz w:val="20"/>
        </w:rPr>
      </w:pPr>
      <w:r>
        <w:rPr>
          <w:w w:val="120"/>
          <w:sz w:val="20"/>
        </w:rPr>
        <w:t>A response is still awaited from the Heritage Lottery Fund to the first stage of a research project developed with the Plunkett Foundation, the Church of England and the Centre for Rural Economy at Newcastle University, exploring whether the creative and extended use of church premises makes them more sustainable and supports the Churches’</w:t>
      </w:r>
      <w:r>
        <w:rPr>
          <w:spacing w:val="2"/>
          <w:w w:val="120"/>
          <w:sz w:val="20"/>
        </w:rPr>
        <w:t> </w:t>
      </w:r>
      <w:r>
        <w:rPr>
          <w:w w:val="120"/>
          <w:sz w:val="20"/>
        </w:rPr>
        <w:t>mission.</w:t>
      </w:r>
    </w:p>
    <w:p>
      <w:pPr>
        <w:pStyle w:val="BodyText"/>
        <w:spacing w:before="5"/>
        <w:rPr>
          <w:sz w:val="11"/>
        </w:rPr>
      </w:pPr>
    </w:p>
    <w:p>
      <w:pPr>
        <w:spacing w:after="0"/>
        <w:rPr>
          <w:sz w:val="11"/>
        </w:rPr>
        <w:sectPr>
          <w:type w:val="continuous"/>
          <w:pgSz w:w="11910" w:h="16840"/>
          <w:pgMar w:top="680" w:bottom="280" w:left="0" w:right="0"/>
        </w:sectPr>
      </w:pPr>
    </w:p>
    <w:p>
      <w:pPr>
        <w:pStyle w:val="ListParagraph"/>
        <w:numPr>
          <w:ilvl w:val="1"/>
          <w:numId w:val="107"/>
        </w:numPr>
        <w:tabs>
          <w:tab w:pos="2664" w:val="left" w:leader="none"/>
          <w:tab w:pos="2665" w:val="left" w:leader="none"/>
        </w:tabs>
        <w:spacing w:line="235" w:lineRule="auto" w:before="104" w:after="0"/>
        <w:ind w:left="1984" w:right="0" w:firstLine="0"/>
        <w:jc w:val="left"/>
        <w:rPr>
          <w:sz w:val="20"/>
        </w:rPr>
      </w:pPr>
      <w:r>
        <w:rPr>
          <w:w w:val="120"/>
          <w:sz w:val="20"/>
        </w:rPr>
        <w:t>In partnership with the Lincolnshire District of the Methodist Church the ruraI officer has worked on a five year strategy (from </w:t>
      </w:r>
      <w:r>
        <w:rPr>
          <w:spacing w:val="-8"/>
          <w:w w:val="120"/>
          <w:sz w:val="20"/>
        </w:rPr>
        <w:t>2012) </w:t>
      </w:r>
      <w:r>
        <w:rPr>
          <w:w w:val="120"/>
          <w:sz w:val="20"/>
        </w:rPr>
        <w:t>to influence the behaviour of the Methodist people with regard to food. A steering group has formed and a fringe meeting was held at Methodist Conference</w:t>
      </w:r>
      <w:r>
        <w:rPr>
          <w:spacing w:val="38"/>
          <w:w w:val="120"/>
          <w:sz w:val="20"/>
        </w:rPr>
        <w:t> </w:t>
      </w:r>
      <w:r>
        <w:rPr>
          <w:spacing w:val="-7"/>
          <w:w w:val="120"/>
          <w:sz w:val="20"/>
        </w:rPr>
        <w:t>2012, </w:t>
      </w:r>
      <w:r>
        <w:rPr>
          <w:w w:val="120"/>
          <w:sz w:val="20"/>
        </w:rPr>
        <w:t>followed</w:t>
      </w:r>
    </w:p>
    <w:p>
      <w:pPr>
        <w:pStyle w:val="Heading4"/>
        <w:spacing w:before="104"/>
        <w:ind w:left="138" w:firstLine="0"/>
        <w:rPr>
          <w:rFonts w:ascii="Calibri"/>
        </w:rPr>
      </w:pPr>
      <w:r>
        <w:rPr>
          <w:b w:val="0"/>
        </w:rPr>
        <w:br w:type="column"/>
      </w:r>
      <w:r>
        <w:rPr>
          <w:b w:val="0"/>
        </w:rPr>
        <w:drawing>
          <wp:inline distT="0" distB="0" distL="0" distR="0">
            <wp:extent cx="199529" cy="521614"/>
            <wp:effectExtent l="0" t="0" r="0" b="0"/>
            <wp:docPr id="397" name="image65.png"/>
            <wp:cNvGraphicFramePr>
              <a:graphicFrameLocks noChangeAspect="1"/>
            </wp:cNvGraphicFramePr>
            <a:graphic>
              <a:graphicData uri="http://schemas.openxmlformats.org/drawingml/2006/picture">
                <pic:pic>
                  <pic:nvPicPr>
                    <pic:cNvPr id="398" name="image65.png"/>
                    <pic:cNvPicPr/>
                  </pic:nvPicPr>
                  <pic:blipFill>
                    <a:blip r:embed="rId493" cstate="print"/>
                    <a:stretch>
                      <a:fillRect/>
                    </a:stretch>
                  </pic:blipFill>
                  <pic:spPr>
                    <a:xfrm>
                      <a:off x="0" y="0"/>
                      <a:ext cx="199529" cy="521614"/>
                    </a:xfrm>
                    <a:prstGeom prst="rect">
                      <a:avLst/>
                    </a:prstGeom>
                  </pic:spPr>
                </pic:pic>
              </a:graphicData>
            </a:graphic>
          </wp:inline>
        </w:drawing>
      </w:r>
      <w:r>
        <w:rPr>
          <w:b w:val="0"/>
        </w:rPr>
      </w:r>
      <w:r>
        <w:rPr>
          <w:rFonts w:ascii="Times New Roman"/>
          <w:b w:val="0"/>
          <w:spacing w:val="22"/>
          <w:sz w:val="20"/>
        </w:rPr>
        <w:t> </w:t>
      </w:r>
      <w:r>
        <w:rPr>
          <w:rFonts w:ascii="Calibri"/>
          <w:color w:val="FF3300"/>
          <w:w w:val="110"/>
        </w:rPr>
        <w:t>Evangelism</w:t>
      </w:r>
    </w:p>
    <w:p>
      <w:pPr>
        <w:spacing w:after="0"/>
        <w:rPr>
          <w:rFonts w:ascii="Calibri"/>
        </w:rPr>
        <w:sectPr>
          <w:type w:val="continuous"/>
          <w:pgSz w:w="11910" w:h="16840"/>
          <w:pgMar w:top="680" w:bottom="280" w:left="0" w:right="0"/>
          <w:cols w:num="2" w:equalWidth="0">
            <w:col w:w="8406" w:space="40"/>
            <w:col w:w="3464"/>
          </w:cols>
        </w:sectPr>
      </w:pPr>
    </w:p>
    <w:p>
      <w:pPr>
        <w:pStyle w:val="BodyText"/>
        <w:spacing w:line="235" w:lineRule="auto" w:before="4"/>
        <w:ind w:left="1984" w:right="1414"/>
      </w:pPr>
      <w:r>
        <w:rPr/>
        <w:drawing>
          <wp:anchor distT="0" distB="0" distL="0" distR="0" allowOverlap="1" layoutInCell="1" locked="0" behindDoc="0" simplePos="0" relativeHeight="252167168">
            <wp:simplePos x="0" y="0"/>
            <wp:positionH relativeFrom="page">
              <wp:posOffset>6974928</wp:posOffset>
            </wp:positionH>
            <wp:positionV relativeFrom="page">
              <wp:posOffset>0</wp:posOffset>
            </wp:positionV>
            <wp:extent cx="585063" cy="10692003"/>
            <wp:effectExtent l="0" t="0" r="0" b="0"/>
            <wp:wrapNone/>
            <wp:docPr id="399" name="image30.png"/>
            <wp:cNvGraphicFramePr>
              <a:graphicFrameLocks noChangeAspect="1"/>
            </wp:cNvGraphicFramePr>
            <a:graphic>
              <a:graphicData uri="http://schemas.openxmlformats.org/drawingml/2006/picture">
                <pic:pic>
                  <pic:nvPicPr>
                    <pic:cNvPr id="400" name="image30.png"/>
                    <pic:cNvPicPr/>
                  </pic:nvPicPr>
                  <pic:blipFill>
                    <a:blip r:embed="rId357" cstate="print"/>
                    <a:stretch>
                      <a:fillRect/>
                    </a:stretch>
                  </pic:blipFill>
                  <pic:spPr>
                    <a:xfrm>
                      <a:off x="0" y="0"/>
                      <a:ext cx="585063" cy="10692003"/>
                    </a:xfrm>
                    <a:prstGeom prst="rect">
                      <a:avLst/>
                    </a:prstGeom>
                  </pic:spPr>
                </pic:pic>
              </a:graphicData>
            </a:graphic>
          </wp:anchor>
        </w:drawing>
      </w:r>
      <w:r>
        <w:rPr>
          <w:w w:val="120"/>
        </w:rPr>
        <w:t>by a very successful day seminar in October 2013 “Hungry World: Generous God”. There may be opportunity for the United Reformed Church to share in this initiative, addressing issues of justice, peace and the integrity of creation.</w:t>
      </w:r>
    </w:p>
    <w:p>
      <w:pPr>
        <w:spacing w:after="0" w:line="235" w:lineRule="auto"/>
        <w:sectPr>
          <w:type w:val="continuous"/>
          <w:pgSz w:w="11910" w:h="16840"/>
          <w:pgMar w:top="680" w:bottom="280" w:left="0" w:right="0"/>
        </w:sectPr>
      </w:pPr>
    </w:p>
    <w:p>
      <w:pPr>
        <w:pStyle w:val="BodyText"/>
      </w:pPr>
    </w:p>
    <w:p>
      <w:pPr>
        <w:pStyle w:val="BodyText"/>
        <w:spacing w:before="7"/>
        <w:rPr>
          <w:sz w:val="21"/>
        </w:rPr>
      </w:pPr>
    </w:p>
    <w:p>
      <w:pPr>
        <w:spacing w:after="0"/>
        <w:rPr>
          <w:sz w:val="21"/>
        </w:rPr>
        <w:sectPr>
          <w:headerReference w:type="even" r:id="rId494"/>
          <w:footerReference w:type="even" r:id="rId495"/>
          <w:footerReference w:type="default" r:id="rId496"/>
          <w:pgSz w:w="11910" w:h="16840"/>
          <w:pgMar w:header="0" w:footer="647" w:top="0" w:bottom="840" w:left="0" w:right="0"/>
          <w:pgNumType w:start="202"/>
        </w:sectPr>
      </w:pPr>
    </w:p>
    <w:p>
      <w:pPr>
        <w:pStyle w:val="Heading5"/>
      </w:pPr>
      <w:r>
        <w:rPr/>
        <w:pict>
          <v:shape style="position:absolute;margin-left:20.519100pt;margin-top:22.593945pt;width:25.9pt;height:78.850pt;mso-position-horizontal-relative:page;mso-position-vertical-relative:paragraph;z-index:252170240" type="#_x0000_t202" filled="false" stroked="false">
            <v:textbox inset="0,0,0,0" style="layout-flow:vertical">
              <w:txbxContent>
                <w:p>
                  <w:pPr>
                    <w:spacing w:before="27"/>
                    <w:ind w:left="20" w:right="0" w:firstLine="0"/>
                    <w:jc w:val="left"/>
                    <w:rPr>
                      <w:sz w:val="39"/>
                    </w:rPr>
                  </w:pPr>
                  <w:r>
                    <w:rPr>
                      <w:color w:val="FFFFFF"/>
                      <w:w w:val="115"/>
                      <w:sz w:val="39"/>
                    </w:rPr>
                    <w:t>Mission</w:t>
                  </w:r>
                </w:p>
              </w:txbxContent>
            </v:textbox>
            <w10:wrap type="none"/>
          </v:shape>
        </w:pict>
      </w:r>
      <w:r>
        <w:rPr>
          <w:color w:val="7EAABF"/>
          <w:w w:val="115"/>
        </w:rPr>
        <w:t>Mission</w:t>
      </w:r>
    </w:p>
    <w:p>
      <w:pPr>
        <w:pStyle w:val="ListParagraph"/>
        <w:numPr>
          <w:ilvl w:val="1"/>
          <w:numId w:val="107"/>
        </w:numPr>
        <w:tabs>
          <w:tab w:pos="1927" w:val="left" w:leader="none"/>
          <w:tab w:pos="1928" w:val="left" w:leader="none"/>
        </w:tabs>
        <w:spacing w:line="235" w:lineRule="auto" w:before="222" w:after="0"/>
        <w:ind w:left="1247" w:right="257" w:firstLine="0"/>
        <w:jc w:val="left"/>
        <w:rPr>
          <w:sz w:val="20"/>
        </w:rPr>
      </w:pPr>
      <w:r>
        <w:rPr>
          <w:w w:val="120"/>
          <w:sz w:val="20"/>
        </w:rPr>
        <w:t>An URCLE (United Reformed Church learning environment) rural network has been initiated and has the potential to develop into an ecumenical</w:t>
      </w:r>
      <w:r>
        <w:rPr>
          <w:spacing w:val="15"/>
          <w:w w:val="120"/>
          <w:sz w:val="20"/>
        </w:rPr>
        <w:t> </w:t>
      </w:r>
      <w:r>
        <w:rPr>
          <w:w w:val="120"/>
          <w:sz w:val="20"/>
        </w:rPr>
        <w:t>rural</w:t>
      </w:r>
    </w:p>
    <w:p>
      <w:pPr>
        <w:pStyle w:val="BodyText"/>
        <w:spacing w:line="235" w:lineRule="auto" w:before="2"/>
        <w:ind w:left="1247"/>
      </w:pPr>
      <w:r>
        <w:rPr>
          <w:w w:val="120"/>
        </w:rPr>
        <w:t>virtual network, seeking to strengthen mission, identity and communication.</w:t>
      </w:r>
    </w:p>
    <w:p>
      <w:pPr>
        <w:spacing w:before="600"/>
        <w:ind w:left="275" w:right="0" w:firstLine="0"/>
        <w:jc w:val="left"/>
        <w:rPr>
          <w:b/>
          <w:sz w:val="29"/>
        </w:rPr>
      </w:pPr>
      <w:r>
        <w:rPr/>
        <w:br w:type="column"/>
      </w:r>
      <w:r>
        <w:rPr/>
        <w:drawing>
          <wp:inline distT="0" distB="0" distL="0" distR="0">
            <wp:extent cx="199516" cy="521614"/>
            <wp:effectExtent l="0" t="0" r="0" b="0"/>
            <wp:docPr id="401" name="image66.png"/>
            <wp:cNvGraphicFramePr>
              <a:graphicFrameLocks noChangeAspect="1"/>
            </wp:cNvGraphicFramePr>
            <a:graphic>
              <a:graphicData uri="http://schemas.openxmlformats.org/drawingml/2006/picture">
                <pic:pic>
                  <pic:nvPicPr>
                    <pic:cNvPr id="402" name="image66.png"/>
                    <pic:cNvPicPr/>
                  </pic:nvPicPr>
                  <pic:blipFill>
                    <a:blip r:embed="rId497" cstate="print"/>
                    <a:stretch>
                      <a:fillRect/>
                    </a:stretch>
                  </pic:blipFill>
                  <pic:spPr>
                    <a:xfrm>
                      <a:off x="0" y="0"/>
                      <a:ext cx="199516" cy="521614"/>
                    </a:xfrm>
                    <a:prstGeom prst="rect">
                      <a:avLst/>
                    </a:prstGeom>
                  </pic:spPr>
                </pic:pic>
              </a:graphicData>
            </a:graphic>
          </wp:inline>
        </w:drawing>
      </w:r>
      <w:r>
        <w:rPr/>
      </w:r>
      <w:r>
        <w:rPr>
          <w:rFonts w:ascii="Times New Roman"/>
          <w:spacing w:val="22"/>
          <w:sz w:val="20"/>
        </w:rPr>
        <w:t> </w:t>
      </w:r>
      <w:r>
        <w:rPr>
          <w:b/>
          <w:color w:val="FF3300"/>
          <w:w w:val="110"/>
          <w:sz w:val="29"/>
        </w:rPr>
        <w:t>The integrity of</w:t>
      </w:r>
      <w:r>
        <w:rPr>
          <w:b/>
          <w:color w:val="FF3300"/>
          <w:spacing w:val="-2"/>
          <w:w w:val="110"/>
          <w:sz w:val="29"/>
        </w:rPr>
        <w:t> </w:t>
      </w:r>
      <w:r>
        <w:rPr>
          <w:b/>
          <w:color w:val="FF3300"/>
          <w:w w:val="110"/>
          <w:sz w:val="29"/>
        </w:rPr>
        <w:t>creation</w:t>
      </w:r>
    </w:p>
    <w:p>
      <w:pPr>
        <w:spacing w:after="0"/>
        <w:jc w:val="left"/>
        <w:rPr>
          <w:sz w:val="29"/>
        </w:rPr>
        <w:sectPr>
          <w:type w:val="continuous"/>
          <w:pgSz w:w="11910" w:h="16840"/>
          <w:pgMar w:top="680" w:bottom="280" w:left="0" w:right="0"/>
          <w:cols w:num="2" w:equalWidth="0">
            <w:col w:w="6715" w:space="40"/>
            <w:col w:w="5155"/>
          </w:cols>
        </w:sectPr>
      </w:pPr>
    </w:p>
    <w:p>
      <w:pPr>
        <w:pStyle w:val="BodyText"/>
        <w:spacing w:before="3"/>
        <w:rPr>
          <w:b/>
          <w:sz w:val="11"/>
        </w:rPr>
      </w:pPr>
    </w:p>
    <w:p>
      <w:pPr>
        <w:pStyle w:val="ListParagraph"/>
        <w:numPr>
          <w:ilvl w:val="1"/>
          <w:numId w:val="107"/>
        </w:numPr>
        <w:tabs>
          <w:tab w:pos="1927" w:val="left" w:leader="none"/>
          <w:tab w:pos="1928" w:val="left" w:leader="none"/>
        </w:tabs>
        <w:spacing w:line="235" w:lineRule="auto" w:before="104" w:after="0"/>
        <w:ind w:left="1247" w:right="2095" w:firstLine="0"/>
        <w:jc w:val="left"/>
        <w:rPr>
          <w:sz w:val="20"/>
        </w:rPr>
      </w:pPr>
      <w:r>
        <w:rPr>
          <w:w w:val="120"/>
          <w:sz w:val="20"/>
        </w:rPr>
        <w:t>Four students from the Cambridge Theological Federation (CTF) were recruited in October </w:t>
      </w:r>
      <w:r>
        <w:rPr>
          <w:spacing w:val="-8"/>
          <w:w w:val="120"/>
          <w:sz w:val="20"/>
        </w:rPr>
        <w:t>2013 </w:t>
      </w:r>
      <w:r>
        <w:rPr>
          <w:w w:val="120"/>
          <w:sz w:val="20"/>
        </w:rPr>
        <w:t>for the CTF’s rural social context placement – an</w:t>
      </w:r>
      <w:r>
        <w:rPr>
          <w:spacing w:val="32"/>
          <w:w w:val="120"/>
          <w:sz w:val="20"/>
        </w:rPr>
        <w:t> </w:t>
      </w:r>
      <w:r>
        <w:rPr>
          <w:w w:val="120"/>
          <w:sz w:val="20"/>
        </w:rPr>
        <w:t>outward-facing</w:t>
      </w:r>
    </w:p>
    <w:p>
      <w:pPr>
        <w:pStyle w:val="BodyText"/>
        <w:spacing w:line="235" w:lineRule="auto" w:before="1"/>
        <w:ind w:left="1247" w:right="2004"/>
      </w:pPr>
      <w:r>
        <w:rPr>
          <w:w w:val="120"/>
        </w:rPr>
        <w:t>one-week placement seeking to understand context better. At the Arthur Rank Centre the rural ministry course was delivered twice a year for those new to, or returning to, rural ministry.</w:t>
      </w:r>
    </w:p>
    <w:p>
      <w:pPr>
        <w:pStyle w:val="BodyText"/>
        <w:spacing w:before="5"/>
        <w:rPr>
          <w:sz w:val="11"/>
        </w:rPr>
      </w:pPr>
    </w:p>
    <w:p>
      <w:pPr>
        <w:spacing w:after="0"/>
        <w:rPr>
          <w:sz w:val="11"/>
        </w:rPr>
        <w:sectPr>
          <w:type w:val="continuous"/>
          <w:pgSz w:w="11910" w:h="16840"/>
          <w:pgMar w:top="680" w:bottom="280" w:left="0" w:right="0"/>
        </w:sectPr>
      </w:pPr>
    </w:p>
    <w:p>
      <w:pPr>
        <w:pStyle w:val="ListParagraph"/>
        <w:numPr>
          <w:ilvl w:val="1"/>
          <w:numId w:val="107"/>
        </w:numPr>
        <w:tabs>
          <w:tab w:pos="1927" w:val="left" w:leader="none"/>
          <w:tab w:pos="1928" w:val="left" w:leader="none"/>
        </w:tabs>
        <w:spacing w:line="235" w:lineRule="auto" w:before="103" w:after="0"/>
        <w:ind w:left="1247" w:right="0" w:firstLine="0"/>
        <w:jc w:val="left"/>
        <w:rPr>
          <w:sz w:val="20"/>
        </w:rPr>
      </w:pPr>
      <w:r>
        <w:rPr>
          <w:w w:val="120"/>
          <w:sz w:val="20"/>
        </w:rPr>
        <w:t>Having been closely involved in the development of the ecumenical rural development enabler post for the Peak District National Park, the rural officer then became a member of the management group. He has continued to fulfil duties as a trustee of the farming</w:t>
      </w:r>
      <w:r>
        <w:rPr>
          <w:spacing w:val="3"/>
          <w:w w:val="120"/>
          <w:sz w:val="20"/>
        </w:rPr>
        <w:t> </w:t>
      </w:r>
      <w:r>
        <w:rPr>
          <w:w w:val="120"/>
          <w:sz w:val="20"/>
        </w:rPr>
        <w:t>community</w:t>
      </w:r>
    </w:p>
    <w:p>
      <w:pPr>
        <w:spacing w:before="45"/>
        <w:ind w:left="167" w:right="0" w:firstLine="0"/>
        <w:jc w:val="left"/>
        <w:rPr>
          <w:b/>
          <w:sz w:val="29"/>
        </w:rPr>
      </w:pPr>
      <w:r>
        <w:rPr/>
        <w:br w:type="column"/>
      </w:r>
      <w:r>
        <w:rPr/>
        <w:drawing>
          <wp:inline distT="0" distB="0" distL="0" distR="0">
            <wp:extent cx="199529" cy="521601"/>
            <wp:effectExtent l="0" t="0" r="0" b="0"/>
            <wp:docPr id="403" name="image67.png"/>
            <wp:cNvGraphicFramePr>
              <a:graphicFrameLocks noChangeAspect="1"/>
            </wp:cNvGraphicFramePr>
            <a:graphic>
              <a:graphicData uri="http://schemas.openxmlformats.org/drawingml/2006/picture">
                <pic:pic>
                  <pic:nvPicPr>
                    <pic:cNvPr id="404" name="image67.png"/>
                    <pic:cNvPicPr/>
                  </pic:nvPicPr>
                  <pic:blipFill>
                    <a:blip r:embed="rId498" cstate="print"/>
                    <a:stretch>
                      <a:fillRect/>
                    </a:stretch>
                  </pic:blipFill>
                  <pic:spPr>
                    <a:xfrm>
                      <a:off x="0" y="0"/>
                      <a:ext cx="199529" cy="521601"/>
                    </a:xfrm>
                    <a:prstGeom prst="rect">
                      <a:avLst/>
                    </a:prstGeom>
                  </pic:spPr>
                </pic:pic>
              </a:graphicData>
            </a:graphic>
          </wp:inline>
        </w:drawing>
      </w:r>
      <w:r>
        <w:rPr/>
      </w:r>
      <w:r>
        <w:rPr>
          <w:rFonts w:ascii="Times New Roman"/>
          <w:spacing w:val="22"/>
          <w:sz w:val="20"/>
        </w:rPr>
        <w:t> </w:t>
      </w:r>
      <w:r>
        <w:rPr>
          <w:b/>
          <w:color w:val="FF3300"/>
          <w:w w:val="110"/>
          <w:sz w:val="29"/>
        </w:rPr>
        <w:t>Community</w:t>
      </w:r>
      <w:r>
        <w:rPr>
          <w:b/>
          <w:color w:val="FF3300"/>
          <w:spacing w:val="-1"/>
          <w:w w:val="110"/>
          <w:sz w:val="29"/>
        </w:rPr>
        <w:t> </w:t>
      </w:r>
      <w:r>
        <w:rPr>
          <w:b/>
          <w:color w:val="FF3300"/>
          <w:w w:val="110"/>
          <w:sz w:val="29"/>
        </w:rPr>
        <w:t>partnerships</w:t>
      </w:r>
    </w:p>
    <w:p>
      <w:pPr>
        <w:spacing w:after="0"/>
        <w:jc w:val="left"/>
        <w:rPr>
          <w:sz w:val="29"/>
        </w:rPr>
        <w:sectPr>
          <w:type w:val="continuous"/>
          <w:pgSz w:w="11910" w:h="16840"/>
          <w:pgMar w:top="680" w:bottom="280" w:left="0" w:right="0"/>
          <w:cols w:num="2" w:equalWidth="0">
            <w:col w:w="6908" w:space="40"/>
            <w:col w:w="4962"/>
          </w:cols>
        </w:sectPr>
      </w:pPr>
    </w:p>
    <w:p>
      <w:pPr>
        <w:pStyle w:val="BodyText"/>
        <w:spacing w:line="235" w:lineRule="auto" w:before="4"/>
        <w:ind w:left="1247" w:right="2412"/>
      </w:pPr>
      <w:r>
        <w:rPr/>
        <w:drawing>
          <wp:anchor distT="0" distB="0" distL="0" distR="0" allowOverlap="1" layoutInCell="1" locked="0" behindDoc="0" simplePos="0" relativeHeight="252169216">
            <wp:simplePos x="0" y="0"/>
            <wp:positionH relativeFrom="page">
              <wp:posOffset>0</wp:posOffset>
            </wp:positionH>
            <wp:positionV relativeFrom="page">
              <wp:posOffset>0</wp:posOffset>
            </wp:positionV>
            <wp:extent cx="594067" cy="10692003"/>
            <wp:effectExtent l="0" t="0" r="0" b="0"/>
            <wp:wrapNone/>
            <wp:docPr id="405" name="image32.png"/>
            <wp:cNvGraphicFramePr>
              <a:graphicFrameLocks noChangeAspect="1"/>
            </wp:cNvGraphicFramePr>
            <a:graphic>
              <a:graphicData uri="http://schemas.openxmlformats.org/drawingml/2006/picture">
                <pic:pic>
                  <pic:nvPicPr>
                    <pic:cNvPr id="406" name="image32.png"/>
                    <pic:cNvPicPr/>
                  </pic:nvPicPr>
                  <pic:blipFill>
                    <a:blip r:embed="rId362" cstate="print"/>
                    <a:stretch>
                      <a:fillRect/>
                    </a:stretch>
                  </pic:blipFill>
                  <pic:spPr>
                    <a:xfrm>
                      <a:off x="0" y="0"/>
                      <a:ext cx="594067" cy="10692003"/>
                    </a:xfrm>
                    <a:prstGeom prst="rect">
                      <a:avLst/>
                    </a:prstGeom>
                  </pic:spPr>
                </pic:pic>
              </a:graphicData>
            </a:graphic>
          </wp:anchor>
        </w:drawing>
      </w:r>
      <w:r>
        <w:rPr>
          <w:w w:val="120"/>
        </w:rPr>
        <w:t>network, sat on the </w:t>
      </w:r>
      <w:r>
        <w:rPr>
          <w:i/>
          <w:w w:val="120"/>
        </w:rPr>
        <w:t>Country Way </w:t>
      </w:r>
      <w:r>
        <w:rPr>
          <w:w w:val="120"/>
        </w:rPr>
        <w:t>editorial board, represented the Arthur Rank centre on the historic religious buildings alliance, sat on the Fresh Expressions’ rural roundtable and attended the Churches’ rural group. All roles support and facilitate mission and ministry.</w:t>
      </w:r>
    </w:p>
    <w:p>
      <w:pPr>
        <w:pStyle w:val="BodyText"/>
        <w:spacing w:before="11"/>
        <w:rPr>
          <w:sz w:val="19"/>
        </w:rPr>
      </w:pPr>
    </w:p>
    <w:p>
      <w:pPr>
        <w:pStyle w:val="ListParagraph"/>
        <w:numPr>
          <w:ilvl w:val="1"/>
          <w:numId w:val="107"/>
        </w:numPr>
        <w:tabs>
          <w:tab w:pos="1927" w:val="left" w:leader="none"/>
          <w:tab w:pos="1928" w:val="left" w:leader="none"/>
        </w:tabs>
        <w:spacing w:line="235" w:lineRule="auto" w:before="0" w:after="0"/>
        <w:ind w:left="1247" w:right="2109" w:firstLine="0"/>
        <w:jc w:val="left"/>
        <w:rPr>
          <w:sz w:val="20"/>
        </w:rPr>
      </w:pPr>
      <w:r>
        <w:rPr>
          <w:w w:val="120"/>
          <w:sz w:val="20"/>
        </w:rPr>
        <w:t>The rural officer supports and resources the network of United Reformed Church synod and Methodist district rural officers, including helping to organise and run the annual ecumenical rural officers’ gathering in November. In consultation with the synod moderators, a job description was drawn up in summer </w:t>
      </w:r>
      <w:r>
        <w:rPr>
          <w:spacing w:val="-8"/>
          <w:w w:val="120"/>
          <w:sz w:val="20"/>
        </w:rPr>
        <w:t>2013 </w:t>
      </w:r>
      <w:r>
        <w:rPr>
          <w:w w:val="120"/>
          <w:sz w:val="20"/>
        </w:rPr>
        <w:t>for synod rural advocates. The rural officer is a member of the strategy group supporting the work of the rural officer in the National Synod of</w:t>
      </w:r>
      <w:r>
        <w:rPr>
          <w:spacing w:val="11"/>
          <w:w w:val="120"/>
          <w:sz w:val="20"/>
        </w:rPr>
        <w:t> </w:t>
      </w:r>
      <w:r>
        <w:rPr>
          <w:w w:val="120"/>
          <w:sz w:val="20"/>
        </w:rPr>
        <w:t>Wales.</w:t>
      </w:r>
    </w:p>
    <w:p>
      <w:pPr>
        <w:pStyle w:val="BodyText"/>
      </w:pPr>
    </w:p>
    <w:p>
      <w:pPr>
        <w:pStyle w:val="ListParagraph"/>
        <w:numPr>
          <w:ilvl w:val="1"/>
          <w:numId w:val="107"/>
        </w:numPr>
        <w:tabs>
          <w:tab w:pos="1927" w:val="left" w:leader="none"/>
          <w:tab w:pos="1928" w:val="left" w:leader="none"/>
        </w:tabs>
        <w:spacing w:line="235" w:lineRule="auto" w:before="0" w:after="0"/>
        <w:ind w:left="1247" w:right="2130" w:firstLine="0"/>
        <w:jc w:val="left"/>
        <w:rPr>
          <w:sz w:val="20"/>
        </w:rPr>
      </w:pPr>
      <w:r>
        <w:rPr>
          <w:w w:val="120"/>
          <w:sz w:val="20"/>
        </w:rPr>
        <w:t>The work also has a global dimension through the International Rural Churches’ Association (IRCA) and IRCA </w:t>
      </w:r>
      <w:r>
        <w:rPr>
          <w:spacing w:val="-3"/>
          <w:w w:val="120"/>
          <w:sz w:val="20"/>
        </w:rPr>
        <w:t>(Europe). </w:t>
      </w:r>
      <w:r>
        <w:rPr>
          <w:w w:val="120"/>
          <w:sz w:val="20"/>
        </w:rPr>
        <w:t>IRCA was founded at the Arthur Rank Centre about 20 years ago but is now a loose independent global network of rural church practitioners. The next four-yearly global IRCA conference will take place in</w:t>
      </w:r>
      <w:r>
        <w:rPr>
          <w:spacing w:val="35"/>
          <w:w w:val="120"/>
          <w:sz w:val="20"/>
        </w:rPr>
        <w:t> </w:t>
      </w:r>
      <w:r>
        <w:rPr>
          <w:w w:val="120"/>
          <w:sz w:val="20"/>
        </w:rPr>
        <w:t>Malawi</w:t>
      </w:r>
    </w:p>
    <w:p>
      <w:pPr>
        <w:pStyle w:val="BodyText"/>
        <w:spacing w:line="235" w:lineRule="auto" w:before="3"/>
        <w:ind w:left="1247" w:right="2613"/>
      </w:pPr>
      <w:r>
        <w:rPr>
          <w:w w:val="120"/>
        </w:rPr>
        <w:t>in </w:t>
      </w:r>
      <w:r>
        <w:rPr>
          <w:spacing w:val="-6"/>
          <w:w w:val="120"/>
        </w:rPr>
        <w:t>2014.  </w:t>
      </w:r>
      <w:r>
        <w:rPr>
          <w:w w:val="120"/>
        </w:rPr>
        <w:t>A European IRCA gathering was held in Germany in </w:t>
      </w:r>
      <w:r>
        <w:rPr>
          <w:spacing w:val="-6"/>
          <w:w w:val="120"/>
        </w:rPr>
        <w:t>2012.  </w:t>
      </w:r>
      <w:r>
        <w:rPr>
          <w:w w:val="120"/>
        </w:rPr>
        <w:t>IRCA also had   a presence at the Assembly of the World Council of Churches in Busan, which was secured with help from the United Reformed</w:t>
      </w:r>
      <w:r>
        <w:rPr>
          <w:spacing w:val="18"/>
          <w:w w:val="120"/>
        </w:rPr>
        <w:t> </w:t>
      </w:r>
      <w:r>
        <w:rPr>
          <w:w w:val="120"/>
        </w:rPr>
        <w:t>Church.</w:t>
      </w:r>
    </w:p>
    <w:p>
      <w:pPr>
        <w:pStyle w:val="Heading4"/>
        <w:numPr>
          <w:ilvl w:val="0"/>
          <w:numId w:val="107"/>
        </w:numPr>
        <w:tabs>
          <w:tab w:pos="1927" w:val="left" w:leader="none"/>
          <w:tab w:pos="1928" w:val="left" w:leader="none"/>
        </w:tabs>
        <w:spacing w:line="240" w:lineRule="auto" w:before="215" w:after="0"/>
        <w:ind w:left="1927" w:right="0" w:hanging="681"/>
        <w:jc w:val="left"/>
      </w:pPr>
      <w:r>
        <w:rPr>
          <w:spacing w:val="3"/>
          <w:w w:val="110"/>
        </w:rPr>
        <w:t>World church</w:t>
      </w:r>
      <w:r>
        <w:rPr>
          <w:spacing w:val="22"/>
          <w:w w:val="110"/>
        </w:rPr>
        <w:t> </w:t>
      </w:r>
      <w:r>
        <w:rPr>
          <w:spacing w:val="3"/>
          <w:w w:val="110"/>
        </w:rPr>
        <w:t>relations</w:t>
      </w:r>
    </w:p>
    <w:p>
      <w:pPr>
        <w:pStyle w:val="ListParagraph"/>
        <w:numPr>
          <w:ilvl w:val="1"/>
          <w:numId w:val="107"/>
        </w:numPr>
        <w:tabs>
          <w:tab w:pos="1927" w:val="left" w:leader="none"/>
          <w:tab w:pos="1928" w:val="left" w:leader="none"/>
        </w:tabs>
        <w:spacing w:line="235" w:lineRule="auto" w:before="69" w:after="0"/>
        <w:ind w:left="1247" w:right="2227" w:firstLine="0"/>
        <w:jc w:val="left"/>
        <w:rPr>
          <w:sz w:val="20"/>
        </w:rPr>
      </w:pPr>
      <w:r>
        <w:rPr>
          <w:w w:val="120"/>
          <w:sz w:val="20"/>
        </w:rPr>
        <w:t>The primary purpose of the world church relations work is the development of active partnerships with churches around the world. Our global partnerships enable  us to learn about ourselves, our Church, our world and God’s mission in it. They offer us</w:t>
      </w:r>
      <w:r>
        <w:rPr>
          <w:spacing w:val="8"/>
          <w:w w:val="120"/>
          <w:sz w:val="20"/>
        </w:rPr>
        <w:t> </w:t>
      </w:r>
      <w:r>
        <w:rPr>
          <w:w w:val="120"/>
          <w:sz w:val="20"/>
        </w:rPr>
        <w:t>an</w:t>
      </w:r>
      <w:r>
        <w:rPr>
          <w:spacing w:val="8"/>
          <w:w w:val="120"/>
          <w:sz w:val="20"/>
        </w:rPr>
        <w:t> </w:t>
      </w:r>
      <w:r>
        <w:rPr>
          <w:w w:val="120"/>
          <w:sz w:val="20"/>
        </w:rPr>
        <w:t>opportunity</w:t>
      </w:r>
      <w:r>
        <w:rPr>
          <w:spacing w:val="8"/>
          <w:w w:val="120"/>
          <w:sz w:val="20"/>
        </w:rPr>
        <w:t> </w:t>
      </w:r>
      <w:r>
        <w:rPr>
          <w:w w:val="120"/>
          <w:sz w:val="20"/>
        </w:rPr>
        <w:t>to</w:t>
      </w:r>
      <w:r>
        <w:rPr>
          <w:spacing w:val="8"/>
          <w:w w:val="120"/>
          <w:sz w:val="20"/>
        </w:rPr>
        <w:t> </w:t>
      </w:r>
      <w:r>
        <w:rPr>
          <w:w w:val="120"/>
          <w:sz w:val="20"/>
        </w:rPr>
        <w:t>build</w:t>
      </w:r>
      <w:r>
        <w:rPr>
          <w:spacing w:val="8"/>
          <w:w w:val="120"/>
          <w:sz w:val="20"/>
        </w:rPr>
        <w:t> </w:t>
      </w:r>
      <w:r>
        <w:rPr>
          <w:w w:val="120"/>
          <w:sz w:val="20"/>
        </w:rPr>
        <w:t>relationships</w:t>
      </w:r>
      <w:r>
        <w:rPr>
          <w:spacing w:val="9"/>
          <w:w w:val="120"/>
          <w:sz w:val="20"/>
        </w:rPr>
        <w:t> </w:t>
      </w:r>
      <w:r>
        <w:rPr>
          <w:w w:val="120"/>
          <w:sz w:val="20"/>
        </w:rPr>
        <w:t>that</w:t>
      </w:r>
      <w:r>
        <w:rPr>
          <w:spacing w:val="8"/>
          <w:w w:val="120"/>
          <w:sz w:val="20"/>
        </w:rPr>
        <w:t> </w:t>
      </w:r>
      <w:r>
        <w:rPr>
          <w:w w:val="120"/>
          <w:sz w:val="20"/>
        </w:rPr>
        <w:t>are</w:t>
      </w:r>
      <w:r>
        <w:rPr>
          <w:spacing w:val="8"/>
          <w:w w:val="120"/>
          <w:sz w:val="20"/>
        </w:rPr>
        <w:t> </w:t>
      </w:r>
      <w:r>
        <w:rPr>
          <w:w w:val="120"/>
          <w:sz w:val="20"/>
        </w:rPr>
        <w:t>deep,</w:t>
      </w:r>
      <w:r>
        <w:rPr>
          <w:spacing w:val="8"/>
          <w:w w:val="120"/>
          <w:sz w:val="20"/>
        </w:rPr>
        <w:t> </w:t>
      </w:r>
      <w:r>
        <w:rPr>
          <w:w w:val="120"/>
          <w:sz w:val="20"/>
        </w:rPr>
        <w:t>supportive</w:t>
      </w:r>
      <w:r>
        <w:rPr>
          <w:spacing w:val="8"/>
          <w:w w:val="120"/>
          <w:sz w:val="20"/>
        </w:rPr>
        <w:t> </w:t>
      </w:r>
      <w:r>
        <w:rPr>
          <w:w w:val="120"/>
          <w:sz w:val="20"/>
        </w:rPr>
        <w:t>and</w:t>
      </w:r>
      <w:r>
        <w:rPr>
          <w:spacing w:val="8"/>
          <w:w w:val="120"/>
          <w:sz w:val="20"/>
        </w:rPr>
        <w:t> </w:t>
      </w:r>
      <w:r>
        <w:rPr>
          <w:w w:val="120"/>
          <w:sz w:val="20"/>
        </w:rPr>
        <w:t>long-lasting.</w:t>
      </w:r>
    </w:p>
    <w:p>
      <w:pPr>
        <w:pStyle w:val="BodyText"/>
        <w:spacing w:before="11"/>
        <w:rPr>
          <w:sz w:val="19"/>
        </w:rPr>
      </w:pPr>
    </w:p>
    <w:p>
      <w:pPr>
        <w:pStyle w:val="ListParagraph"/>
        <w:numPr>
          <w:ilvl w:val="1"/>
          <w:numId w:val="107"/>
        </w:numPr>
        <w:tabs>
          <w:tab w:pos="1927" w:val="left" w:leader="none"/>
          <w:tab w:pos="1928" w:val="left" w:leader="none"/>
        </w:tabs>
        <w:spacing w:line="235" w:lineRule="auto" w:before="0" w:after="0"/>
        <w:ind w:left="1247" w:right="2204" w:firstLine="0"/>
        <w:jc w:val="left"/>
        <w:rPr>
          <w:sz w:val="20"/>
        </w:rPr>
      </w:pPr>
      <w:r>
        <w:rPr>
          <w:w w:val="120"/>
          <w:sz w:val="20"/>
        </w:rPr>
        <w:t>The past </w:t>
      </w:r>
      <w:r>
        <w:rPr>
          <w:spacing w:val="-7"/>
          <w:w w:val="120"/>
          <w:sz w:val="20"/>
        </w:rPr>
        <w:t>18 </w:t>
      </w:r>
      <w:r>
        <w:rPr>
          <w:w w:val="120"/>
          <w:sz w:val="20"/>
        </w:rPr>
        <w:t>months have been challenging for the world church department. The long-term absence of the secretary for world church relations due to illness has put strains on the work. Nevertheless, we were able to continue supporting synods    in the global partners programme, facilitate experience enlargement, provide opportunities for young people to experience the world church, support mission partners and engage with international ecumenical work. We are grateful for the sterling work done by Helen Garton, the administrator for the belonging to the world church programme, and to Chris Wright, the convener of the international exchange reference</w:t>
      </w:r>
      <w:r>
        <w:rPr>
          <w:spacing w:val="2"/>
          <w:w w:val="120"/>
          <w:sz w:val="20"/>
        </w:rPr>
        <w:t> </w:t>
      </w:r>
      <w:r>
        <w:rPr>
          <w:w w:val="120"/>
          <w:sz w:val="20"/>
        </w:rPr>
        <w:t>group.</w:t>
      </w:r>
    </w:p>
    <w:p>
      <w:pPr>
        <w:pStyle w:val="BodyText"/>
        <w:spacing w:before="2"/>
      </w:pPr>
    </w:p>
    <w:p>
      <w:pPr>
        <w:pStyle w:val="ListParagraph"/>
        <w:numPr>
          <w:ilvl w:val="1"/>
          <w:numId w:val="107"/>
        </w:numPr>
        <w:tabs>
          <w:tab w:pos="1927" w:val="left" w:leader="none"/>
          <w:tab w:pos="1928" w:val="left" w:leader="none"/>
        </w:tabs>
        <w:spacing w:line="235" w:lineRule="auto" w:before="1" w:after="0"/>
        <w:ind w:left="1247" w:right="2465" w:firstLine="0"/>
        <w:jc w:val="left"/>
        <w:rPr>
          <w:sz w:val="20"/>
        </w:rPr>
      </w:pPr>
      <w:r>
        <w:rPr>
          <w:w w:val="120"/>
          <w:sz w:val="20"/>
        </w:rPr>
        <w:t>There have been Synod trips to Botswana, India, Malawi, Mozambique and Zimbabwe, as </w:t>
      </w:r>
      <w:r>
        <w:rPr>
          <w:spacing w:val="2"/>
          <w:w w:val="120"/>
          <w:sz w:val="20"/>
        </w:rPr>
        <w:t>part </w:t>
      </w:r>
      <w:r>
        <w:rPr>
          <w:w w:val="120"/>
          <w:sz w:val="20"/>
        </w:rPr>
        <w:t>of the belonging to the world church programme. And we have welcomed global partners from Jamaica, Madagascar and Mozambique to the</w:t>
      </w:r>
      <w:r>
        <w:rPr>
          <w:spacing w:val="47"/>
          <w:w w:val="120"/>
          <w:sz w:val="20"/>
        </w:rPr>
        <w:t> </w:t>
      </w:r>
      <w:r>
        <w:rPr>
          <w:spacing w:val="2"/>
          <w:w w:val="120"/>
          <w:sz w:val="20"/>
        </w:rPr>
        <w:t>UK.</w:t>
      </w:r>
    </w:p>
    <w:p>
      <w:pPr>
        <w:spacing w:after="0" w:line="235" w:lineRule="auto"/>
        <w:jc w:val="left"/>
        <w:rPr>
          <w:sz w:val="20"/>
        </w:rPr>
        <w:sectPr>
          <w:type w:val="continuous"/>
          <w:pgSz w:w="11910" w:h="16840"/>
          <w:pgMar w:top="680" w:bottom="28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
        <w:rPr>
          <w:sz w:val="19"/>
        </w:rPr>
      </w:pPr>
    </w:p>
    <w:p>
      <w:pPr>
        <w:spacing w:line="261" w:lineRule="auto" w:before="101"/>
        <w:ind w:left="2891" w:right="2004" w:firstLine="0"/>
        <w:jc w:val="left"/>
        <w:rPr>
          <w:sz w:val="18"/>
        </w:rPr>
      </w:pPr>
      <w:r>
        <w:rPr>
          <w:color w:val="7EAABF"/>
          <w:w w:val="125"/>
          <w:sz w:val="18"/>
        </w:rPr>
        <w:t>East</w:t>
      </w:r>
      <w:r>
        <w:rPr>
          <w:color w:val="7EAABF"/>
          <w:spacing w:val="-12"/>
          <w:w w:val="125"/>
          <w:sz w:val="18"/>
        </w:rPr>
        <w:t> </w:t>
      </w:r>
      <w:r>
        <w:rPr>
          <w:color w:val="7EAABF"/>
          <w:w w:val="125"/>
          <w:sz w:val="18"/>
        </w:rPr>
        <w:t>Midlands’</w:t>
      </w:r>
      <w:r>
        <w:rPr>
          <w:color w:val="7EAABF"/>
          <w:spacing w:val="-12"/>
          <w:w w:val="125"/>
          <w:sz w:val="18"/>
        </w:rPr>
        <w:t> </w:t>
      </w:r>
      <w:r>
        <w:rPr>
          <w:color w:val="7EAABF"/>
          <w:w w:val="125"/>
          <w:sz w:val="18"/>
        </w:rPr>
        <w:t>youth</w:t>
      </w:r>
      <w:r>
        <w:rPr>
          <w:color w:val="7EAABF"/>
          <w:spacing w:val="-12"/>
          <w:w w:val="125"/>
          <w:sz w:val="18"/>
        </w:rPr>
        <w:t> </w:t>
      </w:r>
      <w:r>
        <w:rPr>
          <w:color w:val="7EAABF"/>
          <w:w w:val="125"/>
          <w:sz w:val="18"/>
        </w:rPr>
        <w:t>exchange</w:t>
      </w:r>
      <w:r>
        <w:rPr>
          <w:color w:val="7EAABF"/>
          <w:spacing w:val="-11"/>
          <w:w w:val="125"/>
          <w:sz w:val="18"/>
        </w:rPr>
        <w:t> </w:t>
      </w:r>
      <w:r>
        <w:rPr>
          <w:color w:val="7EAABF"/>
          <w:w w:val="125"/>
          <w:sz w:val="18"/>
        </w:rPr>
        <w:t>with</w:t>
      </w:r>
      <w:r>
        <w:rPr>
          <w:color w:val="7EAABF"/>
          <w:spacing w:val="-12"/>
          <w:w w:val="125"/>
          <w:sz w:val="18"/>
        </w:rPr>
        <w:t> </w:t>
      </w:r>
      <w:r>
        <w:rPr>
          <w:color w:val="7EAABF"/>
          <w:w w:val="125"/>
          <w:sz w:val="18"/>
        </w:rPr>
        <w:t>the</w:t>
      </w:r>
      <w:r>
        <w:rPr>
          <w:color w:val="7EAABF"/>
          <w:spacing w:val="-12"/>
          <w:w w:val="125"/>
          <w:sz w:val="18"/>
        </w:rPr>
        <w:t> </w:t>
      </w:r>
      <w:r>
        <w:rPr>
          <w:color w:val="7EAABF"/>
          <w:w w:val="125"/>
          <w:sz w:val="18"/>
        </w:rPr>
        <w:t>Botswana</w:t>
      </w:r>
      <w:r>
        <w:rPr>
          <w:color w:val="7EAABF"/>
          <w:spacing w:val="-12"/>
          <w:w w:val="125"/>
          <w:sz w:val="18"/>
        </w:rPr>
        <w:t> </w:t>
      </w:r>
      <w:r>
        <w:rPr>
          <w:color w:val="7EAABF"/>
          <w:w w:val="125"/>
          <w:sz w:val="18"/>
        </w:rPr>
        <w:t>Synod</w:t>
      </w:r>
      <w:r>
        <w:rPr>
          <w:color w:val="7EAABF"/>
          <w:spacing w:val="-11"/>
          <w:w w:val="125"/>
          <w:sz w:val="18"/>
        </w:rPr>
        <w:t> </w:t>
      </w:r>
      <w:r>
        <w:rPr>
          <w:color w:val="7EAABF"/>
          <w:w w:val="125"/>
          <w:sz w:val="18"/>
        </w:rPr>
        <w:t>of</w:t>
      </w:r>
      <w:r>
        <w:rPr>
          <w:color w:val="7EAABF"/>
          <w:spacing w:val="-12"/>
          <w:w w:val="125"/>
          <w:sz w:val="18"/>
        </w:rPr>
        <w:t> </w:t>
      </w:r>
      <w:r>
        <w:rPr>
          <w:color w:val="7EAABF"/>
          <w:w w:val="125"/>
          <w:sz w:val="18"/>
        </w:rPr>
        <w:t>the</w:t>
      </w:r>
      <w:r>
        <w:rPr>
          <w:color w:val="7EAABF"/>
          <w:spacing w:val="-12"/>
          <w:w w:val="125"/>
          <w:sz w:val="18"/>
        </w:rPr>
        <w:t> </w:t>
      </w:r>
      <w:r>
        <w:rPr>
          <w:color w:val="7EAABF"/>
          <w:w w:val="125"/>
          <w:sz w:val="18"/>
        </w:rPr>
        <w:t>United Congregational Church in Southern</w:t>
      </w:r>
      <w:r>
        <w:rPr>
          <w:color w:val="7EAABF"/>
          <w:spacing w:val="-2"/>
          <w:w w:val="125"/>
          <w:sz w:val="18"/>
        </w:rPr>
        <w:t> </w:t>
      </w:r>
      <w:r>
        <w:rPr>
          <w:color w:val="7EAABF"/>
          <w:w w:val="125"/>
          <w:sz w:val="18"/>
        </w:rPr>
        <w:t>Africa</w:t>
      </w:r>
    </w:p>
    <w:p>
      <w:pPr>
        <w:pStyle w:val="BodyText"/>
        <w:spacing w:before="2"/>
        <w:rPr>
          <w:sz w:val="23"/>
        </w:rPr>
      </w:pPr>
    </w:p>
    <w:p>
      <w:pPr>
        <w:pStyle w:val="ListParagraph"/>
        <w:numPr>
          <w:ilvl w:val="1"/>
          <w:numId w:val="107"/>
        </w:numPr>
        <w:tabs>
          <w:tab w:pos="2664" w:val="left" w:leader="none"/>
          <w:tab w:pos="2665" w:val="left" w:leader="none"/>
        </w:tabs>
        <w:spacing w:line="235" w:lineRule="auto" w:before="0" w:after="0"/>
        <w:ind w:left="1984" w:right="1277" w:firstLine="0"/>
        <w:jc w:val="left"/>
        <w:rPr>
          <w:sz w:val="20"/>
        </w:rPr>
      </w:pPr>
      <w:r>
        <w:rPr>
          <w:w w:val="120"/>
          <w:sz w:val="20"/>
        </w:rPr>
        <w:t>We have provided grants and practical assistance to ministers who have spent their sabbaticals and continuing ministerial education in: Australia, Botswana, Canada, India, Israel/Occupied Palestinian Territories, Kenya and Uganda, Korea, Romania and Hungary, South Africa, Switzerland, </w:t>
      </w:r>
      <w:r>
        <w:rPr>
          <w:spacing w:val="-3"/>
          <w:w w:val="120"/>
          <w:sz w:val="20"/>
        </w:rPr>
        <w:t>Taiwan, </w:t>
      </w:r>
      <w:r>
        <w:rPr>
          <w:w w:val="120"/>
          <w:sz w:val="20"/>
        </w:rPr>
        <w:t>US, Zambia and Zimbabwe. A couple of ordinands have been on international student placements in New Zealand and the</w:t>
      </w:r>
      <w:r>
        <w:rPr>
          <w:spacing w:val="8"/>
          <w:w w:val="120"/>
          <w:sz w:val="20"/>
        </w:rPr>
        <w:t> </w:t>
      </w:r>
      <w:r>
        <w:rPr>
          <w:w w:val="120"/>
          <w:sz w:val="20"/>
        </w:rPr>
        <w:t>USA.</w:t>
      </w:r>
    </w:p>
    <w:p>
      <w:pPr>
        <w:pStyle w:val="BodyText"/>
        <w:spacing w:before="12"/>
        <w:rPr>
          <w:sz w:val="19"/>
        </w:rPr>
      </w:pPr>
    </w:p>
    <w:p>
      <w:pPr>
        <w:pStyle w:val="ListParagraph"/>
        <w:numPr>
          <w:ilvl w:val="1"/>
          <w:numId w:val="107"/>
        </w:numPr>
        <w:tabs>
          <w:tab w:pos="2664" w:val="left" w:leader="none"/>
          <w:tab w:pos="2665" w:val="left" w:leader="none"/>
        </w:tabs>
        <w:spacing w:line="235" w:lineRule="auto" w:before="0" w:after="0"/>
        <w:ind w:left="1984" w:right="1739" w:firstLine="0"/>
        <w:jc w:val="left"/>
        <w:rPr>
          <w:sz w:val="20"/>
        </w:rPr>
      </w:pPr>
      <w:r>
        <w:rPr>
          <w:spacing w:val="-3"/>
          <w:w w:val="120"/>
          <w:sz w:val="20"/>
        </w:rPr>
        <w:t>Young </w:t>
      </w:r>
      <w:r>
        <w:rPr>
          <w:w w:val="120"/>
          <w:sz w:val="20"/>
        </w:rPr>
        <w:t>people from the United Reformed Church have attended the mission house taster weekends in Amsterdam, the mission camps in </w:t>
      </w:r>
      <w:r>
        <w:rPr>
          <w:spacing w:val="-3"/>
          <w:w w:val="120"/>
          <w:sz w:val="20"/>
        </w:rPr>
        <w:t>Taiwan </w:t>
      </w:r>
      <w:r>
        <w:rPr>
          <w:w w:val="120"/>
          <w:sz w:val="20"/>
        </w:rPr>
        <w:t>and the Global Ecumenical Theological Institute conference in South Korea. There have also been young people’s trips from the East Midlands Synod and the </w:t>
      </w:r>
      <w:r>
        <w:rPr>
          <w:spacing w:val="2"/>
          <w:w w:val="120"/>
          <w:sz w:val="20"/>
        </w:rPr>
        <w:t>Northern </w:t>
      </w:r>
      <w:r>
        <w:rPr>
          <w:w w:val="120"/>
          <w:sz w:val="20"/>
        </w:rPr>
        <w:t>Synod to Botswana and South Africa, and a return visit from young people from Botswana to the</w:t>
      </w:r>
      <w:r>
        <w:rPr>
          <w:spacing w:val="2"/>
          <w:w w:val="120"/>
          <w:sz w:val="20"/>
        </w:rPr>
        <w:t> UK.</w:t>
      </w:r>
    </w:p>
    <w:p>
      <w:pPr>
        <w:pStyle w:val="BodyText"/>
      </w:pPr>
    </w:p>
    <w:p>
      <w:pPr>
        <w:pStyle w:val="ListParagraph"/>
        <w:numPr>
          <w:ilvl w:val="1"/>
          <w:numId w:val="107"/>
        </w:numPr>
        <w:tabs>
          <w:tab w:pos="2664" w:val="left" w:leader="none"/>
          <w:tab w:pos="2665" w:val="left" w:leader="none"/>
        </w:tabs>
        <w:spacing w:line="235" w:lineRule="auto" w:before="0" w:after="0"/>
        <w:ind w:left="1984" w:right="1341" w:firstLine="0"/>
        <w:jc w:val="left"/>
        <w:rPr>
          <w:sz w:val="20"/>
        </w:rPr>
      </w:pPr>
      <w:r>
        <w:rPr>
          <w:w w:val="120"/>
          <w:sz w:val="20"/>
        </w:rPr>
        <w:t>The International Exchange Reference Group has continued to meet to receive news from our mission partners and to support them in their work. Currently, the United Reformed Church has three mission partners, all serving through the Council   for World Mission (CWM). Alison Gibbs is in the final stage of her service as head teacher of Mwenzo Girls’ School in </w:t>
      </w:r>
      <w:r>
        <w:rPr>
          <w:spacing w:val="2"/>
          <w:w w:val="120"/>
          <w:sz w:val="20"/>
        </w:rPr>
        <w:t>Northern </w:t>
      </w:r>
      <w:r>
        <w:rPr>
          <w:w w:val="120"/>
          <w:sz w:val="20"/>
        </w:rPr>
        <w:t>Zambia and will finish in </w:t>
      </w:r>
      <w:r>
        <w:rPr>
          <w:spacing w:val="-7"/>
          <w:w w:val="120"/>
          <w:sz w:val="20"/>
        </w:rPr>
        <w:t>2015. </w:t>
      </w:r>
      <w:r>
        <w:rPr>
          <w:w w:val="120"/>
          <w:sz w:val="20"/>
        </w:rPr>
        <w:t>Philip Woods is working on the executive staff of </w:t>
      </w:r>
      <w:r>
        <w:rPr>
          <w:spacing w:val="3"/>
          <w:w w:val="120"/>
          <w:sz w:val="20"/>
        </w:rPr>
        <w:t>CWM. </w:t>
      </w:r>
      <w:r>
        <w:rPr>
          <w:w w:val="120"/>
          <w:sz w:val="20"/>
        </w:rPr>
        <w:t>The ministry of the Taiwanese chaplain in Manchester, the Revd Chung Shou-Hui, was  reviewed  during  </w:t>
      </w:r>
      <w:r>
        <w:rPr>
          <w:spacing w:val="-7"/>
          <w:w w:val="120"/>
          <w:sz w:val="20"/>
        </w:rPr>
        <w:t>2013.  </w:t>
      </w:r>
      <w:r>
        <w:rPr>
          <w:w w:val="120"/>
          <w:sz w:val="20"/>
        </w:rPr>
        <w:t>She was commended for her excellent work among the Taiwanese and Mandarin speaking students there and for her support of the growing Taiwanese Fellowship in London, based at Lumen United Reformed Church. In both places there is outreach to the wider Taiwanese student community. How the work will develop and be supported in both centres is currently under</w:t>
      </w:r>
      <w:r>
        <w:rPr>
          <w:spacing w:val="7"/>
          <w:w w:val="120"/>
          <w:sz w:val="20"/>
        </w:rPr>
        <w:t> </w:t>
      </w:r>
      <w:r>
        <w:rPr>
          <w:w w:val="120"/>
          <w:sz w:val="20"/>
        </w:rPr>
        <w:t>discussion.</w:t>
      </w:r>
    </w:p>
    <w:p>
      <w:pPr>
        <w:pStyle w:val="BodyText"/>
        <w:spacing w:before="11"/>
        <w:rPr>
          <w:sz w:val="11"/>
        </w:rPr>
      </w:pPr>
    </w:p>
    <w:p>
      <w:pPr>
        <w:spacing w:after="0"/>
        <w:rPr>
          <w:sz w:val="11"/>
        </w:rPr>
        <w:sectPr>
          <w:headerReference w:type="default" r:id="rId499"/>
          <w:pgSz w:w="11910" w:h="16840"/>
          <w:pgMar w:header="0" w:footer="647" w:top="1580" w:bottom="840" w:left="0" w:right="0"/>
        </w:sectPr>
      </w:pPr>
    </w:p>
    <w:p>
      <w:pPr>
        <w:pStyle w:val="ListParagraph"/>
        <w:numPr>
          <w:ilvl w:val="1"/>
          <w:numId w:val="107"/>
        </w:numPr>
        <w:tabs>
          <w:tab w:pos="2664" w:val="left" w:leader="none"/>
          <w:tab w:pos="2665" w:val="left" w:leader="none"/>
        </w:tabs>
        <w:spacing w:line="235" w:lineRule="auto" w:before="104" w:after="0"/>
        <w:ind w:left="1984" w:right="368" w:firstLine="0"/>
        <w:jc w:val="left"/>
        <w:rPr>
          <w:sz w:val="20"/>
        </w:rPr>
      </w:pPr>
      <w:r>
        <w:rPr>
          <w:w w:val="120"/>
          <w:sz w:val="20"/>
        </w:rPr>
        <w:t>The United Reformed Church continues to play its </w:t>
      </w:r>
      <w:r>
        <w:rPr>
          <w:spacing w:val="2"/>
          <w:w w:val="120"/>
          <w:sz w:val="20"/>
        </w:rPr>
        <w:t>part </w:t>
      </w:r>
      <w:r>
        <w:rPr>
          <w:w w:val="120"/>
          <w:sz w:val="20"/>
        </w:rPr>
        <w:t>in the Council for World</w:t>
      </w:r>
      <w:r>
        <w:rPr>
          <w:spacing w:val="16"/>
          <w:w w:val="120"/>
          <w:sz w:val="20"/>
        </w:rPr>
        <w:t> </w:t>
      </w:r>
      <w:r>
        <w:rPr>
          <w:w w:val="120"/>
          <w:sz w:val="20"/>
        </w:rPr>
        <w:t>Mission</w:t>
      </w:r>
    </w:p>
    <w:p>
      <w:pPr>
        <w:pStyle w:val="BodyText"/>
        <w:spacing w:line="235" w:lineRule="auto" w:before="1"/>
        <w:ind w:left="1984" w:right="45"/>
      </w:pPr>
      <w:r>
        <w:rPr>
          <w:spacing w:val="-3"/>
          <w:w w:val="120"/>
        </w:rPr>
        <w:t>(CWM), </w:t>
      </w:r>
      <w:r>
        <w:rPr>
          <w:w w:val="120"/>
        </w:rPr>
        <w:t>both globally and in the European Region. In June </w:t>
      </w:r>
      <w:r>
        <w:rPr>
          <w:spacing w:val="-8"/>
          <w:w w:val="120"/>
        </w:rPr>
        <w:t>2013  </w:t>
      </w:r>
      <w:r>
        <w:rPr>
          <w:w w:val="120"/>
        </w:rPr>
        <w:t>the National Synod of Scotland hosted</w:t>
      </w:r>
      <w:r>
        <w:rPr>
          <w:spacing w:val="15"/>
          <w:w w:val="120"/>
        </w:rPr>
        <w:t> </w:t>
      </w:r>
      <w:r>
        <w:rPr>
          <w:w w:val="120"/>
        </w:rPr>
        <w:t>the</w:t>
      </w:r>
      <w:r>
        <w:rPr>
          <w:spacing w:val="16"/>
          <w:w w:val="120"/>
        </w:rPr>
        <w:t> </w:t>
      </w:r>
      <w:r>
        <w:rPr>
          <w:spacing w:val="3"/>
          <w:w w:val="120"/>
        </w:rPr>
        <w:t>CWM</w:t>
      </w:r>
      <w:r>
        <w:rPr>
          <w:spacing w:val="15"/>
          <w:w w:val="120"/>
        </w:rPr>
        <w:t> </w:t>
      </w:r>
      <w:r>
        <w:rPr>
          <w:w w:val="120"/>
        </w:rPr>
        <w:t>Council</w:t>
      </w:r>
      <w:r>
        <w:rPr>
          <w:spacing w:val="16"/>
          <w:w w:val="120"/>
        </w:rPr>
        <w:t> </w:t>
      </w:r>
      <w:r>
        <w:rPr>
          <w:w w:val="120"/>
        </w:rPr>
        <w:t>meeting,</w:t>
      </w:r>
      <w:r>
        <w:rPr>
          <w:spacing w:val="15"/>
          <w:w w:val="120"/>
        </w:rPr>
        <w:t> </w:t>
      </w:r>
      <w:r>
        <w:rPr>
          <w:w w:val="120"/>
        </w:rPr>
        <w:t>which</w:t>
      </w:r>
      <w:r>
        <w:rPr>
          <w:spacing w:val="16"/>
          <w:w w:val="120"/>
        </w:rPr>
        <w:t> </w:t>
      </w:r>
      <w:r>
        <w:rPr>
          <w:w w:val="120"/>
        </w:rPr>
        <w:t>brought</w:t>
      </w:r>
    </w:p>
    <w:p>
      <w:pPr>
        <w:pStyle w:val="BodyText"/>
        <w:spacing w:before="7"/>
        <w:rPr>
          <w:sz w:val="43"/>
        </w:rPr>
      </w:pPr>
      <w:r>
        <w:rPr/>
        <w:br w:type="column"/>
      </w:r>
      <w:r>
        <w:rPr>
          <w:sz w:val="43"/>
        </w:rPr>
      </w:r>
    </w:p>
    <w:p>
      <w:pPr>
        <w:spacing w:before="1"/>
        <w:ind w:left="715" w:right="0" w:firstLine="0"/>
        <w:jc w:val="left"/>
        <w:rPr>
          <w:b/>
          <w:sz w:val="29"/>
        </w:rPr>
      </w:pPr>
      <w:r>
        <w:rPr>
          <w:b/>
          <w:color w:val="FF3300"/>
          <w:w w:val="110"/>
          <w:sz w:val="29"/>
        </w:rPr>
        <w:t>Global partnerships</w:t>
      </w:r>
    </w:p>
    <w:p>
      <w:pPr>
        <w:spacing w:after="0"/>
        <w:jc w:val="left"/>
        <w:rPr>
          <w:sz w:val="29"/>
        </w:rPr>
        <w:sectPr>
          <w:type w:val="continuous"/>
          <w:pgSz w:w="11910" w:h="16840"/>
          <w:pgMar w:top="680" w:bottom="280" w:left="0" w:right="0"/>
          <w:cols w:num="2" w:equalWidth="0">
            <w:col w:w="7002" w:space="40"/>
            <w:col w:w="4868"/>
          </w:cols>
        </w:sectPr>
      </w:pPr>
    </w:p>
    <w:p>
      <w:pPr>
        <w:pStyle w:val="BodyText"/>
        <w:spacing w:line="235" w:lineRule="auto" w:before="2"/>
        <w:ind w:left="1984" w:right="1279"/>
      </w:pPr>
      <w:r>
        <w:rPr/>
        <w:pict>
          <v:group style="position:absolute;margin-left:98.503899pt;margin-top:.000015pt;width:496.8pt;height:841.9pt;mso-position-horizontal-relative:page;mso-position-vertical-relative:page;z-index:-267105280" coordorigin="1970,0" coordsize="9936,16838">
            <v:shape style="position:absolute;left:1984;top:0;width:9021;height:5982" type="#_x0000_t75" stroked="false">
              <v:imagedata r:id="rId500" o:title=""/>
            </v:shape>
            <v:shape style="position:absolute;left:10984;top:0;width:922;height:16838" type="#_x0000_t75" stroked="false">
              <v:imagedata r:id="rId357" o:title=""/>
            </v:shape>
            <v:shape style="position:absolute;left:7370;top:12727;width:315;height:822" type="#_x0000_t75" stroked="false">
              <v:imagedata r:id="rId501" o:title=""/>
            </v:shape>
            <v:shape style="position:absolute;left:1970;top:4110;width:1540;height:1513" coordorigin="1970,4110" coordsize="1540,1513" path="m1970,4110l1970,5623,3507,5623,3431,5621,3356,5616,3282,5607,3209,5594,3137,5578,3067,5559,2998,5537,2930,5511,2865,5483,2800,5451,2738,5417,2677,5380,2618,5340,2561,5298,2506,5253,2454,5205,2403,5156,2355,5104,2309,5049,2266,4993,2226,4935,2188,4875,2152,4813,2120,4749,2091,4683,2064,4616,2041,4548,2021,4478,2004,4407,1990,4334,1980,4261,1973,4186,1970,4110xm3510,5623l3509,5623,3508,5623,3510,5623,3510,5623xe" filled="true" fillcolor="#ffffff" stroked="false">
              <v:path arrowok="t"/>
              <v:fill type="solid"/>
            </v:shape>
            <w10:wrap type="none"/>
          </v:group>
        </w:pict>
      </w:r>
      <w:r>
        <w:rPr/>
        <w:pict>
          <v:shape style="position:absolute;margin-left:554.141174pt;margin-top:48.890015pt;width:25.9pt;height:78.850pt;mso-position-horizontal-relative:page;mso-position-vertical-relative:page;z-index:252172288" type="#_x0000_t202" filled="false" stroked="false">
            <v:textbox inset="0,0,0,0" style="layout-flow:vertical">
              <w:txbxContent>
                <w:p>
                  <w:pPr>
                    <w:spacing w:before="27"/>
                    <w:ind w:left="20" w:right="0" w:firstLine="0"/>
                    <w:jc w:val="left"/>
                    <w:rPr>
                      <w:sz w:val="39"/>
                    </w:rPr>
                  </w:pPr>
                  <w:r>
                    <w:rPr>
                      <w:color w:val="FFFFFF"/>
                      <w:w w:val="115"/>
                      <w:sz w:val="39"/>
                    </w:rPr>
                    <w:t>Mission</w:t>
                  </w:r>
                </w:p>
              </w:txbxContent>
            </v:textbox>
            <w10:wrap type="none"/>
          </v:shape>
        </w:pict>
      </w:r>
      <w:r>
        <w:rPr>
          <w:w w:val="120"/>
        </w:rPr>
        <w:t>delegates from all the </w:t>
      </w:r>
      <w:r>
        <w:rPr>
          <w:spacing w:val="3"/>
          <w:w w:val="120"/>
        </w:rPr>
        <w:t>CWM </w:t>
      </w:r>
      <w:r>
        <w:rPr>
          <w:w w:val="120"/>
        </w:rPr>
        <w:t>member churches to Scotland. The meeting coincided    with the bicentenary of the birth of David Livingstone and the Revd Dr Michael Jagessar delivered the keynote</w:t>
      </w:r>
      <w:r>
        <w:rPr>
          <w:spacing w:val="5"/>
          <w:w w:val="120"/>
        </w:rPr>
        <w:t> </w:t>
      </w:r>
      <w:r>
        <w:rPr>
          <w:w w:val="120"/>
        </w:rPr>
        <w:t>address.</w:t>
      </w:r>
    </w:p>
    <w:p>
      <w:pPr>
        <w:spacing w:after="0" w:line="235" w:lineRule="auto"/>
        <w:sectPr>
          <w:type w:val="continuous"/>
          <w:pgSz w:w="11910" w:h="16840"/>
          <w:pgMar w:top="680" w:bottom="280" w:left="0" w:right="0"/>
        </w:sectPr>
      </w:pPr>
    </w:p>
    <w:p>
      <w:pPr>
        <w:pStyle w:val="BodyText"/>
      </w:pPr>
    </w:p>
    <w:p>
      <w:pPr>
        <w:pStyle w:val="BodyText"/>
        <w:spacing w:before="7"/>
        <w:rPr>
          <w:sz w:val="21"/>
        </w:rPr>
      </w:pPr>
    </w:p>
    <w:p>
      <w:pPr>
        <w:pStyle w:val="Heading5"/>
      </w:pPr>
      <w:r>
        <w:rPr/>
        <w:pict>
          <v:group style="position:absolute;margin-left:391.889709pt;margin-top:-26.295826pt;width:192.95pt;height:257.05pt;mso-position-horizontal-relative:page;mso-position-vertical-relative:paragraph;z-index:252174336" coordorigin="7838,-526" coordsize="3859,5141">
            <v:shape style="position:absolute;left:7851;top:-526;width:3845;height:5127" type="#_x0000_t75" stroked="false">
              <v:imagedata r:id="rId505" o:title=""/>
            </v:shape>
            <v:shape style="position:absolute;left:7837;top:3101;width:1540;height:1513" coordorigin="7838,3102" coordsize="1540,1513" path="m7838,3102l7838,4615,9374,4615,9298,4613,9223,4607,9149,4598,9077,4586,9005,4570,8935,4551,8866,4528,8798,4503,8732,4474,8668,4443,8605,4409,8545,4372,8486,4332,8429,4289,8374,4244,8321,4197,8271,4147,8223,4095,8177,4041,8134,3985,8093,3927,8055,3866,8020,3804,7988,3741,7958,3675,7932,3608,7908,3540,7888,3470,7871,3398,7858,3326,7848,3252,7841,3178,7838,3102xm9377,4615l9376,4615,9375,4615,9377,4615,9377,4615xe" filled="true" fillcolor="#ffffff" stroked="false">
              <v:path arrowok="t"/>
              <v:fill type="solid"/>
            </v:shape>
            <w10:wrap type="none"/>
          </v:group>
        </w:pict>
      </w:r>
      <w:r>
        <w:rPr/>
        <w:pict>
          <v:shape style="position:absolute;margin-left:20.519100pt;margin-top:22.593945pt;width:25.9pt;height:78.850pt;mso-position-horizontal-relative:page;mso-position-vertical-relative:paragraph;z-index:252175360" type="#_x0000_t202" filled="false" stroked="false">
            <v:textbox inset="0,0,0,0" style="layout-flow:vertical">
              <w:txbxContent>
                <w:p>
                  <w:pPr>
                    <w:spacing w:before="27"/>
                    <w:ind w:left="20" w:right="0" w:firstLine="0"/>
                    <w:jc w:val="left"/>
                    <w:rPr>
                      <w:sz w:val="39"/>
                    </w:rPr>
                  </w:pPr>
                  <w:r>
                    <w:rPr>
                      <w:color w:val="FFFFFF"/>
                      <w:w w:val="115"/>
                      <w:sz w:val="39"/>
                    </w:rPr>
                    <w:t>Mission</w:t>
                  </w:r>
                </w:p>
              </w:txbxContent>
            </v:textbox>
            <w10:wrap type="none"/>
          </v:shape>
        </w:pict>
      </w:r>
      <w:r>
        <w:rPr>
          <w:color w:val="7EAABF"/>
          <w:w w:val="115"/>
        </w:rPr>
        <w:t>Mission</w:t>
      </w:r>
    </w:p>
    <w:p>
      <w:pPr>
        <w:pStyle w:val="ListParagraph"/>
        <w:numPr>
          <w:ilvl w:val="1"/>
          <w:numId w:val="107"/>
        </w:numPr>
        <w:tabs>
          <w:tab w:pos="1927" w:val="left" w:leader="none"/>
          <w:tab w:pos="1928" w:val="left" w:leader="none"/>
        </w:tabs>
        <w:spacing w:line="235" w:lineRule="auto" w:before="222" w:after="0"/>
        <w:ind w:left="1247" w:right="4269" w:firstLine="0"/>
        <w:jc w:val="left"/>
        <w:rPr>
          <w:sz w:val="20"/>
        </w:rPr>
      </w:pPr>
      <w:r>
        <w:rPr>
          <w:w w:val="120"/>
          <w:sz w:val="20"/>
        </w:rPr>
        <w:t>The World Council of Churches’ General Assembly was held in Busan, South Korea, from 29 October to 9 November </w:t>
      </w:r>
      <w:r>
        <w:rPr>
          <w:spacing w:val="-7"/>
          <w:w w:val="120"/>
          <w:sz w:val="20"/>
        </w:rPr>
        <w:t>2013. </w:t>
      </w:r>
      <w:r>
        <w:rPr>
          <w:w w:val="120"/>
          <w:sz w:val="20"/>
        </w:rPr>
        <w:t>This unique gathering happens every seven </w:t>
      </w:r>
      <w:r>
        <w:rPr>
          <w:spacing w:val="-5"/>
          <w:w w:val="120"/>
          <w:sz w:val="20"/>
        </w:rPr>
        <w:t>(now </w:t>
      </w:r>
      <w:r>
        <w:rPr>
          <w:w w:val="120"/>
          <w:sz w:val="20"/>
        </w:rPr>
        <w:t>to be </w:t>
      </w:r>
      <w:r>
        <w:rPr>
          <w:spacing w:val="-2"/>
          <w:w w:val="120"/>
          <w:sz w:val="20"/>
        </w:rPr>
        <w:t>eight) </w:t>
      </w:r>
      <w:r>
        <w:rPr>
          <w:w w:val="120"/>
          <w:sz w:val="20"/>
        </w:rPr>
        <w:t>years. It carries forward the ecumenical and mission agenda of the Churches and met around the theme “God of Life, lead us to justice and </w:t>
      </w:r>
      <w:r>
        <w:rPr>
          <w:spacing w:val="-4"/>
          <w:w w:val="120"/>
          <w:sz w:val="20"/>
        </w:rPr>
        <w:t>peace”. </w:t>
      </w:r>
      <w:r>
        <w:rPr>
          <w:w w:val="120"/>
          <w:sz w:val="20"/>
        </w:rPr>
        <w:t>The United Reformed Church was represented by Michael Jagessar and Sarah Moore with David </w:t>
      </w:r>
      <w:r>
        <w:rPr>
          <w:spacing w:val="-4"/>
          <w:w w:val="120"/>
          <w:sz w:val="20"/>
        </w:rPr>
        <w:t>Tatem </w:t>
      </w:r>
      <w:r>
        <w:rPr>
          <w:w w:val="120"/>
          <w:sz w:val="20"/>
        </w:rPr>
        <w:t>as ecumenical adviser. Statements and documents from the Assembly are now being received in various ways within the Church and in conjunction with ecumenical</w:t>
      </w:r>
      <w:r>
        <w:rPr>
          <w:spacing w:val="28"/>
          <w:w w:val="120"/>
          <w:sz w:val="20"/>
        </w:rPr>
        <w:t> </w:t>
      </w:r>
      <w:r>
        <w:rPr>
          <w:w w:val="120"/>
          <w:sz w:val="20"/>
        </w:rPr>
        <w:t>partners.</w:t>
      </w:r>
    </w:p>
    <w:p>
      <w:pPr>
        <w:pStyle w:val="BodyText"/>
        <w:spacing w:before="3"/>
      </w:pPr>
    </w:p>
    <w:p>
      <w:pPr>
        <w:pStyle w:val="ListParagraph"/>
        <w:numPr>
          <w:ilvl w:val="1"/>
          <w:numId w:val="107"/>
        </w:numPr>
        <w:tabs>
          <w:tab w:pos="1927" w:val="left" w:leader="none"/>
          <w:tab w:pos="1928" w:val="left" w:leader="none"/>
        </w:tabs>
        <w:spacing w:line="235" w:lineRule="auto" w:before="0" w:after="0"/>
        <w:ind w:left="1247" w:right="4293" w:firstLine="0"/>
        <w:jc w:val="left"/>
        <w:rPr>
          <w:sz w:val="20"/>
        </w:rPr>
      </w:pPr>
      <w:r>
        <w:rPr>
          <w:spacing w:val="3"/>
          <w:w w:val="120"/>
          <w:sz w:val="20"/>
        </w:rPr>
        <w:t>As </w:t>
      </w:r>
      <w:r>
        <w:rPr>
          <w:w w:val="120"/>
          <w:sz w:val="20"/>
        </w:rPr>
        <w:t>well as facilitating a United Reformed Church presence at a number of international assemblies, we were able to send representatives to the synod or assembly of a number of partner churches. These included in the Church of the Palatinate </w:t>
      </w:r>
      <w:r>
        <w:rPr>
          <w:spacing w:val="-4"/>
          <w:w w:val="120"/>
          <w:sz w:val="20"/>
        </w:rPr>
        <w:t>(Germany), </w:t>
      </w:r>
      <w:r>
        <w:rPr>
          <w:w w:val="120"/>
          <w:sz w:val="20"/>
        </w:rPr>
        <w:t>the Waldensian Church </w:t>
      </w:r>
      <w:r>
        <w:rPr>
          <w:spacing w:val="-3"/>
          <w:w w:val="120"/>
          <w:sz w:val="20"/>
        </w:rPr>
        <w:t>(Italy), </w:t>
      </w:r>
      <w:r>
        <w:rPr>
          <w:w w:val="120"/>
          <w:sz w:val="20"/>
        </w:rPr>
        <w:t>the Presbyterian Church</w:t>
      </w:r>
      <w:r>
        <w:rPr>
          <w:spacing w:val="10"/>
          <w:w w:val="120"/>
          <w:sz w:val="20"/>
        </w:rPr>
        <w:t> </w:t>
      </w:r>
      <w:r>
        <w:rPr>
          <w:w w:val="120"/>
          <w:sz w:val="20"/>
        </w:rPr>
        <w:t>in</w:t>
      </w:r>
      <w:r>
        <w:rPr>
          <w:spacing w:val="10"/>
          <w:w w:val="120"/>
          <w:sz w:val="20"/>
        </w:rPr>
        <w:t> </w:t>
      </w:r>
      <w:r>
        <w:rPr>
          <w:w w:val="120"/>
          <w:sz w:val="20"/>
        </w:rPr>
        <w:t>the</w:t>
      </w:r>
      <w:r>
        <w:rPr>
          <w:spacing w:val="11"/>
          <w:w w:val="120"/>
          <w:sz w:val="20"/>
        </w:rPr>
        <w:t> </w:t>
      </w:r>
      <w:r>
        <w:rPr>
          <w:w w:val="120"/>
          <w:sz w:val="20"/>
        </w:rPr>
        <w:t>Republic</w:t>
      </w:r>
      <w:r>
        <w:rPr>
          <w:spacing w:val="10"/>
          <w:w w:val="120"/>
          <w:sz w:val="20"/>
        </w:rPr>
        <w:t> </w:t>
      </w:r>
      <w:r>
        <w:rPr>
          <w:w w:val="120"/>
          <w:sz w:val="20"/>
        </w:rPr>
        <w:t>of</w:t>
      </w:r>
      <w:r>
        <w:rPr>
          <w:spacing w:val="10"/>
          <w:w w:val="120"/>
          <w:sz w:val="20"/>
        </w:rPr>
        <w:t> </w:t>
      </w:r>
      <w:r>
        <w:rPr>
          <w:w w:val="120"/>
          <w:sz w:val="20"/>
        </w:rPr>
        <w:t>Korea,</w:t>
      </w:r>
      <w:r>
        <w:rPr>
          <w:spacing w:val="11"/>
          <w:w w:val="120"/>
          <w:sz w:val="20"/>
        </w:rPr>
        <w:t> </w:t>
      </w:r>
      <w:r>
        <w:rPr>
          <w:w w:val="120"/>
          <w:sz w:val="20"/>
        </w:rPr>
        <w:t>and</w:t>
      </w:r>
      <w:r>
        <w:rPr>
          <w:spacing w:val="10"/>
          <w:w w:val="120"/>
          <w:sz w:val="20"/>
        </w:rPr>
        <w:t> </w:t>
      </w:r>
      <w:r>
        <w:rPr>
          <w:w w:val="120"/>
          <w:sz w:val="20"/>
        </w:rPr>
        <w:t>the</w:t>
      </w:r>
      <w:r>
        <w:rPr>
          <w:spacing w:val="10"/>
          <w:w w:val="120"/>
          <w:sz w:val="20"/>
        </w:rPr>
        <w:t> </w:t>
      </w:r>
      <w:r>
        <w:rPr>
          <w:w w:val="120"/>
          <w:sz w:val="20"/>
        </w:rPr>
        <w:t>Hong</w:t>
      </w:r>
      <w:r>
        <w:rPr>
          <w:spacing w:val="11"/>
          <w:w w:val="120"/>
          <w:sz w:val="20"/>
        </w:rPr>
        <w:t> </w:t>
      </w:r>
      <w:r>
        <w:rPr>
          <w:w w:val="120"/>
          <w:sz w:val="20"/>
        </w:rPr>
        <w:t>Kong</w:t>
      </w:r>
      <w:r>
        <w:rPr>
          <w:spacing w:val="10"/>
          <w:w w:val="120"/>
          <w:sz w:val="20"/>
        </w:rPr>
        <w:t> </w:t>
      </w:r>
      <w:r>
        <w:rPr>
          <w:w w:val="120"/>
          <w:sz w:val="20"/>
        </w:rPr>
        <w:t>Council</w:t>
      </w:r>
    </w:p>
    <w:p>
      <w:pPr>
        <w:pStyle w:val="BodyText"/>
        <w:spacing w:line="235" w:lineRule="auto" w:before="4"/>
        <w:ind w:left="1247" w:right="4235"/>
      </w:pPr>
      <w:r>
        <w:rPr>
          <w:w w:val="120"/>
        </w:rPr>
        <w:t>of the Church of Christ in China. A particular highlight was the Uniting Assembly of the United Protestant Church of France.</w:t>
      </w:r>
    </w:p>
    <w:p>
      <w:pPr>
        <w:pStyle w:val="BodyText"/>
        <w:spacing w:before="4"/>
        <w:rPr>
          <w:sz w:val="11"/>
        </w:rPr>
      </w:pPr>
    </w:p>
    <w:p>
      <w:pPr>
        <w:spacing w:after="0"/>
        <w:rPr>
          <w:sz w:val="11"/>
        </w:rPr>
        <w:sectPr>
          <w:headerReference w:type="even" r:id="rId502"/>
          <w:footerReference w:type="even" r:id="rId503"/>
          <w:footerReference w:type="default" r:id="rId504"/>
          <w:pgSz w:w="11910" w:h="16840"/>
          <w:pgMar w:header="0" w:footer="647" w:top="0" w:bottom="840" w:left="0" w:right="0"/>
          <w:pgNumType w:start="204"/>
        </w:sectPr>
      </w:pPr>
    </w:p>
    <w:p>
      <w:pPr>
        <w:pStyle w:val="ListParagraph"/>
        <w:numPr>
          <w:ilvl w:val="1"/>
          <w:numId w:val="107"/>
        </w:numPr>
        <w:tabs>
          <w:tab w:pos="1927" w:val="left" w:leader="none"/>
          <w:tab w:pos="1928" w:val="left" w:leader="none"/>
        </w:tabs>
        <w:spacing w:line="235" w:lineRule="auto" w:before="104" w:after="0"/>
        <w:ind w:left="1247" w:right="0" w:firstLine="0"/>
        <w:jc w:val="left"/>
        <w:rPr>
          <w:sz w:val="20"/>
        </w:rPr>
      </w:pPr>
      <w:r>
        <w:rPr>
          <w:w w:val="120"/>
          <w:sz w:val="20"/>
        </w:rPr>
        <w:t>There are 50 united denominations around the globe, encompassing a great diversity of histories and contemporary expressions. There is  a particular sense of kinship among the united/ uniting churches of Canada, the US, Australia and the </w:t>
      </w:r>
      <w:r>
        <w:rPr>
          <w:spacing w:val="2"/>
          <w:w w:val="120"/>
          <w:sz w:val="20"/>
        </w:rPr>
        <w:t>UK. </w:t>
      </w:r>
      <w:r>
        <w:rPr>
          <w:w w:val="120"/>
          <w:sz w:val="20"/>
        </w:rPr>
        <w:t>They share a common </w:t>
      </w:r>
      <w:r>
        <w:rPr>
          <w:spacing w:val="2"/>
          <w:w w:val="120"/>
          <w:sz w:val="20"/>
        </w:rPr>
        <w:t>story </w:t>
      </w:r>
      <w:r>
        <w:rPr>
          <w:w w:val="120"/>
          <w:sz w:val="20"/>
        </w:rPr>
        <w:t>of</w:t>
      </w:r>
      <w:r>
        <w:rPr>
          <w:spacing w:val="24"/>
          <w:w w:val="120"/>
          <w:sz w:val="20"/>
        </w:rPr>
        <w:t> </w:t>
      </w:r>
      <w:r>
        <w:rPr>
          <w:w w:val="120"/>
          <w:sz w:val="20"/>
        </w:rPr>
        <w:t>courageous</w:t>
      </w:r>
    </w:p>
    <w:p>
      <w:pPr>
        <w:spacing w:before="227"/>
        <w:ind w:left="287" w:right="0" w:firstLine="0"/>
        <w:jc w:val="left"/>
        <w:rPr>
          <w:b/>
          <w:sz w:val="29"/>
        </w:rPr>
      </w:pPr>
      <w:r>
        <w:rPr/>
        <w:br w:type="column"/>
      </w:r>
      <w:r>
        <w:rPr/>
        <w:drawing>
          <wp:inline distT="0" distB="0" distL="0" distR="0">
            <wp:extent cx="199394" cy="521601"/>
            <wp:effectExtent l="0" t="0" r="0" b="0"/>
            <wp:docPr id="407" name="image71.png"/>
            <wp:cNvGraphicFramePr>
              <a:graphicFrameLocks noChangeAspect="1"/>
            </wp:cNvGraphicFramePr>
            <a:graphic>
              <a:graphicData uri="http://schemas.openxmlformats.org/drawingml/2006/picture">
                <pic:pic>
                  <pic:nvPicPr>
                    <pic:cNvPr id="408" name="image71.png"/>
                    <pic:cNvPicPr/>
                  </pic:nvPicPr>
                  <pic:blipFill>
                    <a:blip r:embed="rId506" cstate="print"/>
                    <a:stretch>
                      <a:fillRect/>
                    </a:stretch>
                  </pic:blipFill>
                  <pic:spPr>
                    <a:xfrm>
                      <a:off x="0" y="0"/>
                      <a:ext cx="199394" cy="521601"/>
                    </a:xfrm>
                    <a:prstGeom prst="rect">
                      <a:avLst/>
                    </a:prstGeom>
                  </pic:spPr>
                </pic:pic>
              </a:graphicData>
            </a:graphic>
          </wp:inline>
        </w:drawing>
      </w:r>
      <w:r>
        <w:rPr/>
      </w:r>
      <w:r>
        <w:rPr>
          <w:rFonts w:ascii="Times New Roman"/>
          <w:spacing w:val="22"/>
          <w:sz w:val="20"/>
        </w:rPr>
        <w:t> </w:t>
      </w:r>
      <w:r>
        <w:rPr>
          <w:b/>
          <w:color w:val="FF3300"/>
          <w:w w:val="110"/>
          <w:sz w:val="29"/>
        </w:rPr>
        <w:t>Hospitality and</w:t>
      </w:r>
      <w:r>
        <w:rPr>
          <w:b/>
          <w:color w:val="FF3300"/>
          <w:spacing w:val="-2"/>
          <w:w w:val="110"/>
          <w:sz w:val="29"/>
        </w:rPr>
        <w:t> </w:t>
      </w:r>
      <w:r>
        <w:rPr>
          <w:b/>
          <w:color w:val="FF3300"/>
          <w:w w:val="110"/>
          <w:sz w:val="29"/>
        </w:rPr>
        <w:t>diversity</w:t>
      </w:r>
    </w:p>
    <w:p>
      <w:pPr>
        <w:spacing w:after="0"/>
        <w:jc w:val="left"/>
        <w:rPr>
          <w:sz w:val="29"/>
        </w:rPr>
        <w:sectPr>
          <w:type w:val="continuous"/>
          <w:pgSz w:w="11910" w:h="16840"/>
          <w:pgMar w:top="680" w:bottom="280" w:left="0" w:right="0"/>
          <w:cols w:num="2" w:equalWidth="0">
            <w:col w:w="6221" w:space="40"/>
            <w:col w:w="5649"/>
          </w:cols>
        </w:sectPr>
      </w:pPr>
    </w:p>
    <w:p>
      <w:pPr>
        <w:pStyle w:val="BodyText"/>
        <w:spacing w:line="235" w:lineRule="auto" w:before="4"/>
        <w:ind w:left="1247" w:right="2600"/>
      </w:pPr>
      <w:r>
        <w:rPr/>
        <w:drawing>
          <wp:anchor distT="0" distB="0" distL="0" distR="0" allowOverlap="1" layoutInCell="1" locked="0" behindDoc="0" simplePos="0" relativeHeight="252173312">
            <wp:simplePos x="0" y="0"/>
            <wp:positionH relativeFrom="page">
              <wp:posOffset>0</wp:posOffset>
            </wp:positionH>
            <wp:positionV relativeFrom="page">
              <wp:posOffset>0</wp:posOffset>
            </wp:positionV>
            <wp:extent cx="594067" cy="10692003"/>
            <wp:effectExtent l="0" t="0" r="0" b="0"/>
            <wp:wrapNone/>
            <wp:docPr id="409" name="image32.png"/>
            <wp:cNvGraphicFramePr>
              <a:graphicFrameLocks noChangeAspect="1"/>
            </wp:cNvGraphicFramePr>
            <a:graphic>
              <a:graphicData uri="http://schemas.openxmlformats.org/drawingml/2006/picture">
                <pic:pic>
                  <pic:nvPicPr>
                    <pic:cNvPr id="410" name="image32.png"/>
                    <pic:cNvPicPr/>
                  </pic:nvPicPr>
                  <pic:blipFill>
                    <a:blip r:embed="rId362" cstate="print"/>
                    <a:stretch>
                      <a:fillRect/>
                    </a:stretch>
                  </pic:blipFill>
                  <pic:spPr>
                    <a:xfrm>
                      <a:off x="0" y="0"/>
                      <a:ext cx="594067" cy="10692003"/>
                    </a:xfrm>
                    <a:prstGeom prst="rect">
                      <a:avLst/>
                    </a:prstGeom>
                  </pic:spPr>
                </pic:pic>
              </a:graphicData>
            </a:graphic>
          </wp:anchor>
        </w:drawing>
      </w:r>
      <w:r>
        <w:rPr>
          <w:w w:val="120"/>
        </w:rPr>
        <w:t>union in a time of ecumenical enthusiasm which has now waned. Each expected to give up its life into further unions and has had to make the transition to being</w:t>
      </w:r>
      <w:r>
        <w:rPr>
          <w:spacing w:val="33"/>
          <w:w w:val="120"/>
        </w:rPr>
        <w:t> </w:t>
      </w:r>
      <w:r>
        <w:rPr>
          <w:w w:val="120"/>
        </w:rPr>
        <w:t>a</w:t>
      </w:r>
    </w:p>
    <w:p>
      <w:pPr>
        <w:pStyle w:val="BodyText"/>
        <w:spacing w:line="235" w:lineRule="auto" w:before="1"/>
        <w:ind w:left="1247" w:right="2151"/>
      </w:pPr>
      <w:r>
        <w:rPr>
          <w:w w:val="120"/>
        </w:rPr>
        <w:t>denomination. Each struggles to project an identity because all are broad churches which instinctively play down their distinctiveness. And each struggles with the challenges of secularism in the surrounding culture. In February 2013, the general secretaries of these four Churches met together in Toronto, accompanied by their ecumenical/world church officers. The conversation was lively and the sense of mutual support was profound. There has been an exchange of resources, including Australia’s excellent website of new hymns and songs (www.songsthatunite.org.au). The</w:t>
      </w:r>
    </w:p>
    <w:p>
      <w:pPr>
        <w:pStyle w:val="BodyText"/>
        <w:spacing w:line="235" w:lineRule="auto" w:before="6"/>
        <w:ind w:left="1247" w:right="2004"/>
      </w:pPr>
      <w:r>
        <w:rPr>
          <w:w w:val="120"/>
        </w:rPr>
        <w:t>United Reformed Church has offered to host a conference in 2015 bringing together theologians, artists and liturgists around the theme of hospitality and diversity.</w:t>
      </w:r>
    </w:p>
    <w:p>
      <w:pPr>
        <w:pStyle w:val="Heading4"/>
        <w:numPr>
          <w:ilvl w:val="0"/>
          <w:numId w:val="107"/>
        </w:numPr>
        <w:tabs>
          <w:tab w:pos="2154" w:val="left" w:leader="none"/>
          <w:tab w:pos="2155" w:val="left" w:leader="none"/>
        </w:tabs>
        <w:spacing w:line="240" w:lineRule="auto" w:before="213" w:after="0"/>
        <w:ind w:left="2154" w:right="0" w:hanging="908"/>
        <w:jc w:val="left"/>
      </w:pPr>
      <w:r>
        <w:rPr>
          <w:spacing w:val="3"/>
          <w:w w:val="110"/>
        </w:rPr>
        <w:t>Conclusion</w:t>
      </w:r>
    </w:p>
    <w:p>
      <w:pPr>
        <w:pStyle w:val="ListParagraph"/>
        <w:numPr>
          <w:ilvl w:val="1"/>
          <w:numId w:val="107"/>
        </w:numPr>
        <w:tabs>
          <w:tab w:pos="1927" w:val="left" w:leader="none"/>
          <w:tab w:pos="1928" w:val="left" w:leader="none"/>
        </w:tabs>
        <w:spacing w:line="235" w:lineRule="auto" w:before="69" w:after="0"/>
        <w:ind w:left="1247" w:right="1995" w:firstLine="0"/>
        <w:jc w:val="left"/>
        <w:rPr>
          <w:sz w:val="20"/>
        </w:rPr>
      </w:pPr>
      <w:r>
        <w:rPr>
          <w:w w:val="120"/>
          <w:sz w:val="20"/>
        </w:rPr>
        <w:t>Our engaging in mission as a whole church can look like a lot of meetings, conferences, consultations, projects and papers. But in the mission department we believe that our greatest resource for mission is people, their passion for the Gospel and God given </w:t>
      </w:r>
      <w:r>
        <w:rPr>
          <w:spacing w:val="2"/>
          <w:w w:val="120"/>
          <w:sz w:val="20"/>
        </w:rPr>
        <w:t>gifts </w:t>
      </w:r>
      <w:r>
        <w:rPr>
          <w:w w:val="120"/>
          <w:sz w:val="20"/>
        </w:rPr>
        <w:t>for sharing it. And so, whether the agenda is ecumenical, intercultural   or international, about health and well-being or poverty, the church in the city</w:t>
      </w:r>
      <w:r>
        <w:rPr>
          <w:spacing w:val="53"/>
          <w:w w:val="120"/>
          <w:sz w:val="20"/>
        </w:rPr>
        <w:t> </w:t>
      </w:r>
      <w:r>
        <w:rPr>
          <w:w w:val="120"/>
          <w:sz w:val="20"/>
        </w:rPr>
        <w:t>or</w:t>
      </w:r>
    </w:p>
    <w:p>
      <w:pPr>
        <w:pStyle w:val="BodyText"/>
        <w:spacing w:line="235" w:lineRule="auto" w:before="4"/>
        <w:ind w:left="1247" w:right="2167"/>
      </w:pPr>
      <w:r>
        <w:rPr>
          <w:w w:val="120"/>
        </w:rPr>
        <w:t>rural setting or the fresh expression, or enabling campaigns for justice, we give thanks for the ways in which people are brought together engaging in the mission of the whole Church, forming growing networks and listening to each other’s insights on the challenge of being followers of Jesus, in churches, in</w:t>
      </w:r>
      <w:r>
        <w:rPr>
          <w:spacing w:val="20"/>
          <w:w w:val="120"/>
        </w:rPr>
        <w:t> </w:t>
      </w:r>
      <w:r>
        <w:rPr>
          <w:w w:val="120"/>
        </w:rPr>
        <w:t>mission.</w:t>
      </w:r>
    </w:p>
    <w:p>
      <w:pPr>
        <w:pStyle w:val="BodyText"/>
        <w:spacing w:before="11"/>
        <w:rPr>
          <w:sz w:val="19"/>
        </w:rPr>
      </w:pPr>
    </w:p>
    <w:p>
      <w:pPr>
        <w:pStyle w:val="ListParagraph"/>
        <w:numPr>
          <w:ilvl w:val="1"/>
          <w:numId w:val="107"/>
        </w:numPr>
        <w:tabs>
          <w:tab w:pos="1927" w:val="left" w:leader="none"/>
          <w:tab w:pos="1928" w:val="left" w:leader="none"/>
        </w:tabs>
        <w:spacing w:line="235" w:lineRule="auto" w:before="0" w:after="0"/>
        <w:ind w:left="1247" w:right="2052" w:firstLine="0"/>
        <w:jc w:val="left"/>
        <w:rPr>
          <w:sz w:val="20"/>
        </w:rPr>
      </w:pPr>
      <w:r>
        <w:rPr>
          <w:w w:val="120"/>
          <w:sz w:val="20"/>
        </w:rPr>
        <w:t>The mission committee’s </w:t>
      </w:r>
      <w:r>
        <w:rPr>
          <w:spacing w:val="2"/>
          <w:w w:val="120"/>
          <w:sz w:val="20"/>
        </w:rPr>
        <w:t>report </w:t>
      </w:r>
      <w:r>
        <w:rPr>
          <w:w w:val="120"/>
          <w:sz w:val="20"/>
        </w:rPr>
        <w:t>is offered with thanks to the staff of the mission team and the networks of representatives, enablers and advocates who are </w:t>
      </w:r>
      <w:r>
        <w:rPr>
          <w:spacing w:val="2"/>
          <w:w w:val="120"/>
          <w:sz w:val="20"/>
        </w:rPr>
        <w:t>part </w:t>
      </w:r>
      <w:r>
        <w:rPr>
          <w:w w:val="120"/>
          <w:sz w:val="20"/>
        </w:rPr>
        <w:t>of the development and communication of our identity as a Church committed to broad, outward-looking and varied mission. Thanks too to the many local churches, who share their inspiring stories so that we might all be</w:t>
      </w:r>
      <w:r>
        <w:rPr>
          <w:spacing w:val="25"/>
          <w:w w:val="120"/>
          <w:sz w:val="20"/>
        </w:rPr>
        <w:t> </w:t>
      </w:r>
      <w:r>
        <w:rPr>
          <w:w w:val="120"/>
          <w:sz w:val="20"/>
        </w:rPr>
        <w:t>encouraged.</w:t>
      </w:r>
    </w:p>
    <w:p>
      <w:pPr>
        <w:pStyle w:val="BodyText"/>
      </w:pPr>
    </w:p>
    <w:p>
      <w:pPr>
        <w:pStyle w:val="ListParagraph"/>
        <w:numPr>
          <w:ilvl w:val="1"/>
          <w:numId w:val="107"/>
        </w:numPr>
        <w:tabs>
          <w:tab w:pos="1927" w:val="left" w:leader="none"/>
          <w:tab w:pos="1928" w:val="left" w:leader="none"/>
        </w:tabs>
        <w:spacing w:line="235" w:lineRule="auto" w:before="0" w:after="0"/>
        <w:ind w:left="1247" w:right="2452" w:firstLine="0"/>
        <w:jc w:val="left"/>
        <w:rPr>
          <w:sz w:val="20"/>
        </w:rPr>
      </w:pPr>
      <w:r>
        <w:rPr>
          <w:w w:val="120"/>
          <w:sz w:val="20"/>
        </w:rPr>
        <w:t>On behalf of the whole Church we would like to record our appreciation of Frank Kantor, secretary for church and society, and Graham Jones, rural officer,</w:t>
      </w:r>
      <w:r>
        <w:rPr>
          <w:spacing w:val="-35"/>
          <w:w w:val="120"/>
          <w:sz w:val="20"/>
        </w:rPr>
        <w:t> </w:t>
      </w:r>
      <w:r>
        <w:rPr>
          <w:w w:val="120"/>
          <w:sz w:val="20"/>
        </w:rPr>
        <w:t>who have moved to new posts since the last Assembly. We thank them for the excellent contribution they have made on behalf of the United Reformed</w:t>
      </w:r>
      <w:r>
        <w:rPr>
          <w:spacing w:val="31"/>
          <w:w w:val="120"/>
          <w:sz w:val="20"/>
        </w:rPr>
        <w:t> </w:t>
      </w:r>
      <w:r>
        <w:rPr>
          <w:w w:val="120"/>
          <w:sz w:val="20"/>
        </w:rPr>
        <w:t>Church.</w:t>
      </w:r>
    </w:p>
    <w:p>
      <w:pPr>
        <w:spacing w:after="0" w:line="235" w:lineRule="auto"/>
        <w:jc w:val="left"/>
        <w:rPr>
          <w:sz w:val="20"/>
        </w:rPr>
        <w:sectPr>
          <w:type w:val="continuous"/>
          <w:pgSz w:w="11910" w:h="16840"/>
          <w:pgMar w:top="680" w:bottom="280" w:left="0" w:right="0"/>
        </w:sectPr>
      </w:pPr>
    </w:p>
    <w:p>
      <w:pPr>
        <w:pStyle w:val="BodyText"/>
      </w:pPr>
      <w:r>
        <w:rPr/>
        <w:drawing>
          <wp:anchor distT="0" distB="0" distL="0" distR="0" allowOverlap="1" layoutInCell="1" locked="0" behindDoc="0" simplePos="0" relativeHeight="252176384">
            <wp:simplePos x="0" y="0"/>
            <wp:positionH relativeFrom="page">
              <wp:posOffset>6974928</wp:posOffset>
            </wp:positionH>
            <wp:positionV relativeFrom="page">
              <wp:posOffset>0</wp:posOffset>
            </wp:positionV>
            <wp:extent cx="585063" cy="10692003"/>
            <wp:effectExtent l="0" t="0" r="0" b="0"/>
            <wp:wrapNone/>
            <wp:docPr id="411" name="image30.png"/>
            <wp:cNvGraphicFramePr>
              <a:graphicFrameLocks noChangeAspect="1"/>
            </wp:cNvGraphicFramePr>
            <a:graphic>
              <a:graphicData uri="http://schemas.openxmlformats.org/drawingml/2006/picture">
                <pic:pic>
                  <pic:nvPicPr>
                    <pic:cNvPr id="412" name="image30.png"/>
                    <pic:cNvPicPr/>
                  </pic:nvPicPr>
                  <pic:blipFill>
                    <a:blip r:embed="rId357"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5"/>
        <w:rPr>
          <w:sz w:val="28"/>
        </w:rPr>
      </w:pPr>
    </w:p>
    <w:p>
      <w:pPr>
        <w:pStyle w:val="Heading2"/>
        <w:spacing w:line="213" w:lineRule="auto"/>
        <w:ind w:left="1984"/>
        <w:rPr>
          <w:b/>
        </w:rPr>
      </w:pPr>
      <w:r>
        <w:rPr/>
        <w:pict>
          <v:shape style="position:absolute;margin-left:554.141174pt;margin-top:-5.989334pt;width:25.9pt;height:305.25pt;mso-position-horizontal-relative:page;mso-position-vertical-relative:paragraph;z-index:252177408" type="#_x0000_t202" filled="false" stroked="false">
            <v:textbox inset="0,0,0,0" style="layout-flow:vertical">
              <w:txbxContent>
                <w:p>
                  <w:pPr>
                    <w:spacing w:before="27"/>
                    <w:ind w:left="20" w:right="0" w:firstLine="0"/>
                    <w:jc w:val="left"/>
                    <w:rPr>
                      <w:sz w:val="39"/>
                    </w:rPr>
                  </w:pPr>
                  <w:r>
                    <w:rPr>
                      <w:color w:val="FFFFFF"/>
                      <w:w w:val="120"/>
                      <w:sz w:val="39"/>
                    </w:rPr>
                    <w:t>Pastoral reference and welfare</w:t>
                  </w:r>
                </w:p>
              </w:txbxContent>
            </v:textbox>
            <w10:wrap type="none"/>
          </v:shape>
        </w:pict>
      </w:r>
      <w:bookmarkStart w:name="_bookmark41" w:id="51"/>
      <w:bookmarkEnd w:id="51"/>
      <w:r>
        <w:rPr>
          <w:b w:val="0"/>
        </w:rPr>
      </w:r>
      <w:r>
        <w:rPr>
          <w:b/>
          <w:w w:val="110"/>
        </w:rPr>
        <w:t>Pastoral reference and welfare committee</w:t>
      </w:r>
    </w:p>
    <w:p>
      <w:pPr>
        <w:spacing w:line="261" w:lineRule="auto" w:before="157"/>
        <w:ind w:left="1984" w:right="1419" w:firstLine="0"/>
        <w:jc w:val="left"/>
        <w:rPr>
          <w:sz w:val="18"/>
        </w:rPr>
      </w:pPr>
      <w:r>
        <w:rPr>
          <w:color w:val="87888A"/>
          <w:w w:val="120"/>
          <w:sz w:val="18"/>
        </w:rPr>
        <w:t>The committee considers the cases of ministers and church related community workers which are referred to it by officers or councils of the Church when there is perceived pastoral need. Such response may be needed:</w:t>
      </w:r>
    </w:p>
    <w:p>
      <w:pPr>
        <w:pStyle w:val="ListParagraph"/>
        <w:numPr>
          <w:ilvl w:val="2"/>
          <w:numId w:val="107"/>
        </w:numPr>
        <w:tabs>
          <w:tab w:pos="2664" w:val="left" w:leader="none"/>
          <w:tab w:pos="2665" w:val="left" w:leader="none"/>
        </w:tabs>
        <w:spacing w:line="261" w:lineRule="auto" w:before="2" w:after="0"/>
        <w:ind w:left="2664" w:right="1601" w:hanging="681"/>
        <w:jc w:val="left"/>
        <w:rPr>
          <w:sz w:val="18"/>
        </w:rPr>
      </w:pPr>
      <w:r>
        <w:rPr>
          <w:color w:val="87888A"/>
          <w:w w:val="120"/>
          <w:sz w:val="18"/>
        </w:rPr>
        <w:t>when</w:t>
      </w:r>
      <w:r>
        <w:rPr>
          <w:color w:val="87888A"/>
          <w:spacing w:val="-4"/>
          <w:w w:val="120"/>
          <w:sz w:val="18"/>
        </w:rPr>
        <w:t> </w:t>
      </w:r>
      <w:r>
        <w:rPr>
          <w:color w:val="87888A"/>
          <w:w w:val="120"/>
          <w:sz w:val="18"/>
        </w:rPr>
        <w:t>synod</w:t>
      </w:r>
      <w:r>
        <w:rPr>
          <w:color w:val="87888A"/>
          <w:spacing w:val="-4"/>
          <w:w w:val="120"/>
          <w:sz w:val="18"/>
        </w:rPr>
        <w:t> </w:t>
      </w:r>
      <w:r>
        <w:rPr>
          <w:color w:val="87888A"/>
          <w:w w:val="120"/>
          <w:sz w:val="18"/>
        </w:rPr>
        <w:t>moderators</w:t>
      </w:r>
      <w:r>
        <w:rPr>
          <w:color w:val="87888A"/>
          <w:spacing w:val="-3"/>
          <w:w w:val="120"/>
          <w:sz w:val="18"/>
        </w:rPr>
        <w:t> </w:t>
      </w:r>
      <w:r>
        <w:rPr>
          <w:color w:val="87888A"/>
          <w:w w:val="120"/>
          <w:sz w:val="18"/>
        </w:rPr>
        <w:t>or</w:t>
      </w:r>
      <w:r>
        <w:rPr>
          <w:color w:val="87888A"/>
          <w:spacing w:val="-4"/>
          <w:w w:val="120"/>
          <w:sz w:val="18"/>
        </w:rPr>
        <w:t> </w:t>
      </w:r>
      <w:r>
        <w:rPr>
          <w:color w:val="87888A"/>
          <w:w w:val="120"/>
          <w:sz w:val="18"/>
        </w:rPr>
        <w:t>synod</w:t>
      </w:r>
      <w:r>
        <w:rPr>
          <w:color w:val="87888A"/>
          <w:spacing w:val="-3"/>
          <w:w w:val="120"/>
          <w:sz w:val="18"/>
        </w:rPr>
        <w:t> </w:t>
      </w:r>
      <w:r>
        <w:rPr>
          <w:color w:val="87888A"/>
          <w:w w:val="120"/>
          <w:sz w:val="18"/>
        </w:rPr>
        <w:t>pastoral</w:t>
      </w:r>
      <w:r>
        <w:rPr>
          <w:color w:val="87888A"/>
          <w:spacing w:val="-4"/>
          <w:w w:val="120"/>
          <w:sz w:val="18"/>
        </w:rPr>
        <w:t> </w:t>
      </w:r>
      <w:r>
        <w:rPr>
          <w:color w:val="87888A"/>
          <w:w w:val="120"/>
          <w:sz w:val="18"/>
        </w:rPr>
        <w:t>committees</w:t>
      </w:r>
      <w:r>
        <w:rPr>
          <w:color w:val="87888A"/>
          <w:spacing w:val="-4"/>
          <w:w w:val="120"/>
          <w:sz w:val="18"/>
        </w:rPr>
        <w:t> </w:t>
      </w:r>
      <w:r>
        <w:rPr>
          <w:color w:val="87888A"/>
          <w:w w:val="120"/>
          <w:sz w:val="18"/>
        </w:rPr>
        <w:t>seek</w:t>
      </w:r>
      <w:r>
        <w:rPr>
          <w:color w:val="87888A"/>
          <w:spacing w:val="-3"/>
          <w:w w:val="120"/>
          <w:sz w:val="18"/>
        </w:rPr>
        <w:t> </w:t>
      </w:r>
      <w:r>
        <w:rPr>
          <w:color w:val="87888A"/>
          <w:w w:val="120"/>
          <w:sz w:val="18"/>
        </w:rPr>
        <w:t>assistance</w:t>
      </w:r>
      <w:r>
        <w:rPr>
          <w:color w:val="87888A"/>
          <w:spacing w:val="-4"/>
          <w:w w:val="120"/>
          <w:sz w:val="18"/>
        </w:rPr>
        <w:t> </w:t>
      </w:r>
      <w:r>
        <w:rPr>
          <w:color w:val="87888A"/>
          <w:w w:val="120"/>
          <w:sz w:val="18"/>
        </w:rPr>
        <w:t>in</w:t>
      </w:r>
      <w:r>
        <w:rPr>
          <w:color w:val="87888A"/>
          <w:spacing w:val="-3"/>
          <w:w w:val="120"/>
          <w:sz w:val="18"/>
        </w:rPr>
        <w:t> </w:t>
      </w:r>
      <w:r>
        <w:rPr>
          <w:color w:val="87888A"/>
          <w:w w:val="120"/>
          <w:sz w:val="18"/>
        </w:rPr>
        <w:t>their</w:t>
      </w:r>
      <w:r>
        <w:rPr>
          <w:color w:val="87888A"/>
          <w:spacing w:val="-4"/>
          <w:w w:val="120"/>
          <w:sz w:val="18"/>
        </w:rPr>
        <w:t> </w:t>
      </w:r>
      <w:r>
        <w:rPr>
          <w:color w:val="87888A"/>
          <w:w w:val="120"/>
          <w:sz w:val="18"/>
        </w:rPr>
        <w:t>pastoral care of ministers, church related community workers </w:t>
      </w:r>
      <w:r>
        <w:rPr>
          <w:color w:val="87888A"/>
          <w:spacing w:val="-4"/>
          <w:w w:val="120"/>
          <w:sz w:val="18"/>
        </w:rPr>
        <w:t>(CRCWs) </w:t>
      </w:r>
      <w:r>
        <w:rPr>
          <w:color w:val="87888A"/>
          <w:w w:val="120"/>
          <w:sz w:val="18"/>
        </w:rPr>
        <w:t>and</w:t>
      </w:r>
      <w:r>
        <w:rPr>
          <w:color w:val="87888A"/>
          <w:spacing w:val="34"/>
          <w:w w:val="120"/>
          <w:sz w:val="18"/>
        </w:rPr>
        <w:t> </w:t>
      </w:r>
      <w:r>
        <w:rPr>
          <w:color w:val="87888A"/>
          <w:w w:val="120"/>
          <w:sz w:val="18"/>
        </w:rPr>
        <w:t>congregations;</w:t>
      </w:r>
    </w:p>
    <w:p>
      <w:pPr>
        <w:pStyle w:val="ListParagraph"/>
        <w:numPr>
          <w:ilvl w:val="2"/>
          <w:numId w:val="107"/>
        </w:numPr>
        <w:tabs>
          <w:tab w:pos="2664" w:val="left" w:leader="none"/>
          <w:tab w:pos="2665" w:val="left" w:leader="none"/>
        </w:tabs>
        <w:spacing w:line="261" w:lineRule="auto" w:before="1" w:after="0"/>
        <w:ind w:left="2664" w:right="1391" w:hanging="681"/>
        <w:jc w:val="left"/>
        <w:rPr>
          <w:sz w:val="18"/>
        </w:rPr>
      </w:pPr>
      <w:r>
        <w:rPr>
          <w:color w:val="87888A"/>
          <w:w w:val="120"/>
          <w:sz w:val="18"/>
        </w:rPr>
        <w:t>when there is a breakdown in relationship between the minister and congregation or the wider Church which, for whatever reason, does not fall within the pastoral care of the synod moderator or the synod pastoral</w:t>
      </w:r>
      <w:r>
        <w:rPr>
          <w:color w:val="87888A"/>
          <w:spacing w:val="10"/>
          <w:w w:val="120"/>
          <w:sz w:val="18"/>
        </w:rPr>
        <w:t> </w:t>
      </w:r>
      <w:r>
        <w:rPr>
          <w:color w:val="87888A"/>
          <w:w w:val="120"/>
          <w:sz w:val="18"/>
        </w:rPr>
        <w:t>committee;</w:t>
      </w:r>
    </w:p>
    <w:p>
      <w:pPr>
        <w:pStyle w:val="ListParagraph"/>
        <w:numPr>
          <w:ilvl w:val="2"/>
          <w:numId w:val="107"/>
        </w:numPr>
        <w:tabs>
          <w:tab w:pos="2664" w:val="left" w:leader="none"/>
          <w:tab w:pos="2665" w:val="left" w:leader="none"/>
        </w:tabs>
        <w:spacing w:line="261" w:lineRule="auto" w:before="1" w:after="0"/>
        <w:ind w:left="2664" w:right="1788" w:hanging="681"/>
        <w:jc w:val="left"/>
        <w:rPr>
          <w:sz w:val="18"/>
        </w:rPr>
      </w:pPr>
      <w:r>
        <w:rPr>
          <w:color w:val="87888A"/>
          <w:w w:val="120"/>
          <w:sz w:val="18"/>
        </w:rPr>
        <w:t>when the continuation of a minister’s or CRCW’s service within the United Reformed Church is in</w:t>
      </w:r>
      <w:r>
        <w:rPr>
          <w:color w:val="87888A"/>
          <w:spacing w:val="5"/>
          <w:w w:val="120"/>
          <w:sz w:val="18"/>
        </w:rPr>
        <w:t> </w:t>
      </w:r>
      <w:r>
        <w:rPr>
          <w:color w:val="87888A"/>
          <w:w w:val="120"/>
          <w:sz w:val="18"/>
        </w:rPr>
        <w:t>question;</w:t>
      </w:r>
    </w:p>
    <w:p>
      <w:pPr>
        <w:pStyle w:val="ListParagraph"/>
        <w:numPr>
          <w:ilvl w:val="2"/>
          <w:numId w:val="107"/>
        </w:numPr>
        <w:tabs>
          <w:tab w:pos="2664" w:val="left" w:leader="none"/>
          <w:tab w:pos="2665" w:val="left" w:leader="none"/>
        </w:tabs>
        <w:spacing w:line="240" w:lineRule="auto" w:before="1" w:after="0"/>
        <w:ind w:left="2664" w:right="0" w:hanging="681"/>
        <w:jc w:val="left"/>
        <w:rPr>
          <w:sz w:val="18"/>
        </w:rPr>
      </w:pPr>
      <w:r>
        <w:rPr>
          <w:color w:val="87888A"/>
          <w:w w:val="115"/>
          <w:sz w:val="18"/>
        </w:rPr>
        <w:t>when financial assistance is sought from welfare</w:t>
      </w:r>
      <w:r>
        <w:rPr>
          <w:color w:val="87888A"/>
          <w:spacing w:val="36"/>
          <w:w w:val="115"/>
          <w:sz w:val="18"/>
        </w:rPr>
        <w:t> </w:t>
      </w:r>
      <w:r>
        <w:rPr>
          <w:color w:val="87888A"/>
          <w:w w:val="115"/>
          <w:sz w:val="18"/>
        </w:rPr>
        <w:t>funds.</w:t>
      </w:r>
    </w:p>
    <w:p>
      <w:pPr>
        <w:pStyle w:val="BodyText"/>
        <w:spacing w:before="5"/>
        <w:rPr>
          <w:sz w:val="16"/>
        </w:rPr>
      </w:pPr>
    </w:p>
    <w:p>
      <w:pPr>
        <w:spacing w:before="0"/>
        <w:ind w:left="1984" w:right="0" w:firstLine="0"/>
        <w:jc w:val="left"/>
        <w:rPr>
          <w:sz w:val="18"/>
        </w:rPr>
      </w:pPr>
      <w:r>
        <w:rPr>
          <w:color w:val="87888A"/>
          <w:w w:val="120"/>
          <w:sz w:val="18"/>
        </w:rPr>
        <w:t>Committee members:</w:t>
      </w:r>
    </w:p>
    <w:p>
      <w:pPr>
        <w:spacing w:before="20"/>
        <w:ind w:left="1984" w:right="0" w:firstLine="0"/>
        <w:jc w:val="left"/>
        <w:rPr>
          <w:sz w:val="18"/>
        </w:rPr>
      </w:pPr>
      <w:r>
        <w:rPr>
          <w:color w:val="87888A"/>
          <w:w w:val="120"/>
          <w:sz w:val="18"/>
        </w:rPr>
        <w:t>Convener: Sheila Maxey</w:t>
      </w:r>
    </w:p>
    <w:p>
      <w:pPr>
        <w:spacing w:line="261" w:lineRule="auto" w:before="21"/>
        <w:ind w:left="1984" w:right="1193" w:firstLine="0"/>
        <w:jc w:val="left"/>
        <w:rPr>
          <w:sz w:val="18"/>
        </w:rPr>
      </w:pPr>
      <w:r>
        <w:rPr>
          <w:color w:val="87888A"/>
          <w:w w:val="120"/>
          <w:sz w:val="18"/>
        </w:rPr>
        <w:t>Members: Richard Mortimer (secretary until June 2013), Howard Sharp (secretary from June 2013), Irene Wren (minute secretary from June 2013), Gabrielle Pagan, Clare Downing (from July 2013), Douglas Hay (from July 2013).</w:t>
      </w:r>
    </w:p>
    <w:p>
      <w:pPr>
        <w:pStyle w:val="BodyText"/>
        <w:rPr>
          <w:sz w:val="22"/>
        </w:rPr>
      </w:pPr>
    </w:p>
    <w:p>
      <w:pPr>
        <w:pStyle w:val="BodyText"/>
        <w:spacing w:before="4"/>
        <w:rPr>
          <w:sz w:val="25"/>
        </w:rPr>
      </w:pPr>
    </w:p>
    <w:p>
      <w:pPr>
        <w:pStyle w:val="Heading4"/>
        <w:numPr>
          <w:ilvl w:val="3"/>
          <w:numId w:val="107"/>
        </w:numPr>
        <w:tabs>
          <w:tab w:pos="2664" w:val="left" w:leader="none"/>
          <w:tab w:pos="2665" w:val="left" w:leader="none"/>
        </w:tabs>
        <w:spacing w:line="240" w:lineRule="auto" w:before="1" w:after="0"/>
        <w:ind w:left="2664" w:right="0" w:hanging="681"/>
        <w:jc w:val="left"/>
      </w:pPr>
      <w:r>
        <w:rPr>
          <w:spacing w:val="3"/>
          <w:w w:val="110"/>
        </w:rPr>
        <w:t>Pastoral reference</w:t>
      </w:r>
      <w:r>
        <w:rPr>
          <w:spacing w:val="22"/>
          <w:w w:val="110"/>
        </w:rPr>
        <w:t> </w:t>
      </w:r>
      <w:r>
        <w:rPr>
          <w:spacing w:val="2"/>
          <w:w w:val="110"/>
        </w:rPr>
        <w:t>work</w:t>
      </w:r>
    </w:p>
    <w:p>
      <w:pPr>
        <w:pStyle w:val="ListParagraph"/>
        <w:numPr>
          <w:ilvl w:val="4"/>
          <w:numId w:val="107"/>
        </w:numPr>
        <w:tabs>
          <w:tab w:pos="2664" w:val="left" w:leader="none"/>
          <w:tab w:pos="2665" w:val="left" w:leader="none"/>
        </w:tabs>
        <w:spacing w:line="235" w:lineRule="auto" w:before="69" w:after="0"/>
        <w:ind w:left="1984" w:right="1474" w:firstLine="0"/>
        <w:jc w:val="left"/>
        <w:rPr>
          <w:sz w:val="20"/>
        </w:rPr>
      </w:pPr>
      <w:r>
        <w:rPr>
          <w:w w:val="120"/>
          <w:sz w:val="20"/>
        </w:rPr>
        <w:t>We continue to commend the work of the churches’ ministerial counselling </w:t>
      </w:r>
      <w:r>
        <w:rPr>
          <w:spacing w:val="2"/>
          <w:w w:val="120"/>
          <w:sz w:val="20"/>
        </w:rPr>
        <w:t>service from </w:t>
      </w:r>
      <w:r>
        <w:rPr>
          <w:w w:val="120"/>
          <w:sz w:val="20"/>
        </w:rPr>
        <w:t>which ministers – in </w:t>
      </w:r>
      <w:r>
        <w:rPr>
          <w:spacing w:val="2"/>
          <w:w w:val="120"/>
          <w:sz w:val="20"/>
        </w:rPr>
        <w:t>active service, </w:t>
      </w:r>
      <w:r>
        <w:rPr>
          <w:w w:val="120"/>
          <w:sz w:val="20"/>
        </w:rPr>
        <w:t>in </w:t>
      </w:r>
      <w:r>
        <w:rPr>
          <w:spacing w:val="2"/>
          <w:w w:val="120"/>
          <w:sz w:val="20"/>
        </w:rPr>
        <w:t>training </w:t>
      </w:r>
      <w:r>
        <w:rPr>
          <w:w w:val="120"/>
          <w:sz w:val="20"/>
        </w:rPr>
        <w:t>or in retirement – and their </w:t>
      </w:r>
      <w:r>
        <w:rPr>
          <w:spacing w:val="2"/>
          <w:w w:val="120"/>
          <w:sz w:val="20"/>
        </w:rPr>
        <w:t>families </w:t>
      </w:r>
      <w:r>
        <w:rPr>
          <w:w w:val="120"/>
          <w:sz w:val="20"/>
        </w:rPr>
        <w:t>can receive completely confidential </w:t>
      </w:r>
      <w:r>
        <w:rPr>
          <w:spacing w:val="3"/>
          <w:w w:val="120"/>
          <w:sz w:val="20"/>
        </w:rPr>
        <w:t>support. </w:t>
      </w:r>
      <w:r>
        <w:rPr>
          <w:spacing w:val="2"/>
          <w:w w:val="120"/>
          <w:sz w:val="20"/>
        </w:rPr>
        <w:t>The </w:t>
      </w:r>
      <w:r>
        <w:rPr>
          <w:w w:val="120"/>
          <w:sz w:val="20"/>
        </w:rPr>
        <w:t>cost of this </w:t>
      </w:r>
      <w:r>
        <w:rPr>
          <w:spacing w:val="2"/>
          <w:w w:val="120"/>
          <w:sz w:val="20"/>
        </w:rPr>
        <w:t>service </w:t>
      </w:r>
      <w:r>
        <w:rPr>
          <w:w w:val="120"/>
          <w:sz w:val="20"/>
        </w:rPr>
        <w:t>to the United </w:t>
      </w:r>
      <w:r>
        <w:rPr>
          <w:spacing w:val="2"/>
          <w:w w:val="120"/>
          <w:sz w:val="20"/>
        </w:rPr>
        <w:t>Reformed </w:t>
      </w:r>
      <w:r>
        <w:rPr>
          <w:w w:val="120"/>
          <w:sz w:val="20"/>
        </w:rPr>
        <w:t>Church </w:t>
      </w:r>
      <w:r>
        <w:rPr>
          <w:spacing w:val="2"/>
          <w:w w:val="120"/>
          <w:sz w:val="20"/>
        </w:rPr>
        <w:t>between Assembly </w:t>
      </w:r>
      <w:r>
        <w:rPr>
          <w:spacing w:val="-6"/>
          <w:w w:val="120"/>
          <w:sz w:val="20"/>
        </w:rPr>
        <w:t>2012 </w:t>
      </w:r>
      <w:r>
        <w:rPr>
          <w:w w:val="120"/>
          <w:sz w:val="20"/>
        </w:rPr>
        <w:t>and </w:t>
      </w:r>
      <w:r>
        <w:rPr>
          <w:spacing w:val="-6"/>
          <w:w w:val="120"/>
          <w:sz w:val="20"/>
        </w:rPr>
        <w:t>31 </w:t>
      </w:r>
      <w:r>
        <w:rPr>
          <w:w w:val="120"/>
          <w:sz w:val="20"/>
        </w:rPr>
        <w:t>December </w:t>
      </w:r>
      <w:r>
        <w:rPr>
          <w:spacing w:val="-7"/>
          <w:w w:val="120"/>
          <w:sz w:val="20"/>
        </w:rPr>
        <w:t>2013 </w:t>
      </w:r>
      <w:r>
        <w:rPr>
          <w:w w:val="120"/>
          <w:sz w:val="20"/>
        </w:rPr>
        <w:t>has </w:t>
      </w:r>
      <w:r>
        <w:rPr>
          <w:spacing w:val="2"/>
          <w:w w:val="120"/>
          <w:sz w:val="20"/>
        </w:rPr>
        <w:t>been</w:t>
      </w:r>
      <w:r>
        <w:rPr>
          <w:spacing w:val="6"/>
          <w:w w:val="120"/>
          <w:sz w:val="20"/>
        </w:rPr>
        <w:t> </w:t>
      </w:r>
      <w:r>
        <w:rPr>
          <w:w w:val="120"/>
          <w:sz w:val="20"/>
        </w:rPr>
        <w:t>£6,351.00.</w:t>
      </w:r>
    </w:p>
    <w:p>
      <w:pPr>
        <w:pStyle w:val="BodyText"/>
        <w:spacing w:before="11"/>
        <w:rPr>
          <w:sz w:val="19"/>
        </w:rPr>
      </w:pPr>
    </w:p>
    <w:p>
      <w:pPr>
        <w:pStyle w:val="ListParagraph"/>
        <w:numPr>
          <w:ilvl w:val="4"/>
          <w:numId w:val="107"/>
        </w:numPr>
        <w:tabs>
          <w:tab w:pos="2664" w:val="left" w:leader="none"/>
          <w:tab w:pos="2665" w:val="left" w:leader="none"/>
        </w:tabs>
        <w:spacing w:line="235" w:lineRule="auto" w:before="0" w:after="0"/>
        <w:ind w:left="1984" w:right="1751" w:firstLine="0"/>
        <w:jc w:val="left"/>
        <w:rPr>
          <w:sz w:val="20"/>
        </w:rPr>
      </w:pPr>
      <w:r>
        <w:rPr>
          <w:w w:val="120"/>
          <w:sz w:val="20"/>
        </w:rPr>
        <w:t>We have </w:t>
      </w:r>
      <w:r>
        <w:rPr>
          <w:spacing w:val="2"/>
          <w:w w:val="120"/>
          <w:sz w:val="20"/>
        </w:rPr>
        <w:t>responded </w:t>
      </w:r>
      <w:r>
        <w:rPr>
          <w:w w:val="120"/>
          <w:sz w:val="20"/>
        </w:rPr>
        <w:t>to the </w:t>
      </w:r>
      <w:r>
        <w:rPr>
          <w:spacing w:val="2"/>
          <w:w w:val="120"/>
          <w:sz w:val="20"/>
        </w:rPr>
        <w:t>various </w:t>
      </w:r>
      <w:r>
        <w:rPr>
          <w:w w:val="120"/>
          <w:sz w:val="20"/>
        </w:rPr>
        <w:t>individual cases of the </w:t>
      </w:r>
      <w:r>
        <w:rPr>
          <w:spacing w:val="2"/>
          <w:w w:val="120"/>
          <w:sz w:val="20"/>
        </w:rPr>
        <w:t>past two </w:t>
      </w:r>
      <w:r>
        <w:rPr>
          <w:w w:val="120"/>
          <w:sz w:val="20"/>
        </w:rPr>
        <w:t>years in a </w:t>
      </w:r>
      <w:r>
        <w:rPr>
          <w:spacing w:val="3"/>
          <w:w w:val="120"/>
          <w:sz w:val="20"/>
        </w:rPr>
        <w:t>variety </w:t>
      </w:r>
      <w:r>
        <w:rPr>
          <w:w w:val="120"/>
          <w:sz w:val="20"/>
        </w:rPr>
        <w:t>of ways </w:t>
      </w:r>
      <w:r>
        <w:rPr>
          <w:spacing w:val="2"/>
          <w:w w:val="120"/>
          <w:sz w:val="20"/>
        </w:rPr>
        <w:t>depending </w:t>
      </w:r>
      <w:r>
        <w:rPr>
          <w:w w:val="120"/>
          <w:sz w:val="20"/>
        </w:rPr>
        <w:t>on the nature of the cases and the issues involved, </w:t>
      </w:r>
      <w:r>
        <w:rPr>
          <w:spacing w:val="2"/>
          <w:w w:val="120"/>
          <w:sz w:val="20"/>
        </w:rPr>
        <w:t>sometimes drawing </w:t>
      </w:r>
      <w:r>
        <w:rPr>
          <w:w w:val="120"/>
          <w:sz w:val="20"/>
        </w:rPr>
        <w:t>on the wisdom and </w:t>
      </w:r>
      <w:r>
        <w:rPr>
          <w:spacing w:val="2"/>
          <w:w w:val="120"/>
          <w:sz w:val="20"/>
        </w:rPr>
        <w:t>experience </w:t>
      </w:r>
      <w:r>
        <w:rPr>
          <w:w w:val="120"/>
          <w:sz w:val="20"/>
        </w:rPr>
        <w:t>of </w:t>
      </w:r>
      <w:r>
        <w:rPr>
          <w:spacing w:val="2"/>
          <w:w w:val="120"/>
          <w:sz w:val="20"/>
        </w:rPr>
        <w:t>others, sometimes </w:t>
      </w:r>
      <w:r>
        <w:rPr>
          <w:w w:val="120"/>
          <w:sz w:val="20"/>
        </w:rPr>
        <w:t>using committee </w:t>
      </w:r>
      <w:r>
        <w:rPr>
          <w:spacing w:val="2"/>
          <w:w w:val="120"/>
          <w:sz w:val="20"/>
        </w:rPr>
        <w:t>members. Although </w:t>
      </w:r>
      <w:r>
        <w:rPr>
          <w:w w:val="120"/>
          <w:sz w:val="20"/>
        </w:rPr>
        <w:t>the committee only </w:t>
      </w:r>
      <w:r>
        <w:rPr>
          <w:spacing w:val="3"/>
          <w:w w:val="120"/>
          <w:sz w:val="20"/>
        </w:rPr>
        <w:t>meets </w:t>
      </w:r>
      <w:r>
        <w:rPr>
          <w:spacing w:val="2"/>
          <w:w w:val="120"/>
          <w:sz w:val="20"/>
        </w:rPr>
        <w:t>three </w:t>
      </w:r>
      <w:r>
        <w:rPr>
          <w:w w:val="120"/>
          <w:sz w:val="20"/>
        </w:rPr>
        <w:t>times a year, </w:t>
      </w:r>
      <w:r>
        <w:rPr>
          <w:spacing w:val="2"/>
          <w:w w:val="120"/>
          <w:sz w:val="20"/>
        </w:rPr>
        <w:t>members </w:t>
      </w:r>
      <w:r>
        <w:rPr>
          <w:w w:val="120"/>
          <w:sz w:val="20"/>
        </w:rPr>
        <w:t>have </w:t>
      </w:r>
      <w:r>
        <w:rPr>
          <w:spacing w:val="2"/>
          <w:w w:val="120"/>
          <w:sz w:val="20"/>
        </w:rPr>
        <w:t>been </w:t>
      </w:r>
      <w:r>
        <w:rPr>
          <w:w w:val="120"/>
          <w:sz w:val="20"/>
        </w:rPr>
        <w:t>called upon, on occasion, to make </w:t>
      </w:r>
      <w:r>
        <w:rPr>
          <w:spacing w:val="2"/>
          <w:w w:val="120"/>
          <w:sz w:val="20"/>
        </w:rPr>
        <w:t>home visits. </w:t>
      </w:r>
      <w:r>
        <w:rPr>
          <w:w w:val="120"/>
          <w:sz w:val="20"/>
        </w:rPr>
        <w:t>Committee conference calls have also </w:t>
      </w:r>
      <w:r>
        <w:rPr>
          <w:spacing w:val="2"/>
          <w:w w:val="120"/>
          <w:sz w:val="20"/>
        </w:rPr>
        <w:t>been held </w:t>
      </w:r>
      <w:r>
        <w:rPr>
          <w:w w:val="120"/>
          <w:sz w:val="20"/>
        </w:rPr>
        <w:t>on occasion </w:t>
      </w:r>
      <w:r>
        <w:rPr>
          <w:spacing w:val="2"/>
          <w:w w:val="120"/>
          <w:sz w:val="20"/>
        </w:rPr>
        <w:t>between </w:t>
      </w:r>
      <w:r>
        <w:rPr>
          <w:w w:val="120"/>
          <w:sz w:val="20"/>
        </w:rPr>
        <w:t>meetings in order to </w:t>
      </w:r>
      <w:r>
        <w:rPr>
          <w:spacing w:val="2"/>
          <w:w w:val="120"/>
          <w:sz w:val="20"/>
        </w:rPr>
        <w:t>respond </w:t>
      </w:r>
      <w:r>
        <w:rPr>
          <w:w w:val="120"/>
          <w:sz w:val="20"/>
        </w:rPr>
        <w:t>to urgent</w:t>
      </w:r>
      <w:r>
        <w:rPr>
          <w:spacing w:val="16"/>
          <w:w w:val="120"/>
          <w:sz w:val="20"/>
        </w:rPr>
        <w:t> </w:t>
      </w:r>
      <w:r>
        <w:rPr>
          <w:spacing w:val="2"/>
          <w:w w:val="120"/>
          <w:sz w:val="20"/>
        </w:rPr>
        <w:t>matters.</w:t>
      </w:r>
    </w:p>
    <w:p>
      <w:pPr>
        <w:pStyle w:val="BodyText"/>
        <w:spacing w:before="1"/>
      </w:pPr>
    </w:p>
    <w:p>
      <w:pPr>
        <w:pStyle w:val="ListParagraph"/>
        <w:numPr>
          <w:ilvl w:val="4"/>
          <w:numId w:val="107"/>
        </w:numPr>
        <w:tabs>
          <w:tab w:pos="2664" w:val="left" w:leader="none"/>
          <w:tab w:pos="2665" w:val="left" w:leader="none"/>
        </w:tabs>
        <w:spacing w:line="235" w:lineRule="auto" w:before="0" w:after="0"/>
        <w:ind w:left="1984" w:right="1670" w:firstLine="0"/>
        <w:jc w:val="left"/>
        <w:rPr>
          <w:sz w:val="20"/>
        </w:rPr>
      </w:pPr>
      <w:r>
        <w:rPr>
          <w:spacing w:val="2"/>
          <w:w w:val="120"/>
          <w:sz w:val="20"/>
        </w:rPr>
        <w:t>General Assembly </w:t>
      </w:r>
      <w:r>
        <w:rPr>
          <w:spacing w:val="-5"/>
          <w:w w:val="120"/>
          <w:sz w:val="20"/>
        </w:rPr>
        <w:t>2012, </w:t>
      </w:r>
      <w:r>
        <w:rPr>
          <w:w w:val="120"/>
          <w:sz w:val="20"/>
        </w:rPr>
        <w:t>in </w:t>
      </w:r>
      <w:r>
        <w:rPr>
          <w:spacing w:val="2"/>
          <w:w w:val="120"/>
          <w:sz w:val="20"/>
        </w:rPr>
        <w:t>resolution </w:t>
      </w:r>
      <w:r>
        <w:rPr>
          <w:w w:val="120"/>
          <w:sz w:val="20"/>
        </w:rPr>
        <w:t>38, </w:t>
      </w:r>
      <w:r>
        <w:rPr>
          <w:spacing w:val="2"/>
          <w:w w:val="120"/>
          <w:sz w:val="20"/>
        </w:rPr>
        <w:t>requested </w:t>
      </w:r>
      <w:r>
        <w:rPr>
          <w:w w:val="120"/>
          <w:sz w:val="20"/>
        </w:rPr>
        <w:t>the committee to liaise with the </w:t>
      </w:r>
      <w:r>
        <w:rPr>
          <w:spacing w:val="2"/>
          <w:w w:val="120"/>
          <w:sz w:val="20"/>
        </w:rPr>
        <w:t>Assembly </w:t>
      </w:r>
      <w:r>
        <w:rPr>
          <w:w w:val="120"/>
          <w:sz w:val="20"/>
        </w:rPr>
        <w:t>commission </w:t>
      </w:r>
      <w:r>
        <w:rPr>
          <w:spacing w:val="2"/>
          <w:w w:val="120"/>
          <w:sz w:val="20"/>
        </w:rPr>
        <w:t>members </w:t>
      </w:r>
      <w:r>
        <w:rPr>
          <w:w w:val="120"/>
          <w:sz w:val="20"/>
        </w:rPr>
        <w:t>in initiating a process of reconciliation both </w:t>
      </w:r>
      <w:r>
        <w:rPr>
          <w:spacing w:val="2"/>
          <w:w w:val="120"/>
          <w:sz w:val="20"/>
        </w:rPr>
        <w:t>personal </w:t>
      </w:r>
      <w:r>
        <w:rPr>
          <w:w w:val="120"/>
          <w:sz w:val="20"/>
        </w:rPr>
        <w:t>and collective. Considerable time and </w:t>
      </w:r>
      <w:r>
        <w:rPr>
          <w:spacing w:val="3"/>
          <w:w w:val="120"/>
          <w:sz w:val="20"/>
        </w:rPr>
        <w:t>effort </w:t>
      </w:r>
      <w:r>
        <w:rPr>
          <w:w w:val="120"/>
          <w:sz w:val="20"/>
        </w:rPr>
        <w:t>has </w:t>
      </w:r>
      <w:r>
        <w:rPr>
          <w:spacing w:val="2"/>
          <w:w w:val="120"/>
          <w:sz w:val="20"/>
        </w:rPr>
        <w:t>been expended </w:t>
      </w:r>
      <w:r>
        <w:rPr>
          <w:w w:val="120"/>
          <w:sz w:val="20"/>
        </w:rPr>
        <w:t>on this</w:t>
      </w:r>
      <w:r>
        <w:rPr>
          <w:spacing w:val="5"/>
          <w:w w:val="120"/>
          <w:sz w:val="20"/>
        </w:rPr>
        <w:t> </w:t>
      </w:r>
      <w:r>
        <w:rPr>
          <w:w w:val="120"/>
          <w:sz w:val="20"/>
        </w:rPr>
        <w:t>matter.</w:t>
      </w:r>
    </w:p>
    <w:p>
      <w:pPr>
        <w:pStyle w:val="BodyText"/>
        <w:spacing w:before="11"/>
        <w:rPr>
          <w:sz w:val="19"/>
        </w:rPr>
      </w:pPr>
    </w:p>
    <w:p>
      <w:pPr>
        <w:pStyle w:val="ListParagraph"/>
        <w:numPr>
          <w:ilvl w:val="4"/>
          <w:numId w:val="107"/>
        </w:numPr>
        <w:tabs>
          <w:tab w:pos="2664" w:val="left" w:leader="none"/>
          <w:tab w:pos="2665" w:val="left" w:leader="none"/>
        </w:tabs>
        <w:spacing w:line="235" w:lineRule="auto" w:before="0" w:after="0"/>
        <w:ind w:left="1984" w:right="1637" w:firstLine="0"/>
        <w:jc w:val="left"/>
        <w:rPr>
          <w:sz w:val="20"/>
        </w:rPr>
      </w:pPr>
      <w:r>
        <w:rPr>
          <w:w w:val="120"/>
          <w:sz w:val="20"/>
        </w:rPr>
        <w:t>Since the disbanding of the </w:t>
      </w:r>
      <w:r>
        <w:rPr>
          <w:spacing w:val="2"/>
          <w:w w:val="120"/>
          <w:sz w:val="20"/>
        </w:rPr>
        <w:t>sexual </w:t>
      </w:r>
      <w:r>
        <w:rPr>
          <w:w w:val="120"/>
          <w:sz w:val="20"/>
        </w:rPr>
        <w:t>ethics </w:t>
      </w:r>
      <w:r>
        <w:rPr>
          <w:spacing w:val="3"/>
          <w:w w:val="120"/>
          <w:sz w:val="20"/>
        </w:rPr>
        <w:t>advisory </w:t>
      </w:r>
      <w:r>
        <w:rPr>
          <w:w w:val="120"/>
          <w:sz w:val="20"/>
        </w:rPr>
        <w:t>group the committee has </w:t>
      </w:r>
      <w:r>
        <w:rPr>
          <w:spacing w:val="2"/>
          <w:w w:val="120"/>
          <w:sz w:val="20"/>
        </w:rPr>
        <w:t>been responsible </w:t>
      </w:r>
      <w:r>
        <w:rPr>
          <w:w w:val="120"/>
          <w:sz w:val="20"/>
        </w:rPr>
        <w:t>for ensuring that </w:t>
      </w:r>
      <w:r>
        <w:rPr>
          <w:spacing w:val="2"/>
          <w:w w:val="120"/>
          <w:sz w:val="20"/>
        </w:rPr>
        <w:t>there </w:t>
      </w:r>
      <w:r>
        <w:rPr>
          <w:w w:val="120"/>
          <w:sz w:val="20"/>
        </w:rPr>
        <w:t>are </w:t>
      </w:r>
      <w:r>
        <w:rPr>
          <w:spacing w:val="2"/>
          <w:w w:val="120"/>
          <w:sz w:val="20"/>
        </w:rPr>
        <w:t>two </w:t>
      </w:r>
      <w:r>
        <w:rPr>
          <w:w w:val="120"/>
          <w:sz w:val="20"/>
        </w:rPr>
        <w:t>named </w:t>
      </w:r>
      <w:r>
        <w:rPr>
          <w:spacing w:val="2"/>
          <w:w w:val="120"/>
          <w:sz w:val="20"/>
        </w:rPr>
        <w:t>people </w:t>
      </w:r>
      <w:r>
        <w:rPr>
          <w:w w:val="120"/>
          <w:sz w:val="20"/>
        </w:rPr>
        <w:t>in each </w:t>
      </w:r>
      <w:r>
        <w:rPr>
          <w:spacing w:val="3"/>
          <w:w w:val="120"/>
          <w:sz w:val="20"/>
        </w:rPr>
        <w:t>synod </w:t>
      </w:r>
      <w:r>
        <w:rPr>
          <w:w w:val="120"/>
          <w:sz w:val="20"/>
        </w:rPr>
        <w:t>to </w:t>
      </w:r>
      <w:r>
        <w:rPr>
          <w:spacing w:val="3"/>
          <w:w w:val="120"/>
          <w:sz w:val="20"/>
        </w:rPr>
        <w:t>act</w:t>
      </w:r>
      <w:r>
        <w:rPr>
          <w:spacing w:val="8"/>
          <w:w w:val="120"/>
          <w:sz w:val="20"/>
        </w:rPr>
        <w:t> </w:t>
      </w:r>
      <w:r>
        <w:rPr>
          <w:w w:val="120"/>
          <w:sz w:val="20"/>
        </w:rPr>
        <w:t>as</w:t>
      </w:r>
      <w:r>
        <w:rPr>
          <w:spacing w:val="8"/>
          <w:w w:val="120"/>
          <w:sz w:val="20"/>
        </w:rPr>
        <w:t> </w:t>
      </w:r>
      <w:r>
        <w:rPr>
          <w:spacing w:val="2"/>
          <w:w w:val="120"/>
          <w:sz w:val="20"/>
        </w:rPr>
        <w:t>advisers</w:t>
      </w:r>
      <w:r>
        <w:rPr>
          <w:spacing w:val="8"/>
          <w:w w:val="120"/>
          <w:sz w:val="20"/>
        </w:rPr>
        <w:t> </w:t>
      </w:r>
      <w:r>
        <w:rPr>
          <w:w w:val="120"/>
          <w:sz w:val="20"/>
        </w:rPr>
        <w:t>in</w:t>
      </w:r>
      <w:r>
        <w:rPr>
          <w:spacing w:val="9"/>
          <w:w w:val="120"/>
          <w:sz w:val="20"/>
        </w:rPr>
        <w:t> </w:t>
      </w:r>
      <w:r>
        <w:rPr>
          <w:w w:val="120"/>
          <w:sz w:val="20"/>
        </w:rPr>
        <w:t>cases</w:t>
      </w:r>
      <w:r>
        <w:rPr>
          <w:spacing w:val="8"/>
          <w:w w:val="120"/>
          <w:sz w:val="20"/>
        </w:rPr>
        <w:t> </w:t>
      </w:r>
      <w:r>
        <w:rPr>
          <w:w w:val="120"/>
          <w:sz w:val="20"/>
        </w:rPr>
        <w:t>of</w:t>
      </w:r>
      <w:r>
        <w:rPr>
          <w:spacing w:val="8"/>
          <w:w w:val="120"/>
          <w:sz w:val="20"/>
        </w:rPr>
        <w:t> </w:t>
      </w:r>
      <w:r>
        <w:rPr>
          <w:spacing w:val="2"/>
          <w:w w:val="120"/>
          <w:sz w:val="20"/>
        </w:rPr>
        <w:t>sexual</w:t>
      </w:r>
      <w:r>
        <w:rPr>
          <w:spacing w:val="9"/>
          <w:w w:val="120"/>
          <w:sz w:val="20"/>
        </w:rPr>
        <w:t> </w:t>
      </w:r>
      <w:r>
        <w:rPr>
          <w:w w:val="120"/>
          <w:sz w:val="20"/>
        </w:rPr>
        <w:t>misconduct</w:t>
      </w:r>
      <w:r>
        <w:rPr>
          <w:spacing w:val="8"/>
          <w:w w:val="120"/>
          <w:sz w:val="20"/>
        </w:rPr>
        <w:t> </w:t>
      </w:r>
      <w:r>
        <w:rPr>
          <w:w w:val="120"/>
          <w:sz w:val="20"/>
        </w:rPr>
        <w:t>within</w:t>
      </w:r>
      <w:r>
        <w:rPr>
          <w:spacing w:val="8"/>
          <w:w w:val="120"/>
          <w:sz w:val="20"/>
        </w:rPr>
        <w:t> </w:t>
      </w:r>
      <w:r>
        <w:rPr>
          <w:w w:val="120"/>
          <w:sz w:val="20"/>
        </w:rPr>
        <w:t>a</w:t>
      </w:r>
      <w:r>
        <w:rPr>
          <w:spacing w:val="9"/>
          <w:w w:val="120"/>
          <w:sz w:val="20"/>
        </w:rPr>
        <w:t> </w:t>
      </w:r>
      <w:r>
        <w:rPr>
          <w:w w:val="120"/>
          <w:sz w:val="20"/>
        </w:rPr>
        <w:t>church</w:t>
      </w:r>
      <w:r>
        <w:rPr>
          <w:spacing w:val="8"/>
          <w:w w:val="120"/>
          <w:sz w:val="20"/>
        </w:rPr>
        <w:t> </w:t>
      </w:r>
      <w:r>
        <w:rPr>
          <w:w w:val="120"/>
          <w:sz w:val="20"/>
        </w:rPr>
        <w:t>community.</w:t>
      </w:r>
    </w:p>
    <w:p>
      <w:pPr>
        <w:pStyle w:val="BodyText"/>
        <w:spacing w:before="11"/>
        <w:rPr>
          <w:sz w:val="19"/>
        </w:rPr>
      </w:pPr>
    </w:p>
    <w:p>
      <w:pPr>
        <w:pStyle w:val="ListParagraph"/>
        <w:numPr>
          <w:ilvl w:val="4"/>
          <w:numId w:val="107"/>
        </w:numPr>
        <w:tabs>
          <w:tab w:pos="2664" w:val="left" w:leader="none"/>
          <w:tab w:pos="2665" w:val="left" w:leader="none"/>
        </w:tabs>
        <w:spacing w:line="235" w:lineRule="auto" w:before="0" w:after="0"/>
        <w:ind w:left="1984" w:right="1827" w:firstLine="0"/>
        <w:jc w:val="left"/>
        <w:rPr>
          <w:sz w:val="20"/>
        </w:rPr>
      </w:pPr>
      <w:r>
        <w:rPr>
          <w:spacing w:val="2"/>
          <w:w w:val="120"/>
          <w:sz w:val="20"/>
        </w:rPr>
        <w:t>The </w:t>
      </w:r>
      <w:r>
        <w:rPr>
          <w:w w:val="120"/>
          <w:sz w:val="20"/>
        </w:rPr>
        <w:t>relationship </w:t>
      </w:r>
      <w:r>
        <w:rPr>
          <w:spacing w:val="2"/>
          <w:w w:val="120"/>
          <w:sz w:val="20"/>
        </w:rPr>
        <w:t>between </w:t>
      </w:r>
      <w:r>
        <w:rPr>
          <w:w w:val="120"/>
          <w:sz w:val="20"/>
        </w:rPr>
        <w:t>the committee’s </w:t>
      </w:r>
      <w:r>
        <w:rPr>
          <w:spacing w:val="2"/>
          <w:w w:val="120"/>
          <w:sz w:val="20"/>
        </w:rPr>
        <w:t>pastoral </w:t>
      </w:r>
      <w:r>
        <w:rPr>
          <w:w w:val="120"/>
          <w:sz w:val="20"/>
        </w:rPr>
        <w:t>work and that of the </w:t>
      </w:r>
      <w:r>
        <w:rPr>
          <w:spacing w:val="3"/>
          <w:w w:val="120"/>
          <w:sz w:val="20"/>
        </w:rPr>
        <w:t>synod </w:t>
      </w:r>
      <w:r>
        <w:rPr>
          <w:spacing w:val="2"/>
          <w:w w:val="120"/>
          <w:sz w:val="20"/>
        </w:rPr>
        <w:t>moderators </w:t>
      </w:r>
      <w:r>
        <w:rPr>
          <w:w w:val="120"/>
          <w:sz w:val="20"/>
        </w:rPr>
        <w:t>is </w:t>
      </w:r>
      <w:r>
        <w:rPr>
          <w:spacing w:val="3"/>
          <w:w w:val="120"/>
          <w:sz w:val="20"/>
        </w:rPr>
        <w:t>very important </w:t>
      </w:r>
      <w:r>
        <w:rPr>
          <w:w w:val="120"/>
          <w:sz w:val="20"/>
        </w:rPr>
        <w:t>and so the presence, at the </w:t>
      </w:r>
      <w:r>
        <w:rPr>
          <w:spacing w:val="2"/>
          <w:w w:val="120"/>
          <w:sz w:val="20"/>
        </w:rPr>
        <w:t>moment, </w:t>
      </w:r>
      <w:r>
        <w:rPr>
          <w:w w:val="120"/>
          <w:sz w:val="20"/>
        </w:rPr>
        <w:t>of </w:t>
      </w:r>
      <w:r>
        <w:rPr>
          <w:spacing w:val="2"/>
          <w:w w:val="120"/>
          <w:sz w:val="20"/>
        </w:rPr>
        <w:t>two </w:t>
      </w:r>
      <w:r>
        <w:rPr>
          <w:w w:val="120"/>
          <w:sz w:val="20"/>
        </w:rPr>
        <w:t>of</w:t>
      </w:r>
      <w:r>
        <w:rPr>
          <w:spacing w:val="7"/>
          <w:w w:val="120"/>
          <w:sz w:val="20"/>
        </w:rPr>
        <w:t> </w:t>
      </w:r>
      <w:r>
        <w:rPr>
          <w:w w:val="120"/>
          <w:sz w:val="20"/>
        </w:rPr>
        <w:t>the</w:t>
      </w:r>
      <w:r>
        <w:rPr>
          <w:spacing w:val="8"/>
          <w:w w:val="120"/>
          <w:sz w:val="20"/>
        </w:rPr>
        <w:t> </w:t>
      </w:r>
      <w:r>
        <w:rPr>
          <w:spacing w:val="3"/>
          <w:w w:val="120"/>
          <w:sz w:val="20"/>
        </w:rPr>
        <w:t>synod</w:t>
      </w:r>
      <w:r>
        <w:rPr>
          <w:spacing w:val="8"/>
          <w:w w:val="120"/>
          <w:sz w:val="20"/>
        </w:rPr>
        <w:t> </w:t>
      </w:r>
      <w:r>
        <w:rPr>
          <w:spacing w:val="2"/>
          <w:w w:val="120"/>
          <w:sz w:val="20"/>
        </w:rPr>
        <w:t>moderators</w:t>
      </w:r>
      <w:r>
        <w:rPr>
          <w:spacing w:val="8"/>
          <w:w w:val="120"/>
          <w:sz w:val="20"/>
        </w:rPr>
        <w:t> </w:t>
      </w:r>
      <w:r>
        <w:rPr>
          <w:w w:val="120"/>
          <w:sz w:val="20"/>
        </w:rPr>
        <w:t>on</w:t>
      </w:r>
      <w:r>
        <w:rPr>
          <w:spacing w:val="8"/>
          <w:w w:val="120"/>
          <w:sz w:val="20"/>
        </w:rPr>
        <w:t> </w:t>
      </w:r>
      <w:r>
        <w:rPr>
          <w:w w:val="120"/>
          <w:sz w:val="20"/>
        </w:rPr>
        <w:t>the</w:t>
      </w:r>
      <w:r>
        <w:rPr>
          <w:spacing w:val="8"/>
          <w:w w:val="120"/>
          <w:sz w:val="20"/>
        </w:rPr>
        <w:t> </w:t>
      </w:r>
      <w:r>
        <w:rPr>
          <w:w w:val="120"/>
          <w:sz w:val="20"/>
        </w:rPr>
        <w:t>committee</w:t>
      </w:r>
      <w:r>
        <w:rPr>
          <w:spacing w:val="8"/>
          <w:w w:val="120"/>
          <w:sz w:val="20"/>
        </w:rPr>
        <w:t> </w:t>
      </w:r>
      <w:r>
        <w:rPr>
          <w:w w:val="120"/>
          <w:sz w:val="20"/>
        </w:rPr>
        <w:t>has</w:t>
      </w:r>
      <w:r>
        <w:rPr>
          <w:spacing w:val="8"/>
          <w:w w:val="120"/>
          <w:sz w:val="20"/>
        </w:rPr>
        <w:t> </w:t>
      </w:r>
      <w:r>
        <w:rPr>
          <w:w w:val="120"/>
          <w:sz w:val="20"/>
        </w:rPr>
        <w:t>proved</w:t>
      </w:r>
      <w:r>
        <w:rPr>
          <w:spacing w:val="8"/>
          <w:w w:val="120"/>
          <w:sz w:val="20"/>
        </w:rPr>
        <w:t> </w:t>
      </w:r>
      <w:r>
        <w:rPr>
          <w:spacing w:val="3"/>
          <w:w w:val="120"/>
          <w:sz w:val="20"/>
        </w:rPr>
        <w:t>very</w:t>
      </w:r>
      <w:r>
        <w:rPr>
          <w:spacing w:val="8"/>
          <w:w w:val="120"/>
          <w:sz w:val="20"/>
        </w:rPr>
        <w:t> </w:t>
      </w:r>
      <w:r>
        <w:rPr>
          <w:spacing w:val="2"/>
          <w:w w:val="120"/>
          <w:sz w:val="20"/>
        </w:rPr>
        <w:t>helpful.</w:t>
      </w:r>
    </w:p>
    <w:p>
      <w:pPr>
        <w:pStyle w:val="Heading4"/>
        <w:numPr>
          <w:ilvl w:val="3"/>
          <w:numId w:val="107"/>
        </w:numPr>
        <w:tabs>
          <w:tab w:pos="2664" w:val="left" w:leader="none"/>
          <w:tab w:pos="2665" w:val="left" w:leader="none"/>
        </w:tabs>
        <w:spacing w:line="240" w:lineRule="auto" w:before="214" w:after="0"/>
        <w:ind w:left="2664" w:right="0" w:hanging="681"/>
        <w:jc w:val="left"/>
      </w:pPr>
      <w:r>
        <w:rPr>
          <w:w w:val="110"/>
        </w:rPr>
        <w:t>Welfare</w:t>
      </w:r>
      <w:r>
        <w:rPr>
          <w:spacing w:val="6"/>
          <w:w w:val="110"/>
        </w:rPr>
        <w:t> </w:t>
      </w:r>
      <w:r>
        <w:rPr>
          <w:w w:val="110"/>
        </w:rPr>
        <w:t>grants</w:t>
      </w:r>
    </w:p>
    <w:p>
      <w:pPr>
        <w:pStyle w:val="ListParagraph"/>
        <w:numPr>
          <w:ilvl w:val="4"/>
          <w:numId w:val="107"/>
        </w:numPr>
        <w:tabs>
          <w:tab w:pos="2665" w:val="left" w:leader="none"/>
        </w:tabs>
        <w:spacing w:line="235" w:lineRule="auto" w:before="69" w:after="0"/>
        <w:ind w:left="1984" w:right="1613" w:firstLine="0"/>
        <w:jc w:val="both"/>
        <w:rPr>
          <w:sz w:val="20"/>
        </w:rPr>
      </w:pPr>
      <w:r>
        <w:rPr>
          <w:w w:val="120"/>
          <w:sz w:val="20"/>
        </w:rPr>
        <w:t>A letter </w:t>
      </w:r>
      <w:r>
        <w:rPr>
          <w:spacing w:val="2"/>
          <w:w w:val="120"/>
          <w:sz w:val="20"/>
        </w:rPr>
        <w:t>explaining </w:t>
      </w:r>
      <w:r>
        <w:rPr>
          <w:w w:val="120"/>
          <w:sz w:val="20"/>
        </w:rPr>
        <w:t>the nature of </w:t>
      </w:r>
      <w:r>
        <w:rPr>
          <w:spacing w:val="2"/>
          <w:w w:val="120"/>
          <w:sz w:val="20"/>
        </w:rPr>
        <w:t>these </w:t>
      </w:r>
      <w:r>
        <w:rPr>
          <w:w w:val="120"/>
          <w:sz w:val="20"/>
        </w:rPr>
        <w:t>funds is sent annually to all ministers and CRCWs with their payslips. New ministers and CRCWs receive that letter with their</w:t>
      </w:r>
      <w:r>
        <w:rPr>
          <w:spacing w:val="10"/>
          <w:w w:val="120"/>
          <w:sz w:val="20"/>
        </w:rPr>
        <w:t> </w:t>
      </w:r>
      <w:r>
        <w:rPr>
          <w:spacing w:val="2"/>
          <w:w w:val="120"/>
          <w:sz w:val="20"/>
        </w:rPr>
        <w:t>first</w:t>
      </w:r>
      <w:r>
        <w:rPr>
          <w:spacing w:val="10"/>
          <w:w w:val="120"/>
          <w:sz w:val="20"/>
        </w:rPr>
        <w:t> </w:t>
      </w:r>
      <w:r>
        <w:rPr>
          <w:w w:val="120"/>
          <w:sz w:val="20"/>
        </w:rPr>
        <w:t>payslip.</w:t>
      </w:r>
      <w:r>
        <w:rPr>
          <w:spacing w:val="10"/>
          <w:w w:val="120"/>
          <w:sz w:val="20"/>
        </w:rPr>
        <w:t> </w:t>
      </w:r>
      <w:r>
        <w:rPr>
          <w:spacing w:val="2"/>
          <w:w w:val="120"/>
          <w:sz w:val="20"/>
        </w:rPr>
        <w:t>There</w:t>
      </w:r>
      <w:r>
        <w:rPr>
          <w:spacing w:val="10"/>
          <w:w w:val="120"/>
          <w:sz w:val="20"/>
        </w:rPr>
        <w:t> </w:t>
      </w:r>
      <w:r>
        <w:rPr>
          <w:w w:val="120"/>
          <w:sz w:val="20"/>
        </w:rPr>
        <w:t>are</w:t>
      </w:r>
      <w:r>
        <w:rPr>
          <w:spacing w:val="10"/>
          <w:w w:val="120"/>
          <w:sz w:val="20"/>
        </w:rPr>
        <w:t> </w:t>
      </w:r>
      <w:r>
        <w:rPr>
          <w:w w:val="120"/>
          <w:sz w:val="20"/>
        </w:rPr>
        <w:t>dedicated</w:t>
      </w:r>
      <w:r>
        <w:rPr>
          <w:spacing w:val="10"/>
          <w:w w:val="120"/>
          <w:sz w:val="20"/>
        </w:rPr>
        <w:t> </w:t>
      </w:r>
      <w:r>
        <w:rPr>
          <w:spacing w:val="2"/>
          <w:w w:val="120"/>
          <w:sz w:val="20"/>
        </w:rPr>
        <w:t>educational</w:t>
      </w:r>
      <w:r>
        <w:rPr>
          <w:spacing w:val="10"/>
          <w:w w:val="120"/>
          <w:sz w:val="20"/>
        </w:rPr>
        <w:t> </w:t>
      </w:r>
      <w:r>
        <w:rPr>
          <w:w w:val="120"/>
          <w:sz w:val="20"/>
        </w:rPr>
        <w:t>and</w:t>
      </w:r>
      <w:r>
        <w:rPr>
          <w:spacing w:val="11"/>
          <w:w w:val="120"/>
          <w:sz w:val="20"/>
        </w:rPr>
        <w:t> </w:t>
      </w:r>
      <w:r>
        <w:rPr>
          <w:spacing w:val="2"/>
          <w:w w:val="120"/>
          <w:sz w:val="20"/>
        </w:rPr>
        <w:t>welfare</w:t>
      </w:r>
      <w:r>
        <w:rPr>
          <w:spacing w:val="10"/>
          <w:w w:val="120"/>
          <w:sz w:val="20"/>
        </w:rPr>
        <w:t> </w:t>
      </w:r>
      <w:r>
        <w:rPr>
          <w:w w:val="120"/>
          <w:sz w:val="20"/>
        </w:rPr>
        <w:t>funds</w:t>
      </w:r>
      <w:r>
        <w:rPr>
          <w:spacing w:val="10"/>
          <w:w w:val="120"/>
          <w:sz w:val="20"/>
        </w:rPr>
        <w:t> </w:t>
      </w:r>
      <w:r>
        <w:rPr>
          <w:w w:val="120"/>
          <w:sz w:val="20"/>
        </w:rPr>
        <w:t>and</w:t>
      </w:r>
      <w:r>
        <w:rPr>
          <w:spacing w:val="10"/>
          <w:w w:val="120"/>
          <w:sz w:val="20"/>
        </w:rPr>
        <w:t> </w:t>
      </w:r>
      <w:r>
        <w:rPr>
          <w:w w:val="120"/>
          <w:sz w:val="20"/>
        </w:rPr>
        <w:t>we</w:t>
      </w:r>
      <w:r>
        <w:rPr>
          <w:spacing w:val="10"/>
          <w:w w:val="120"/>
          <w:sz w:val="20"/>
        </w:rPr>
        <w:t> </w:t>
      </w:r>
      <w:r>
        <w:rPr>
          <w:w w:val="120"/>
          <w:sz w:val="20"/>
        </w:rPr>
        <w:t>make</w:t>
      </w:r>
    </w:p>
    <w:p>
      <w:pPr>
        <w:spacing w:after="0" w:line="235" w:lineRule="auto"/>
        <w:jc w:val="both"/>
        <w:rPr>
          <w:sz w:val="20"/>
        </w:rPr>
        <w:sectPr>
          <w:headerReference w:type="default" r:id="rId507"/>
          <w:pgSz w:w="11910" w:h="16840"/>
          <w:pgMar w:header="0" w:footer="647" w:top="0" w:bottom="840" w:left="0" w:right="0"/>
        </w:sectPr>
      </w:pPr>
    </w:p>
    <w:p>
      <w:pPr>
        <w:pStyle w:val="BodyText"/>
      </w:pPr>
      <w:r>
        <w:rPr/>
        <w:drawing>
          <wp:anchor distT="0" distB="0" distL="0" distR="0" allowOverlap="1" layoutInCell="1" locked="0" behindDoc="0" simplePos="0" relativeHeight="252178432">
            <wp:simplePos x="0" y="0"/>
            <wp:positionH relativeFrom="page">
              <wp:posOffset>0</wp:posOffset>
            </wp:positionH>
            <wp:positionV relativeFrom="page">
              <wp:posOffset>0</wp:posOffset>
            </wp:positionV>
            <wp:extent cx="594067" cy="10692003"/>
            <wp:effectExtent l="0" t="0" r="0" b="0"/>
            <wp:wrapNone/>
            <wp:docPr id="413" name="image32.png"/>
            <wp:cNvGraphicFramePr>
              <a:graphicFrameLocks noChangeAspect="1"/>
            </wp:cNvGraphicFramePr>
            <a:graphic>
              <a:graphicData uri="http://schemas.openxmlformats.org/drawingml/2006/picture">
                <pic:pic>
                  <pic:nvPicPr>
                    <pic:cNvPr id="414" name="image32.png"/>
                    <pic:cNvPicPr/>
                  </pic:nvPicPr>
                  <pic:blipFill>
                    <a:blip r:embed="rId362"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shape style="position:absolute;margin-left:20.519100pt;margin-top:22.593945pt;width:25.9pt;height:305.25pt;mso-position-horizontal-relative:page;mso-position-vertical-relative:paragraph;z-index:252179456" type="#_x0000_t202" filled="false" stroked="false">
            <v:textbox inset="0,0,0,0" style="layout-flow:vertical">
              <w:txbxContent>
                <w:p>
                  <w:pPr>
                    <w:spacing w:before="27"/>
                    <w:ind w:left="20" w:right="0" w:firstLine="0"/>
                    <w:jc w:val="left"/>
                    <w:rPr>
                      <w:sz w:val="39"/>
                    </w:rPr>
                  </w:pPr>
                  <w:r>
                    <w:rPr>
                      <w:color w:val="FFFFFF"/>
                      <w:w w:val="120"/>
                      <w:sz w:val="39"/>
                    </w:rPr>
                    <w:t>Pastoral reference and welfare</w:t>
                  </w:r>
                </w:p>
              </w:txbxContent>
            </v:textbox>
            <w10:wrap type="none"/>
          </v:shape>
        </w:pict>
      </w:r>
      <w:bookmarkStart w:name="_TOC_250001" w:id="52"/>
      <w:bookmarkEnd w:id="52"/>
      <w:r>
        <w:rPr>
          <w:color w:val="7EAABF"/>
          <w:w w:val="115"/>
        </w:rPr>
        <w:t>Pastoral reference and welfare</w:t>
      </w:r>
    </w:p>
    <w:p>
      <w:pPr>
        <w:pStyle w:val="BodyText"/>
        <w:spacing w:line="235" w:lineRule="auto" w:before="222"/>
        <w:ind w:left="1247" w:right="1701"/>
      </w:pPr>
      <w:r>
        <w:rPr>
          <w:spacing w:val="2"/>
          <w:w w:val="120"/>
        </w:rPr>
        <w:t>disbursements </w:t>
      </w:r>
      <w:r>
        <w:rPr>
          <w:w w:val="120"/>
        </w:rPr>
        <w:t>totalling in the </w:t>
      </w:r>
      <w:r>
        <w:rPr>
          <w:spacing w:val="2"/>
          <w:w w:val="120"/>
        </w:rPr>
        <w:t>region </w:t>
      </w:r>
      <w:r>
        <w:rPr>
          <w:w w:val="120"/>
        </w:rPr>
        <w:t>of £70,000 </w:t>
      </w:r>
      <w:r>
        <w:rPr>
          <w:spacing w:val="2"/>
          <w:w w:val="120"/>
        </w:rPr>
        <w:t>per </w:t>
      </w:r>
      <w:r>
        <w:rPr>
          <w:w w:val="120"/>
        </w:rPr>
        <w:t>annum. This exceeds the income </w:t>
      </w:r>
      <w:r>
        <w:rPr>
          <w:spacing w:val="2"/>
          <w:w w:val="120"/>
        </w:rPr>
        <w:t>from </w:t>
      </w:r>
      <w:r>
        <w:rPr>
          <w:w w:val="120"/>
        </w:rPr>
        <w:t>the dedicated </w:t>
      </w:r>
      <w:r>
        <w:rPr>
          <w:spacing w:val="2"/>
          <w:w w:val="120"/>
        </w:rPr>
        <w:t>welfare </w:t>
      </w:r>
      <w:r>
        <w:rPr>
          <w:w w:val="120"/>
        </w:rPr>
        <w:t>funds so </w:t>
      </w:r>
      <w:r>
        <w:rPr>
          <w:spacing w:val="2"/>
          <w:w w:val="120"/>
        </w:rPr>
        <w:t>typically </w:t>
      </w:r>
      <w:r>
        <w:rPr>
          <w:w w:val="120"/>
        </w:rPr>
        <w:t>at </w:t>
      </w:r>
      <w:r>
        <w:rPr>
          <w:spacing w:val="2"/>
          <w:w w:val="120"/>
        </w:rPr>
        <w:t>least </w:t>
      </w:r>
      <w:r>
        <w:rPr>
          <w:w w:val="120"/>
        </w:rPr>
        <w:t>£10,000 p.a. of this total is provided </w:t>
      </w:r>
      <w:r>
        <w:rPr>
          <w:spacing w:val="2"/>
          <w:w w:val="120"/>
        </w:rPr>
        <w:t>from  </w:t>
      </w:r>
      <w:r>
        <w:rPr>
          <w:w w:val="120"/>
        </w:rPr>
        <w:t>the </w:t>
      </w:r>
      <w:r>
        <w:rPr>
          <w:spacing w:val="3"/>
          <w:w w:val="120"/>
        </w:rPr>
        <w:t>ministry </w:t>
      </w:r>
      <w:r>
        <w:rPr>
          <w:w w:val="120"/>
        </w:rPr>
        <w:t>and mission</w:t>
      </w:r>
      <w:r>
        <w:rPr>
          <w:spacing w:val="22"/>
          <w:w w:val="120"/>
        </w:rPr>
        <w:t> </w:t>
      </w:r>
      <w:r>
        <w:rPr>
          <w:w w:val="120"/>
        </w:rPr>
        <w:t>fund.</w:t>
      </w:r>
    </w:p>
    <w:p>
      <w:pPr>
        <w:pStyle w:val="BodyText"/>
        <w:spacing w:before="10"/>
        <w:rPr>
          <w:sz w:val="19"/>
        </w:rPr>
      </w:pPr>
    </w:p>
    <w:p>
      <w:pPr>
        <w:pStyle w:val="ListParagraph"/>
        <w:numPr>
          <w:ilvl w:val="4"/>
          <w:numId w:val="107"/>
        </w:numPr>
        <w:tabs>
          <w:tab w:pos="1927" w:val="left" w:leader="none"/>
          <w:tab w:pos="1928" w:val="left" w:leader="none"/>
        </w:tabs>
        <w:spacing w:line="235" w:lineRule="auto" w:before="0" w:after="0"/>
        <w:ind w:left="1247" w:right="1728" w:firstLine="0"/>
        <w:jc w:val="left"/>
        <w:rPr>
          <w:sz w:val="20"/>
        </w:rPr>
      </w:pPr>
      <w:r>
        <w:rPr>
          <w:w w:val="120"/>
          <w:sz w:val="20"/>
        </w:rPr>
        <w:t>The </w:t>
      </w:r>
      <w:r>
        <w:rPr>
          <w:spacing w:val="-3"/>
          <w:w w:val="120"/>
          <w:sz w:val="20"/>
        </w:rPr>
        <w:t>committee would like to </w:t>
      </w:r>
      <w:r>
        <w:rPr>
          <w:spacing w:val="-2"/>
          <w:w w:val="120"/>
          <w:sz w:val="20"/>
        </w:rPr>
        <w:t>pay </w:t>
      </w:r>
      <w:r>
        <w:rPr>
          <w:w w:val="120"/>
          <w:sz w:val="20"/>
        </w:rPr>
        <w:t>tribute </w:t>
      </w:r>
      <w:r>
        <w:rPr>
          <w:spacing w:val="-3"/>
          <w:w w:val="120"/>
          <w:sz w:val="20"/>
        </w:rPr>
        <w:t>to </w:t>
      </w:r>
      <w:r>
        <w:rPr>
          <w:w w:val="120"/>
          <w:sz w:val="20"/>
        </w:rPr>
        <w:t>the </w:t>
      </w:r>
      <w:r>
        <w:rPr>
          <w:spacing w:val="-3"/>
          <w:w w:val="120"/>
          <w:sz w:val="20"/>
        </w:rPr>
        <w:t>invaluable </w:t>
      </w:r>
      <w:r>
        <w:rPr>
          <w:w w:val="120"/>
          <w:sz w:val="20"/>
        </w:rPr>
        <w:t>work which Judy </w:t>
      </w:r>
      <w:r>
        <w:rPr>
          <w:spacing w:val="-3"/>
          <w:w w:val="120"/>
          <w:sz w:val="20"/>
        </w:rPr>
        <w:t>Stockings, </w:t>
      </w:r>
      <w:r>
        <w:rPr>
          <w:w w:val="120"/>
          <w:sz w:val="20"/>
        </w:rPr>
        <w:t>the senior finance </w:t>
      </w:r>
      <w:r>
        <w:rPr>
          <w:spacing w:val="-3"/>
          <w:w w:val="120"/>
          <w:sz w:val="20"/>
        </w:rPr>
        <w:t>officer, </w:t>
      </w:r>
      <w:r>
        <w:rPr>
          <w:w w:val="120"/>
          <w:sz w:val="20"/>
        </w:rPr>
        <w:t>has done for the </w:t>
      </w:r>
      <w:r>
        <w:rPr>
          <w:spacing w:val="-3"/>
          <w:w w:val="120"/>
          <w:sz w:val="20"/>
        </w:rPr>
        <w:t>committee over </w:t>
      </w:r>
      <w:r>
        <w:rPr>
          <w:w w:val="120"/>
          <w:sz w:val="20"/>
        </w:rPr>
        <w:t>the years. She has guided the </w:t>
      </w:r>
      <w:r>
        <w:rPr>
          <w:spacing w:val="-3"/>
          <w:w w:val="120"/>
          <w:sz w:val="20"/>
        </w:rPr>
        <w:t>committee</w:t>
      </w:r>
      <w:r>
        <w:rPr>
          <w:spacing w:val="-7"/>
          <w:w w:val="120"/>
          <w:sz w:val="20"/>
        </w:rPr>
        <w:t> </w:t>
      </w:r>
      <w:r>
        <w:rPr>
          <w:w w:val="120"/>
          <w:sz w:val="20"/>
        </w:rPr>
        <w:t>through</w:t>
      </w:r>
      <w:r>
        <w:rPr>
          <w:spacing w:val="-6"/>
          <w:w w:val="120"/>
          <w:sz w:val="20"/>
        </w:rPr>
        <w:t> </w:t>
      </w:r>
      <w:r>
        <w:rPr>
          <w:w w:val="120"/>
          <w:sz w:val="20"/>
        </w:rPr>
        <w:t>the</w:t>
      </w:r>
      <w:r>
        <w:rPr>
          <w:spacing w:val="-6"/>
          <w:w w:val="120"/>
          <w:sz w:val="20"/>
        </w:rPr>
        <w:t> </w:t>
      </w:r>
      <w:r>
        <w:rPr>
          <w:spacing w:val="-3"/>
          <w:w w:val="120"/>
          <w:sz w:val="20"/>
        </w:rPr>
        <w:t>complications</w:t>
      </w:r>
      <w:r>
        <w:rPr>
          <w:spacing w:val="-6"/>
          <w:w w:val="120"/>
          <w:sz w:val="20"/>
        </w:rPr>
        <w:t> </w:t>
      </w:r>
      <w:r>
        <w:rPr>
          <w:w w:val="120"/>
          <w:sz w:val="20"/>
        </w:rPr>
        <w:t>of</w:t>
      </w:r>
      <w:r>
        <w:rPr>
          <w:spacing w:val="-7"/>
          <w:w w:val="120"/>
          <w:sz w:val="20"/>
        </w:rPr>
        <w:t> </w:t>
      </w:r>
      <w:r>
        <w:rPr>
          <w:w w:val="120"/>
          <w:sz w:val="20"/>
        </w:rPr>
        <w:t>the</w:t>
      </w:r>
      <w:r>
        <w:rPr>
          <w:spacing w:val="-6"/>
          <w:w w:val="120"/>
          <w:sz w:val="20"/>
        </w:rPr>
        <w:t> </w:t>
      </w:r>
      <w:r>
        <w:rPr>
          <w:w w:val="120"/>
          <w:sz w:val="20"/>
        </w:rPr>
        <w:t>welfare</w:t>
      </w:r>
      <w:r>
        <w:rPr>
          <w:spacing w:val="-6"/>
          <w:w w:val="120"/>
          <w:sz w:val="20"/>
        </w:rPr>
        <w:t> </w:t>
      </w:r>
      <w:r>
        <w:rPr>
          <w:w w:val="120"/>
          <w:sz w:val="20"/>
        </w:rPr>
        <w:t>grants</w:t>
      </w:r>
      <w:r>
        <w:rPr>
          <w:spacing w:val="-6"/>
          <w:w w:val="120"/>
          <w:sz w:val="20"/>
        </w:rPr>
        <w:t> </w:t>
      </w:r>
      <w:r>
        <w:rPr>
          <w:w w:val="120"/>
          <w:sz w:val="20"/>
        </w:rPr>
        <w:t>with</w:t>
      </w:r>
      <w:r>
        <w:rPr>
          <w:spacing w:val="-6"/>
          <w:w w:val="120"/>
          <w:sz w:val="20"/>
        </w:rPr>
        <w:t> </w:t>
      </w:r>
      <w:r>
        <w:rPr>
          <w:w w:val="120"/>
          <w:sz w:val="20"/>
        </w:rPr>
        <w:t>clarity</w:t>
      </w:r>
      <w:r>
        <w:rPr>
          <w:spacing w:val="-7"/>
          <w:w w:val="120"/>
          <w:sz w:val="20"/>
        </w:rPr>
        <w:t> </w:t>
      </w:r>
      <w:r>
        <w:rPr>
          <w:w w:val="120"/>
          <w:sz w:val="20"/>
        </w:rPr>
        <w:t>and</w:t>
      </w:r>
      <w:r>
        <w:rPr>
          <w:spacing w:val="-6"/>
          <w:w w:val="120"/>
          <w:sz w:val="20"/>
        </w:rPr>
        <w:t> </w:t>
      </w:r>
      <w:r>
        <w:rPr>
          <w:w w:val="120"/>
          <w:sz w:val="20"/>
        </w:rPr>
        <w:t>a</w:t>
      </w:r>
      <w:r>
        <w:rPr>
          <w:spacing w:val="-6"/>
          <w:w w:val="120"/>
          <w:sz w:val="20"/>
        </w:rPr>
        <w:t> </w:t>
      </w:r>
      <w:r>
        <w:rPr>
          <w:w w:val="120"/>
          <w:sz w:val="20"/>
        </w:rPr>
        <w:t>pastoral</w:t>
      </w:r>
      <w:r>
        <w:rPr>
          <w:spacing w:val="-6"/>
          <w:w w:val="120"/>
          <w:sz w:val="20"/>
        </w:rPr>
        <w:t> </w:t>
      </w:r>
      <w:r>
        <w:rPr>
          <w:w w:val="120"/>
          <w:sz w:val="20"/>
        </w:rPr>
        <w:t>heart.</w:t>
      </w:r>
    </w:p>
    <w:p>
      <w:pPr>
        <w:spacing w:after="0" w:line="235" w:lineRule="auto"/>
        <w:jc w:val="left"/>
        <w:rPr>
          <w:sz w:val="20"/>
        </w:rPr>
        <w:sectPr>
          <w:headerReference w:type="even" r:id="rId508"/>
          <w:footerReference w:type="even" r:id="rId509"/>
          <w:footerReference w:type="default" r:id="rId510"/>
          <w:pgSz w:w="11910" w:h="16840"/>
          <w:pgMar w:header="0" w:footer="647" w:top="0" w:bottom="840" w:left="0" w:right="0"/>
          <w:pgNumType w:start="206"/>
        </w:sectPr>
      </w:pPr>
    </w:p>
    <w:p>
      <w:pPr>
        <w:pStyle w:val="BodyText"/>
      </w:pPr>
      <w:r>
        <w:rPr/>
        <w:drawing>
          <wp:anchor distT="0" distB="0" distL="0" distR="0" allowOverlap="1" layoutInCell="1" locked="0" behindDoc="0" simplePos="0" relativeHeight="252180480">
            <wp:simplePos x="0" y="0"/>
            <wp:positionH relativeFrom="page">
              <wp:posOffset>6974928</wp:posOffset>
            </wp:positionH>
            <wp:positionV relativeFrom="page">
              <wp:posOffset>0</wp:posOffset>
            </wp:positionV>
            <wp:extent cx="585063" cy="10692003"/>
            <wp:effectExtent l="0" t="0" r="0" b="0"/>
            <wp:wrapNone/>
            <wp:docPr id="415" name="image30.png"/>
            <wp:cNvGraphicFramePr>
              <a:graphicFrameLocks noChangeAspect="1"/>
            </wp:cNvGraphicFramePr>
            <a:graphic>
              <a:graphicData uri="http://schemas.openxmlformats.org/drawingml/2006/picture">
                <pic:pic>
                  <pic:nvPicPr>
                    <pic:cNvPr id="416" name="image30.png"/>
                    <pic:cNvPicPr/>
                  </pic:nvPicPr>
                  <pic:blipFill>
                    <a:blip r:embed="rId357"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3"/>
        <w:rPr>
          <w:sz w:val="17"/>
        </w:rPr>
      </w:pPr>
    </w:p>
    <w:p>
      <w:pPr>
        <w:pStyle w:val="Heading2"/>
        <w:spacing w:before="98"/>
        <w:ind w:left="1984"/>
        <w:rPr>
          <w:b/>
        </w:rPr>
      </w:pPr>
      <w:r>
        <w:rPr/>
        <w:pict>
          <v:shape style="position:absolute;margin-left:554.141174pt;margin-top:.855017pt;width:25.9pt;height:166.3pt;mso-position-horizontal-relative:page;mso-position-vertical-relative:paragraph;z-index:252181504" type="#_x0000_t202" filled="false" stroked="false">
            <v:textbox inset="0,0,0,0" style="layout-flow:vertical">
              <w:txbxContent>
                <w:p>
                  <w:pPr>
                    <w:spacing w:before="27"/>
                    <w:ind w:left="20" w:right="0" w:firstLine="0"/>
                    <w:jc w:val="left"/>
                    <w:rPr>
                      <w:sz w:val="39"/>
                    </w:rPr>
                  </w:pPr>
                  <w:r>
                    <w:rPr>
                      <w:color w:val="FFFFFF"/>
                      <w:w w:val="125"/>
                      <w:sz w:val="39"/>
                    </w:rPr>
                    <w:t>Church changes</w:t>
                  </w:r>
                </w:p>
              </w:txbxContent>
            </v:textbox>
            <w10:wrap type="none"/>
          </v:shape>
        </w:pict>
      </w:r>
      <w:bookmarkStart w:name="_TOC_250000" w:id="53"/>
      <w:bookmarkStart w:name="_bookmark42" w:id="54"/>
      <w:r>
        <w:rPr>
          <w:b w:val="0"/>
        </w:rPr>
      </w:r>
      <w:bookmarkEnd w:id="53"/>
      <w:r>
        <w:rPr>
          <w:b/>
          <w:w w:val="110"/>
        </w:rPr>
        <w:t>Church changes</w:t>
      </w:r>
    </w:p>
    <w:p>
      <w:pPr>
        <w:pStyle w:val="Heading4"/>
        <w:spacing w:before="377"/>
        <w:ind w:left="1984" w:firstLine="0"/>
        <w:rPr>
          <w:rFonts w:ascii="Stone Sans II ITC Std X Bd"/>
          <w:b/>
        </w:rPr>
      </w:pPr>
      <w:r>
        <w:rPr>
          <w:rFonts w:ascii="Stone Sans II ITC Std X Bd"/>
          <w:b/>
          <w:w w:val="110"/>
        </w:rPr>
        <w:t>Balcombe Free Church</w:t>
      </w:r>
    </w:p>
    <w:p>
      <w:pPr>
        <w:pStyle w:val="BodyText"/>
        <w:spacing w:line="235" w:lineRule="auto" w:before="195"/>
        <w:ind w:left="1984" w:right="1352"/>
      </w:pPr>
      <w:r>
        <w:rPr>
          <w:w w:val="120"/>
        </w:rPr>
        <w:t>Balcombe Free Church was founded in the </w:t>
      </w:r>
      <w:r>
        <w:rPr>
          <w:spacing w:val="-6"/>
          <w:w w:val="120"/>
        </w:rPr>
        <w:t>1850’s </w:t>
      </w:r>
      <w:r>
        <w:rPr>
          <w:w w:val="120"/>
        </w:rPr>
        <w:t>as the village Congregational chapel. In </w:t>
      </w:r>
      <w:r>
        <w:rPr>
          <w:spacing w:val="-5"/>
          <w:w w:val="120"/>
        </w:rPr>
        <w:t>1896 </w:t>
      </w:r>
      <w:r>
        <w:rPr>
          <w:w w:val="120"/>
        </w:rPr>
        <w:t>the former Tintern Abbey tearooms building was bought by one Thomas Wells of Lindfield. Mr Wells was a staunch nonconformist and the first chairman of Lindfield Parish</w:t>
      </w:r>
      <w:r>
        <w:rPr>
          <w:spacing w:val="2"/>
          <w:w w:val="120"/>
        </w:rPr>
        <w:t> </w:t>
      </w:r>
      <w:r>
        <w:rPr>
          <w:w w:val="120"/>
        </w:rPr>
        <w:t>Council.</w:t>
      </w:r>
    </w:p>
    <w:p>
      <w:pPr>
        <w:pStyle w:val="BodyText"/>
        <w:spacing w:before="11"/>
        <w:rPr>
          <w:sz w:val="19"/>
        </w:rPr>
      </w:pPr>
    </w:p>
    <w:p>
      <w:pPr>
        <w:pStyle w:val="BodyText"/>
        <w:spacing w:line="235" w:lineRule="auto"/>
        <w:ind w:left="1984" w:right="1701"/>
      </w:pPr>
      <w:r>
        <w:rPr>
          <w:spacing w:val="2"/>
          <w:w w:val="120"/>
        </w:rPr>
        <w:t>The </w:t>
      </w:r>
      <w:r>
        <w:rPr>
          <w:w w:val="120"/>
        </w:rPr>
        <w:t>building was </w:t>
      </w:r>
      <w:r>
        <w:rPr>
          <w:spacing w:val="3"/>
          <w:w w:val="120"/>
        </w:rPr>
        <w:t>transported </w:t>
      </w:r>
      <w:r>
        <w:rPr>
          <w:w w:val="120"/>
        </w:rPr>
        <w:t>all the way to </w:t>
      </w:r>
      <w:r>
        <w:rPr>
          <w:spacing w:val="2"/>
          <w:w w:val="120"/>
        </w:rPr>
        <w:t>Balcombe </w:t>
      </w:r>
      <w:r>
        <w:rPr>
          <w:w w:val="120"/>
        </w:rPr>
        <w:t>and </w:t>
      </w:r>
      <w:r>
        <w:rPr>
          <w:spacing w:val="3"/>
          <w:w w:val="120"/>
        </w:rPr>
        <w:t>re-erected </w:t>
      </w:r>
      <w:r>
        <w:rPr>
          <w:w w:val="120"/>
        </w:rPr>
        <w:t>on the   present central village site, which had also </w:t>
      </w:r>
      <w:r>
        <w:rPr>
          <w:spacing w:val="2"/>
          <w:w w:val="120"/>
        </w:rPr>
        <w:t>been </w:t>
      </w:r>
      <w:r>
        <w:rPr>
          <w:w w:val="120"/>
        </w:rPr>
        <w:t>purchased by Mr Wells. This flimsy building with </w:t>
      </w:r>
      <w:r>
        <w:rPr>
          <w:spacing w:val="2"/>
          <w:w w:val="120"/>
        </w:rPr>
        <w:t>its corrugated </w:t>
      </w:r>
      <w:r>
        <w:rPr>
          <w:w w:val="120"/>
        </w:rPr>
        <w:t>iron </w:t>
      </w:r>
      <w:r>
        <w:rPr>
          <w:spacing w:val="2"/>
          <w:w w:val="120"/>
        </w:rPr>
        <w:t>roof </w:t>
      </w:r>
      <w:r>
        <w:rPr>
          <w:w w:val="120"/>
        </w:rPr>
        <w:t>remained in existence for </w:t>
      </w:r>
      <w:r>
        <w:rPr>
          <w:spacing w:val="2"/>
          <w:w w:val="120"/>
        </w:rPr>
        <w:t>about </w:t>
      </w:r>
      <w:r>
        <w:rPr>
          <w:w w:val="120"/>
        </w:rPr>
        <w:t>one hundred years. It must at </w:t>
      </w:r>
      <w:r>
        <w:rPr>
          <w:spacing w:val="2"/>
          <w:w w:val="120"/>
        </w:rPr>
        <w:t>least </w:t>
      </w:r>
      <w:r>
        <w:rPr>
          <w:w w:val="120"/>
        </w:rPr>
        <w:t>have had firm foundations. It </w:t>
      </w:r>
      <w:r>
        <w:rPr>
          <w:spacing w:val="3"/>
          <w:w w:val="120"/>
        </w:rPr>
        <w:t>survived </w:t>
      </w:r>
      <w:r>
        <w:rPr>
          <w:w w:val="120"/>
        </w:rPr>
        <w:t>the </w:t>
      </w:r>
      <w:r>
        <w:rPr>
          <w:spacing w:val="-5"/>
          <w:w w:val="120"/>
        </w:rPr>
        <w:t>1987 </w:t>
      </w:r>
      <w:r>
        <w:rPr>
          <w:spacing w:val="2"/>
          <w:w w:val="120"/>
        </w:rPr>
        <w:t>hurricane </w:t>
      </w:r>
      <w:r>
        <w:rPr>
          <w:w w:val="120"/>
        </w:rPr>
        <w:t>unscathed, not to mention </w:t>
      </w:r>
      <w:r>
        <w:rPr>
          <w:spacing w:val="2"/>
          <w:w w:val="120"/>
        </w:rPr>
        <w:t>generations </w:t>
      </w:r>
      <w:r>
        <w:rPr>
          <w:w w:val="120"/>
        </w:rPr>
        <w:t>of children playing riotous </w:t>
      </w:r>
      <w:r>
        <w:rPr>
          <w:spacing w:val="2"/>
          <w:w w:val="120"/>
        </w:rPr>
        <w:t>games. </w:t>
      </w:r>
      <w:r>
        <w:rPr>
          <w:w w:val="120"/>
        </w:rPr>
        <w:t>A </w:t>
      </w:r>
      <w:r>
        <w:rPr>
          <w:spacing w:val="2"/>
          <w:w w:val="120"/>
        </w:rPr>
        <w:t>brick front </w:t>
      </w:r>
      <w:r>
        <w:rPr>
          <w:w w:val="120"/>
        </w:rPr>
        <w:t>was </w:t>
      </w:r>
      <w:r>
        <w:rPr>
          <w:spacing w:val="2"/>
          <w:w w:val="120"/>
        </w:rPr>
        <w:t>added </w:t>
      </w:r>
      <w:r>
        <w:rPr>
          <w:w w:val="120"/>
        </w:rPr>
        <w:t>in </w:t>
      </w:r>
      <w:r>
        <w:rPr>
          <w:spacing w:val="-3"/>
          <w:w w:val="120"/>
        </w:rPr>
        <w:t>1968 </w:t>
      </w:r>
      <w:r>
        <w:rPr>
          <w:w w:val="120"/>
        </w:rPr>
        <w:t>which may have </w:t>
      </w:r>
      <w:r>
        <w:rPr>
          <w:spacing w:val="2"/>
          <w:w w:val="120"/>
        </w:rPr>
        <w:t>helped </w:t>
      </w:r>
      <w:r>
        <w:rPr>
          <w:w w:val="120"/>
        </w:rPr>
        <w:t>to </w:t>
      </w:r>
      <w:r>
        <w:rPr>
          <w:spacing w:val="2"/>
          <w:w w:val="120"/>
        </w:rPr>
        <w:t>hold </w:t>
      </w:r>
      <w:r>
        <w:rPr>
          <w:w w:val="120"/>
        </w:rPr>
        <w:t>the building together and </w:t>
      </w:r>
      <w:r>
        <w:rPr>
          <w:spacing w:val="2"/>
          <w:w w:val="120"/>
        </w:rPr>
        <w:t>certainly </w:t>
      </w:r>
      <w:r>
        <w:rPr>
          <w:w w:val="120"/>
        </w:rPr>
        <w:t>gave it a</w:t>
      </w:r>
      <w:r>
        <w:rPr>
          <w:spacing w:val="21"/>
          <w:w w:val="120"/>
        </w:rPr>
        <w:t> </w:t>
      </w:r>
      <w:r>
        <w:rPr>
          <w:spacing w:val="2"/>
          <w:w w:val="120"/>
        </w:rPr>
        <w:t>facelift.</w:t>
      </w:r>
    </w:p>
    <w:p>
      <w:pPr>
        <w:pStyle w:val="BodyText"/>
        <w:spacing w:before="1"/>
      </w:pPr>
    </w:p>
    <w:p>
      <w:pPr>
        <w:pStyle w:val="BodyText"/>
        <w:spacing w:line="235" w:lineRule="auto" w:before="1"/>
        <w:ind w:left="1984" w:right="1352"/>
      </w:pPr>
      <w:r>
        <w:rPr>
          <w:w w:val="120"/>
        </w:rPr>
        <w:t>Eventually, </w:t>
      </w:r>
      <w:r>
        <w:rPr>
          <w:spacing w:val="-3"/>
          <w:w w:val="120"/>
        </w:rPr>
        <w:t>however, </w:t>
      </w:r>
      <w:r>
        <w:rPr>
          <w:w w:val="120"/>
        </w:rPr>
        <w:t>the old building was demolished, and the present new building  was officially opened in September </w:t>
      </w:r>
      <w:r>
        <w:rPr>
          <w:spacing w:val="-4"/>
          <w:w w:val="120"/>
        </w:rPr>
        <w:t>1996, </w:t>
      </w:r>
      <w:r>
        <w:rPr>
          <w:w w:val="120"/>
        </w:rPr>
        <w:t>offering a place of worship and used regularly by village</w:t>
      </w:r>
      <w:r>
        <w:rPr>
          <w:spacing w:val="4"/>
          <w:w w:val="120"/>
        </w:rPr>
        <w:t> </w:t>
      </w:r>
      <w:r>
        <w:rPr>
          <w:w w:val="120"/>
        </w:rPr>
        <w:t>organisations.</w:t>
      </w:r>
    </w:p>
    <w:p>
      <w:pPr>
        <w:pStyle w:val="BodyText"/>
        <w:spacing w:before="10"/>
        <w:rPr>
          <w:sz w:val="19"/>
        </w:rPr>
      </w:pPr>
    </w:p>
    <w:p>
      <w:pPr>
        <w:pStyle w:val="BodyText"/>
        <w:spacing w:line="235" w:lineRule="auto"/>
        <w:ind w:left="1984" w:right="2425"/>
        <w:jc w:val="both"/>
      </w:pPr>
      <w:r>
        <w:rPr>
          <w:w w:val="120"/>
        </w:rPr>
        <w:t>In 1972 the church became a congregation of the United Reformed Church. Over the years it has been linked with various congregations: Christ Church, Pound Hill (now Crawley URC) in the 1960-80’s, then Moat, East Grinstead,</w:t>
      </w:r>
    </w:p>
    <w:p>
      <w:pPr>
        <w:pStyle w:val="BodyText"/>
        <w:spacing w:line="243" w:lineRule="exact"/>
        <w:ind w:left="1984"/>
        <w:jc w:val="both"/>
      </w:pPr>
      <w:r>
        <w:rPr>
          <w:w w:val="120"/>
        </w:rPr>
        <w:t>and finally Lindfield URC from 2001 (renewing the earlier Lindfield connection).</w:t>
      </w:r>
    </w:p>
    <w:p>
      <w:pPr>
        <w:pStyle w:val="BodyText"/>
        <w:spacing w:before="7"/>
        <w:rPr>
          <w:sz w:val="19"/>
        </w:rPr>
      </w:pPr>
    </w:p>
    <w:p>
      <w:pPr>
        <w:pStyle w:val="BodyText"/>
        <w:spacing w:line="235" w:lineRule="auto" w:before="1"/>
        <w:ind w:left="1984" w:right="1414"/>
      </w:pPr>
      <w:r>
        <w:rPr>
          <w:spacing w:val="2"/>
          <w:w w:val="120"/>
        </w:rPr>
        <w:t>More </w:t>
      </w:r>
      <w:r>
        <w:rPr>
          <w:w w:val="120"/>
        </w:rPr>
        <w:t>recently the </w:t>
      </w:r>
      <w:r>
        <w:rPr>
          <w:spacing w:val="2"/>
          <w:w w:val="120"/>
        </w:rPr>
        <w:t>congregation became </w:t>
      </w:r>
      <w:r>
        <w:rPr>
          <w:w w:val="120"/>
        </w:rPr>
        <w:t>small numerically, and </w:t>
      </w:r>
      <w:r>
        <w:rPr>
          <w:spacing w:val="2"/>
          <w:w w:val="120"/>
        </w:rPr>
        <w:t>after </w:t>
      </w:r>
      <w:r>
        <w:rPr>
          <w:w w:val="120"/>
        </w:rPr>
        <w:t>much </w:t>
      </w:r>
      <w:r>
        <w:rPr>
          <w:spacing w:val="3"/>
          <w:w w:val="120"/>
        </w:rPr>
        <w:t>prayerful </w:t>
      </w:r>
      <w:r>
        <w:rPr>
          <w:w w:val="120"/>
        </w:rPr>
        <w:t>consideration it was concluded that the work and </w:t>
      </w:r>
      <w:r>
        <w:rPr>
          <w:spacing w:val="2"/>
          <w:w w:val="120"/>
        </w:rPr>
        <w:t>witness </w:t>
      </w:r>
      <w:r>
        <w:rPr>
          <w:w w:val="120"/>
        </w:rPr>
        <w:t>of </w:t>
      </w:r>
      <w:r>
        <w:rPr>
          <w:spacing w:val="2"/>
          <w:w w:val="120"/>
        </w:rPr>
        <w:t>Balcombe </w:t>
      </w:r>
      <w:r>
        <w:rPr>
          <w:w w:val="120"/>
        </w:rPr>
        <w:t>Free Church as currently constituted was complete. A closing </w:t>
      </w:r>
      <w:r>
        <w:rPr>
          <w:spacing w:val="2"/>
          <w:w w:val="120"/>
        </w:rPr>
        <w:t>service </w:t>
      </w:r>
      <w:r>
        <w:rPr>
          <w:w w:val="120"/>
        </w:rPr>
        <w:t>of </w:t>
      </w:r>
      <w:r>
        <w:rPr>
          <w:spacing w:val="2"/>
          <w:w w:val="120"/>
        </w:rPr>
        <w:t>thanksgiving </w:t>
      </w:r>
      <w:r>
        <w:rPr>
          <w:w w:val="120"/>
        </w:rPr>
        <w:t>was </w:t>
      </w:r>
      <w:r>
        <w:rPr>
          <w:spacing w:val="2"/>
          <w:w w:val="120"/>
        </w:rPr>
        <w:t>held </w:t>
      </w:r>
      <w:r>
        <w:rPr>
          <w:w w:val="120"/>
        </w:rPr>
        <w:t>on 8   July</w:t>
      </w:r>
      <w:r>
        <w:rPr>
          <w:spacing w:val="6"/>
          <w:w w:val="120"/>
        </w:rPr>
        <w:t> </w:t>
      </w:r>
      <w:r>
        <w:rPr>
          <w:spacing w:val="-5"/>
          <w:w w:val="120"/>
        </w:rPr>
        <w:t>2012.</w:t>
      </w:r>
    </w:p>
    <w:p>
      <w:pPr>
        <w:pStyle w:val="BodyText"/>
        <w:rPr>
          <w:sz w:val="24"/>
        </w:rPr>
      </w:pPr>
    </w:p>
    <w:p>
      <w:pPr>
        <w:pStyle w:val="BodyText"/>
        <w:spacing w:before="5"/>
        <w:rPr>
          <w:sz w:val="18"/>
        </w:rPr>
      </w:pPr>
    </w:p>
    <w:p>
      <w:pPr>
        <w:pStyle w:val="Heading4"/>
        <w:spacing w:line="220" w:lineRule="auto" w:before="1"/>
        <w:ind w:left="1984" w:right="2004" w:firstLine="0"/>
        <w:rPr>
          <w:rFonts w:ascii="Stone Sans II ITC Std X Bd"/>
          <w:b/>
        </w:rPr>
      </w:pPr>
      <w:r>
        <w:rPr>
          <w:rFonts w:ascii="Stone Sans II ITC Std X Bd"/>
          <w:b/>
          <w:w w:val="110"/>
        </w:rPr>
        <w:t>Bloomsbury United Reformed Church Centre Mission Project</w:t>
      </w:r>
    </w:p>
    <w:p>
      <w:pPr>
        <w:pStyle w:val="BodyText"/>
        <w:spacing w:line="235" w:lineRule="auto" w:before="202"/>
        <w:ind w:left="1984" w:right="1434"/>
      </w:pPr>
      <w:r>
        <w:rPr>
          <w:w w:val="120"/>
        </w:rPr>
        <w:t>In </w:t>
      </w:r>
      <w:r>
        <w:rPr>
          <w:spacing w:val="-9"/>
          <w:w w:val="120"/>
        </w:rPr>
        <w:t>1959 </w:t>
      </w:r>
      <w:r>
        <w:rPr>
          <w:w w:val="120"/>
        </w:rPr>
        <w:t>Saltley Congregational Church moved into a new purpose-built church on the Bloomsbury Estate in the Nechells area of inner city Birmingham. In </w:t>
      </w:r>
      <w:r>
        <w:rPr>
          <w:spacing w:val="-7"/>
          <w:w w:val="120"/>
        </w:rPr>
        <w:t>1979 </w:t>
      </w:r>
      <w:r>
        <w:rPr>
          <w:w w:val="120"/>
        </w:rPr>
        <w:t>they were joined by the members of the former Presbyterian church to form a congregation   with 22 members. After what members described as a ‘decade of disinterest’ from the wider United Reformed Church, ministry was provided from </w:t>
      </w:r>
      <w:r>
        <w:rPr>
          <w:spacing w:val="-7"/>
          <w:w w:val="120"/>
        </w:rPr>
        <w:t>1987 </w:t>
      </w:r>
      <w:r>
        <w:rPr>
          <w:w w:val="120"/>
        </w:rPr>
        <w:t>to </w:t>
      </w:r>
      <w:r>
        <w:rPr>
          <w:spacing w:val="-7"/>
          <w:w w:val="120"/>
        </w:rPr>
        <w:t>1989. </w:t>
      </w:r>
      <w:r>
        <w:rPr>
          <w:w w:val="120"/>
        </w:rPr>
        <w:t>In </w:t>
      </w:r>
      <w:r>
        <w:rPr>
          <w:spacing w:val="-5"/>
          <w:w w:val="120"/>
        </w:rPr>
        <w:t>1989</w:t>
      </w:r>
      <w:r>
        <w:rPr>
          <w:spacing w:val="27"/>
          <w:w w:val="120"/>
        </w:rPr>
        <w:t> </w:t>
      </w:r>
      <w:r>
        <w:rPr>
          <w:w w:val="120"/>
        </w:rPr>
        <w:t>a</w:t>
      </w:r>
    </w:p>
    <w:p>
      <w:pPr>
        <w:pStyle w:val="BodyText"/>
        <w:spacing w:line="235" w:lineRule="auto" w:before="4"/>
        <w:ind w:left="1984" w:right="1352"/>
      </w:pPr>
      <w:r>
        <w:rPr>
          <w:w w:val="120"/>
        </w:rPr>
        <w:t>CRCW post was established and greatly valued by local residents and other community agencies. Activities for the community grew within the project but there was a decline in the congregation and the church asked its district council to consider establishing a mission project based in the Oliver Street</w:t>
      </w:r>
      <w:r>
        <w:rPr>
          <w:spacing w:val="14"/>
          <w:w w:val="120"/>
        </w:rPr>
        <w:t> </w:t>
      </w:r>
      <w:r>
        <w:rPr>
          <w:w w:val="120"/>
        </w:rPr>
        <w:t>premises.</w:t>
      </w:r>
    </w:p>
    <w:p>
      <w:pPr>
        <w:pStyle w:val="BodyText"/>
        <w:spacing w:before="11"/>
        <w:rPr>
          <w:sz w:val="19"/>
        </w:rPr>
      </w:pPr>
    </w:p>
    <w:p>
      <w:pPr>
        <w:pStyle w:val="BodyText"/>
        <w:spacing w:line="235" w:lineRule="auto"/>
        <w:ind w:left="1984" w:right="1395"/>
      </w:pPr>
      <w:r>
        <w:rPr>
          <w:w w:val="120"/>
        </w:rPr>
        <w:t>The three aims of the mission project were to offer spiritual direction and pastoral care to local residents, to develop groups for fellowship and worship, to work with local residents, and to offer advice and support to other groups within the Nechells area, which suffered from high deprivation. </w:t>
      </w:r>
      <w:r>
        <w:rPr>
          <w:spacing w:val="-6"/>
          <w:w w:val="120"/>
        </w:rPr>
        <w:t>Two  </w:t>
      </w:r>
      <w:r>
        <w:rPr>
          <w:w w:val="120"/>
        </w:rPr>
        <w:t>successful achievements of the project  were </w:t>
      </w:r>
      <w:r>
        <w:rPr>
          <w:spacing w:val="-3"/>
          <w:w w:val="120"/>
        </w:rPr>
        <w:t>Noah’s </w:t>
      </w:r>
      <w:r>
        <w:rPr>
          <w:w w:val="120"/>
        </w:rPr>
        <w:t>Ark playgroup and a nearly new shop. The former provided much needed facilities for pre-school children. The latter was a place where members of the local community, many of whom lived on their own, could meet and socialise. Despite difficulties the project was a genuine and thoughtful attempt of creative engagement which, with the church, gave over 50 years of faithful service and</w:t>
      </w:r>
      <w:r>
        <w:rPr>
          <w:spacing w:val="26"/>
          <w:w w:val="120"/>
        </w:rPr>
        <w:t> </w:t>
      </w:r>
      <w:r>
        <w:rPr>
          <w:w w:val="120"/>
        </w:rPr>
        <w:t>witness.</w:t>
      </w:r>
    </w:p>
    <w:p>
      <w:pPr>
        <w:spacing w:after="0" w:line="235" w:lineRule="auto"/>
        <w:sectPr>
          <w:headerReference w:type="default" r:id="rId511"/>
          <w:pgSz w:w="11910" w:h="16840"/>
          <w:pgMar w:header="0" w:footer="647" w:top="0" w:bottom="840" w:left="0" w:right="0"/>
        </w:sectPr>
      </w:pPr>
    </w:p>
    <w:p>
      <w:pPr>
        <w:pStyle w:val="BodyText"/>
      </w:pPr>
      <w:r>
        <w:rPr/>
        <w:drawing>
          <wp:anchor distT="0" distB="0" distL="0" distR="0" allowOverlap="1" layoutInCell="1" locked="0" behindDoc="0" simplePos="0" relativeHeight="252182528">
            <wp:simplePos x="0" y="0"/>
            <wp:positionH relativeFrom="page">
              <wp:posOffset>0</wp:posOffset>
            </wp:positionH>
            <wp:positionV relativeFrom="page">
              <wp:posOffset>0</wp:posOffset>
            </wp:positionV>
            <wp:extent cx="594067" cy="10692003"/>
            <wp:effectExtent l="0" t="0" r="0" b="0"/>
            <wp:wrapNone/>
            <wp:docPr id="417" name="image32.png"/>
            <wp:cNvGraphicFramePr>
              <a:graphicFrameLocks noChangeAspect="1"/>
            </wp:cNvGraphicFramePr>
            <a:graphic>
              <a:graphicData uri="http://schemas.openxmlformats.org/drawingml/2006/picture">
                <pic:pic>
                  <pic:nvPicPr>
                    <pic:cNvPr id="418" name="image32.png"/>
                    <pic:cNvPicPr/>
                  </pic:nvPicPr>
                  <pic:blipFill>
                    <a:blip r:embed="rId362"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shape style="position:absolute;margin-left:20.519100pt;margin-top:22.593945pt;width:25.9pt;height:166.3pt;mso-position-horizontal-relative:page;mso-position-vertical-relative:paragraph;z-index:252183552" type="#_x0000_t202" filled="false" stroked="false">
            <v:textbox inset="0,0,0,0" style="layout-flow:vertical">
              <w:txbxContent>
                <w:p>
                  <w:pPr>
                    <w:spacing w:before="27"/>
                    <w:ind w:left="20" w:right="0" w:firstLine="0"/>
                    <w:jc w:val="left"/>
                    <w:rPr>
                      <w:sz w:val="39"/>
                    </w:rPr>
                  </w:pPr>
                  <w:r>
                    <w:rPr>
                      <w:color w:val="FFFFFF"/>
                      <w:w w:val="125"/>
                      <w:sz w:val="39"/>
                    </w:rPr>
                    <w:t>Church changes</w:t>
                  </w:r>
                </w:p>
              </w:txbxContent>
            </v:textbox>
            <w10:wrap type="none"/>
          </v:shape>
        </w:pict>
      </w:r>
      <w:r>
        <w:rPr>
          <w:color w:val="7EAABF"/>
          <w:w w:val="120"/>
        </w:rPr>
        <w:t>Church changes</w:t>
      </w:r>
    </w:p>
    <w:p>
      <w:pPr>
        <w:spacing w:before="215"/>
        <w:ind w:left="1247" w:right="0" w:firstLine="0"/>
        <w:jc w:val="left"/>
        <w:rPr>
          <w:rFonts w:ascii="Stone Sans II ITC Std X Bd"/>
          <w:b/>
          <w:sz w:val="29"/>
        </w:rPr>
      </w:pPr>
      <w:r>
        <w:rPr>
          <w:rFonts w:ascii="Stone Sans II ITC Std X Bd"/>
          <w:b/>
          <w:w w:val="110"/>
          <w:sz w:val="29"/>
        </w:rPr>
        <w:t>Bromsgrove United Reformed Church</w:t>
      </w:r>
    </w:p>
    <w:p>
      <w:pPr>
        <w:pStyle w:val="BodyText"/>
        <w:spacing w:line="235" w:lineRule="auto" w:before="196"/>
        <w:ind w:left="1247" w:right="2167"/>
      </w:pPr>
      <w:r>
        <w:rPr>
          <w:w w:val="120"/>
        </w:rPr>
        <w:t>The church in Chapel Street, Bromsgrove held its final service on 9 June </w:t>
      </w:r>
      <w:r>
        <w:rPr>
          <w:spacing w:val="-7"/>
          <w:w w:val="120"/>
        </w:rPr>
        <w:t>2013. </w:t>
      </w:r>
      <w:r>
        <w:rPr>
          <w:w w:val="120"/>
        </w:rPr>
        <w:t>This was a sad occasion but also a celebration of over 340 years of Christian witness in a small market</w:t>
      </w:r>
      <w:r>
        <w:rPr>
          <w:spacing w:val="1"/>
          <w:w w:val="120"/>
        </w:rPr>
        <w:t> </w:t>
      </w:r>
      <w:r>
        <w:rPr>
          <w:w w:val="120"/>
        </w:rPr>
        <w:t>town.</w:t>
      </w:r>
    </w:p>
    <w:p>
      <w:pPr>
        <w:pStyle w:val="BodyText"/>
        <w:spacing w:before="10"/>
        <w:rPr>
          <w:sz w:val="19"/>
        </w:rPr>
      </w:pPr>
    </w:p>
    <w:p>
      <w:pPr>
        <w:pStyle w:val="BodyText"/>
        <w:spacing w:line="235" w:lineRule="auto"/>
        <w:ind w:left="1247" w:right="2031"/>
      </w:pPr>
      <w:r>
        <w:rPr>
          <w:w w:val="120"/>
        </w:rPr>
        <w:t>Independents had worshipped on the </w:t>
      </w:r>
      <w:r>
        <w:rPr>
          <w:spacing w:val="-3"/>
          <w:w w:val="120"/>
        </w:rPr>
        <w:t>site since </w:t>
      </w:r>
      <w:r>
        <w:rPr>
          <w:spacing w:val="-9"/>
          <w:w w:val="120"/>
        </w:rPr>
        <w:t>1672 </w:t>
      </w:r>
      <w:r>
        <w:rPr>
          <w:w w:val="120"/>
        </w:rPr>
        <w:t>and the first stone meeting house was erected in </w:t>
      </w:r>
      <w:r>
        <w:rPr>
          <w:spacing w:val="-9"/>
          <w:w w:val="120"/>
        </w:rPr>
        <w:t>1693. </w:t>
      </w:r>
      <w:r>
        <w:rPr>
          <w:w w:val="120"/>
        </w:rPr>
        <w:t>The current building was erected in </w:t>
      </w:r>
      <w:r>
        <w:rPr>
          <w:spacing w:val="-9"/>
          <w:w w:val="120"/>
        </w:rPr>
        <w:t>1832 </w:t>
      </w:r>
      <w:r>
        <w:rPr>
          <w:w w:val="120"/>
        </w:rPr>
        <w:t>and </w:t>
      </w:r>
      <w:r>
        <w:rPr>
          <w:spacing w:val="-3"/>
          <w:w w:val="120"/>
        </w:rPr>
        <w:t>cost </w:t>
      </w:r>
      <w:r>
        <w:rPr>
          <w:spacing w:val="-5"/>
          <w:w w:val="120"/>
        </w:rPr>
        <w:t>£1200 </w:t>
      </w:r>
      <w:r>
        <w:rPr>
          <w:w w:val="120"/>
        </w:rPr>
        <w:t>with seating for </w:t>
      </w:r>
      <w:r>
        <w:rPr>
          <w:spacing w:val="-5"/>
          <w:w w:val="120"/>
        </w:rPr>
        <w:t>420. </w:t>
      </w:r>
      <w:r>
        <w:rPr>
          <w:w w:val="120"/>
        </w:rPr>
        <w:t>It had a </w:t>
      </w:r>
      <w:r>
        <w:rPr>
          <w:spacing w:val="-3"/>
          <w:w w:val="120"/>
        </w:rPr>
        <w:t>small graveyard, </w:t>
      </w:r>
      <w:r>
        <w:rPr>
          <w:w w:val="120"/>
        </w:rPr>
        <w:t>the last burial being that of the </w:t>
      </w:r>
      <w:r>
        <w:rPr>
          <w:spacing w:val="-3"/>
          <w:w w:val="120"/>
        </w:rPr>
        <w:t>Revd </w:t>
      </w:r>
      <w:r>
        <w:rPr>
          <w:w w:val="120"/>
        </w:rPr>
        <w:t>Thomas Ashwell </w:t>
      </w:r>
      <w:r>
        <w:rPr>
          <w:spacing w:val="-5"/>
          <w:w w:val="120"/>
        </w:rPr>
        <w:t>(the </w:t>
      </w:r>
      <w:r>
        <w:rPr>
          <w:w w:val="120"/>
        </w:rPr>
        <w:t>first full time </w:t>
      </w:r>
      <w:r>
        <w:rPr>
          <w:spacing w:val="-4"/>
          <w:w w:val="120"/>
        </w:rPr>
        <w:t>minister) </w:t>
      </w:r>
      <w:r>
        <w:rPr>
          <w:w w:val="120"/>
        </w:rPr>
        <w:t>in</w:t>
      </w:r>
      <w:r>
        <w:rPr>
          <w:spacing w:val="-5"/>
          <w:w w:val="120"/>
        </w:rPr>
        <w:t> 1860. </w:t>
      </w:r>
      <w:r>
        <w:rPr>
          <w:w w:val="120"/>
        </w:rPr>
        <w:t>In </w:t>
      </w:r>
      <w:r>
        <w:rPr>
          <w:spacing w:val="-8"/>
          <w:w w:val="120"/>
        </w:rPr>
        <w:t>1852 </w:t>
      </w:r>
      <w:r>
        <w:rPr>
          <w:w w:val="120"/>
        </w:rPr>
        <w:t>the elders were able </w:t>
      </w:r>
      <w:r>
        <w:rPr>
          <w:spacing w:val="-3"/>
          <w:w w:val="120"/>
        </w:rPr>
        <w:t>to </w:t>
      </w:r>
      <w:r>
        <w:rPr>
          <w:w w:val="120"/>
        </w:rPr>
        <w:t>authorise the building of a schoolroom which was </w:t>
      </w:r>
      <w:r>
        <w:rPr>
          <w:spacing w:val="-3"/>
          <w:w w:val="120"/>
        </w:rPr>
        <w:t>later </w:t>
      </w:r>
      <w:r>
        <w:rPr>
          <w:w w:val="120"/>
        </w:rPr>
        <w:t>used as the </w:t>
      </w:r>
      <w:r>
        <w:rPr>
          <w:spacing w:val="-3"/>
          <w:w w:val="120"/>
        </w:rPr>
        <w:t>church hall. </w:t>
      </w:r>
      <w:r>
        <w:rPr>
          <w:w w:val="120"/>
        </w:rPr>
        <w:t>Both </w:t>
      </w:r>
      <w:r>
        <w:rPr>
          <w:spacing w:val="-3"/>
          <w:w w:val="120"/>
        </w:rPr>
        <w:t>buildings </w:t>
      </w:r>
      <w:r>
        <w:rPr>
          <w:w w:val="120"/>
        </w:rPr>
        <w:t>were grade II </w:t>
      </w:r>
      <w:r>
        <w:rPr>
          <w:spacing w:val="-3"/>
          <w:w w:val="120"/>
        </w:rPr>
        <w:t>listed. </w:t>
      </w:r>
      <w:r>
        <w:rPr>
          <w:w w:val="120"/>
        </w:rPr>
        <w:t>The </w:t>
      </w:r>
      <w:r>
        <w:rPr>
          <w:spacing w:val="-3"/>
          <w:w w:val="120"/>
        </w:rPr>
        <w:t>church </w:t>
      </w:r>
      <w:r>
        <w:rPr>
          <w:w w:val="120"/>
        </w:rPr>
        <w:t>was unique </w:t>
      </w:r>
      <w:r>
        <w:rPr>
          <w:spacing w:val="-3"/>
          <w:w w:val="120"/>
        </w:rPr>
        <w:t>to </w:t>
      </w:r>
      <w:r>
        <w:rPr>
          <w:w w:val="120"/>
        </w:rPr>
        <w:t>the area of </w:t>
      </w:r>
      <w:r>
        <w:rPr>
          <w:spacing w:val="-3"/>
          <w:w w:val="120"/>
        </w:rPr>
        <w:t>Bromsgrove, </w:t>
      </w:r>
      <w:r>
        <w:rPr>
          <w:w w:val="120"/>
        </w:rPr>
        <w:t>built in a Grecian style with Doric </w:t>
      </w:r>
      <w:r>
        <w:rPr>
          <w:spacing w:val="-3"/>
          <w:w w:val="120"/>
        </w:rPr>
        <w:t>columns </w:t>
      </w:r>
      <w:r>
        <w:rPr>
          <w:w w:val="120"/>
        </w:rPr>
        <w:t>either side of the main door and a </w:t>
      </w:r>
      <w:r>
        <w:rPr>
          <w:spacing w:val="-3"/>
          <w:w w:val="120"/>
        </w:rPr>
        <w:t>simple, </w:t>
      </w:r>
      <w:r>
        <w:rPr>
          <w:w w:val="120"/>
        </w:rPr>
        <w:t>tranquil </w:t>
      </w:r>
      <w:r>
        <w:rPr>
          <w:spacing w:val="-4"/>
          <w:w w:val="120"/>
        </w:rPr>
        <w:t>interior.</w:t>
      </w:r>
    </w:p>
    <w:p>
      <w:pPr>
        <w:pStyle w:val="BodyText"/>
        <w:spacing w:before="1"/>
      </w:pPr>
    </w:p>
    <w:p>
      <w:pPr>
        <w:pStyle w:val="BodyText"/>
        <w:spacing w:line="235" w:lineRule="auto"/>
        <w:ind w:left="1247" w:right="2167"/>
      </w:pPr>
      <w:r>
        <w:rPr>
          <w:w w:val="120"/>
        </w:rPr>
        <w:t>The church struggled in more recent years with falling numbers and consequent declining income. For many years the hall was used for church activities and by local interest groups and charities, including the Royal British Legion’s annual poppy</w:t>
      </w:r>
    </w:p>
    <w:p>
      <w:pPr>
        <w:pStyle w:val="BodyText"/>
        <w:spacing w:line="235" w:lineRule="auto" w:before="3"/>
        <w:ind w:left="1247" w:right="2167"/>
      </w:pPr>
      <w:r>
        <w:rPr>
          <w:w w:val="120"/>
        </w:rPr>
        <w:t>day. Members took an active part in the events of the local Churches Together in Bromsgrove. The last minister was the Revd Gerald England who was shared with Baxter United Reformed Church, Kidderminster on a quarter scoping. The support of many lay preachers and retired ministers was necessary and much appreciated for the continuance of weekly services.</w:t>
      </w:r>
    </w:p>
    <w:p>
      <w:pPr>
        <w:pStyle w:val="BodyText"/>
        <w:rPr>
          <w:sz w:val="24"/>
        </w:rPr>
      </w:pPr>
    </w:p>
    <w:p>
      <w:pPr>
        <w:pStyle w:val="Heading4"/>
        <w:spacing w:before="203"/>
        <w:ind w:left="1247" w:firstLine="0"/>
        <w:rPr>
          <w:rFonts w:ascii="Stone Sans II ITC Std X Bd"/>
          <w:b/>
        </w:rPr>
      </w:pPr>
      <w:r>
        <w:rPr>
          <w:rFonts w:ascii="Stone Sans II ITC Std X Bd"/>
          <w:b/>
          <w:w w:val="110"/>
        </w:rPr>
        <w:t>Brownshill Green United Reformed Church</w:t>
      </w:r>
    </w:p>
    <w:p>
      <w:pPr>
        <w:pStyle w:val="BodyText"/>
        <w:spacing w:line="235" w:lineRule="auto" w:before="195"/>
        <w:ind w:left="1247" w:right="2097"/>
      </w:pPr>
      <w:r>
        <w:rPr>
          <w:w w:val="120"/>
        </w:rPr>
        <w:t>Around </w:t>
      </w:r>
      <w:r>
        <w:rPr>
          <w:spacing w:val="-3"/>
          <w:w w:val="120"/>
        </w:rPr>
        <w:t>1880 </w:t>
      </w:r>
      <w:r>
        <w:rPr>
          <w:w w:val="120"/>
        </w:rPr>
        <w:t>Vicar Lane young </w:t>
      </w:r>
      <w:r>
        <w:rPr>
          <w:spacing w:val="-4"/>
          <w:w w:val="120"/>
        </w:rPr>
        <w:t>men’s </w:t>
      </w:r>
      <w:r>
        <w:rPr>
          <w:w w:val="120"/>
        </w:rPr>
        <w:t>Bible class commenced a Sunday school and evening service in a cottage at Brownshill Green, Coventry. In </w:t>
      </w:r>
      <w:r>
        <w:rPr>
          <w:spacing w:val="-5"/>
          <w:w w:val="120"/>
        </w:rPr>
        <w:t>1883 </w:t>
      </w:r>
      <w:r>
        <w:rPr>
          <w:w w:val="120"/>
        </w:rPr>
        <w:t>a suitable plot of land was purchased. By </w:t>
      </w:r>
      <w:r>
        <w:rPr>
          <w:spacing w:val="-6"/>
          <w:w w:val="120"/>
        </w:rPr>
        <w:t>1887 </w:t>
      </w:r>
      <w:r>
        <w:rPr>
          <w:w w:val="120"/>
        </w:rPr>
        <w:t>with an average of 40 to 60 persons meeting each week it was considered that the cottage was inadequate and the Coventry Standard newspaper noted the Bible </w:t>
      </w:r>
      <w:r>
        <w:rPr>
          <w:spacing w:val="-3"/>
          <w:w w:val="120"/>
        </w:rPr>
        <w:t>class’s </w:t>
      </w:r>
      <w:r>
        <w:rPr>
          <w:w w:val="120"/>
        </w:rPr>
        <w:t>suggestion of celebrating the </w:t>
      </w:r>
      <w:r>
        <w:rPr>
          <w:spacing w:val="-3"/>
          <w:w w:val="120"/>
        </w:rPr>
        <w:t>Queen’s </w:t>
      </w:r>
      <w:r>
        <w:rPr>
          <w:w w:val="120"/>
        </w:rPr>
        <w:t>diamond jubilee by  erecting a mission chapel at Brownshill Green at an estimated cost of £200. A vestry  and kitchen were added to the rear of the building in</w:t>
      </w:r>
      <w:r>
        <w:rPr>
          <w:spacing w:val="33"/>
          <w:w w:val="120"/>
        </w:rPr>
        <w:t> </w:t>
      </w:r>
      <w:r>
        <w:rPr>
          <w:spacing w:val="-4"/>
          <w:w w:val="120"/>
        </w:rPr>
        <w:t>1898.</w:t>
      </w:r>
    </w:p>
    <w:p>
      <w:pPr>
        <w:pStyle w:val="BodyText"/>
        <w:spacing w:before="1"/>
      </w:pPr>
    </w:p>
    <w:p>
      <w:pPr>
        <w:pStyle w:val="BodyText"/>
        <w:spacing w:line="235" w:lineRule="auto"/>
        <w:ind w:left="1247" w:right="2004"/>
      </w:pPr>
      <w:r>
        <w:rPr>
          <w:w w:val="120"/>
        </w:rPr>
        <w:t>Pastoral oversight for the mission chapel was provided from the Warwick Road church into the 20th century. A significant change came in December 1954 when the Revd</w:t>
      </w:r>
    </w:p>
    <w:p>
      <w:pPr>
        <w:pStyle w:val="BodyText"/>
        <w:spacing w:line="235" w:lineRule="auto" w:before="2"/>
        <w:ind w:left="1247" w:right="2004"/>
      </w:pPr>
      <w:r>
        <w:rPr>
          <w:w w:val="120"/>
        </w:rPr>
        <w:t>A.W. Lyde was inducted to the joint Congregational churches of Keresley and Brownshill Green. In 1955 a meeting agreed the recognition of Brownshill Green as a separate church and a service of recognition was held in 1958.</w:t>
      </w:r>
    </w:p>
    <w:p>
      <w:pPr>
        <w:pStyle w:val="BodyText"/>
        <w:spacing w:before="10"/>
        <w:rPr>
          <w:sz w:val="19"/>
        </w:rPr>
      </w:pPr>
    </w:p>
    <w:p>
      <w:pPr>
        <w:pStyle w:val="BodyText"/>
        <w:spacing w:line="235" w:lineRule="auto"/>
        <w:ind w:left="1247" w:right="2001"/>
      </w:pPr>
      <w:r>
        <w:rPr>
          <w:w w:val="120"/>
        </w:rPr>
        <w:t>The numbers of </w:t>
      </w:r>
      <w:r>
        <w:rPr>
          <w:spacing w:val="-3"/>
          <w:w w:val="120"/>
        </w:rPr>
        <w:t>children </w:t>
      </w:r>
      <w:r>
        <w:rPr>
          <w:w w:val="120"/>
        </w:rPr>
        <w:t>attending </w:t>
      </w:r>
      <w:r>
        <w:rPr>
          <w:spacing w:val="-3"/>
          <w:w w:val="120"/>
        </w:rPr>
        <w:t>Sunday </w:t>
      </w:r>
      <w:r>
        <w:rPr>
          <w:w w:val="120"/>
        </w:rPr>
        <w:t>school increased </w:t>
      </w:r>
      <w:r>
        <w:rPr>
          <w:spacing w:val="-3"/>
          <w:w w:val="120"/>
        </w:rPr>
        <w:t>considerably </w:t>
      </w:r>
      <w:r>
        <w:rPr>
          <w:w w:val="120"/>
        </w:rPr>
        <w:t>after the </w:t>
      </w:r>
      <w:r>
        <w:rPr>
          <w:spacing w:val="-3"/>
          <w:w w:val="120"/>
        </w:rPr>
        <w:t>Second </w:t>
      </w:r>
      <w:r>
        <w:rPr>
          <w:w w:val="120"/>
        </w:rPr>
        <w:t>World </w:t>
      </w:r>
      <w:r>
        <w:rPr>
          <w:spacing w:val="-6"/>
          <w:w w:val="120"/>
        </w:rPr>
        <w:t>War, </w:t>
      </w:r>
      <w:r>
        <w:rPr>
          <w:spacing w:val="-3"/>
          <w:w w:val="120"/>
        </w:rPr>
        <w:t>occasioning </w:t>
      </w:r>
      <w:r>
        <w:rPr>
          <w:w w:val="120"/>
        </w:rPr>
        <w:t>a project </w:t>
      </w:r>
      <w:r>
        <w:rPr>
          <w:spacing w:val="-3"/>
          <w:w w:val="120"/>
        </w:rPr>
        <w:t>to </w:t>
      </w:r>
      <w:r>
        <w:rPr>
          <w:w w:val="120"/>
        </w:rPr>
        <w:t>build a </w:t>
      </w:r>
      <w:r>
        <w:rPr>
          <w:spacing w:val="-3"/>
          <w:w w:val="120"/>
        </w:rPr>
        <w:t>church </w:t>
      </w:r>
      <w:r>
        <w:rPr>
          <w:w w:val="120"/>
        </w:rPr>
        <w:t>hall at a </w:t>
      </w:r>
      <w:r>
        <w:rPr>
          <w:spacing w:val="-3"/>
          <w:w w:val="120"/>
        </w:rPr>
        <w:t>cost </w:t>
      </w:r>
      <w:r>
        <w:rPr>
          <w:w w:val="120"/>
        </w:rPr>
        <w:t>of </w:t>
      </w:r>
      <w:r>
        <w:rPr>
          <w:spacing w:val="-4"/>
          <w:w w:val="120"/>
        </w:rPr>
        <w:t>£4,500. </w:t>
      </w:r>
      <w:r>
        <w:rPr>
          <w:w w:val="120"/>
        </w:rPr>
        <w:t>This was opened in </w:t>
      </w:r>
      <w:r>
        <w:rPr>
          <w:spacing w:val="-6"/>
          <w:w w:val="120"/>
        </w:rPr>
        <w:t>1964. </w:t>
      </w:r>
      <w:r>
        <w:rPr>
          <w:w w:val="120"/>
        </w:rPr>
        <w:t>Pastoral </w:t>
      </w:r>
      <w:r>
        <w:rPr>
          <w:spacing w:val="-3"/>
          <w:w w:val="120"/>
        </w:rPr>
        <w:t>oversight continued </w:t>
      </w:r>
      <w:r>
        <w:rPr>
          <w:w w:val="120"/>
        </w:rPr>
        <w:t>with Mr </w:t>
      </w:r>
      <w:r>
        <w:rPr>
          <w:spacing w:val="-5"/>
          <w:w w:val="120"/>
        </w:rPr>
        <w:t>Lyde </w:t>
      </w:r>
      <w:r>
        <w:rPr>
          <w:w w:val="120"/>
        </w:rPr>
        <w:t>and in </w:t>
      </w:r>
      <w:r>
        <w:rPr>
          <w:spacing w:val="-9"/>
          <w:w w:val="120"/>
        </w:rPr>
        <w:t>1979 </w:t>
      </w:r>
      <w:r>
        <w:rPr>
          <w:w w:val="120"/>
        </w:rPr>
        <w:t>the </w:t>
      </w:r>
      <w:r>
        <w:rPr>
          <w:spacing w:val="-3"/>
          <w:w w:val="120"/>
        </w:rPr>
        <w:t>church </w:t>
      </w:r>
      <w:r>
        <w:rPr>
          <w:w w:val="120"/>
        </w:rPr>
        <w:t>was grouped with other </w:t>
      </w:r>
      <w:r>
        <w:rPr>
          <w:spacing w:val="-3"/>
          <w:w w:val="120"/>
        </w:rPr>
        <w:t>churches to </w:t>
      </w:r>
      <w:r>
        <w:rPr>
          <w:w w:val="120"/>
        </w:rPr>
        <w:t>provide shared stipendiary </w:t>
      </w:r>
      <w:r>
        <w:rPr>
          <w:spacing w:val="-3"/>
          <w:w w:val="120"/>
        </w:rPr>
        <w:t>ministry. </w:t>
      </w:r>
      <w:r>
        <w:rPr>
          <w:w w:val="120"/>
        </w:rPr>
        <w:t>With reductions in numbers, the </w:t>
      </w:r>
      <w:r>
        <w:rPr>
          <w:spacing w:val="-3"/>
          <w:w w:val="120"/>
        </w:rPr>
        <w:t>Sunday </w:t>
      </w:r>
      <w:r>
        <w:rPr>
          <w:w w:val="120"/>
        </w:rPr>
        <w:t>school </w:t>
      </w:r>
      <w:r>
        <w:rPr>
          <w:spacing w:val="-3"/>
          <w:w w:val="120"/>
        </w:rPr>
        <w:t>closed </w:t>
      </w:r>
      <w:r>
        <w:rPr>
          <w:w w:val="120"/>
        </w:rPr>
        <w:t>in </w:t>
      </w:r>
      <w:r>
        <w:rPr>
          <w:spacing w:val="-6"/>
          <w:w w:val="120"/>
        </w:rPr>
        <w:t>1998 </w:t>
      </w:r>
      <w:r>
        <w:rPr>
          <w:w w:val="120"/>
        </w:rPr>
        <w:t>and the </w:t>
      </w:r>
      <w:r>
        <w:rPr>
          <w:spacing w:val="-3"/>
          <w:w w:val="120"/>
        </w:rPr>
        <w:t>church </w:t>
      </w:r>
      <w:r>
        <w:rPr>
          <w:w w:val="120"/>
        </w:rPr>
        <w:t>in March </w:t>
      </w:r>
      <w:r>
        <w:rPr>
          <w:spacing w:val="-8"/>
          <w:w w:val="120"/>
        </w:rPr>
        <w:t>2014, </w:t>
      </w:r>
      <w:r>
        <w:rPr>
          <w:w w:val="120"/>
        </w:rPr>
        <w:t>bringing an end </w:t>
      </w:r>
      <w:r>
        <w:rPr>
          <w:spacing w:val="-3"/>
          <w:w w:val="120"/>
        </w:rPr>
        <w:t>to </w:t>
      </w:r>
      <w:r>
        <w:rPr>
          <w:w w:val="120"/>
        </w:rPr>
        <w:t>the </w:t>
      </w:r>
      <w:r>
        <w:rPr>
          <w:spacing w:val="-9"/>
          <w:w w:val="120"/>
        </w:rPr>
        <w:t>126 </w:t>
      </w:r>
      <w:r>
        <w:rPr>
          <w:w w:val="120"/>
        </w:rPr>
        <w:t>years of </w:t>
      </w:r>
      <w:r>
        <w:rPr>
          <w:spacing w:val="-3"/>
          <w:w w:val="120"/>
        </w:rPr>
        <w:t>endeavour to </w:t>
      </w:r>
      <w:r>
        <w:rPr>
          <w:w w:val="120"/>
        </w:rPr>
        <w:t>maintain a witness </w:t>
      </w:r>
      <w:r>
        <w:rPr>
          <w:spacing w:val="-3"/>
          <w:w w:val="120"/>
        </w:rPr>
        <w:t>to </w:t>
      </w:r>
      <w:r>
        <w:rPr>
          <w:w w:val="120"/>
        </w:rPr>
        <w:t>God at </w:t>
      </w:r>
      <w:r>
        <w:rPr>
          <w:spacing w:val="-3"/>
          <w:w w:val="120"/>
        </w:rPr>
        <w:t>Brownshill</w:t>
      </w:r>
      <w:r>
        <w:rPr>
          <w:spacing w:val="-36"/>
          <w:w w:val="120"/>
        </w:rPr>
        <w:t> </w:t>
      </w:r>
      <w:r>
        <w:rPr>
          <w:w w:val="120"/>
        </w:rPr>
        <w:t>Green.</w:t>
      </w:r>
    </w:p>
    <w:p>
      <w:pPr>
        <w:pStyle w:val="BodyText"/>
        <w:rPr>
          <w:sz w:val="24"/>
        </w:rPr>
      </w:pPr>
    </w:p>
    <w:p>
      <w:pPr>
        <w:pStyle w:val="Heading4"/>
        <w:spacing w:before="204"/>
        <w:ind w:left="1247" w:firstLine="0"/>
        <w:rPr>
          <w:rFonts w:ascii="Stone Sans II ITC Std X Bd"/>
          <w:b/>
        </w:rPr>
      </w:pPr>
      <w:r>
        <w:rPr>
          <w:rFonts w:ascii="Stone Sans II ITC Std X Bd"/>
          <w:b/>
          <w:w w:val="110"/>
        </w:rPr>
        <w:t>Clayton United Reformed Church</w:t>
      </w:r>
    </w:p>
    <w:p>
      <w:pPr>
        <w:pStyle w:val="BodyText"/>
        <w:spacing w:line="235" w:lineRule="auto" w:before="195"/>
        <w:ind w:left="1247" w:right="2167"/>
      </w:pPr>
      <w:r>
        <w:rPr>
          <w:w w:val="120"/>
        </w:rPr>
        <w:t>Opened in 1952, the Congregational church on Stafford Avenue, Clayton quickly became a hub for community life. Church membership strengthened, most notably in the 1980s when the remaining members from Trinity, Hanley transferred to Clayton, enabling further premises to be built for community activities and the sanctuary to be made more comfortable.</w:t>
      </w:r>
    </w:p>
    <w:p>
      <w:pPr>
        <w:pStyle w:val="BodyText"/>
      </w:pPr>
    </w:p>
    <w:p>
      <w:pPr>
        <w:pStyle w:val="BodyText"/>
        <w:spacing w:line="235" w:lineRule="auto"/>
        <w:ind w:left="1247" w:right="2004"/>
      </w:pPr>
      <w:r>
        <w:rPr>
          <w:w w:val="120"/>
        </w:rPr>
        <w:t>The building remained well used throughout the church’s sixty year history. A thriving company of scouts made their home there, transforming the sanctuary every other year into a theatre for their award-winning gang show.</w:t>
      </w:r>
    </w:p>
    <w:p>
      <w:pPr>
        <w:spacing w:after="0" w:line="235" w:lineRule="auto"/>
        <w:sectPr>
          <w:headerReference w:type="even" r:id="rId512"/>
          <w:footerReference w:type="even" r:id="rId513"/>
          <w:footerReference w:type="default" r:id="rId514"/>
          <w:pgSz w:w="11910" w:h="16840"/>
          <w:pgMar w:header="0" w:footer="647" w:top="0" w:bottom="840" w:left="0" w:right="0"/>
          <w:pgNumType w:start="208"/>
        </w:sectPr>
      </w:pPr>
    </w:p>
    <w:p>
      <w:pPr>
        <w:pStyle w:val="BodyText"/>
      </w:pPr>
      <w:r>
        <w:rPr/>
        <w:drawing>
          <wp:anchor distT="0" distB="0" distL="0" distR="0" allowOverlap="1" layoutInCell="1" locked="0" behindDoc="0" simplePos="0" relativeHeight="252184576">
            <wp:simplePos x="0" y="0"/>
            <wp:positionH relativeFrom="page">
              <wp:posOffset>6974928</wp:posOffset>
            </wp:positionH>
            <wp:positionV relativeFrom="page">
              <wp:posOffset>0</wp:posOffset>
            </wp:positionV>
            <wp:extent cx="585063" cy="10692003"/>
            <wp:effectExtent l="0" t="0" r="0" b="0"/>
            <wp:wrapNone/>
            <wp:docPr id="419" name="image30.png"/>
            <wp:cNvGraphicFramePr>
              <a:graphicFrameLocks noChangeAspect="1"/>
            </wp:cNvGraphicFramePr>
            <a:graphic>
              <a:graphicData uri="http://schemas.openxmlformats.org/drawingml/2006/picture">
                <pic:pic>
                  <pic:nvPicPr>
                    <pic:cNvPr id="420" name="image30.png"/>
                    <pic:cNvPicPr/>
                  </pic:nvPicPr>
                  <pic:blipFill>
                    <a:blip r:embed="rId357"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pStyle w:val="Heading5"/>
        <w:ind w:left="0" w:right="1245"/>
        <w:jc w:val="right"/>
      </w:pPr>
      <w:r>
        <w:rPr/>
        <w:pict>
          <v:shape style="position:absolute;margin-left:554.141174pt;margin-top:22.593945pt;width:25.9pt;height:166.3pt;mso-position-horizontal-relative:page;mso-position-vertical-relative:paragraph;z-index:252185600" type="#_x0000_t202" filled="false" stroked="false">
            <v:textbox inset="0,0,0,0" style="layout-flow:vertical">
              <w:txbxContent>
                <w:p>
                  <w:pPr>
                    <w:spacing w:before="27"/>
                    <w:ind w:left="20" w:right="0" w:firstLine="0"/>
                    <w:jc w:val="left"/>
                    <w:rPr>
                      <w:sz w:val="39"/>
                    </w:rPr>
                  </w:pPr>
                  <w:r>
                    <w:rPr>
                      <w:color w:val="FFFFFF"/>
                      <w:w w:val="125"/>
                      <w:sz w:val="39"/>
                    </w:rPr>
                    <w:t>Church changes</w:t>
                  </w:r>
                </w:p>
              </w:txbxContent>
            </v:textbox>
            <w10:wrap type="none"/>
          </v:shape>
        </w:pict>
      </w:r>
      <w:r>
        <w:rPr>
          <w:color w:val="7EAABF"/>
          <w:w w:val="120"/>
        </w:rPr>
        <w:t>Church changes</w:t>
      </w:r>
    </w:p>
    <w:p>
      <w:pPr>
        <w:pStyle w:val="BodyText"/>
        <w:spacing w:line="235" w:lineRule="auto" w:before="222"/>
        <w:ind w:left="1984" w:right="1414"/>
      </w:pPr>
      <w:r>
        <w:rPr>
          <w:w w:val="120"/>
        </w:rPr>
        <w:t>However, with an ageing and declining membership, and with office-holders increasingly burdened with health concerns, the situation looked bleak. Finances were also running low. People feared for the future.</w:t>
      </w:r>
    </w:p>
    <w:p>
      <w:pPr>
        <w:pStyle w:val="BodyText"/>
        <w:spacing w:before="10"/>
        <w:rPr>
          <w:sz w:val="19"/>
        </w:rPr>
      </w:pPr>
    </w:p>
    <w:p>
      <w:pPr>
        <w:pStyle w:val="BodyText"/>
        <w:spacing w:line="235" w:lineRule="auto"/>
        <w:ind w:left="1984" w:right="1414"/>
      </w:pPr>
      <w:r>
        <w:rPr>
          <w:w w:val="120"/>
        </w:rPr>
        <w:t>In a prophetic report to the AGM in March 2012, the church secretary, Mr J. Stephen Jones, noted that, ‘Twenty-six years ago, a stronger fellowship closed its church doors and along with its minister moved to Clayton—Trinity URC, Hanley. This transformed our church. Could it happen again?’</w:t>
      </w:r>
    </w:p>
    <w:p>
      <w:pPr>
        <w:pStyle w:val="BodyText"/>
        <w:spacing w:before="11"/>
        <w:rPr>
          <w:sz w:val="19"/>
        </w:rPr>
      </w:pPr>
    </w:p>
    <w:p>
      <w:pPr>
        <w:pStyle w:val="BodyText"/>
        <w:spacing w:line="235" w:lineRule="auto"/>
        <w:ind w:left="1984" w:right="1360"/>
      </w:pPr>
      <w:r>
        <w:rPr>
          <w:w w:val="120"/>
        </w:rPr>
        <w:t>At Easter </w:t>
      </w:r>
      <w:r>
        <w:rPr>
          <w:spacing w:val="-7"/>
          <w:w w:val="120"/>
        </w:rPr>
        <w:t>2012, </w:t>
      </w:r>
      <w:r>
        <w:rPr>
          <w:w w:val="120"/>
        </w:rPr>
        <w:t>the church was approached by Newcastle Baptist Church, a strong fellowship which had outgrown their premises. Following discussions, the elders and church meeting decided unanimously to open negotiations with the Baptists which    led to the decision to close and sell the building to them. Now the church at Stafford Avenue continues, going from strength to strength, under a Baptist banner rather than a United Reformed</w:t>
      </w:r>
      <w:r>
        <w:rPr>
          <w:spacing w:val="5"/>
          <w:w w:val="120"/>
        </w:rPr>
        <w:t> </w:t>
      </w:r>
      <w:r>
        <w:rPr>
          <w:w w:val="120"/>
        </w:rPr>
        <w:t>one.</w:t>
      </w:r>
    </w:p>
    <w:p>
      <w:pPr>
        <w:pStyle w:val="BodyText"/>
        <w:rPr>
          <w:sz w:val="24"/>
        </w:rPr>
      </w:pPr>
    </w:p>
    <w:p>
      <w:pPr>
        <w:pStyle w:val="Heading4"/>
        <w:spacing w:before="204"/>
        <w:ind w:left="1984" w:firstLine="0"/>
        <w:rPr>
          <w:rFonts w:ascii="Stone Sans II ITC Std X Bd"/>
          <w:b/>
        </w:rPr>
      </w:pPr>
      <w:r>
        <w:rPr>
          <w:rFonts w:ascii="Stone Sans II ITC Std X Bd"/>
          <w:b/>
          <w:w w:val="110"/>
        </w:rPr>
        <w:t>Dumfries United Reformed Church</w:t>
      </w:r>
    </w:p>
    <w:p>
      <w:pPr>
        <w:pStyle w:val="BodyText"/>
        <w:spacing w:line="235" w:lineRule="auto" w:before="195"/>
        <w:ind w:left="1984" w:right="1352"/>
      </w:pPr>
      <w:r>
        <w:rPr>
          <w:w w:val="120"/>
        </w:rPr>
        <w:t>The congregation which was to become Irving Street, Dumfries was formed around 1805, following a period in 1801 when James Haldane preached for four months in the town. Two congregations grew in the town, and Irving Street united with the church in Waterloo place in 1917.</w:t>
      </w:r>
    </w:p>
    <w:p>
      <w:pPr>
        <w:pStyle w:val="BodyText"/>
        <w:spacing w:before="11"/>
        <w:rPr>
          <w:sz w:val="19"/>
        </w:rPr>
      </w:pPr>
    </w:p>
    <w:p>
      <w:pPr>
        <w:pStyle w:val="BodyText"/>
        <w:spacing w:line="235" w:lineRule="auto"/>
        <w:ind w:left="1984" w:right="1350"/>
      </w:pPr>
      <w:r>
        <w:rPr>
          <w:w w:val="120"/>
        </w:rPr>
        <w:t>The Dumfries Church had a continuous succession of ministry almost to the time of its closure, including two who went on to distinguished service in theological education.    It was never large, but it was highly thought of in the town – particularly in ecumenical activity. Over the years, imaginative adaptation of the building allowed a number of links with the community to</w:t>
      </w:r>
      <w:r>
        <w:rPr>
          <w:spacing w:val="10"/>
          <w:w w:val="120"/>
        </w:rPr>
        <w:t> </w:t>
      </w:r>
      <w:r>
        <w:rPr>
          <w:w w:val="120"/>
        </w:rPr>
        <w:t>flourish.</w:t>
      </w:r>
    </w:p>
    <w:p>
      <w:pPr>
        <w:pStyle w:val="BodyText"/>
      </w:pPr>
    </w:p>
    <w:p>
      <w:pPr>
        <w:pStyle w:val="BodyText"/>
        <w:spacing w:line="235" w:lineRule="auto"/>
        <w:ind w:left="1984" w:right="1316"/>
      </w:pPr>
      <w:r>
        <w:rPr>
          <w:w w:val="120"/>
        </w:rPr>
        <w:t>But certainly its greatest strength through almost two centuries was in a committed and faithful membership, particularly noted for their outward looking attitude, mirrored by  a strong sense of family identity. Particularly in the decades following the Second World </w:t>
      </w:r>
      <w:r>
        <w:rPr>
          <w:spacing w:val="-4"/>
          <w:w w:val="120"/>
        </w:rPr>
        <w:t>War, </w:t>
      </w:r>
      <w:r>
        <w:rPr>
          <w:spacing w:val="2"/>
          <w:w w:val="120"/>
        </w:rPr>
        <w:t>Irving </w:t>
      </w:r>
      <w:r>
        <w:rPr>
          <w:w w:val="120"/>
        </w:rPr>
        <w:t>Street Congregational Church was a joy to be </w:t>
      </w:r>
      <w:r>
        <w:rPr>
          <w:spacing w:val="2"/>
          <w:w w:val="120"/>
        </w:rPr>
        <w:t>part </w:t>
      </w:r>
      <w:r>
        <w:rPr>
          <w:w w:val="120"/>
        </w:rPr>
        <w:t>of. We remember its life with pride and</w:t>
      </w:r>
      <w:r>
        <w:rPr>
          <w:spacing w:val="7"/>
          <w:w w:val="120"/>
        </w:rPr>
        <w:t> </w:t>
      </w:r>
      <w:r>
        <w:rPr>
          <w:w w:val="120"/>
        </w:rPr>
        <w:t>gratitude.</w:t>
      </w:r>
    </w:p>
    <w:p>
      <w:pPr>
        <w:pStyle w:val="BodyText"/>
        <w:rPr>
          <w:sz w:val="24"/>
        </w:rPr>
      </w:pPr>
    </w:p>
    <w:p>
      <w:pPr>
        <w:pStyle w:val="Heading4"/>
        <w:spacing w:before="203"/>
        <w:ind w:left="1984" w:firstLine="0"/>
        <w:rPr>
          <w:rFonts w:ascii="Stone Sans II ITC Std X Bd"/>
          <w:b/>
        </w:rPr>
      </w:pPr>
      <w:r>
        <w:rPr>
          <w:rFonts w:ascii="Stone Sans II ITC Std X Bd"/>
          <w:b/>
          <w:w w:val="110"/>
        </w:rPr>
        <w:t>Evington Road United Church, Leicester</w:t>
      </w:r>
    </w:p>
    <w:p>
      <w:pPr>
        <w:pStyle w:val="BodyText"/>
        <w:spacing w:line="235" w:lineRule="auto" w:before="196"/>
        <w:ind w:left="1984" w:right="1352"/>
      </w:pPr>
      <w:r>
        <w:rPr>
          <w:w w:val="120"/>
        </w:rPr>
        <w:t>Worship began in 11909 in a modest corrugated iron structure. The present building opened in 1927 and was regarded by many as the Churches of Christ cathedral. For some time the church resisted the appointment of elders to support their minister.</w:t>
      </w:r>
    </w:p>
    <w:p>
      <w:pPr>
        <w:pStyle w:val="BodyText"/>
        <w:spacing w:line="235" w:lineRule="auto" w:before="2"/>
        <w:ind w:left="1984" w:right="1352"/>
      </w:pPr>
      <w:r>
        <w:rPr>
          <w:w w:val="120"/>
        </w:rPr>
        <w:t>Finally in 1970 the church agreed to elect three elders, ordained for life to Word and sacrament. The congregation was active in church planting and the support of other churches in the area by sending members to add to their numbers. They also received members as other churches chose to amalgamate with them.</w:t>
      </w:r>
    </w:p>
    <w:p>
      <w:pPr>
        <w:pStyle w:val="BodyText"/>
        <w:spacing w:before="11"/>
        <w:rPr>
          <w:sz w:val="19"/>
        </w:rPr>
      </w:pPr>
    </w:p>
    <w:p>
      <w:pPr>
        <w:pStyle w:val="BodyText"/>
        <w:spacing w:line="235" w:lineRule="auto"/>
        <w:ind w:left="1984" w:right="1352"/>
      </w:pPr>
      <w:r>
        <w:rPr>
          <w:w w:val="120"/>
        </w:rPr>
        <w:t>In 1981 the church joined the United Reformed Church. In 2007 they joined in a local ecumenical partnership with Anglican and Methodist neighbours to form the Valley Church, which then became part of the URC East Leicester Fellowship. With a declining congregation and the changing character of the district the ageing membership</w:t>
      </w:r>
    </w:p>
    <w:p>
      <w:pPr>
        <w:pStyle w:val="BodyText"/>
        <w:spacing w:line="235" w:lineRule="auto" w:before="3"/>
        <w:ind w:left="1984" w:right="1606"/>
      </w:pPr>
      <w:r>
        <w:rPr>
          <w:w w:val="120"/>
        </w:rPr>
        <w:t>found themselves out of their comfort zone. Nevertheless, the church worked with the Evington Road neighbourhood association, local council members and the police to host an open youth group of up to 114 members, catering for the ethnic minority groups in the area. Investigations were held with ‘One Church 100 Uses’ to create a</w:t>
      </w:r>
    </w:p>
    <w:p>
      <w:pPr>
        <w:pStyle w:val="BodyText"/>
        <w:spacing w:line="235" w:lineRule="auto" w:before="3"/>
        <w:ind w:left="1984" w:right="1380"/>
      </w:pPr>
      <w:r>
        <w:rPr>
          <w:w w:val="120"/>
        </w:rPr>
        <w:t>URC community centre, but understandably the elderly members felt they could better support churches nearer their respective homes. The final service was held in April  </w:t>
      </w:r>
      <w:r>
        <w:rPr>
          <w:spacing w:val="-7"/>
          <w:w w:val="120"/>
        </w:rPr>
        <w:t>2013. </w:t>
      </w:r>
      <w:r>
        <w:rPr>
          <w:w w:val="120"/>
        </w:rPr>
        <w:t>The church building will continue to serve as a community centre under the care of a local Muslim</w:t>
      </w:r>
      <w:r>
        <w:rPr>
          <w:spacing w:val="6"/>
          <w:w w:val="120"/>
        </w:rPr>
        <w:t> </w:t>
      </w:r>
      <w:r>
        <w:rPr>
          <w:w w:val="120"/>
        </w:rPr>
        <w:t>association.</w:t>
      </w:r>
    </w:p>
    <w:p>
      <w:pPr>
        <w:spacing w:after="0" w:line="235" w:lineRule="auto"/>
        <w:sectPr>
          <w:headerReference w:type="default" r:id="rId515"/>
          <w:pgSz w:w="11910" w:h="16840"/>
          <w:pgMar w:header="0" w:footer="647" w:top="0" w:bottom="840" w:left="0" w:right="0"/>
        </w:sectPr>
      </w:pPr>
    </w:p>
    <w:p>
      <w:pPr>
        <w:pStyle w:val="BodyText"/>
      </w:pPr>
      <w:r>
        <w:rPr/>
        <w:drawing>
          <wp:anchor distT="0" distB="0" distL="0" distR="0" allowOverlap="1" layoutInCell="1" locked="0" behindDoc="0" simplePos="0" relativeHeight="252186624">
            <wp:simplePos x="0" y="0"/>
            <wp:positionH relativeFrom="page">
              <wp:posOffset>0</wp:posOffset>
            </wp:positionH>
            <wp:positionV relativeFrom="page">
              <wp:posOffset>0</wp:posOffset>
            </wp:positionV>
            <wp:extent cx="594067" cy="10692003"/>
            <wp:effectExtent l="0" t="0" r="0" b="0"/>
            <wp:wrapNone/>
            <wp:docPr id="421" name="image32.png"/>
            <wp:cNvGraphicFramePr>
              <a:graphicFrameLocks noChangeAspect="1"/>
            </wp:cNvGraphicFramePr>
            <a:graphic>
              <a:graphicData uri="http://schemas.openxmlformats.org/drawingml/2006/picture">
                <pic:pic>
                  <pic:nvPicPr>
                    <pic:cNvPr id="422" name="image32.png"/>
                    <pic:cNvPicPr/>
                  </pic:nvPicPr>
                  <pic:blipFill>
                    <a:blip r:embed="rId362"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shape style="position:absolute;margin-left:20.519100pt;margin-top:22.593945pt;width:25.9pt;height:166.3pt;mso-position-horizontal-relative:page;mso-position-vertical-relative:paragraph;z-index:252187648" type="#_x0000_t202" filled="false" stroked="false">
            <v:textbox inset="0,0,0,0" style="layout-flow:vertical">
              <w:txbxContent>
                <w:p>
                  <w:pPr>
                    <w:spacing w:before="27"/>
                    <w:ind w:left="20" w:right="0" w:firstLine="0"/>
                    <w:jc w:val="left"/>
                    <w:rPr>
                      <w:sz w:val="39"/>
                    </w:rPr>
                  </w:pPr>
                  <w:r>
                    <w:rPr>
                      <w:color w:val="FFFFFF"/>
                      <w:w w:val="125"/>
                      <w:sz w:val="39"/>
                    </w:rPr>
                    <w:t>Church changes</w:t>
                  </w:r>
                </w:p>
              </w:txbxContent>
            </v:textbox>
            <w10:wrap type="none"/>
          </v:shape>
        </w:pict>
      </w:r>
      <w:r>
        <w:rPr>
          <w:color w:val="7EAABF"/>
          <w:w w:val="120"/>
        </w:rPr>
        <w:t>Church changes</w:t>
      </w:r>
    </w:p>
    <w:p>
      <w:pPr>
        <w:spacing w:line="220" w:lineRule="auto" w:before="239"/>
        <w:ind w:left="1247" w:right="2167" w:firstLine="0"/>
        <w:jc w:val="left"/>
        <w:rPr>
          <w:rFonts w:ascii="Stone Sans II ITC Std X Bd"/>
          <w:b/>
          <w:sz w:val="29"/>
        </w:rPr>
      </w:pPr>
      <w:r>
        <w:rPr>
          <w:rFonts w:ascii="Stone Sans II ITC Std X Bd"/>
          <w:b/>
          <w:w w:val="110"/>
          <w:sz w:val="29"/>
        </w:rPr>
        <w:t>Grindon United Reformed Church and Grindon Church Community Centre</w:t>
      </w:r>
    </w:p>
    <w:p>
      <w:pPr>
        <w:pStyle w:val="BodyText"/>
        <w:spacing w:line="235" w:lineRule="auto" w:before="203"/>
        <w:ind w:left="1247" w:right="2004"/>
      </w:pPr>
      <w:r>
        <w:rPr>
          <w:w w:val="120"/>
        </w:rPr>
        <w:t>Grindon church’s building is situated in Galway Road on the Grindon estate in Sunderland. The church was opened as a Congregational church in 1956.</w:t>
      </w:r>
    </w:p>
    <w:p>
      <w:pPr>
        <w:pStyle w:val="BodyText"/>
        <w:spacing w:before="9"/>
        <w:rPr>
          <w:sz w:val="19"/>
        </w:rPr>
      </w:pPr>
    </w:p>
    <w:p>
      <w:pPr>
        <w:pStyle w:val="BodyText"/>
        <w:spacing w:line="235" w:lineRule="auto"/>
        <w:ind w:left="1247" w:right="2241"/>
      </w:pPr>
      <w:r>
        <w:rPr>
          <w:w w:val="120"/>
        </w:rPr>
        <w:t>From 2003 until </w:t>
      </w:r>
      <w:r>
        <w:rPr>
          <w:spacing w:val="-8"/>
          <w:w w:val="120"/>
        </w:rPr>
        <w:t>2013  </w:t>
      </w:r>
      <w:r>
        <w:rPr>
          <w:w w:val="120"/>
        </w:rPr>
        <w:t>the church has hosted the Grindon church and community project </w:t>
      </w:r>
      <w:r>
        <w:rPr>
          <w:spacing w:val="-6"/>
          <w:w w:val="120"/>
        </w:rPr>
        <w:t>(GCCP)  </w:t>
      </w:r>
      <w:r>
        <w:rPr>
          <w:w w:val="120"/>
        </w:rPr>
        <w:t>and Helen Stephenson as church related community worker has led    the project for those ten years. In that time the project has established a community garden, supported a well attended ‘messy </w:t>
      </w:r>
      <w:r>
        <w:rPr>
          <w:spacing w:val="-4"/>
          <w:w w:val="120"/>
        </w:rPr>
        <w:t>church’, </w:t>
      </w:r>
      <w:r>
        <w:rPr>
          <w:w w:val="120"/>
        </w:rPr>
        <w:t>and provided accommodation for a number of community groups, including a youth group with over a hundred names on the books and a parents and toddlers</w:t>
      </w:r>
      <w:r>
        <w:rPr>
          <w:spacing w:val="18"/>
          <w:w w:val="120"/>
        </w:rPr>
        <w:t> </w:t>
      </w:r>
      <w:r>
        <w:rPr>
          <w:w w:val="120"/>
        </w:rPr>
        <w:t>group.</w:t>
      </w:r>
    </w:p>
    <w:p>
      <w:pPr>
        <w:pStyle w:val="BodyText"/>
      </w:pPr>
    </w:p>
    <w:p>
      <w:pPr>
        <w:pStyle w:val="BodyText"/>
        <w:spacing w:line="235" w:lineRule="auto" w:before="1"/>
        <w:ind w:left="1247" w:right="2074"/>
      </w:pPr>
      <w:r>
        <w:rPr>
          <w:w w:val="120"/>
        </w:rPr>
        <w:t>Helen has now moved on to another CRCW post in Sunderland. Nevertheless the question may be asked, why close? Well, the church has just three members which is not sustainable as church in the normal sense of the word. It is intended that at closure the church will become a mission project under the care of the Northern Synod, the building will continue to be a place of worship, and GCCP will continue as a charitable incorporated organisation. It is not so much closure as a new beginning.</w:t>
      </w:r>
    </w:p>
    <w:p>
      <w:pPr>
        <w:pStyle w:val="BodyText"/>
        <w:rPr>
          <w:sz w:val="24"/>
        </w:rPr>
      </w:pPr>
    </w:p>
    <w:p>
      <w:pPr>
        <w:pStyle w:val="Heading4"/>
        <w:spacing w:before="203"/>
        <w:ind w:left="1247" w:firstLine="0"/>
        <w:rPr>
          <w:rFonts w:ascii="Stone Sans II ITC Std X Bd"/>
          <w:b/>
        </w:rPr>
      </w:pPr>
      <w:r>
        <w:rPr>
          <w:rFonts w:ascii="Stone Sans II ITC Std X Bd"/>
          <w:b/>
          <w:w w:val="110"/>
        </w:rPr>
        <w:t>Leigh United Reformed Church</w:t>
      </w:r>
    </w:p>
    <w:p>
      <w:pPr>
        <w:pStyle w:val="BodyText"/>
        <w:spacing w:line="235" w:lineRule="auto" w:before="196"/>
        <w:ind w:left="1247" w:right="2222"/>
      </w:pPr>
      <w:r>
        <w:rPr>
          <w:w w:val="120"/>
        </w:rPr>
        <w:t>Historically, Leigh United Reformed Church was known for its thriving choir and Sunday school. Uniformed organisations met within its walls and parade services  were held regularly. In its latter years the church building was shared with a local</w:t>
      </w:r>
      <w:r>
        <w:rPr>
          <w:spacing w:val="50"/>
          <w:w w:val="120"/>
        </w:rPr>
        <w:t> </w:t>
      </w:r>
      <w:r>
        <w:rPr>
          <w:w w:val="120"/>
        </w:rPr>
        <w:t>well</w:t>
      </w:r>
    </w:p>
    <w:p>
      <w:pPr>
        <w:pStyle w:val="BodyText"/>
        <w:spacing w:line="235" w:lineRule="auto" w:before="2"/>
        <w:ind w:left="1247" w:right="2004"/>
      </w:pPr>
      <w:r>
        <w:rPr>
          <w:w w:val="120"/>
        </w:rPr>
        <w:t>known dance group and this enabled further links with the community. Regular coffee mornings became a popular meeting place for many local people. Another church,</w:t>
      </w:r>
    </w:p>
    <w:p>
      <w:pPr>
        <w:pStyle w:val="BodyText"/>
        <w:spacing w:line="240" w:lineRule="exact"/>
        <w:ind w:left="1247"/>
      </w:pPr>
      <w:r>
        <w:rPr>
          <w:w w:val="120"/>
        </w:rPr>
        <w:t>St John’s Apostolic Church of the Whole World, were invited to share the building.</w:t>
      </w:r>
    </w:p>
    <w:p>
      <w:pPr>
        <w:pStyle w:val="BodyText"/>
        <w:spacing w:line="235" w:lineRule="auto" w:before="2"/>
        <w:ind w:left="1247" w:right="2004"/>
      </w:pPr>
      <w:r>
        <w:rPr>
          <w:w w:val="120"/>
        </w:rPr>
        <w:t>The church looked outwards as it shared ministry with the local Baptist church for five years and developed a twinning arrangement with the Mzilikazi United Congregational Church of Southern Africa.</w:t>
      </w:r>
    </w:p>
    <w:p>
      <w:pPr>
        <w:pStyle w:val="BodyText"/>
        <w:spacing w:before="10"/>
        <w:rPr>
          <w:sz w:val="19"/>
        </w:rPr>
      </w:pPr>
    </w:p>
    <w:p>
      <w:pPr>
        <w:pStyle w:val="BodyText"/>
        <w:spacing w:line="235" w:lineRule="auto"/>
        <w:ind w:left="1247" w:right="2167"/>
      </w:pPr>
      <w:r>
        <w:rPr>
          <w:w w:val="120"/>
        </w:rPr>
        <w:t>By July 2011 the church buildings were deemed unfit for public worship. The congregation joined the worshipping life of Kingsleigh Methodist Church and talks toward a local ecumenical partnership were actively pursued. However, a sad and honest decision was taken that it was time for the church to close.</w:t>
      </w:r>
    </w:p>
    <w:p>
      <w:pPr>
        <w:pStyle w:val="BodyText"/>
        <w:spacing w:before="11"/>
        <w:rPr>
          <w:sz w:val="19"/>
        </w:rPr>
      </w:pPr>
    </w:p>
    <w:p>
      <w:pPr>
        <w:pStyle w:val="BodyText"/>
        <w:spacing w:line="235" w:lineRule="auto"/>
        <w:ind w:left="1247" w:right="2044"/>
      </w:pPr>
      <w:r>
        <w:rPr>
          <w:w w:val="120"/>
        </w:rPr>
        <w:t>Its mission continued through significant financial </w:t>
      </w:r>
      <w:r>
        <w:rPr>
          <w:spacing w:val="2"/>
          <w:w w:val="120"/>
        </w:rPr>
        <w:t>gifts </w:t>
      </w:r>
      <w:r>
        <w:rPr>
          <w:w w:val="120"/>
        </w:rPr>
        <w:t>to Commitment for Life, the  twin church in Bulawayo, Kingsleigh Methodist Church, the ministers’ pension fund    and sponsorship of a </w:t>
      </w:r>
      <w:r>
        <w:rPr>
          <w:spacing w:val="-3"/>
          <w:w w:val="120"/>
        </w:rPr>
        <w:t>child’s </w:t>
      </w:r>
      <w:r>
        <w:rPr>
          <w:w w:val="120"/>
        </w:rPr>
        <w:t>education. Many members of Kingsleigh Methodist Church shared in the closing service and it has been encouraging to see the witness continuing as former members of Leigh URC take up membership within the Methodist</w:t>
      </w:r>
      <w:r>
        <w:rPr>
          <w:spacing w:val="7"/>
          <w:w w:val="120"/>
        </w:rPr>
        <w:t> </w:t>
      </w:r>
      <w:r>
        <w:rPr>
          <w:w w:val="120"/>
        </w:rPr>
        <w:t>Church.</w:t>
      </w:r>
    </w:p>
    <w:p>
      <w:pPr>
        <w:pStyle w:val="BodyText"/>
        <w:rPr>
          <w:sz w:val="24"/>
        </w:rPr>
      </w:pPr>
    </w:p>
    <w:p>
      <w:pPr>
        <w:pStyle w:val="Heading4"/>
        <w:spacing w:before="203"/>
        <w:ind w:left="1247" w:firstLine="0"/>
        <w:rPr>
          <w:rFonts w:ascii="Stone Sans II ITC Std X Bd"/>
          <w:b/>
        </w:rPr>
      </w:pPr>
      <w:r>
        <w:rPr>
          <w:rFonts w:ascii="Stone Sans II ITC Std X Bd"/>
          <w:b/>
          <w:w w:val="110"/>
        </w:rPr>
        <w:t>Lenham United Reformed Church</w:t>
      </w:r>
    </w:p>
    <w:p>
      <w:pPr>
        <w:pStyle w:val="BodyText"/>
        <w:spacing w:line="235" w:lineRule="auto" w:before="196"/>
        <w:ind w:left="1247" w:right="2154"/>
      </w:pPr>
      <w:r>
        <w:rPr>
          <w:w w:val="120"/>
        </w:rPr>
        <w:t>The Independent Church was begun in Lenham in </w:t>
      </w:r>
      <w:r>
        <w:rPr>
          <w:spacing w:val="-5"/>
          <w:w w:val="120"/>
        </w:rPr>
        <w:t>1662  </w:t>
      </w:r>
      <w:r>
        <w:rPr>
          <w:w w:val="120"/>
        </w:rPr>
        <w:t>by the former village vicar,   the Revd Thomas Shewell. There are no further records until </w:t>
      </w:r>
      <w:r>
        <w:rPr>
          <w:spacing w:val="-6"/>
          <w:w w:val="120"/>
        </w:rPr>
        <w:t>1784, </w:t>
      </w:r>
      <w:r>
        <w:rPr>
          <w:w w:val="120"/>
        </w:rPr>
        <w:t>when a Mrs Albect from Devonshire came to live in nearby Harrietsham and by her zeal awakened people to faith. </w:t>
      </w:r>
      <w:r>
        <w:rPr>
          <w:spacing w:val="3"/>
          <w:w w:val="120"/>
        </w:rPr>
        <w:t>As </w:t>
      </w:r>
      <w:r>
        <w:rPr>
          <w:w w:val="120"/>
        </w:rPr>
        <w:t>a result the chapel building was erected in </w:t>
      </w:r>
      <w:r>
        <w:rPr>
          <w:spacing w:val="-7"/>
          <w:w w:val="120"/>
        </w:rPr>
        <w:t>1784 </w:t>
      </w:r>
      <w:r>
        <w:rPr>
          <w:w w:val="120"/>
        </w:rPr>
        <w:t>on the Maidstone Road leading off from the village square. The faithful proclamation of the Gospel led the substantial congregation, in </w:t>
      </w:r>
      <w:r>
        <w:rPr>
          <w:spacing w:val="-7"/>
          <w:w w:val="120"/>
        </w:rPr>
        <w:t>1824, </w:t>
      </w:r>
      <w:r>
        <w:rPr>
          <w:w w:val="120"/>
        </w:rPr>
        <w:t>to rebuild the church in order to hold 500 people. The church was named Ebenezer Chapel, Ebenezer meaning ‘the stone of</w:t>
      </w:r>
      <w:r>
        <w:rPr>
          <w:spacing w:val="9"/>
          <w:w w:val="120"/>
        </w:rPr>
        <w:t> </w:t>
      </w:r>
      <w:r>
        <w:rPr>
          <w:spacing w:val="-5"/>
          <w:w w:val="120"/>
        </w:rPr>
        <w:t>help’.</w:t>
      </w:r>
    </w:p>
    <w:p>
      <w:pPr>
        <w:pStyle w:val="BodyText"/>
        <w:spacing w:before="1"/>
      </w:pPr>
    </w:p>
    <w:p>
      <w:pPr>
        <w:pStyle w:val="BodyText"/>
        <w:spacing w:line="235" w:lineRule="auto"/>
        <w:ind w:left="1247" w:right="2167"/>
      </w:pPr>
      <w:r>
        <w:rPr>
          <w:w w:val="120"/>
        </w:rPr>
        <w:t>On 31  May 1940 at 5:15am  the building and hall were destroyed by a bomb falling from one of nine Albacore aeroplanes returning to their base at Detling from a raid on Nieuport Harbour in Belgium. A rebuilt church was commissioned in 1952.</w:t>
      </w:r>
    </w:p>
    <w:p>
      <w:pPr>
        <w:spacing w:after="0" w:line="235" w:lineRule="auto"/>
        <w:sectPr>
          <w:headerReference w:type="even" r:id="rId516"/>
          <w:footerReference w:type="even" r:id="rId517"/>
          <w:footerReference w:type="default" r:id="rId518"/>
          <w:pgSz w:w="11910" w:h="16840"/>
          <w:pgMar w:header="0" w:footer="647" w:top="0" w:bottom="840" w:left="0" w:right="0"/>
        </w:sectPr>
      </w:pPr>
    </w:p>
    <w:p>
      <w:pPr>
        <w:pStyle w:val="BodyText"/>
      </w:pPr>
      <w:r>
        <w:rPr/>
        <w:drawing>
          <wp:anchor distT="0" distB="0" distL="0" distR="0" allowOverlap="1" layoutInCell="1" locked="0" behindDoc="0" simplePos="0" relativeHeight="252188672">
            <wp:simplePos x="0" y="0"/>
            <wp:positionH relativeFrom="page">
              <wp:posOffset>6974928</wp:posOffset>
            </wp:positionH>
            <wp:positionV relativeFrom="page">
              <wp:posOffset>0</wp:posOffset>
            </wp:positionV>
            <wp:extent cx="585063" cy="10692003"/>
            <wp:effectExtent l="0" t="0" r="0" b="0"/>
            <wp:wrapNone/>
            <wp:docPr id="423" name="image30.png"/>
            <wp:cNvGraphicFramePr>
              <a:graphicFrameLocks noChangeAspect="1"/>
            </wp:cNvGraphicFramePr>
            <a:graphic>
              <a:graphicData uri="http://schemas.openxmlformats.org/drawingml/2006/picture">
                <pic:pic>
                  <pic:nvPicPr>
                    <pic:cNvPr id="424" name="image30.png"/>
                    <pic:cNvPicPr/>
                  </pic:nvPicPr>
                  <pic:blipFill>
                    <a:blip r:embed="rId357"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pStyle w:val="Heading5"/>
        <w:ind w:left="0" w:right="1245"/>
        <w:jc w:val="right"/>
      </w:pPr>
      <w:r>
        <w:rPr>
          <w:color w:val="7EAABF"/>
          <w:w w:val="120"/>
        </w:rPr>
        <w:t>Church changes</w:t>
      </w:r>
    </w:p>
    <w:p>
      <w:pPr>
        <w:pStyle w:val="BodyText"/>
        <w:spacing w:before="4"/>
        <w:rPr>
          <w:sz w:val="29"/>
        </w:rPr>
      </w:pPr>
    </w:p>
    <w:p>
      <w:pPr>
        <w:pStyle w:val="BodyText"/>
        <w:spacing w:line="235" w:lineRule="auto" w:before="104"/>
        <w:ind w:left="1984" w:right="1732"/>
      </w:pPr>
      <w:r>
        <w:rPr/>
        <w:pict>
          <v:shape style="position:absolute;margin-left:554.141174pt;margin-top:-16.437023pt;width:25.9pt;height:166.3pt;mso-position-horizontal-relative:page;mso-position-vertical-relative:paragraph;z-index:252189696" type="#_x0000_t202" filled="false" stroked="false">
            <v:textbox inset="0,0,0,0" style="layout-flow:vertical">
              <w:txbxContent>
                <w:p>
                  <w:pPr>
                    <w:spacing w:before="27"/>
                    <w:ind w:left="20" w:right="0" w:firstLine="0"/>
                    <w:jc w:val="left"/>
                    <w:rPr>
                      <w:sz w:val="39"/>
                    </w:rPr>
                  </w:pPr>
                  <w:r>
                    <w:rPr>
                      <w:color w:val="FFFFFF"/>
                      <w:w w:val="125"/>
                      <w:sz w:val="39"/>
                    </w:rPr>
                    <w:t>Church changes</w:t>
                  </w:r>
                </w:p>
              </w:txbxContent>
            </v:textbox>
            <w10:wrap type="none"/>
          </v:shape>
        </w:pict>
      </w:r>
      <w:r>
        <w:rPr>
          <w:w w:val="120"/>
        </w:rPr>
        <w:t>In recent years Lenham URC took </w:t>
      </w:r>
      <w:r>
        <w:rPr>
          <w:spacing w:val="2"/>
          <w:w w:val="120"/>
        </w:rPr>
        <w:t>part </w:t>
      </w:r>
      <w:r>
        <w:rPr>
          <w:w w:val="120"/>
        </w:rPr>
        <w:t>in a special category ministry project which introduced cell church principles. After the retirement of the minister concerned the</w:t>
      </w:r>
      <w:r>
        <w:rPr>
          <w:spacing w:val="12"/>
          <w:w w:val="120"/>
        </w:rPr>
        <w:t> </w:t>
      </w:r>
      <w:r>
        <w:rPr>
          <w:w w:val="120"/>
        </w:rPr>
        <w:t>members</w:t>
      </w:r>
      <w:r>
        <w:rPr>
          <w:spacing w:val="13"/>
          <w:w w:val="120"/>
        </w:rPr>
        <w:t> </w:t>
      </w:r>
      <w:r>
        <w:rPr>
          <w:w w:val="120"/>
        </w:rPr>
        <w:t>decided</w:t>
      </w:r>
      <w:r>
        <w:rPr>
          <w:spacing w:val="13"/>
          <w:w w:val="120"/>
        </w:rPr>
        <w:t> </w:t>
      </w:r>
      <w:r>
        <w:rPr>
          <w:w w:val="120"/>
        </w:rPr>
        <w:t>to</w:t>
      </w:r>
      <w:r>
        <w:rPr>
          <w:spacing w:val="12"/>
          <w:w w:val="120"/>
        </w:rPr>
        <w:t> </w:t>
      </w:r>
      <w:r>
        <w:rPr>
          <w:w w:val="120"/>
        </w:rPr>
        <w:t>leave</w:t>
      </w:r>
      <w:r>
        <w:rPr>
          <w:spacing w:val="13"/>
          <w:w w:val="120"/>
        </w:rPr>
        <w:t> </w:t>
      </w:r>
      <w:r>
        <w:rPr>
          <w:w w:val="120"/>
        </w:rPr>
        <w:t>the</w:t>
      </w:r>
      <w:r>
        <w:rPr>
          <w:spacing w:val="13"/>
          <w:w w:val="120"/>
        </w:rPr>
        <w:t> </w:t>
      </w:r>
      <w:r>
        <w:rPr>
          <w:w w:val="120"/>
        </w:rPr>
        <w:t>URC</w:t>
      </w:r>
      <w:r>
        <w:rPr>
          <w:spacing w:val="13"/>
          <w:w w:val="120"/>
        </w:rPr>
        <w:t> </w:t>
      </w:r>
      <w:r>
        <w:rPr>
          <w:w w:val="120"/>
        </w:rPr>
        <w:t>and</w:t>
      </w:r>
      <w:r>
        <w:rPr>
          <w:spacing w:val="12"/>
          <w:w w:val="120"/>
        </w:rPr>
        <w:t> </w:t>
      </w:r>
      <w:r>
        <w:rPr>
          <w:w w:val="120"/>
        </w:rPr>
        <w:t>become</w:t>
      </w:r>
      <w:r>
        <w:rPr>
          <w:spacing w:val="13"/>
          <w:w w:val="120"/>
        </w:rPr>
        <w:t> </w:t>
      </w:r>
      <w:r>
        <w:rPr>
          <w:w w:val="120"/>
        </w:rPr>
        <w:t>an</w:t>
      </w:r>
      <w:r>
        <w:rPr>
          <w:spacing w:val="13"/>
          <w:w w:val="120"/>
        </w:rPr>
        <w:t> </w:t>
      </w:r>
      <w:r>
        <w:rPr>
          <w:w w:val="120"/>
        </w:rPr>
        <w:t>independent</w:t>
      </w:r>
      <w:r>
        <w:rPr>
          <w:spacing w:val="12"/>
          <w:w w:val="120"/>
        </w:rPr>
        <w:t> </w:t>
      </w:r>
      <w:r>
        <w:rPr>
          <w:w w:val="120"/>
        </w:rPr>
        <w:t>congregation</w:t>
      </w:r>
    </w:p>
    <w:p>
      <w:pPr>
        <w:pStyle w:val="BodyText"/>
        <w:spacing w:line="235" w:lineRule="auto" w:before="2"/>
        <w:ind w:left="1984" w:right="1500"/>
      </w:pPr>
      <w:r>
        <w:rPr>
          <w:w w:val="120"/>
        </w:rPr>
        <w:t>attached to Jubilee Church in Maidstone, a large church organised on the cell church model. The final service of Lenham United Reformed Church took place at in June  </w:t>
      </w:r>
      <w:r>
        <w:rPr>
          <w:spacing w:val="-6"/>
          <w:w w:val="120"/>
        </w:rPr>
        <w:t>2012. </w:t>
      </w:r>
      <w:r>
        <w:rPr>
          <w:w w:val="120"/>
        </w:rPr>
        <w:t>It was a service of thanksgiving for the heritage of </w:t>
      </w:r>
      <w:r>
        <w:rPr>
          <w:spacing w:val="-3"/>
          <w:w w:val="120"/>
        </w:rPr>
        <w:t>350 </w:t>
      </w:r>
      <w:r>
        <w:rPr>
          <w:w w:val="120"/>
        </w:rPr>
        <w:t>years and of prayer for  the congregation as it took on a new identity continuing to bear witness to the Gospel within the</w:t>
      </w:r>
      <w:r>
        <w:rPr>
          <w:spacing w:val="4"/>
          <w:w w:val="120"/>
        </w:rPr>
        <w:t> </w:t>
      </w:r>
      <w:r>
        <w:rPr>
          <w:w w:val="120"/>
        </w:rPr>
        <w:t>village.</w:t>
      </w:r>
    </w:p>
    <w:p>
      <w:pPr>
        <w:pStyle w:val="BodyText"/>
        <w:rPr>
          <w:sz w:val="24"/>
        </w:rPr>
      </w:pPr>
    </w:p>
    <w:p>
      <w:pPr>
        <w:pStyle w:val="BodyText"/>
        <w:spacing w:before="6"/>
        <w:rPr>
          <w:sz w:val="18"/>
        </w:rPr>
      </w:pPr>
    </w:p>
    <w:p>
      <w:pPr>
        <w:pStyle w:val="Heading4"/>
        <w:spacing w:line="220" w:lineRule="auto" w:before="1"/>
        <w:ind w:left="1984" w:right="2004" w:firstLine="0"/>
        <w:rPr>
          <w:rFonts w:ascii="Stone Sans II ITC Std X Bd"/>
          <w:b/>
        </w:rPr>
      </w:pPr>
      <w:r>
        <w:rPr>
          <w:rFonts w:ascii="Stone Sans II ITC Std X Bd"/>
          <w:b/>
          <w:w w:val="110"/>
        </w:rPr>
        <w:t>Moor End United Reformed Church, Mixenden, Halifax</w:t>
      </w:r>
    </w:p>
    <w:p>
      <w:pPr>
        <w:pStyle w:val="BodyText"/>
        <w:spacing w:line="235" w:lineRule="auto" w:before="202"/>
        <w:ind w:left="1984" w:right="1380"/>
      </w:pPr>
      <w:r>
        <w:rPr>
          <w:w w:val="120"/>
        </w:rPr>
        <w:t>Moor End United Reformed Church was founded in 1688 when a chapel was built on the west side of Mixenden in response to legal changes to permit nonconformity. In 1717 the minister, the Revd Matthew Smith, paid for and built a new chapel measuring twelve yards by ten yards on his own land at Hill End (now Moor End). The old chapel was converted into cottages.</w:t>
      </w:r>
    </w:p>
    <w:p>
      <w:pPr>
        <w:pStyle w:val="BodyText"/>
      </w:pPr>
    </w:p>
    <w:p>
      <w:pPr>
        <w:pStyle w:val="BodyText"/>
        <w:spacing w:line="235" w:lineRule="auto"/>
        <w:ind w:left="1984" w:right="1484"/>
      </w:pPr>
      <w:r>
        <w:rPr>
          <w:w w:val="120"/>
        </w:rPr>
        <w:t>In 1783 the Revd Daniel Jones came from Wales and stayed for more than eight years, leaving in March I791. The entry in the chapel book reports, ‘He returned to Wales, and it is hoped, declined the Ministry: for he was a disgrace to it. He might preach up virtue: but he practised vice.’ Jones became known as the ‘drunken priest’ as he was often intoxicated in the pulpit. The congregation was frequently left singing while he ran to Sandyfore to fetch his forgotten sermon.</w:t>
      </w:r>
    </w:p>
    <w:p>
      <w:pPr>
        <w:pStyle w:val="BodyText"/>
      </w:pPr>
    </w:p>
    <w:p>
      <w:pPr>
        <w:pStyle w:val="BodyText"/>
        <w:spacing w:line="235" w:lineRule="auto"/>
        <w:ind w:left="1984" w:right="1301"/>
      </w:pPr>
      <w:r>
        <w:rPr>
          <w:w w:val="120"/>
        </w:rPr>
        <w:t>Others left a better legacy. In 1842 Mr Isaac Brierley of Rochdale was invited to become pastor and under his ministry the Sunday school increased to such an extent that it was decided to convert the building to double its size. In 1958 the Sunday school had 100 children on the register with ten teachers.</w:t>
      </w:r>
    </w:p>
    <w:p>
      <w:pPr>
        <w:pStyle w:val="BodyText"/>
        <w:spacing w:before="11"/>
        <w:rPr>
          <w:sz w:val="19"/>
        </w:rPr>
      </w:pPr>
    </w:p>
    <w:p>
      <w:pPr>
        <w:pStyle w:val="BodyText"/>
        <w:spacing w:line="235" w:lineRule="auto"/>
        <w:ind w:left="1984" w:right="1820"/>
      </w:pPr>
      <w:r>
        <w:rPr>
          <w:w w:val="120"/>
        </w:rPr>
        <w:t>The church celebrated its 300</w:t>
      </w:r>
      <w:r>
        <w:rPr>
          <w:w w:val="120"/>
          <w:position w:val="7"/>
          <w:sz w:val="11"/>
        </w:rPr>
        <w:t>th </w:t>
      </w:r>
      <w:r>
        <w:rPr>
          <w:w w:val="120"/>
        </w:rPr>
        <w:t>anniversary in 1988 with a service led by the Revd Donald Hilton, moderator of the Yorkshire Province. The final service was held in October 2012.</w:t>
      </w:r>
    </w:p>
    <w:p>
      <w:pPr>
        <w:pStyle w:val="BodyText"/>
        <w:rPr>
          <w:sz w:val="24"/>
        </w:rPr>
      </w:pPr>
    </w:p>
    <w:p>
      <w:pPr>
        <w:pStyle w:val="Heading4"/>
        <w:spacing w:before="202"/>
        <w:ind w:left="1984" w:firstLine="0"/>
        <w:rPr>
          <w:rFonts w:ascii="Stone Sans II ITC Std X Bd"/>
          <w:b/>
        </w:rPr>
      </w:pPr>
      <w:r>
        <w:rPr>
          <w:rFonts w:ascii="Stone Sans II ITC Std X Bd"/>
          <w:b/>
          <w:w w:val="110"/>
        </w:rPr>
        <w:t>Pollokshields United Reformed Church, Glasgow</w:t>
      </w:r>
    </w:p>
    <w:p>
      <w:pPr>
        <w:pStyle w:val="BodyText"/>
        <w:spacing w:line="235" w:lineRule="auto" w:before="195"/>
        <w:ind w:left="1984" w:right="1376"/>
      </w:pPr>
      <w:r>
        <w:rPr>
          <w:w w:val="120"/>
        </w:rPr>
        <w:t>The Congregational church was founded in October </w:t>
      </w:r>
      <w:r>
        <w:rPr>
          <w:spacing w:val="-7"/>
          <w:w w:val="120"/>
        </w:rPr>
        <w:t>1899,  </w:t>
      </w:r>
      <w:r>
        <w:rPr>
          <w:w w:val="120"/>
        </w:rPr>
        <w:t>the first services being held   in the Pollokshields Burgh Hall prior to the opening of the newly-built church </w:t>
      </w:r>
      <w:r>
        <w:rPr>
          <w:spacing w:val="2"/>
          <w:w w:val="120"/>
        </w:rPr>
        <w:t>property  </w:t>
      </w:r>
      <w:r>
        <w:rPr>
          <w:w w:val="120"/>
        </w:rPr>
        <w:t>in Fotheringay Road, in April </w:t>
      </w:r>
      <w:r>
        <w:rPr>
          <w:spacing w:val="-5"/>
          <w:w w:val="120"/>
        </w:rPr>
        <w:t>1903. </w:t>
      </w:r>
      <w:r>
        <w:rPr>
          <w:w w:val="120"/>
        </w:rPr>
        <w:t>Throughout the twentieth century, faithful members and energetic leaders served the local community, establishing the church as the ‘village’ church in the south-side inner suburb of the city of Glasgow, attracting to its ministry some pastors of stature, and admired and respected by the churches of the other Christian denominations within the district. For much of this time, Pollokshields Congregational/URC punched above its weight, contributing presidents and treasurers to the Congregational Union of Scotland and co-founding and leading the local ecumenical council, Pollokshields Churches</w:t>
      </w:r>
      <w:r>
        <w:rPr>
          <w:spacing w:val="12"/>
          <w:w w:val="120"/>
        </w:rPr>
        <w:t> </w:t>
      </w:r>
      <w:r>
        <w:rPr>
          <w:spacing w:val="-3"/>
          <w:w w:val="120"/>
        </w:rPr>
        <w:t>Together.</w:t>
      </w:r>
    </w:p>
    <w:p>
      <w:pPr>
        <w:pStyle w:val="BodyText"/>
        <w:spacing w:before="4"/>
      </w:pPr>
    </w:p>
    <w:p>
      <w:pPr>
        <w:pStyle w:val="BodyText"/>
        <w:spacing w:line="235" w:lineRule="auto"/>
        <w:ind w:left="1984" w:right="1293"/>
      </w:pPr>
      <w:r>
        <w:rPr>
          <w:w w:val="120"/>
        </w:rPr>
        <w:t>Acknowledging the declining numbers and age profile of its members, the   congregation sold its </w:t>
      </w:r>
      <w:r>
        <w:rPr>
          <w:spacing w:val="2"/>
          <w:w w:val="120"/>
        </w:rPr>
        <w:t>property </w:t>
      </w:r>
      <w:r>
        <w:rPr>
          <w:w w:val="120"/>
        </w:rPr>
        <w:t>to the trustees of Hutchesons’ Grammar School, who preserved, extended and sensitively modernised the buildings as an integral </w:t>
      </w:r>
      <w:r>
        <w:rPr>
          <w:spacing w:val="2"/>
          <w:w w:val="120"/>
        </w:rPr>
        <w:t>part </w:t>
      </w:r>
      <w:r>
        <w:rPr>
          <w:w w:val="120"/>
        </w:rPr>
        <w:t>of the school. Thereafter the congregation enjoyed a further decade of burden-free worship and full week-end use of the facilities before disbanding with dignity at the end of   2009. The trustees continued the </w:t>
      </w:r>
      <w:r>
        <w:rPr>
          <w:spacing w:val="-3"/>
          <w:w w:val="120"/>
        </w:rPr>
        <w:t>church’s </w:t>
      </w:r>
      <w:r>
        <w:rPr>
          <w:w w:val="120"/>
        </w:rPr>
        <w:t>support of various youth projects in the community until the final closure in April</w:t>
      </w:r>
      <w:r>
        <w:rPr>
          <w:spacing w:val="16"/>
          <w:w w:val="120"/>
        </w:rPr>
        <w:t> </w:t>
      </w:r>
      <w:r>
        <w:rPr>
          <w:spacing w:val="-7"/>
          <w:w w:val="120"/>
        </w:rPr>
        <w:t>2013.</w:t>
      </w:r>
    </w:p>
    <w:p>
      <w:pPr>
        <w:spacing w:after="0" w:line="235" w:lineRule="auto"/>
        <w:sectPr>
          <w:headerReference w:type="default" r:id="rId519"/>
          <w:pgSz w:w="11910" w:h="16840"/>
          <w:pgMar w:header="0" w:footer="647" w:top="0" w:bottom="840" w:left="0" w:right="0"/>
        </w:sectPr>
      </w:pPr>
    </w:p>
    <w:p>
      <w:pPr>
        <w:pStyle w:val="BodyText"/>
      </w:pPr>
      <w:r>
        <w:rPr/>
        <w:drawing>
          <wp:anchor distT="0" distB="0" distL="0" distR="0" allowOverlap="1" layoutInCell="1" locked="0" behindDoc="0" simplePos="0" relativeHeight="252190720">
            <wp:simplePos x="0" y="0"/>
            <wp:positionH relativeFrom="page">
              <wp:posOffset>0</wp:posOffset>
            </wp:positionH>
            <wp:positionV relativeFrom="page">
              <wp:posOffset>0</wp:posOffset>
            </wp:positionV>
            <wp:extent cx="594067" cy="10692003"/>
            <wp:effectExtent l="0" t="0" r="0" b="0"/>
            <wp:wrapNone/>
            <wp:docPr id="425" name="image32.png"/>
            <wp:cNvGraphicFramePr>
              <a:graphicFrameLocks noChangeAspect="1"/>
            </wp:cNvGraphicFramePr>
            <a:graphic>
              <a:graphicData uri="http://schemas.openxmlformats.org/drawingml/2006/picture">
                <pic:pic>
                  <pic:nvPicPr>
                    <pic:cNvPr id="426" name="image32.png"/>
                    <pic:cNvPicPr/>
                  </pic:nvPicPr>
                  <pic:blipFill>
                    <a:blip r:embed="rId362"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shape style="position:absolute;margin-left:20.519100pt;margin-top:22.593945pt;width:25.9pt;height:166.3pt;mso-position-horizontal-relative:page;mso-position-vertical-relative:paragraph;z-index:252191744" type="#_x0000_t202" filled="false" stroked="false">
            <v:textbox inset="0,0,0,0" style="layout-flow:vertical">
              <w:txbxContent>
                <w:p>
                  <w:pPr>
                    <w:spacing w:before="27"/>
                    <w:ind w:left="20" w:right="0" w:firstLine="0"/>
                    <w:jc w:val="left"/>
                    <w:rPr>
                      <w:sz w:val="39"/>
                    </w:rPr>
                  </w:pPr>
                  <w:r>
                    <w:rPr>
                      <w:color w:val="FFFFFF"/>
                      <w:w w:val="125"/>
                      <w:sz w:val="39"/>
                    </w:rPr>
                    <w:t>Church changes</w:t>
                  </w:r>
                </w:p>
              </w:txbxContent>
            </v:textbox>
            <w10:wrap type="none"/>
          </v:shape>
        </w:pict>
      </w:r>
      <w:r>
        <w:rPr>
          <w:color w:val="7EAABF"/>
          <w:w w:val="120"/>
        </w:rPr>
        <w:t>Church changes</w:t>
      </w:r>
    </w:p>
    <w:p>
      <w:pPr>
        <w:spacing w:before="215"/>
        <w:ind w:left="1247" w:right="0" w:firstLine="0"/>
        <w:jc w:val="left"/>
        <w:rPr>
          <w:rFonts w:ascii="Stone Sans II ITC Std X Bd"/>
          <w:b/>
          <w:sz w:val="29"/>
        </w:rPr>
      </w:pPr>
      <w:r>
        <w:rPr>
          <w:rFonts w:ascii="Stone Sans II ITC Std X Bd"/>
          <w:b/>
          <w:w w:val="110"/>
          <w:sz w:val="29"/>
        </w:rPr>
        <w:t>Rushall House Group</w:t>
      </w:r>
    </w:p>
    <w:p>
      <w:pPr>
        <w:pStyle w:val="BodyText"/>
        <w:spacing w:line="235" w:lineRule="auto" w:before="196"/>
        <w:ind w:left="1247" w:right="2246"/>
      </w:pPr>
      <w:r>
        <w:rPr>
          <w:w w:val="120"/>
        </w:rPr>
        <w:t>The new Congregational church building in Station Road, Rushall proudly opened its doors in </w:t>
      </w:r>
      <w:r>
        <w:rPr>
          <w:spacing w:val="-6"/>
          <w:w w:val="120"/>
        </w:rPr>
        <w:t>1861 </w:t>
      </w:r>
      <w:r>
        <w:rPr>
          <w:w w:val="120"/>
        </w:rPr>
        <w:t>and closed them in </w:t>
      </w:r>
      <w:r>
        <w:rPr>
          <w:spacing w:val="-10"/>
          <w:w w:val="120"/>
        </w:rPr>
        <w:t>1974, </w:t>
      </w:r>
      <w:r>
        <w:rPr>
          <w:w w:val="120"/>
        </w:rPr>
        <w:t>with a dwindling congregation and no money  to pay for a new roof. But the church, as the body of God’s people, remained active in the homes of its members for a further </w:t>
      </w:r>
      <w:r>
        <w:rPr>
          <w:spacing w:val="3"/>
          <w:w w:val="120"/>
        </w:rPr>
        <w:t>forty </w:t>
      </w:r>
      <w:r>
        <w:rPr>
          <w:w w:val="120"/>
        </w:rPr>
        <w:t>years, finally ceasing to meet in </w:t>
      </w:r>
      <w:r>
        <w:rPr>
          <w:spacing w:val="-7"/>
          <w:w w:val="120"/>
        </w:rPr>
        <w:t>2013.</w:t>
      </w:r>
    </w:p>
    <w:p>
      <w:pPr>
        <w:pStyle w:val="BodyText"/>
        <w:spacing w:before="11"/>
        <w:rPr>
          <w:sz w:val="19"/>
        </w:rPr>
      </w:pPr>
    </w:p>
    <w:p>
      <w:pPr>
        <w:pStyle w:val="BodyText"/>
        <w:spacing w:line="235" w:lineRule="auto"/>
        <w:ind w:left="1247" w:right="2004"/>
      </w:pPr>
      <w:r>
        <w:rPr>
          <w:w w:val="120"/>
        </w:rPr>
        <w:t>The founder, Alfred Stanley, went among the local men – mostly pitmen, lime burners and boat builders </w:t>
      </w:r>
      <w:r>
        <w:rPr>
          <w:spacing w:val="4"/>
          <w:w w:val="120"/>
        </w:rPr>
        <w:t>-- </w:t>
      </w:r>
      <w:r>
        <w:rPr>
          <w:w w:val="120"/>
        </w:rPr>
        <w:t>with religious </w:t>
      </w:r>
      <w:r>
        <w:rPr>
          <w:spacing w:val="2"/>
          <w:w w:val="120"/>
        </w:rPr>
        <w:t>tracts, </w:t>
      </w:r>
      <w:r>
        <w:rPr>
          <w:w w:val="120"/>
        </w:rPr>
        <w:t>reasoned discussion and</w:t>
      </w:r>
      <w:r>
        <w:rPr>
          <w:spacing w:val="53"/>
          <w:w w:val="120"/>
        </w:rPr>
        <w:t> </w:t>
      </w:r>
      <w:r>
        <w:rPr>
          <w:w w:val="120"/>
        </w:rPr>
        <w:t>understanding.</w:t>
      </w:r>
    </w:p>
    <w:p>
      <w:pPr>
        <w:pStyle w:val="BodyText"/>
        <w:spacing w:line="235" w:lineRule="auto" w:before="2"/>
        <w:ind w:left="1247" w:right="2030"/>
      </w:pPr>
      <w:r>
        <w:rPr>
          <w:w w:val="120"/>
        </w:rPr>
        <w:t>Within a </w:t>
      </w:r>
      <w:r>
        <w:rPr>
          <w:spacing w:val="-4"/>
          <w:w w:val="120"/>
        </w:rPr>
        <w:t>year, </w:t>
      </w:r>
      <w:r>
        <w:rPr>
          <w:spacing w:val="-8"/>
          <w:w w:val="120"/>
        </w:rPr>
        <w:t>130 </w:t>
      </w:r>
      <w:r>
        <w:rPr>
          <w:w w:val="120"/>
        </w:rPr>
        <w:t>people were meeting in a house church in Stanley’s rented home and a church was under construction. Many had contributed financially. One man offered two loads of sand, another </w:t>
      </w:r>
      <w:r>
        <w:rPr>
          <w:spacing w:val="2"/>
          <w:w w:val="120"/>
        </w:rPr>
        <w:t>5000</w:t>
      </w:r>
      <w:r>
        <w:rPr>
          <w:spacing w:val="13"/>
          <w:w w:val="120"/>
        </w:rPr>
        <w:t> </w:t>
      </w:r>
      <w:r>
        <w:rPr>
          <w:w w:val="120"/>
        </w:rPr>
        <w:t>bricks.</w:t>
      </w:r>
    </w:p>
    <w:p>
      <w:pPr>
        <w:pStyle w:val="BodyText"/>
        <w:spacing w:before="10"/>
        <w:rPr>
          <w:sz w:val="19"/>
        </w:rPr>
      </w:pPr>
    </w:p>
    <w:p>
      <w:pPr>
        <w:pStyle w:val="BodyText"/>
        <w:spacing w:line="235" w:lineRule="auto"/>
        <w:ind w:left="1247" w:right="1994"/>
      </w:pPr>
      <w:r>
        <w:rPr>
          <w:w w:val="120"/>
        </w:rPr>
        <w:t>By the late </w:t>
      </w:r>
      <w:r>
        <w:rPr>
          <w:spacing w:val="-5"/>
          <w:w w:val="120"/>
        </w:rPr>
        <w:t>1960’s, </w:t>
      </w:r>
      <w:r>
        <w:rPr>
          <w:w w:val="120"/>
        </w:rPr>
        <w:t>the church building had become badly neglected and a lot of the  older members had died, with the congregation sometimes down to a dozen. There   was talk of a new road to Walsall being constructed, and the local council agreed to buy the land on which the church stood for £25,000. With the building demolished, it was decided</w:t>
      </w:r>
      <w:r>
        <w:rPr>
          <w:spacing w:val="5"/>
          <w:w w:val="120"/>
        </w:rPr>
        <w:t> </w:t>
      </w:r>
      <w:r>
        <w:rPr>
          <w:w w:val="120"/>
        </w:rPr>
        <w:t>that</w:t>
      </w:r>
      <w:r>
        <w:rPr>
          <w:spacing w:val="6"/>
          <w:w w:val="120"/>
        </w:rPr>
        <w:t> </w:t>
      </w:r>
      <w:r>
        <w:rPr>
          <w:w w:val="120"/>
        </w:rPr>
        <w:t>the</w:t>
      </w:r>
      <w:r>
        <w:rPr>
          <w:spacing w:val="5"/>
          <w:w w:val="120"/>
        </w:rPr>
        <w:t> </w:t>
      </w:r>
      <w:r>
        <w:rPr>
          <w:w w:val="120"/>
        </w:rPr>
        <w:t>church</w:t>
      </w:r>
      <w:r>
        <w:rPr>
          <w:spacing w:val="6"/>
          <w:w w:val="120"/>
        </w:rPr>
        <w:t> </w:t>
      </w:r>
      <w:r>
        <w:rPr>
          <w:w w:val="120"/>
        </w:rPr>
        <w:t>would</w:t>
      </w:r>
      <w:r>
        <w:rPr>
          <w:spacing w:val="5"/>
          <w:w w:val="120"/>
        </w:rPr>
        <w:t> </w:t>
      </w:r>
      <w:r>
        <w:rPr>
          <w:w w:val="120"/>
        </w:rPr>
        <w:t>meet</w:t>
      </w:r>
      <w:r>
        <w:rPr>
          <w:spacing w:val="6"/>
          <w:w w:val="120"/>
        </w:rPr>
        <w:t> </w:t>
      </w:r>
      <w:r>
        <w:rPr>
          <w:w w:val="120"/>
        </w:rPr>
        <w:t>in</w:t>
      </w:r>
      <w:r>
        <w:rPr>
          <w:spacing w:val="5"/>
          <w:w w:val="120"/>
        </w:rPr>
        <w:t> </w:t>
      </w:r>
      <w:r>
        <w:rPr>
          <w:w w:val="120"/>
        </w:rPr>
        <w:t>members’</w:t>
      </w:r>
      <w:r>
        <w:rPr>
          <w:spacing w:val="6"/>
          <w:w w:val="120"/>
        </w:rPr>
        <w:t> </w:t>
      </w:r>
      <w:r>
        <w:rPr>
          <w:w w:val="120"/>
        </w:rPr>
        <w:t>homes,</w:t>
      </w:r>
      <w:r>
        <w:rPr>
          <w:spacing w:val="5"/>
          <w:w w:val="120"/>
        </w:rPr>
        <w:t> </w:t>
      </w:r>
      <w:r>
        <w:rPr>
          <w:w w:val="120"/>
        </w:rPr>
        <w:t>on</w:t>
      </w:r>
      <w:r>
        <w:rPr>
          <w:spacing w:val="6"/>
          <w:w w:val="120"/>
        </w:rPr>
        <w:t> </w:t>
      </w:r>
      <w:r>
        <w:rPr>
          <w:w w:val="120"/>
        </w:rPr>
        <w:t>a</w:t>
      </w:r>
      <w:r>
        <w:rPr>
          <w:spacing w:val="5"/>
          <w:w w:val="120"/>
        </w:rPr>
        <w:t> </w:t>
      </w:r>
      <w:r>
        <w:rPr>
          <w:w w:val="120"/>
        </w:rPr>
        <w:t>rota,</w:t>
      </w:r>
      <w:r>
        <w:rPr>
          <w:spacing w:val="6"/>
          <w:w w:val="120"/>
        </w:rPr>
        <w:t> </w:t>
      </w:r>
      <w:r>
        <w:rPr>
          <w:w w:val="120"/>
        </w:rPr>
        <w:t>as</w:t>
      </w:r>
      <w:r>
        <w:rPr>
          <w:spacing w:val="6"/>
          <w:w w:val="120"/>
        </w:rPr>
        <w:t> </w:t>
      </w:r>
      <w:r>
        <w:rPr>
          <w:w w:val="120"/>
        </w:rPr>
        <w:t>it</w:t>
      </w:r>
      <w:r>
        <w:rPr>
          <w:spacing w:val="5"/>
          <w:w w:val="120"/>
        </w:rPr>
        <w:t> </w:t>
      </w:r>
      <w:r>
        <w:rPr>
          <w:w w:val="120"/>
        </w:rPr>
        <w:t>had</w:t>
      </w:r>
      <w:r>
        <w:rPr>
          <w:spacing w:val="6"/>
          <w:w w:val="120"/>
        </w:rPr>
        <w:t> </w:t>
      </w:r>
      <w:r>
        <w:rPr>
          <w:w w:val="120"/>
        </w:rPr>
        <w:t>begun.</w:t>
      </w:r>
    </w:p>
    <w:p>
      <w:pPr>
        <w:pStyle w:val="BodyText"/>
        <w:spacing w:line="472" w:lineRule="auto"/>
        <w:ind w:left="1247" w:right="2412"/>
      </w:pPr>
      <w:r>
        <w:rPr>
          <w:w w:val="120"/>
        </w:rPr>
        <w:t>Rushall had again become a house church. The first such meeting was in July 1972. The three remaining church members still plan to travel to meet twice a year.</w:t>
      </w:r>
    </w:p>
    <w:p>
      <w:pPr>
        <w:pStyle w:val="BodyText"/>
        <w:spacing w:before="10"/>
      </w:pPr>
    </w:p>
    <w:p>
      <w:pPr>
        <w:pStyle w:val="Heading4"/>
        <w:ind w:left="1247" w:firstLine="0"/>
        <w:rPr>
          <w:rFonts w:ascii="Stone Sans II ITC Std X Bd"/>
          <w:b/>
        </w:rPr>
      </w:pPr>
      <w:r>
        <w:rPr>
          <w:rFonts w:ascii="Stone Sans II ITC Std X Bd"/>
          <w:b/>
          <w:w w:val="110"/>
        </w:rPr>
        <w:t>Salford Central Mission and MediaCity Church</w:t>
      </w:r>
    </w:p>
    <w:p>
      <w:pPr>
        <w:pStyle w:val="BodyText"/>
        <w:spacing w:line="235" w:lineRule="auto" w:before="195"/>
        <w:ind w:left="1247" w:right="2128"/>
      </w:pPr>
      <w:r>
        <w:rPr>
          <w:w w:val="120"/>
        </w:rPr>
        <w:t>Salford Central Mission was created to transform the local community in the name of Christ. </w:t>
      </w:r>
      <w:r>
        <w:rPr>
          <w:spacing w:val="3"/>
          <w:w w:val="120"/>
        </w:rPr>
        <w:t>As </w:t>
      </w:r>
      <w:r>
        <w:rPr>
          <w:w w:val="120"/>
        </w:rPr>
        <w:t>the docks </w:t>
      </w:r>
      <w:r>
        <w:rPr>
          <w:spacing w:val="-3"/>
          <w:w w:val="120"/>
        </w:rPr>
        <w:t>grew, </w:t>
      </w:r>
      <w:r>
        <w:rPr>
          <w:w w:val="120"/>
        </w:rPr>
        <w:t>so did the spiritual and physical needs of those in the area. In </w:t>
      </w:r>
      <w:r>
        <w:rPr>
          <w:spacing w:val="-6"/>
          <w:w w:val="120"/>
        </w:rPr>
        <w:t>1907 </w:t>
      </w:r>
      <w:r>
        <w:rPr>
          <w:w w:val="120"/>
        </w:rPr>
        <w:t>the mission was officially opened in a landmark building to serve the Salford dock community. The mission thrived for much of the first half of the 20</w:t>
      </w:r>
      <w:r>
        <w:rPr>
          <w:w w:val="120"/>
          <w:position w:val="7"/>
          <w:sz w:val="11"/>
        </w:rPr>
        <w:t>th </w:t>
      </w:r>
      <w:r>
        <w:rPr>
          <w:w w:val="120"/>
        </w:rPr>
        <w:t>century and had a significant impact on the locality. Changes in church attendance and lifestyle patterns   in the latter half of the century meant that the faithful but dwindling congregation struggled</w:t>
      </w:r>
      <w:r>
        <w:rPr>
          <w:spacing w:val="8"/>
          <w:w w:val="120"/>
        </w:rPr>
        <w:t> </w:t>
      </w:r>
      <w:r>
        <w:rPr>
          <w:w w:val="120"/>
        </w:rPr>
        <w:t>with</w:t>
      </w:r>
      <w:r>
        <w:rPr>
          <w:spacing w:val="8"/>
          <w:w w:val="120"/>
        </w:rPr>
        <w:t> </w:t>
      </w:r>
      <w:r>
        <w:rPr>
          <w:w w:val="120"/>
        </w:rPr>
        <w:t>the</w:t>
      </w:r>
      <w:r>
        <w:rPr>
          <w:spacing w:val="8"/>
          <w:w w:val="120"/>
        </w:rPr>
        <w:t> </w:t>
      </w:r>
      <w:r>
        <w:rPr>
          <w:w w:val="120"/>
        </w:rPr>
        <w:t>upkeep</w:t>
      </w:r>
      <w:r>
        <w:rPr>
          <w:spacing w:val="8"/>
          <w:w w:val="120"/>
        </w:rPr>
        <w:t> </w:t>
      </w:r>
      <w:r>
        <w:rPr>
          <w:w w:val="120"/>
        </w:rPr>
        <w:t>of</w:t>
      </w:r>
      <w:r>
        <w:rPr>
          <w:spacing w:val="8"/>
          <w:w w:val="120"/>
        </w:rPr>
        <w:t> </w:t>
      </w:r>
      <w:r>
        <w:rPr>
          <w:w w:val="120"/>
        </w:rPr>
        <w:t>the</w:t>
      </w:r>
      <w:r>
        <w:rPr>
          <w:spacing w:val="8"/>
          <w:w w:val="120"/>
        </w:rPr>
        <w:t> </w:t>
      </w:r>
      <w:r>
        <w:rPr>
          <w:w w:val="120"/>
        </w:rPr>
        <w:t>building</w:t>
      </w:r>
      <w:r>
        <w:rPr>
          <w:spacing w:val="8"/>
          <w:w w:val="120"/>
        </w:rPr>
        <w:t> </w:t>
      </w:r>
      <w:r>
        <w:rPr>
          <w:w w:val="120"/>
        </w:rPr>
        <w:t>and</w:t>
      </w:r>
      <w:r>
        <w:rPr>
          <w:spacing w:val="8"/>
          <w:w w:val="120"/>
        </w:rPr>
        <w:t> </w:t>
      </w:r>
      <w:r>
        <w:rPr>
          <w:w w:val="120"/>
        </w:rPr>
        <w:t>delivery</w:t>
      </w:r>
      <w:r>
        <w:rPr>
          <w:spacing w:val="8"/>
          <w:w w:val="120"/>
        </w:rPr>
        <w:t> </w:t>
      </w:r>
      <w:r>
        <w:rPr>
          <w:w w:val="120"/>
        </w:rPr>
        <w:t>of</w:t>
      </w:r>
      <w:r>
        <w:rPr>
          <w:spacing w:val="9"/>
          <w:w w:val="120"/>
        </w:rPr>
        <w:t> </w:t>
      </w:r>
      <w:r>
        <w:rPr>
          <w:w w:val="120"/>
        </w:rPr>
        <w:t>the</w:t>
      </w:r>
      <w:r>
        <w:rPr>
          <w:spacing w:val="8"/>
          <w:w w:val="120"/>
        </w:rPr>
        <w:t> </w:t>
      </w:r>
      <w:r>
        <w:rPr>
          <w:w w:val="120"/>
        </w:rPr>
        <w:t>vision.</w:t>
      </w:r>
      <w:r>
        <w:rPr>
          <w:spacing w:val="8"/>
          <w:w w:val="120"/>
        </w:rPr>
        <w:t> </w:t>
      </w:r>
      <w:r>
        <w:rPr>
          <w:w w:val="120"/>
        </w:rPr>
        <w:t>They</w:t>
      </w:r>
      <w:r>
        <w:rPr>
          <w:spacing w:val="8"/>
          <w:w w:val="120"/>
        </w:rPr>
        <w:t> </w:t>
      </w:r>
      <w:r>
        <w:rPr>
          <w:w w:val="120"/>
        </w:rPr>
        <w:t>began</w:t>
      </w:r>
    </w:p>
    <w:p>
      <w:pPr>
        <w:pStyle w:val="BodyText"/>
        <w:spacing w:line="235" w:lineRule="auto" w:before="6"/>
        <w:ind w:left="1247" w:right="2004"/>
      </w:pPr>
      <w:r>
        <w:rPr>
          <w:w w:val="120"/>
        </w:rPr>
        <w:t>to explore ways of continuing within a new partnership with the Oasis Trust. Due to differences in style many of the members left to go to other churches. At this point Salford Central Mission really ceased to exist as a congregation.</w:t>
      </w:r>
    </w:p>
    <w:p>
      <w:pPr>
        <w:pStyle w:val="BodyText"/>
        <w:spacing w:before="10"/>
        <w:rPr>
          <w:sz w:val="19"/>
        </w:rPr>
      </w:pPr>
    </w:p>
    <w:p>
      <w:pPr>
        <w:pStyle w:val="BodyText"/>
        <w:spacing w:line="235" w:lineRule="auto"/>
        <w:ind w:left="1247" w:right="2235"/>
      </w:pPr>
      <w:r>
        <w:rPr>
          <w:spacing w:val="-5"/>
          <w:w w:val="120"/>
        </w:rPr>
        <w:t>Today,  </w:t>
      </w:r>
      <w:r>
        <w:rPr>
          <w:w w:val="120"/>
        </w:rPr>
        <w:t>the Oasis church leader has started a new congregation in the academy   school</w:t>
      </w:r>
      <w:r>
        <w:rPr>
          <w:spacing w:val="10"/>
          <w:w w:val="120"/>
        </w:rPr>
        <w:t> </w:t>
      </w:r>
      <w:r>
        <w:rPr>
          <w:w w:val="120"/>
        </w:rPr>
        <w:t>built</w:t>
      </w:r>
      <w:r>
        <w:rPr>
          <w:spacing w:val="10"/>
          <w:w w:val="120"/>
        </w:rPr>
        <w:t> </w:t>
      </w:r>
      <w:r>
        <w:rPr>
          <w:w w:val="120"/>
        </w:rPr>
        <w:t>on</w:t>
      </w:r>
      <w:r>
        <w:rPr>
          <w:spacing w:val="10"/>
          <w:w w:val="120"/>
        </w:rPr>
        <w:t> </w:t>
      </w:r>
      <w:r>
        <w:rPr>
          <w:w w:val="120"/>
        </w:rPr>
        <w:t>the</w:t>
      </w:r>
      <w:r>
        <w:rPr>
          <w:spacing w:val="10"/>
          <w:w w:val="120"/>
        </w:rPr>
        <w:t> </w:t>
      </w:r>
      <w:r>
        <w:rPr>
          <w:w w:val="120"/>
        </w:rPr>
        <w:t>land</w:t>
      </w:r>
      <w:r>
        <w:rPr>
          <w:spacing w:val="10"/>
          <w:w w:val="120"/>
        </w:rPr>
        <w:t> </w:t>
      </w:r>
      <w:r>
        <w:rPr>
          <w:w w:val="120"/>
        </w:rPr>
        <w:t>previously</w:t>
      </w:r>
      <w:r>
        <w:rPr>
          <w:spacing w:val="10"/>
          <w:w w:val="120"/>
        </w:rPr>
        <w:t> </w:t>
      </w:r>
      <w:r>
        <w:rPr>
          <w:w w:val="120"/>
        </w:rPr>
        <w:t>occupied</w:t>
      </w:r>
      <w:r>
        <w:rPr>
          <w:spacing w:val="10"/>
          <w:w w:val="120"/>
        </w:rPr>
        <w:t> </w:t>
      </w:r>
      <w:r>
        <w:rPr>
          <w:w w:val="120"/>
        </w:rPr>
        <w:t>by</w:t>
      </w:r>
      <w:r>
        <w:rPr>
          <w:spacing w:val="11"/>
          <w:w w:val="120"/>
        </w:rPr>
        <w:t> </w:t>
      </w:r>
      <w:r>
        <w:rPr>
          <w:w w:val="120"/>
        </w:rPr>
        <w:t>the</w:t>
      </w:r>
      <w:r>
        <w:rPr>
          <w:spacing w:val="10"/>
          <w:w w:val="120"/>
        </w:rPr>
        <w:t> </w:t>
      </w:r>
      <w:r>
        <w:rPr>
          <w:w w:val="120"/>
        </w:rPr>
        <w:t>church.</w:t>
      </w:r>
      <w:r>
        <w:rPr>
          <w:spacing w:val="10"/>
          <w:w w:val="120"/>
        </w:rPr>
        <w:t> </w:t>
      </w:r>
      <w:r>
        <w:rPr>
          <w:w w:val="120"/>
        </w:rPr>
        <w:t>Alongside</w:t>
      </w:r>
      <w:r>
        <w:rPr>
          <w:spacing w:val="10"/>
          <w:w w:val="120"/>
        </w:rPr>
        <w:t> </w:t>
      </w:r>
      <w:r>
        <w:rPr>
          <w:w w:val="120"/>
        </w:rPr>
        <w:t>this</w:t>
      </w:r>
      <w:r>
        <w:rPr>
          <w:spacing w:val="10"/>
          <w:w w:val="120"/>
        </w:rPr>
        <w:t> </w:t>
      </w:r>
      <w:r>
        <w:rPr>
          <w:w w:val="120"/>
        </w:rPr>
        <w:t>the</w:t>
      </w:r>
      <w:r>
        <w:rPr>
          <w:spacing w:val="10"/>
          <w:w w:val="120"/>
        </w:rPr>
        <w:t> </w:t>
      </w:r>
      <w:r>
        <w:rPr>
          <w:w w:val="120"/>
        </w:rPr>
        <w:t>United</w:t>
      </w:r>
    </w:p>
    <w:p>
      <w:pPr>
        <w:pStyle w:val="BodyText"/>
        <w:spacing w:line="235" w:lineRule="auto" w:before="1"/>
        <w:ind w:left="1247" w:right="2004"/>
      </w:pPr>
      <w:r>
        <w:rPr>
          <w:w w:val="120"/>
        </w:rPr>
        <w:t>Reformed Church has committed a special category minister to work in the Ordsall and MediaCityUK areas to continue the vision that brought the church into being over one hundred years ago.</w:t>
      </w:r>
    </w:p>
    <w:p>
      <w:pPr>
        <w:pStyle w:val="BodyText"/>
        <w:rPr>
          <w:sz w:val="24"/>
        </w:rPr>
      </w:pPr>
    </w:p>
    <w:p>
      <w:pPr>
        <w:pStyle w:val="Heading4"/>
        <w:spacing w:before="202"/>
        <w:ind w:left="1247" w:firstLine="0"/>
        <w:rPr>
          <w:rFonts w:ascii="Stone Sans II ITC Std X Bd"/>
          <w:b/>
        </w:rPr>
      </w:pPr>
      <w:r>
        <w:rPr>
          <w:rFonts w:ascii="Stone Sans II ITC Std X Bd"/>
          <w:b/>
          <w:w w:val="110"/>
        </w:rPr>
        <w:t>Springfield </w:t>
      </w:r>
      <w:r>
        <w:rPr>
          <w:rFonts w:ascii="Stone Sans II ITC Std X Bd"/>
          <w:b/>
          <w:spacing w:val="-3"/>
          <w:w w:val="110"/>
        </w:rPr>
        <w:t>Church Centre</w:t>
      </w:r>
      <w:r>
        <w:rPr>
          <w:rFonts w:ascii="Stone Sans II ITC Std X Bd"/>
          <w:b/>
          <w:spacing w:val="26"/>
          <w:w w:val="110"/>
        </w:rPr>
        <w:t> </w:t>
      </w:r>
      <w:r>
        <w:rPr>
          <w:rFonts w:ascii="Stone Sans II ITC Std X Bd"/>
          <w:b/>
          <w:spacing w:val="-3"/>
          <w:w w:val="110"/>
        </w:rPr>
        <w:t>Darlington</w:t>
      </w:r>
    </w:p>
    <w:p>
      <w:pPr>
        <w:pStyle w:val="BodyText"/>
        <w:spacing w:line="235" w:lineRule="auto" w:before="196"/>
        <w:ind w:left="1247" w:right="2167"/>
      </w:pPr>
      <w:r>
        <w:rPr>
          <w:w w:val="120"/>
        </w:rPr>
        <w:t>In </w:t>
      </w:r>
      <w:r>
        <w:rPr>
          <w:spacing w:val="-8"/>
          <w:w w:val="120"/>
        </w:rPr>
        <w:t>1901, </w:t>
      </w:r>
      <w:r>
        <w:rPr>
          <w:w w:val="120"/>
        </w:rPr>
        <w:t>the historic firm of </w:t>
      </w:r>
      <w:r>
        <w:rPr>
          <w:spacing w:val="2"/>
          <w:w w:val="120"/>
        </w:rPr>
        <w:t>Robert </w:t>
      </w:r>
      <w:r>
        <w:rPr>
          <w:w w:val="120"/>
        </w:rPr>
        <w:t>Stephenson &amp; Co moved their railway engineering plant from Newcastle upon </w:t>
      </w:r>
      <w:r>
        <w:rPr>
          <w:spacing w:val="-4"/>
          <w:w w:val="120"/>
        </w:rPr>
        <w:t>Tyne </w:t>
      </w:r>
      <w:r>
        <w:rPr>
          <w:w w:val="120"/>
        </w:rPr>
        <w:t>to the Springfield area of Darlington and, with over 1000 workers and their families, created a new community. The session of St George’s Presbyterian Church Darlington felt a call to work in the</w:t>
      </w:r>
      <w:r>
        <w:rPr>
          <w:spacing w:val="20"/>
          <w:w w:val="120"/>
        </w:rPr>
        <w:t> </w:t>
      </w:r>
      <w:r>
        <w:rPr>
          <w:w w:val="120"/>
        </w:rPr>
        <w:t>area.</w:t>
      </w:r>
    </w:p>
    <w:p>
      <w:pPr>
        <w:pStyle w:val="BodyText"/>
        <w:spacing w:before="10"/>
        <w:rPr>
          <w:sz w:val="19"/>
        </w:rPr>
      </w:pPr>
    </w:p>
    <w:p>
      <w:pPr>
        <w:pStyle w:val="BodyText"/>
        <w:spacing w:line="235" w:lineRule="auto" w:before="1"/>
        <w:ind w:left="1247" w:right="2074"/>
      </w:pPr>
      <w:r>
        <w:rPr>
          <w:w w:val="120"/>
        </w:rPr>
        <w:t>Worship began in the works canteen. Help then came from other sources with Bibles, books and staff. Sunday School and evening services commenced in 1903 with 34 members. A fire in 1905 destroyed everything, and for a few weeks a tent was secured, then a move to a cottage in Springfield kept the church alive. Eventually a new site was purchased and a (second hand) ‘new’ building opened in January 1907 in the heart of the community with 175 people.</w:t>
      </w:r>
    </w:p>
    <w:p>
      <w:pPr>
        <w:pStyle w:val="BodyText"/>
      </w:pPr>
    </w:p>
    <w:p>
      <w:pPr>
        <w:pStyle w:val="BodyText"/>
        <w:spacing w:line="235" w:lineRule="auto"/>
        <w:ind w:left="1247" w:right="2412"/>
      </w:pPr>
      <w:r>
        <w:rPr>
          <w:w w:val="120"/>
        </w:rPr>
        <w:t>This ‘tin hut’ served the community well for the next 100 years under the oversight of St George’s (now Northgate URC), although it was virtually self supporting.</w:t>
      </w:r>
    </w:p>
    <w:p>
      <w:pPr>
        <w:spacing w:after="0" w:line="235" w:lineRule="auto"/>
        <w:sectPr>
          <w:headerReference w:type="even" r:id="rId520"/>
          <w:footerReference w:type="even" r:id="rId521"/>
          <w:footerReference w:type="default" r:id="rId522"/>
          <w:pgSz w:w="11910" w:h="16840"/>
          <w:pgMar w:header="0" w:footer="647" w:top="0" w:bottom="840" w:left="0" w:right="0"/>
          <w:pgNumType w:start="212"/>
        </w:sectPr>
      </w:pPr>
    </w:p>
    <w:p>
      <w:pPr>
        <w:pStyle w:val="BodyText"/>
      </w:pPr>
      <w:r>
        <w:rPr/>
        <w:drawing>
          <wp:anchor distT="0" distB="0" distL="0" distR="0" allowOverlap="1" layoutInCell="1" locked="0" behindDoc="0" simplePos="0" relativeHeight="252192768">
            <wp:simplePos x="0" y="0"/>
            <wp:positionH relativeFrom="page">
              <wp:posOffset>6974928</wp:posOffset>
            </wp:positionH>
            <wp:positionV relativeFrom="page">
              <wp:posOffset>0</wp:posOffset>
            </wp:positionV>
            <wp:extent cx="585063" cy="10692003"/>
            <wp:effectExtent l="0" t="0" r="0" b="0"/>
            <wp:wrapNone/>
            <wp:docPr id="427" name="image30.png"/>
            <wp:cNvGraphicFramePr>
              <a:graphicFrameLocks noChangeAspect="1"/>
            </wp:cNvGraphicFramePr>
            <a:graphic>
              <a:graphicData uri="http://schemas.openxmlformats.org/drawingml/2006/picture">
                <pic:pic>
                  <pic:nvPicPr>
                    <pic:cNvPr id="428" name="image30.png"/>
                    <pic:cNvPicPr/>
                  </pic:nvPicPr>
                  <pic:blipFill>
                    <a:blip r:embed="rId357"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pStyle w:val="Heading5"/>
        <w:ind w:left="0" w:right="1245"/>
        <w:jc w:val="right"/>
      </w:pPr>
      <w:r>
        <w:rPr/>
        <w:pict>
          <v:shape style="position:absolute;margin-left:554.141174pt;margin-top:22.593945pt;width:25.9pt;height:166.3pt;mso-position-horizontal-relative:page;mso-position-vertical-relative:paragraph;z-index:252193792" type="#_x0000_t202" filled="false" stroked="false">
            <v:textbox inset="0,0,0,0" style="layout-flow:vertical">
              <w:txbxContent>
                <w:p>
                  <w:pPr>
                    <w:spacing w:before="27"/>
                    <w:ind w:left="20" w:right="0" w:firstLine="0"/>
                    <w:jc w:val="left"/>
                    <w:rPr>
                      <w:sz w:val="39"/>
                    </w:rPr>
                  </w:pPr>
                  <w:r>
                    <w:rPr>
                      <w:color w:val="FFFFFF"/>
                      <w:w w:val="125"/>
                      <w:sz w:val="39"/>
                    </w:rPr>
                    <w:t>Church changes</w:t>
                  </w:r>
                </w:p>
              </w:txbxContent>
            </v:textbox>
            <w10:wrap type="none"/>
          </v:shape>
        </w:pict>
      </w:r>
      <w:r>
        <w:rPr>
          <w:color w:val="7EAABF"/>
          <w:w w:val="120"/>
        </w:rPr>
        <w:t>Church changes</w:t>
      </w:r>
    </w:p>
    <w:p>
      <w:pPr>
        <w:pStyle w:val="BodyText"/>
        <w:spacing w:line="235" w:lineRule="auto" w:before="222"/>
        <w:ind w:left="1984" w:right="2004"/>
      </w:pPr>
      <w:r>
        <w:rPr>
          <w:w w:val="120"/>
        </w:rPr>
        <w:t>Its strengths were in children’s and youth work with a strong Sunday school and uniformed organizations. It was also used as a community hall.</w:t>
      </w:r>
    </w:p>
    <w:p>
      <w:pPr>
        <w:pStyle w:val="BodyText"/>
        <w:spacing w:before="9"/>
        <w:rPr>
          <w:sz w:val="19"/>
        </w:rPr>
      </w:pPr>
    </w:p>
    <w:p>
      <w:pPr>
        <w:pStyle w:val="BodyText"/>
        <w:spacing w:line="235" w:lineRule="auto"/>
        <w:ind w:left="1984" w:right="1413"/>
      </w:pPr>
      <w:r>
        <w:rPr>
          <w:w w:val="120"/>
        </w:rPr>
        <w:t>Recently </w:t>
      </w:r>
      <w:r>
        <w:rPr>
          <w:spacing w:val="2"/>
          <w:w w:val="120"/>
        </w:rPr>
        <w:t>numbers dwindled </w:t>
      </w:r>
      <w:r>
        <w:rPr>
          <w:w w:val="120"/>
        </w:rPr>
        <w:t>and it was </w:t>
      </w:r>
      <w:r>
        <w:rPr>
          <w:spacing w:val="2"/>
          <w:w w:val="120"/>
        </w:rPr>
        <w:t>decided </w:t>
      </w:r>
      <w:r>
        <w:rPr>
          <w:w w:val="120"/>
        </w:rPr>
        <w:t>to </w:t>
      </w:r>
      <w:r>
        <w:rPr>
          <w:spacing w:val="2"/>
          <w:w w:val="120"/>
        </w:rPr>
        <w:t>look </w:t>
      </w:r>
      <w:r>
        <w:rPr>
          <w:w w:val="120"/>
        </w:rPr>
        <w:t>at other options. In    December </w:t>
      </w:r>
      <w:r>
        <w:rPr>
          <w:spacing w:val="3"/>
          <w:w w:val="120"/>
        </w:rPr>
        <w:t>2008 </w:t>
      </w:r>
      <w:r>
        <w:rPr>
          <w:spacing w:val="2"/>
          <w:w w:val="120"/>
        </w:rPr>
        <w:t>construction </w:t>
      </w:r>
      <w:r>
        <w:rPr>
          <w:spacing w:val="3"/>
          <w:w w:val="120"/>
        </w:rPr>
        <w:t>started </w:t>
      </w:r>
      <w:r>
        <w:rPr>
          <w:w w:val="120"/>
        </w:rPr>
        <w:t>on what is now a </w:t>
      </w:r>
      <w:r>
        <w:rPr>
          <w:spacing w:val="2"/>
          <w:w w:val="120"/>
        </w:rPr>
        <w:t>purpose </w:t>
      </w:r>
      <w:r>
        <w:rPr>
          <w:w w:val="120"/>
        </w:rPr>
        <w:t>built </w:t>
      </w:r>
      <w:r>
        <w:rPr>
          <w:spacing w:val="2"/>
          <w:w w:val="120"/>
        </w:rPr>
        <w:t>home </w:t>
      </w:r>
      <w:r>
        <w:rPr>
          <w:w w:val="120"/>
        </w:rPr>
        <w:t>for the </w:t>
      </w:r>
      <w:r>
        <w:rPr>
          <w:spacing w:val="2"/>
          <w:w w:val="120"/>
        </w:rPr>
        <w:t>Salvation Army </w:t>
      </w:r>
      <w:r>
        <w:rPr>
          <w:w w:val="120"/>
        </w:rPr>
        <w:t>in Darlington. </w:t>
      </w:r>
      <w:r>
        <w:rPr>
          <w:spacing w:val="2"/>
          <w:w w:val="120"/>
        </w:rPr>
        <w:t>During </w:t>
      </w:r>
      <w:r>
        <w:rPr>
          <w:w w:val="120"/>
        </w:rPr>
        <w:t>the </w:t>
      </w:r>
      <w:r>
        <w:rPr>
          <w:spacing w:val="2"/>
          <w:w w:val="120"/>
        </w:rPr>
        <w:t>period </w:t>
      </w:r>
      <w:r>
        <w:rPr>
          <w:w w:val="120"/>
        </w:rPr>
        <w:t>of the build both denominations </w:t>
      </w:r>
      <w:r>
        <w:rPr>
          <w:spacing w:val="2"/>
          <w:w w:val="120"/>
        </w:rPr>
        <w:t>shared </w:t>
      </w:r>
      <w:r>
        <w:rPr>
          <w:spacing w:val="3"/>
          <w:w w:val="120"/>
        </w:rPr>
        <w:t>Northgate </w:t>
      </w:r>
      <w:r>
        <w:rPr>
          <w:w w:val="120"/>
        </w:rPr>
        <w:t>URC premises and bonds of </w:t>
      </w:r>
      <w:r>
        <w:rPr>
          <w:spacing w:val="2"/>
          <w:w w:val="120"/>
        </w:rPr>
        <w:t>friendship </w:t>
      </w:r>
      <w:r>
        <w:rPr>
          <w:w w:val="120"/>
        </w:rPr>
        <w:t>were </w:t>
      </w:r>
      <w:r>
        <w:rPr>
          <w:spacing w:val="3"/>
          <w:w w:val="120"/>
        </w:rPr>
        <w:t>further </w:t>
      </w:r>
      <w:r>
        <w:rPr>
          <w:spacing w:val="2"/>
          <w:w w:val="120"/>
        </w:rPr>
        <w:t>strengthened, </w:t>
      </w:r>
      <w:r>
        <w:rPr>
          <w:w w:val="120"/>
        </w:rPr>
        <w:t>continuing to this</w:t>
      </w:r>
      <w:r>
        <w:rPr>
          <w:spacing w:val="19"/>
          <w:w w:val="120"/>
        </w:rPr>
        <w:t> </w:t>
      </w:r>
      <w:r>
        <w:rPr>
          <w:spacing w:val="-3"/>
          <w:w w:val="120"/>
        </w:rPr>
        <w:t>day.</w:t>
      </w:r>
    </w:p>
    <w:p>
      <w:pPr>
        <w:pStyle w:val="BodyText"/>
        <w:rPr>
          <w:sz w:val="24"/>
        </w:rPr>
      </w:pPr>
    </w:p>
    <w:p>
      <w:pPr>
        <w:pStyle w:val="Heading4"/>
        <w:spacing w:before="203"/>
        <w:ind w:left="1984" w:firstLine="0"/>
        <w:rPr>
          <w:rFonts w:ascii="Stone Sans II ITC Std X Bd" w:hAnsi="Stone Sans II ITC Std X Bd"/>
          <w:b/>
        </w:rPr>
      </w:pPr>
      <w:r>
        <w:rPr>
          <w:rFonts w:ascii="Stone Sans II ITC Std X Bd" w:hAnsi="Stone Sans II ITC Std X Bd"/>
          <w:b/>
          <w:w w:val="110"/>
        </w:rPr>
        <w:t>St John’s United Reformed Church, Kenton</w:t>
      </w:r>
    </w:p>
    <w:p>
      <w:pPr>
        <w:pStyle w:val="BodyText"/>
        <w:spacing w:line="235" w:lineRule="auto" w:before="196"/>
        <w:ind w:left="1984" w:right="1354"/>
      </w:pPr>
      <w:r>
        <w:rPr>
          <w:w w:val="120"/>
        </w:rPr>
        <w:t>The church was opened for worship as a Presbyterian Church in November </w:t>
      </w:r>
      <w:r>
        <w:rPr>
          <w:spacing w:val="-6"/>
          <w:w w:val="120"/>
        </w:rPr>
        <w:t>1930, </w:t>
      </w:r>
      <w:r>
        <w:rPr>
          <w:w w:val="120"/>
        </w:rPr>
        <w:t>effectively planted by what is now Trinity Church Harrow. Three years after the opening the membership was </w:t>
      </w:r>
      <w:r>
        <w:rPr>
          <w:spacing w:val="-4"/>
          <w:w w:val="120"/>
        </w:rPr>
        <w:t>259 </w:t>
      </w:r>
      <w:r>
        <w:rPr>
          <w:w w:val="120"/>
        </w:rPr>
        <w:t>with a large Sunday school and a Bible class for young adults. The early congregation had a large proportion of Scottish people and enjoyed links    with</w:t>
      </w:r>
      <w:r>
        <w:rPr>
          <w:spacing w:val="7"/>
          <w:w w:val="120"/>
        </w:rPr>
        <w:t> </w:t>
      </w:r>
      <w:r>
        <w:rPr>
          <w:w w:val="120"/>
        </w:rPr>
        <w:t>the</w:t>
      </w:r>
      <w:r>
        <w:rPr>
          <w:spacing w:val="7"/>
          <w:w w:val="120"/>
        </w:rPr>
        <w:t> </w:t>
      </w:r>
      <w:r>
        <w:rPr>
          <w:w w:val="120"/>
        </w:rPr>
        <w:t>Harrow</w:t>
      </w:r>
      <w:r>
        <w:rPr>
          <w:spacing w:val="8"/>
          <w:w w:val="120"/>
        </w:rPr>
        <w:t> </w:t>
      </w:r>
      <w:r>
        <w:rPr>
          <w:w w:val="120"/>
        </w:rPr>
        <w:t>and</w:t>
      </w:r>
      <w:r>
        <w:rPr>
          <w:spacing w:val="7"/>
          <w:w w:val="120"/>
        </w:rPr>
        <w:t> </w:t>
      </w:r>
      <w:r>
        <w:rPr>
          <w:w w:val="120"/>
        </w:rPr>
        <w:t>District</w:t>
      </w:r>
      <w:r>
        <w:rPr>
          <w:spacing w:val="8"/>
          <w:w w:val="120"/>
        </w:rPr>
        <w:t> </w:t>
      </w:r>
      <w:r>
        <w:rPr>
          <w:w w:val="120"/>
        </w:rPr>
        <w:t>Caledonian</w:t>
      </w:r>
      <w:r>
        <w:rPr>
          <w:spacing w:val="7"/>
          <w:w w:val="120"/>
        </w:rPr>
        <w:t> </w:t>
      </w:r>
      <w:r>
        <w:rPr>
          <w:w w:val="120"/>
        </w:rPr>
        <w:t>Society</w:t>
      </w:r>
      <w:r>
        <w:rPr>
          <w:spacing w:val="8"/>
          <w:w w:val="120"/>
        </w:rPr>
        <w:t> </w:t>
      </w:r>
      <w:r>
        <w:rPr>
          <w:w w:val="120"/>
        </w:rPr>
        <w:t>which</w:t>
      </w:r>
      <w:r>
        <w:rPr>
          <w:spacing w:val="7"/>
          <w:w w:val="120"/>
        </w:rPr>
        <w:t> </w:t>
      </w:r>
      <w:r>
        <w:rPr>
          <w:w w:val="120"/>
        </w:rPr>
        <w:t>lasted</w:t>
      </w:r>
      <w:r>
        <w:rPr>
          <w:spacing w:val="8"/>
          <w:w w:val="120"/>
        </w:rPr>
        <w:t> </w:t>
      </w:r>
      <w:r>
        <w:rPr>
          <w:w w:val="120"/>
        </w:rPr>
        <w:t>throughout</w:t>
      </w:r>
      <w:r>
        <w:rPr>
          <w:spacing w:val="7"/>
          <w:w w:val="120"/>
        </w:rPr>
        <w:t> </w:t>
      </w:r>
      <w:r>
        <w:rPr>
          <w:w w:val="120"/>
        </w:rPr>
        <w:t>its</w:t>
      </w:r>
      <w:r>
        <w:rPr>
          <w:spacing w:val="8"/>
          <w:w w:val="120"/>
        </w:rPr>
        <w:t> </w:t>
      </w:r>
      <w:r>
        <w:rPr>
          <w:w w:val="120"/>
        </w:rPr>
        <w:t>history.</w:t>
      </w:r>
    </w:p>
    <w:p>
      <w:pPr>
        <w:pStyle w:val="BodyText"/>
        <w:spacing w:before="11"/>
        <w:rPr>
          <w:sz w:val="19"/>
        </w:rPr>
      </w:pPr>
    </w:p>
    <w:p>
      <w:pPr>
        <w:pStyle w:val="BodyText"/>
        <w:spacing w:line="235" w:lineRule="auto" w:before="1"/>
        <w:ind w:left="1984" w:right="1820"/>
      </w:pPr>
      <w:r>
        <w:rPr>
          <w:w w:val="120"/>
        </w:rPr>
        <w:t>By 1954 there were over 400 members and 420 boys and girls in the junior church. The church continued to serve the community over the years with a large Guide company, a Scout troop, three women’s meetings, and other week-day activities.</w:t>
      </w:r>
    </w:p>
    <w:p>
      <w:pPr>
        <w:pStyle w:val="BodyText"/>
        <w:spacing w:before="10"/>
        <w:rPr>
          <w:sz w:val="19"/>
        </w:rPr>
      </w:pPr>
    </w:p>
    <w:p>
      <w:pPr>
        <w:pStyle w:val="BodyText"/>
        <w:spacing w:line="235" w:lineRule="auto"/>
        <w:ind w:left="1984" w:right="1352"/>
      </w:pPr>
      <w:r>
        <w:rPr>
          <w:w w:val="120"/>
        </w:rPr>
        <w:t>As the years went on people aged, long standing and much loved members died, and key leaders moved away, leaving the church with a membership of just over 20. The year prior to closure was particularly difficult with the death of the last minister, the Revd. Kathy Wilson, seeming to mark a point of no return.</w:t>
      </w:r>
    </w:p>
    <w:p>
      <w:pPr>
        <w:pStyle w:val="BodyText"/>
        <w:spacing w:before="11"/>
        <w:rPr>
          <w:sz w:val="19"/>
        </w:rPr>
      </w:pPr>
    </w:p>
    <w:p>
      <w:pPr>
        <w:pStyle w:val="BodyText"/>
        <w:spacing w:line="235" w:lineRule="auto"/>
        <w:ind w:left="1984" w:right="1510"/>
      </w:pPr>
      <w:r>
        <w:rPr>
          <w:w w:val="120"/>
        </w:rPr>
        <w:t>After extensive consultation a decision was made to close and disperse to other churches. The congregation are now coming to terms with this most difficult and painful decision and are looking towards larger and livelier congregations nearby. They have been very grateful for the support they have received from the synod, in particular the ministry of the synod transitional minister. St. </w:t>
      </w:r>
      <w:r>
        <w:rPr>
          <w:spacing w:val="-3"/>
          <w:w w:val="120"/>
        </w:rPr>
        <w:t>John’s </w:t>
      </w:r>
      <w:r>
        <w:rPr>
          <w:w w:val="120"/>
        </w:rPr>
        <w:t>closed its doors for the last time on Advent Sunday</w:t>
      </w:r>
      <w:r>
        <w:rPr>
          <w:spacing w:val="13"/>
          <w:w w:val="120"/>
        </w:rPr>
        <w:t> </w:t>
      </w:r>
      <w:r>
        <w:rPr>
          <w:spacing w:val="-7"/>
          <w:w w:val="120"/>
        </w:rPr>
        <w:t>2013.</w:t>
      </w:r>
    </w:p>
    <w:p>
      <w:pPr>
        <w:pStyle w:val="BodyText"/>
        <w:rPr>
          <w:sz w:val="24"/>
        </w:rPr>
      </w:pPr>
    </w:p>
    <w:p>
      <w:pPr>
        <w:pStyle w:val="BodyText"/>
        <w:spacing w:before="7"/>
        <w:rPr>
          <w:sz w:val="18"/>
        </w:rPr>
      </w:pPr>
    </w:p>
    <w:p>
      <w:pPr>
        <w:pStyle w:val="Heading4"/>
        <w:spacing w:line="220" w:lineRule="auto"/>
        <w:ind w:left="1984" w:right="2519" w:firstLine="0"/>
        <w:rPr>
          <w:rFonts w:ascii="Stone Sans II ITC Std X Bd" w:hAnsi="Stone Sans II ITC Std X Bd"/>
          <w:b/>
        </w:rPr>
      </w:pPr>
      <w:r>
        <w:rPr>
          <w:rFonts w:ascii="Stone Sans II ITC Std X Bd" w:hAnsi="Stone Sans II ITC Std X Bd"/>
          <w:b/>
          <w:w w:val="110"/>
        </w:rPr>
        <w:t>St Stephen’s United Reformed Church, Bootle, Merseyside</w:t>
      </w:r>
    </w:p>
    <w:p>
      <w:pPr>
        <w:pStyle w:val="BodyText"/>
        <w:spacing w:line="235" w:lineRule="auto" w:before="203"/>
        <w:ind w:left="1984" w:right="1352"/>
      </w:pPr>
      <w:r>
        <w:rPr>
          <w:w w:val="120"/>
        </w:rPr>
        <w:t>St Stephen’s was founded in 1928 to serve one of the first council housing estates in Bootle. When it opened it was known as Linacre Park Presbyterian Institute and the building was also used as a school. It grew rapidly and, by 1941, it had over a hundred members with more than two hundred in the Sunday School. During the war, when Bootle suffered more bomb damage than any other town of comparable size in Britain, the Home Office took it over as a first aid post. After the war, it became a preaching station. By 1972 it was a church in its own right, choosing to change its name to St.</w:t>
      </w:r>
    </w:p>
    <w:p>
      <w:pPr>
        <w:pStyle w:val="BodyText"/>
        <w:spacing w:before="2"/>
        <w:ind w:left="1984"/>
      </w:pPr>
      <w:r>
        <w:rPr>
          <w:w w:val="120"/>
        </w:rPr>
        <w:t>Stephen’s United Reformed Church.</w:t>
      </w:r>
    </w:p>
    <w:p>
      <w:pPr>
        <w:pStyle w:val="BodyText"/>
        <w:spacing w:before="7"/>
        <w:rPr>
          <w:sz w:val="19"/>
        </w:rPr>
      </w:pPr>
    </w:p>
    <w:p>
      <w:pPr>
        <w:pStyle w:val="BodyText"/>
        <w:spacing w:line="235" w:lineRule="auto"/>
        <w:ind w:left="1984" w:right="1820"/>
      </w:pPr>
      <w:r>
        <w:rPr>
          <w:w w:val="120"/>
        </w:rPr>
        <w:t>For most of its eighty-five year history, the church was served by some dedicated lay pastors and it was not until 1982 that a stipendiary minister was appointed.</w:t>
      </w:r>
    </w:p>
    <w:p>
      <w:pPr>
        <w:pStyle w:val="BodyText"/>
        <w:spacing w:line="235" w:lineRule="auto" w:before="2"/>
        <w:ind w:left="1984" w:right="1907"/>
      </w:pPr>
      <w:r>
        <w:rPr>
          <w:w w:val="120"/>
        </w:rPr>
        <w:t>In the </w:t>
      </w:r>
      <w:r>
        <w:rPr>
          <w:spacing w:val="-7"/>
          <w:w w:val="120"/>
        </w:rPr>
        <w:t>1970’s </w:t>
      </w:r>
      <w:r>
        <w:rPr>
          <w:w w:val="120"/>
        </w:rPr>
        <w:t>the church had a flourishing Sunday school, youth clubs, uniformed organisations and a play group. </w:t>
      </w:r>
      <w:r>
        <w:rPr>
          <w:spacing w:val="-3"/>
          <w:w w:val="120"/>
        </w:rPr>
        <w:t>Sadly, </w:t>
      </w:r>
      <w:r>
        <w:rPr>
          <w:w w:val="120"/>
        </w:rPr>
        <w:t>the last few years saw a fall in the number of worshippers and, with no real prospect of growth, it was felt that the</w:t>
      </w:r>
      <w:r>
        <w:rPr>
          <w:spacing w:val="6"/>
          <w:w w:val="120"/>
        </w:rPr>
        <w:t> </w:t>
      </w:r>
      <w:r>
        <w:rPr>
          <w:w w:val="120"/>
        </w:rPr>
        <w:t>Anglicans</w:t>
      </w:r>
    </w:p>
    <w:p>
      <w:pPr>
        <w:pStyle w:val="BodyText"/>
        <w:spacing w:line="235" w:lineRule="auto" w:before="2"/>
        <w:ind w:left="1984" w:right="1684"/>
      </w:pPr>
      <w:r>
        <w:rPr>
          <w:w w:val="120"/>
        </w:rPr>
        <w:t>would be better able to provide for the social and spiritual needs of the community. St. Stephen’s had played a prominent part in the ecumenical life of Bootle and given support to many charitable organisations. It will continue to be a place of worship, housing an Anglican congregation whose church had to be demolished.</w:t>
      </w:r>
    </w:p>
    <w:p>
      <w:pPr>
        <w:spacing w:after="0" w:line="235" w:lineRule="auto"/>
        <w:sectPr>
          <w:headerReference w:type="default" r:id="rId523"/>
          <w:pgSz w:w="11910" w:h="16840"/>
          <w:pgMar w:header="0" w:footer="647" w:top="0" w:bottom="840" w:left="0" w:right="0"/>
        </w:sectPr>
      </w:pPr>
    </w:p>
    <w:p>
      <w:pPr>
        <w:pStyle w:val="BodyText"/>
      </w:pPr>
      <w:r>
        <w:rPr/>
        <w:drawing>
          <wp:anchor distT="0" distB="0" distL="0" distR="0" allowOverlap="1" layoutInCell="1" locked="0" behindDoc="0" simplePos="0" relativeHeight="252194816">
            <wp:simplePos x="0" y="0"/>
            <wp:positionH relativeFrom="page">
              <wp:posOffset>0</wp:posOffset>
            </wp:positionH>
            <wp:positionV relativeFrom="page">
              <wp:posOffset>0</wp:posOffset>
            </wp:positionV>
            <wp:extent cx="594067" cy="10692003"/>
            <wp:effectExtent l="0" t="0" r="0" b="0"/>
            <wp:wrapNone/>
            <wp:docPr id="429" name="image32.png"/>
            <wp:cNvGraphicFramePr>
              <a:graphicFrameLocks noChangeAspect="1"/>
            </wp:cNvGraphicFramePr>
            <a:graphic>
              <a:graphicData uri="http://schemas.openxmlformats.org/drawingml/2006/picture">
                <pic:pic>
                  <pic:nvPicPr>
                    <pic:cNvPr id="430" name="image32.png"/>
                    <pic:cNvPicPr/>
                  </pic:nvPicPr>
                  <pic:blipFill>
                    <a:blip r:embed="rId362"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shape style="position:absolute;margin-left:20.519100pt;margin-top:22.593945pt;width:25.9pt;height:166.3pt;mso-position-horizontal-relative:page;mso-position-vertical-relative:paragraph;z-index:252195840" type="#_x0000_t202" filled="false" stroked="false">
            <v:textbox inset="0,0,0,0" style="layout-flow:vertical">
              <w:txbxContent>
                <w:p>
                  <w:pPr>
                    <w:spacing w:before="27"/>
                    <w:ind w:left="20" w:right="0" w:firstLine="0"/>
                    <w:jc w:val="left"/>
                    <w:rPr>
                      <w:sz w:val="39"/>
                    </w:rPr>
                  </w:pPr>
                  <w:r>
                    <w:rPr>
                      <w:color w:val="FFFFFF"/>
                      <w:w w:val="125"/>
                      <w:sz w:val="39"/>
                    </w:rPr>
                    <w:t>Church changes</w:t>
                  </w:r>
                </w:p>
              </w:txbxContent>
            </v:textbox>
            <w10:wrap type="none"/>
          </v:shape>
        </w:pict>
      </w:r>
      <w:r>
        <w:rPr>
          <w:color w:val="7EAABF"/>
          <w:w w:val="120"/>
        </w:rPr>
        <w:t>Church changes</w:t>
      </w:r>
    </w:p>
    <w:p>
      <w:pPr>
        <w:spacing w:before="215"/>
        <w:ind w:left="1247" w:right="0" w:firstLine="0"/>
        <w:jc w:val="left"/>
        <w:rPr>
          <w:rFonts w:ascii="Stone Sans II ITC Std X Bd"/>
          <w:b/>
          <w:sz w:val="29"/>
        </w:rPr>
      </w:pPr>
      <w:r>
        <w:rPr>
          <w:rFonts w:ascii="Stone Sans II ITC Std X Bd"/>
          <w:b/>
          <w:w w:val="110"/>
          <w:sz w:val="29"/>
        </w:rPr>
        <w:t>Tranmere United Reformed Church</w:t>
      </w:r>
    </w:p>
    <w:p>
      <w:pPr>
        <w:pStyle w:val="BodyText"/>
        <w:spacing w:line="235" w:lineRule="auto" w:before="196"/>
        <w:ind w:left="1247" w:right="2101"/>
      </w:pPr>
      <w:r>
        <w:rPr>
          <w:w w:val="120"/>
        </w:rPr>
        <w:t>With the encouragement of the minister and deacons of the Rock </w:t>
      </w:r>
      <w:r>
        <w:rPr>
          <w:spacing w:val="3"/>
          <w:w w:val="120"/>
        </w:rPr>
        <w:t>Ferry </w:t>
      </w:r>
      <w:r>
        <w:rPr>
          <w:w w:val="120"/>
        </w:rPr>
        <w:t>Congregational Church, two cottages were rented in Rose Place off Union Street, where a Sunday school was formed and adult meetings commenced. </w:t>
      </w:r>
      <w:r>
        <w:rPr>
          <w:spacing w:val="3"/>
          <w:w w:val="120"/>
        </w:rPr>
        <w:t>As </w:t>
      </w:r>
      <w:r>
        <w:rPr>
          <w:w w:val="120"/>
        </w:rPr>
        <w:t>numbers grew the committee responsible purchased a building site on the corner of Randel Street and Peel</w:t>
      </w:r>
      <w:r>
        <w:rPr>
          <w:spacing w:val="35"/>
          <w:w w:val="120"/>
        </w:rPr>
        <w:t> </w:t>
      </w:r>
      <w:r>
        <w:rPr>
          <w:w w:val="120"/>
        </w:rPr>
        <w:t>Street.</w:t>
      </w:r>
    </w:p>
    <w:p>
      <w:pPr>
        <w:pStyle w:val="BodyText"/>
        <w:spacing w:line="235" w:lineRule="auto" w:before="3"/>
        <w:ind w:left="1247" w:right="2004"/>
      </w:pPr>
      <w:r>
        <w:rPr>
          <w:w w:val="120"/>
        </w:rPr>
        <w:t>Funds were then raised and eventually the Mission Hall was built. Services commenced during September 1881.</w:t>
      </w:r>
    </w:p>
    <w:p>
      <w:pPr>
        <w:pStyle w:val="BodyText"/>
        <w:spacing w:before="9"/>
        <w:rPr>
          <w:sz w:val="19"/>
        </w:rPr>
      </w:pPr>
    </w:p>
    <w:p>
      <w:pPr>
        <w:pStyle w:val="BodyText"/>
        <w:spacing w:line="235" w:lineRule="auto" w:before="1"/>
        <w:ind w:left="1247" w:right="2004"/>
      </w:pPr>
      <w:r>
        <w:rPr>
          <w:w w:val="120"/>
        </w:rPr>
        <w:t>During the next ten years Tranmere district expanded and the demands of the growing population gave an incentive to consider the possibility of building a church in Old Chester Road. In 1899 the site of the present church was purchased and building commenced in 1900. The new church seated 560 and cost £3,081. The church was opened in May 1901.</w:t>
      </w:r>
    </w:p>
    <w:p>
      <w:pPr>
        <w:pStyle w:val="BodyText"/>
        <w:spacing w:before="11"/>
        <w:rPr>
          <w:sz w:val="19"/>
        </w:rPr>
      </w:pPr>
    </w:p>
    <w:p>
      <w:pPr>
        <w:pStyle w:val="BodyText"/>
        <w:spacing w:line="235" w:lineRule="auto"/>
        <w:ind w:left="1247" w:right="2260"/>
      </w:pPr>
      <w:r>
        <w:rPr>
          <w:w w:val="120"/>
        </w:rPr>
        <w:t>In the early </w:t>
      </w:r>
      <w:r>
        <w:rPr>
          <w:spacing w:val="-3"/>
          <w:w w:val="120"/>
        </w:rPr>
        <w:t>1980’s </w:t>
      </w:r>
      <w:r>
        <w:rPr>
          <w:w w:val="120"/>
        </w:rPr>
        <w:t>falling </w:t>
      </w:r>
      <w:r>
        <w:rPr>
          <w:spacing w:val="2"/>
          <w:w w:val="120"/>
        </w:rPr>
        <w:t>numbers </w:t>
      </w:r>
      <w:r>
        <w:rPr>
          <w:w w:val="120"/>
        </w:rPr>
        <w:t>meant that  Tranmere  United  </w:t>
      </w:r>
      <w:r>
        <w:rPr>
          <w:spacing w:val="2"/>
          <w:w w:val="120"/>
        </w:rPr>
        <w:t>Reformed </w:t>
      </w:r>
      <w:r>
        <w:rPr>
          <w:w w:val="120"/>
        </w:rPr>
        <w:t>Church was reduced to </w:t>
      </w:r>
      <w:r>
        <w:rPr>
          <w:spacing w:val="3"/>
          <w:w w:val="120"/>
        </w:rPr>
        <w:t>part </w:t>
      </w:r>
      <w:r>
        <w:rPr>
          <w:w w:val="120"/>
        </w:rPr>
        <w:t>time ministry. Many of the </w:t>
      </w:r>
      <w:r>
        <w:rPr>
          <w:spacing w:val="4"/>
          <w:w w:val="120"/>
        </w:rPr>
        <w:t>stalwarts </w:t>
      </w:r>
      <w:r>
        <w:rPr>
          <w:w w:val="120"/>
        </w:rPr>
        <w:t>had died leaving the work    of the church to fewer </w:t>
      </w:r>
      <w:r>
        <w:rPr>
          <w:spacing w:val="2"/>
          <w:w w:val="120"/>
        </w:rPr>
        <w:t>people. </w:t>
      </w:r>
      <w:r>
        <w:rPr>
          <w:w w:val="120"/>
        </w:rPr>
        <w:t>At the </w:t>
      </w:r>
      <w:r>
        <w:rPr>
          <w:spacing w:val="2"/>
          <w:w w:val="120"/>
        </w:rPr>
        <w:t>beginning </w:t>
      </w:r>
      <w:r>
        <w:rPr>
          <w:w w:val="120"/>
        </w:rPr>
        <w:t>of </w:t>
      </w:r>
      <w:r>
        <w:rPr>
          <w:spacing w:val="-7"/>
          <w:w w:val="120"/>
        </w:rPr>
        <w:t>2013 </w:t>
      </w:r>
      <w:r>
        <w:rPr>
          <w:w w:val="120"/>
        </w:rPr>
        <w:t>it was </w:t>
      </w:r>
      <w:r>
        <w:rPr>
          <w:spacing w:val="2"/>
          <w:w w:val="120"/>
        </w:rPr>
        <w:t>decided </w:t>
      </w:r>
      <w:r>
        <w:rPr>
          <w:w w:val="120"/>
        </w:rPr>
        <w:t>at a church </w:t>
      </w:r>
      <w:r>
        <w:rPr>
          <w:spacing w:val="2"/>
          <w:w w:val="120"/>
        </w:rPr>
        <w:t>meeting </w:t>
      </w:r>
      <w:r>
        <w:rPr>
          <w:w w:val="120"/>
        </w:rPr>
        <w:t>we could continue no longer. </w:t>
      </w:r>
      <w:r>
        <w:rPr>
          <w:spacing w:val="2"/>
          <w:w w:val="120"/>
        </w:rPr>
        <w:t>The majority </w:t>
      </w:r>
      <w:r>
        <w:rPr>
          <w:w w:val="120"/>
        </w:rPr>
        <w:t>of the Tranmere </w:t>
      </w:r>
      <w:r>
        <w:rPr>
          <w:spacing w:val="2"/>
          <w:w w:val="120"/>
        </w:rPr>
        <w:t>members </w:t>
      </w:r>
      <w:r>
        <w:rPr>
          <w:w w:val="120"/>
        </w:rPr>
        <w:t>have moved within the </w:t>
      </w:r>
      <w:r>
        <w:rPr>
          <w:spacing w:val="2"/>
          <w:w w:val="120"/>
        </w:rPr>
        <w:t>East </w:t>
      </w:r>
      <w:r>
        <w:rPr>
          <w:spacing w:val="3"/>
          <w:w w:val="120"/>
        </w:rPr>
        <w:t>Wirral </w:t>
      </w:r>
      <w:r>
        <w:rPr>
          <w:spacing w:val="-3"/>
          <w:w w:val="120"/>
        </w:rPr>
        <w:t>Team </w:t>
      </w:r>
      <w:r>
        <w:rPr>
          <w:w w:val="120"/>
        </w:rPr>
        <w:t>to </w:t>
      </w:r>
      <w:r>
        <w:rPr>
          <w:spacing w:val="2"/>
          <w:w w:val="120"/>
        </w:rPr>
        <w:t>Highfield </w:t>
      </w:r>
      <w:r>
        <w:rPr>
          <w:w w:val="120"/>
        </w:rPr>
        <w:t>United </w:t>
      </w:r>
      <w:r>
        <w:rPr>
          <w:spacing w:val="2"/>
          <w:w w:val="120"/>
        </w:rPr>
        <w:t>Reformed </w:t>
      </w:r>
      <w:r>
        <w:rPr>
          <w:w w:val="120"/>
        </w:rPr>
        <w:t>Church </w:t>
      </w:r>
      <w:r>
        <w:rPr>
          <w:spacing w:val="2"/>
          <w:w w:val="120"/>
        </w:rPr>
        <w:t>where </w:t>
      </w:r>
      <w:r>
        <w:rPr>
          <w:w w:val="120"/>
        </w:rPr>
        <w:t>their </w:t>
      </w:r>
      <w:r>
        <w:rPr>
          <w:spacing w:val="2"/>
          <w:w w:val="120"/>
        </w:rPr>
        <w:t>roots</w:t>
      </w:r>
      <w:r>
        <w:rPr>
          <w:spacing w:val="6"/>
          <w:w w:val="120"/>
        </w:rPr>
        <w:t> </w:t>
      </w:r>
      <w:r>
        <w:rPr>
          <w:spacing w:val="2"/>
          <w:w w:val="120"/>
        </w:rPr>
        <w:t>began.</w:t>
      </w:r>
    </w:p>
    <w:p>
      <w:pPr>
        <w:spacing w:after="0" w:line="235" w:lineRule="auto"/>
        <w:sectPr>
          <w:headerReference w:type="even" r:id="rId524"/>
          <w:footerReference w:type="even" r:id="rId525"/>
          <w:pgSz w:w="11910" w:h="16840"/>
          <w:pgMar w:header="0" w:footer="647" w:top="0" w:bottom="840" w:left="0" w:right="0"/>
          <w:pgNumType w:start="214"/>
        </w:sectPr>
      </w:pPr>
    </w:p>
    <w:p>
      <w:pPr>
        <w:pStyle w:val="BodyText"/>
      </w:pPr>
      <w:r>
        <w:rPr/>
        <w:pict>
          <v:rect style="position:absolute;margin-left:0pt;margin-top:.000015pt;width:549.207pt;height:841.89pt;mso-position-horizontal-relative:page;mso-position-vertical-relative:page;z-index:-267079680" filled="true" fillcolor="#fbd9c9" stroked="false">
            <v:fill type="solid"/>
            <w10:wrap type="none"/>
          </v:rect>
        </w:pict>
      </w:r>
      <w:r>
        <w:rPr/>
        <w:pict>
          <v:group style="position:absolute;margin-left:0pt;margin-top:.000015pt;width:595.3pt;height:841.9pt;mso-position-horizontal-relative:page;mso-position-vertical-relative:page;z-index:-267078656" coordorigin="0,0" coordsize="11906,16838">
            <v:shape style="position:absolute;left:10984;top:0;width:922;height:16838" type="#_x0000_t75" stroked="false">
              <v:imagedata r:id="rId528" o:title=""/>
            </v:shape>
            <v:shape style="position:absolute;left:0;top:0;width:11906;height:16838" type="#_x0000_t75" stroked="false">
              <v:imagedata r:id="rId193" o:title=""/>
            </v:shape>
            <v:shape style="position:absolute;left:6344;top:94;width:4768;height:6045" type="#_x0000_t75" stroked="false">
              <v:imagedata r:id="rId358" o:title=""/>
            </v:shape>
            <w10:wrap type="none"/>
          </v:group>
        </w:pict>
      </w:r>
      <w:r>
        <w:rPr/>
        <w:pict>
          <v:shape style="position:absolute;margin-left:554.141174pt;margin-top:48.890015pt;width:25.9pt;height:194.8pt;mso-position-horizontal-relative:page;mso-position-vertical-relative:page;z-index:252198912" type="#_x0000_t202" filled="false" stroked="false">
            <v:textbox inset="0,0,0,0" style="layout-flow:vertical">
              <w:txbxContent>
                <w:p>
                  <w:pPr>
                    <w:spacing w:before="27"/>
                    <w:ind w:left="20" w:right="0" w:firstLine="0"/>
                    <w:jc w:val="left"/>
                    <w:rPr>
                      <w:sz w:val="39"/>
                    </w:rPr>
                  </w:pPr>
                  <w:r>
                    <w:rPr>
                      <w:color w:val="FFFFFF"/>
                      <w:w w:val="120"/>
                      <w:sz w:val="39"/>
                    </w:rPr>
                    <w:t>Information papers</w:t>
                  </w:r>
                </w:p>
              </w:txbxContent>
            </v:textbox>
            <w10:wrap type="none"/>
          </v:shape>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Heading1"/>
        <w:spacing w:line="206" w:lineRule="auto"/>
        <w:ind w:right="2004"/>
        <w:rPr>
          <w:b/>
        </w:rPr>
      </w:pPr>
      <w:bookmarkStart w:name="_bookmark43" w:id="55"/>
      <w:bookmarkEnd w:id="55"/>
      <w:r>
        <w:rPr>
          <w:b w:val="0"/>
        </w:rPr>
      </w:r>
      <w:r>
        <w:rPr>
          <w:b/>
          <w:w w:val="110"/>
        </w:rPr>
        <w:t>Information papers</w:t>
      </w:r>
    </w:p>
    <w:p>
      <w:pPr>
        <w:pStyle w:val="BodyText"/>
        <w:tabs>
          <w:tab w:pos="9323" w:val="right" w:leader="none"/>
        </w:tabs>
        <w:spacing w:before="587"/>
        <w:ind w:left="3703"/>
        <w:rPr>
          <w:rFonts w:ascii="Stone Sans II ITC Std Sm"/>
          <w:b/>
        </w:rPr>
      </w:pPr>
      <w:r>
        <w:rPr>
          <w:rFonts w:ascii="Stone Sans II ITC Std Sm"/>
          <w:b/>
          <w:w w:val="110"/>
        </w:rPr>
        <w:t>URC history society</w:t>
        <w:tab/>
      </w:r>
      <w:r>
        <w:rPr>
          <w:rFonts w:ascii="Stone Sans II ITC Std Sm"/>
          <w:b/>
          <w:spacing w:val="-8"/>
          <w:w w:val="110"/>
        </w:rPr>
        <w:t>216</w:t>
      </w:r>
    </w:p>
    <w:p>
      <w:pPr>
        <w:pStyle w:val="BodyText"/>
        <w:tabs>
          <w:tab w:pos="9323" w:val="right" w:leader="none"/>
        </w:tabs>
        <w:spacing w:before="9"/>
        <w:ind w:left="3703"/>
        <w:rPr>
          <w:rFonts w:ascii="Stone Sans II ITC Std Sm" w:hAnsi="Stone Sans II ITC Std Sm"/>
          <w:b/>
        </w:rPr>
      </w:pPr>
      <w:r>
        <w:rPr>
          <w:rFonts w:ascii="Stone Sans II ITC Std Sm" w:hAnsi="Stone Sans II ITC Std Sm"/>
          <w:b/>
          <w:w w:val="110"/>
        </w:rPr>
        <w:t>URC</w:t>
      </w:r>
      <w:r>
        <w:rPr>
          <w:rFonts w:ascii="Stone Sans II ITC Std Sm" w:hAnsi="Stone Sans II ITC Std Sm"/>
          <w:b/>
          <w:spacing w:val="-1"/>
          <w:w w:val="110"/>
        </w:rPr>
        <w:t> </w:t>
      </w:r>
      <w:r>
        <w:rPr>
          <w:rFonts w:ascii="Stone Sans II ITC Std Sm" w:hAnsi="Stone Sans II ITC Std Sm"/>
          <w:b/>
          <w:w w:val="110"/>
        </w:rPr>
        <w:t>musicians’ guild</w:t>
        <w:tab/>
      </w:r>
      <w:r>
        <w:rPr>
          <w:rFonts w:ascii="Stone Sans II ITC Std Sm" w:hAnsi="Stone Sans II ITC Std Sm"/>
          <w:b/>
          <w:spacing w:val="-7"/>
          <w:w w:val="110"/>
        </w:rPr>
        <w:t>218</w:t>
      </w:r>
    </w:p>
    <w:p>
      <w:pPr>
        <w:pStyle w:val="BodyText"/>
        <w:tabs>
          <w:tab w:pos="9323" w:val="right" w:leader="none"/>
        </w:tabs>
        <w:spacing w:before="10"/>
        <w:ind w:left="3703"/>
        <w:rPr>
          <w:rFonts w:ascii="Stone Sans II ITC Std Sm"/>
          <w:b/>
        </w:rPr>
      </w:pPr>
      <w:r>
        <w:rPr>
          <w:rFonts w:ascii="Stone Sans II ITC Std Sm"/>
          <w:b/>
          <w:w w:val="110"/>
        </w:rPr>
        <w:t>Schools relating to</w:t>
      </w:r>
      <w:r>
        <w:rPr>
          <w:rFonts w:ascii="Stone Sans II ITC Std Sm"/>
          <w:b/>
          <w:spacing w:val="-1"/>
          <w:w w:val="110"/>
        </w:rPr>
        <w:t> </w:t>
      </w:r>
      <w:r>
        <w:rPr>
          <w:rFonts w:ascii="Stone Sans II ITC Std Sm"/>
          <w:b/>
          <w:w w:val="110"/>
        </w:rPr>
        <w:t>the URC</w:t>
        <w:tab/>
      </w:r>
      <w:r>
        <w:rPr>
          <w:rFonts w:ascii="Stone Sans II ITC Std Sm"/>
          <w:b/>
          <w:spacing w:val="-8"/>
          <w:w w:val="110"/>
        </w:rPr>
        <w:t>219</w:t>
      </w:r>
    </w:p>
    <w:p>
      <w:pPr>
        <w:pStyle w:val="BodyText"/>
        <w:tabs>
          <w:tab w:pos="9323" w:val="right" w:leader="none"/>
        </w:tabs>
        <w:spacing w:before="10"/>
        <w:ind w:left="3703"/>
        <w:rPr>
          <w:rFonts w:ascii="Stone Sans II ITC Std Sm" w:hAnsi="Stone Sans II ITC Std Sm"/>
          <w:b/>
        </w:rPr>
      </w:pPr>
      <w:r>
        <w:rPr>
          <w:rFonts w:ascii="Stone Sans II ITC Std Sm" w:hAnsi="Stone Sans II ITC Std Sm"/>
          <w:b/>
          <w:spacing w:val="-3"/>
          <w:w w:val="110"/>
        </w:rPr>
        <w:t>Women’s </w:t>
      </w:r>
      <w:r>
        <w:rPr>
          <w:rFonts w:ascii="Stone Sans II ITC Std Sm" w:hAnsi="Stone Sans II ITC Std Sm"/>
          <w:b/>
          <w:w w:val="110"/>
        </w:rPr>
        <w:t>world day</w:t>
      </w:r>
      <w:r>
        <w:rPr>
          <w:rFonts w:ascii="Stone Sans II ITC Std Sm" w:hAnsi="Stone Sans II ITC Std Sm"/>
          <w:b/>
          <w:spacing w:val="1"/>
          <w:w w:val="110"/>
        </w:rPr>
        <w:t> </w:t>
      </w:r>
      <w:r>
        <w:rPr>
          <w:rFonts w:ascii="Stone Sans II ITC Std Sm" w:hAnsi="Stone Sans II ITC Std Sm"/>
          <w:b/>
          <w:w w:val="110"/>
        </w:rPr>
        <w:t>of prayer</w:t>
        <w:tab/>
        <w:t>226</w:t>
      </w:r>
    </w:p>
    <w:p>
      <w:pPr>
        <w:pStyle w:val="BodyText"/>
        <w:rPr>
          <w:rFonts w:ascii="Stone Sans II ITC Std Sm"/>
          <w:b/>
          <w:sz w:val="24"/>
        </w:rPr>
      </w:pPr>
    </w:p>
    <w:p>
      <w:pPr>
        <w:pStyle w:val="BodyText"/>
        <w:rPr>
          <w:rFonts w:ascii="Stone Sans II ITC Std Sm"/>
          <w:b/>
          <w:sz w:val="24"/>
        </w:rPr>
      </w:pPr>
    </w:p>
    <w:p>
      <w:pPr>
        <w:pStyle w:val="BodyText"/>
        <w:rPr>
          <w:rFonts w:ascii="Stone Sans II ITC Std Sm"/>
          <w:b/>
          <w:sz w:val="24"/>
        </w:rPr>
      </w:pPr>
    </w:p>
    <w:p>
      <w:pPr>
        <w:pStyle w:val="BodyText"/>
        <w:rPr>
          <w:rFonts w:ascii="Stone Sans II ITC Std Sm"/>
          <w:b/>
          <w:sz w:val="24"/>
        </w:rPr>
      </w:pPr>
    </w:p>
    <w:p>
      <w:pPr>
        <w:pStyle w:val="BodyText"/>
        <w:rPr>
          <w:rFonts w:ascii="Stone Sans II ITC Std Sm"/>
          <w:b/>
          <w:sz w:val="24"/>
        </w:rPr>
      </w:pPr>
    </w:p>
    <w:p>
      <w:pPr>
        <w:pStyle w:val="BodyText"/>
        <w:rPr>
          <w:rFonts w:ascii="Stone Sans II ITC Std Sm"/>
          <w:b/>
          <w:sz w:val="24"/>
        </w:rPr>
      </w:pPr>
    </w:p>
    <w:p>
      <w:pPr>
        <w:pStyle w:val="BodyText"/>
        <w:rPr>
          <w:rFonts w:ascii="Stone Sans II ITC Std Sm"/>
          <w:b/>
          <w:sz w:val="24"/>
        </w:rPr>
      </w:pPr>
    </w:p>
    <w:p>
      <w:pPr>
        <w:pStyle w:val="BodyText"/>
        <w:rPr>
          <w:rFonts w:ascii="Stone Sans II ITC Std Sm"/>
          <w:b/>
          <w:sz w:val="24"/>
        </w:rPr>
      </w:pPr>
    </w:p>
    <w:p>
      <w:pPr>
        <w:pStyle w:val="BodyText"/>
        <w:rPr>
          <w:rFonts w:ascii="Stone Sans II ITC Std Sm"/>
          <w:b/>
          <w:sz w:val="24"/>
        </w:rPr>
      </w:pPr>
    </w:p>
    <w:p>
      <w:pPr>
        <w:pStyle w:val="BodyText"/>
        <w:rPr>
          <w:rFonts w:ascii="Stone Sans II ITC Std Sm"/>
          <w:b/>
          <w:sz w:val="24"/>
        </w:rPr>
      </w:pPr>
    </w:p>
    <w:p>
      <w:pPr>
        <w:pStyle w:val="BodyText"/>
        <w:rPr>
          <w:rFonts w:ascii="Stone Sans II ITC Std Sm"/>
          <w:b/>
          <w:sz w:val="24"/>
        </w:rPr>
      </w:pPr>
    </w:p>
    <w:p>
      <w:pPr>
        <w:pStyle w:val="BodyText"/>
        <w:rPr>
          <w:rFonts w:ascii="Stone Sans II ITC Std Sm"/>
          <w:b/>
          <w:sz w:val="24"/>
        </w:rPr>
      </w:pPr>
    </w:p>
    <w:p>
      <w:pPr>
        <w:pStyle w:val="BodyText"/>
        <w:rPr>
          <w:rFonts w:ascii="Stone Sans II ITC Std Sm"/>
          <w:b/>
          <w:sz w:val="24"/>
        </w:rPr>
      </w:pPr>
    </w:p>
    <w:p>
      <w:pPr>
        <w:pStyle w:val="BodyText"/>
        <w:rPr>
          <w:rFonts w:ascii="Stone Sans II ITC Std Sm"/>
          <w:b/>
          <w:sz w:val="24"/>
        </w:rPr>
      </w:pPr>
    </w:p>
    <w:p>
      <w:pPr>
        <w:pStyle w:val="BodyText"/>
        <w:rPr>
          <w:rFonts w:ascii="Stone Sans II ITC Std Sm"/>
          <w:b/>
          <w:sz w:val="24"/>
        </w:rPr>
      </w:pPr>
    </w:p>
    <w:p>
      <w:pPr>
        <w:pStyle w:val="BodyText"/>
        <w:rPr>
          <w:rFonts w:ascii="Stone Sans II ITC Std Sm"/>
          <w:b/>
          <w:sz w:val="24"/>
        </w:rPr>
      </w:pPr>
    </w:p>
    <w:p>
      <w:pPr>
        <w:pStyle w:val="BodyText"/>
        <w:rPr>
          <w:rFonts w:ascii="Stone Sans II ITC Std Sm"/>
          <w:b/>
          <w:sz w:val="24"/>
        </w:rPr>
      </w:pPr>
    </w:p>
    <w:p>
      <w:pPr>
        <w:pStyle w:val="BodyText"/>
        <w:rPr>
          <w:rFonts w:ascii="Stone Sans II ITC Std Sm"/>
          <w:b/>
          <w:sz w:val="24"/>
        </w:rPr>
      </w:pPr>
    </w:p>
    <w:p>
      <w:pPr>
        <w:pStyle w:val="BodyText"/>
        <w:rPr>
          <w:rFonts w:ascii="Stone Sans II ITC Std Sm"/>
          <w:b/>
          <w:sz w:val="24"/>
        </w:rPr>
      </w:pPr>
    </w:p>
    <w:p>
      <w:pPr>
        <w:pStyle w:val="Heading8"/>
        <w:spacing w:before="194"/>
        <w:ind w:left="4350"/>
        <w:rPr>
          <w:rFonts w:ascii="Stone Sans II ITC Std X Bd" w:hAnsi="Stone Sans II ITC Std X Bd"/>
          <w:b/>
          <w:sz w:val="24"/>
        </w:rPr>
      </w:pP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2014 </w:t>
      </w:r>
      <w:r>
        <w:rPr>
          <w:rFonts w:ascii="Symbol" w:hAnsi="Symbol"/>
          <w:color w:val="7EAABF"/>
          <w:w w:val="110"/>
        </w:rPr>
        <w:t></w:t>
      </w:r>
      <w:r>
        <w:rPr>
          <w:rFonts w:ascii="Times New Roman" w:hAnsi="Times New Roman"/>
          <w:color w:val="7EAABF"/>
          <w:w w:val="110"/>
        </w:rPr>
        <w:t> </w:t>
      </w:r>
      <w:r>
        <w:rPr>
          <w:rFonts w:ascii="Stone Sans II ITC Std X Bd" w:hAnsi="Stone Sans II ITC Std X Bd"/>
          <w:b/>
          <w:w w:val="110"/>
          <w:sz w:val="24"/>
        </w:rPr>
        <w:t>215</w:t>
      </w:r>
    </w:p>
    <w:p>
      <w:pPr>
        <w:spacing w:after="0"/>
        <w:rPr>
          <w:rFonts w:ascii="Stone Sans II ITC Std X Bd" w:hAnsi="Stone Sans II ITC Std X Bd"/>
          <w:sz w:val="24"/>
        </w:rPr>
        <w:sectPr>
          <w:headerReference w:type="default" r:id="rId526"/>
          <w:footerReference w:type="default" r:id="rId527"/>
          <w:pgSz w:w="11910" w:h="16840"/>
          <w:pgMar w:header="0" w:footer="0" w:top="1580" w:bottom="280" w:left="0" w:right="0"/>
        </w:sectPr>
      </w:pPr>
    </w:p>
    <w:p>
      <w:pPr>
        <w:pStyle w:val="BodyText"/>
        <w:rPr>
          <w:rFonts w:ascii="Stone Sans II ITC Std X Bd"/>
          <w:b/>
        </w:rPr>
      </w:pPr>
      <w:r>
        <w:rPr/>
        <w:drawing>
          <wp:anchor distT="0" distB="0" distL="0" distR="0" allowOverlap="1" layoutInCell="1" locked="0" behindDoc="0" simplePos="0" relativeHeight="252199936">
            <wp:simplePos x="0" y="0"/>
            <wp:positionH relativeFrom="page">
              <wp:posOffset>0</wp:posOffset>
            </wp:positionH>
            <wp:positionV relativeFrom="page">
              <wp:posOffset>0</wp:posOffset>
            </wp:positionV>
            <wp:extent cx="594067" cy="10692003"/>
            <wp:effectExtent l="0" t="0" r="0" b="0"/>
            <wp:wrapNone/>
            <wp:docPr id="431" name="image73.png"/>
            <wp:cNvGraphicFramePr>
              <a:graphicFrameLocks noChangeAspect="1"/>
            </wp:cNvGraphicFramePr>
            <a:graphic>
              <a:graphicData uri="http://schemas.openxmlformats.org/drawingml/2006/picture">
                <pic:pic>
                  <pic:nvPicPr>
                    <pic:cNvPr id="432" name="image73.png"/>
                    <pic:cNvPicPr/>
                  </pic:nvPicPr>
                  <pic:blipFill>
                    <a:blip r:embed="rId532" cstate="print"/>
                    <a:stretch>
                      <a:fillRect/>
                    </a:stretch>
                  </pic:blipFill>
                  <pic:spPr>
                    <a:xfrm>
                      <a:off x="0" y="0"/>
                      <a:ext cx="594067" cy="10692003"/>
                    </a:xfrm>
                    <a:prstGeom prst="rect">
                      <a:avLst/>
                    </a:prstGeom>
                  </pic:spPr>
                </pic:pic>
              </a:graphicData>
            </a:graphic>
          </wp:anchor>
        </w:drawing>
      </w:r>
    </w:p>
    <w:p>
      <w:pPr>
        <w:pStyle w:val="BodyText"/>
        <w:spacing w:before="7"/>
        <w:rPr>
          <w:rFonts w:ascii="Stone Sans II ITC Std X Bd"/>
          <w:b/>
          <w:sz w:val="17"/>
        </w:rPr>
      </w:pPr>
    </w:p>
    <w:p>
      <w:pPr>
        <w:spacing w:before="107"/>
        <w:ind w:left="1247" w:right="0" w:firstLine="0"/>
        <w:jc w:val="left"/>
        <w:rPr>
          <w:sz w:val="26"/>
        </w:rPr>
      </w:pPr>
      <w:r>
        <w:rPr/>
        <w:pict>
          <v:shape style="position:absolute;margin-left:20.519100pt;margin-top:22.643946pt;width:25.9pt;height:199.1pt;mso-position-horizontal-relative:page;mso-position-vertical-relative:paragraph;z-index:252200960" type="#_x0000_t202" filled="false" stroked="false">
            <v:textbox inset="0,0,0,0" style="layout-flow:vertical">
              <w:txbxContent>
                <w:p>
                  <w:pPr>
                    <w:spacing w:before="27"/>
                    <w:ind w:left="20" w:right="0" w:firstLine="0"/>
                    <w:jc w:val="left"/>
                    <w:rPr>
                      <w:sz w:val="39"/>
                    </w:rPr>
                  </w:pPr>
                  <w:r>
                    <w:rPr>
                      <w:color w:val="FFFFFF"/>
                      <w:w w:val="120"/>
                      <w:sz w:val="39"/>
                    </w:rPr>
                    <w:t>URC history society</w:t>
                  </w:r>
                </w:p>
              </w:txbxContent>
            </v:textbox>
            <w10:wrap type="none"/>
          </v:shape>
        </w:pict>
      </w:r>
      <w:r>
        <w:rPr>
          <w:color w:val="7EAABF"/>
          <w:w w:val="115"/>
          <w:sz w:val="26"/>
        </w:rPr>
        <w:t>Information papers</w:t>
      </w:r>
    </w:p>
    <w:p>
      <w:pPr>
        <w:pStyle w:val="BodyText"/>
        <w:spacing w:before="8"/>
        <w:rPr>
          <w:sz w:val="24"/>
        </w:rPr>
      </w:pPr>
    </w:p>
    <w:p>
      <w:pPr>
        <w:spacing w:line="213" w:lineRule="auto" w:before="0"/>
        <w:ind w:left="1247" w:right="2004" w:firstLine="0"/>
        <w:jc w:val="left"/>
        <w:rPr>
          <w:rFonts w:ascii="Stone Sans II ITC Std X Bd"/>
          <w:b/>
          <w:sz w:val="50"/>
        </w:rPr>
      </w:pPr>
      <w:r>
        <w:rPr>
          <w:rFonts w:ascii="Stone Sans II ITC Std X Bd"/>
          <w:b/>
          <w:w w:val="110"/>
          <w:sz w:val="50"/>
        </w:rPr>
        <w:t>United Reformed Church history society</w:t>
      </w:r>
    </w:p>
    <w:p>
      <w:pPr>
        <w:pStyle w:val="ListParagraph"/>
        <w:numPr>
          <w:ilvl w:val="0"/>
          <w:numId w:val="110"/>
        </w:numPr>
        <w:tabs>
          <w:tab w:pos="1927" w:val="left" w:leader="none"/>
          <w:tab w:pos="1928" w:val="left" w:leader="none"/>
        </w:tabs>
        <w:spacing w:line="235" w:lineRule="auto" w:before="382" w:after="0"/>
        <w:ind w:left="1247" w:right="2104" w:firstLine="0"/>
        <w:jc w:val="left"/>
        <w:rPr>
          <w:sz w:val="20"/>
        </w:rPr>
      </w:pPr>
      <w:r>
        <w:rPr>
          <w:w w:val="120"/>
          <w:sz w:val="20"/>
        </w:rPr>
        <w:t>Since last reporting the society has continued to fulfil its objects of encouraging interest in and study of the history of the United Reformed Church and its antecedent traditions and related movements. Four issues of the journal have been</w:t>
      </w:r>
      <w:r>
        <w:rPr>
          <w:spacing w:val="18"/>
          <w:w w:val="120"/>
          <w:sz w:val="20"/>
        </w:rPr>
        <w:t> </w:t>
      </w:r>
      <w:r>
        <w:rPr>
          <w:w w:val="120"/>
          <w:sz w:val="20"/>
        </w:rPr>
        <w:t>published,</w:t>
      </w:r>
    </w:p>
    <w:p>
      <w:pPr>
        <w:pStyle w:val="BodyText"/>
        <w:spacing w:line="235" w:lineRule="auto" w:before="2"/>
        <w:ind w:left="1247" w:right="2280"/>
      </w:pPr>
      <w:r>
        <w:rPr>
          <w:w w:val="120"/>
        </w:rPr>
        <w:t>the annual lecture was given in London </w:t>
      </w:r>
      <w:r>
        <w:rPr>
          <w:spacing w:val="-9"/>
          <w:w w:val="120"/>
        </w:rPr>
        <w:t>(2012) </w:t>
      </w:r>
      <w:r>
        <w:rPr>
          <w:w w:val="120"/>
        </w:rPr>
        <w:t>and Northumberland </w:t>
      </w:r>
      <w:r>
        <w:rPr>
          <w:spacing w:val="-10"/>
          <w:w w:val="120"/>
        </w:rPr>
        <w:t>(2013), </w:t>
      </w:r>
      <w:r>
        <w:rPr>
          <w:w w:val="120"/>
        </w:rPr>
        <w:t>and work on the organisation of historical records has continued. The Council co-operates with other similar societies through the Religious Archives Group and the Association of Denominational Historical Societies and Cognate Libraries in order to raise general public awareness of the minority Christian traditions in England and</w:t>
      </w:r>
      <w:r>
        <w:rPr>
          <w:spacing w:val="28"/>
          <w:w w:val="120"/>
        </w:rPr>
        <w:t> </w:t>
      </w:r>
      <w:r>
        <w:rPr>
          <w:w w:val="120"/>
        </w:rPr>
        <w:t>Wales.</w:t>
      </w:r>
    </w:p>
    <w:p>
      <w:pPr>
        <w:pStyle w:val="BodyText"/>
        <w:spacing w:before="11"/>
        <w:rPr>
          <w:sz w:val="19"/>
        </w:rPr>
      </w:pPr>
    </w:p>
    <w:p>
      <w:pPr>
        <w:pStyle w:val="ListParagraph"/>
        <w:numPr>
          <w:ilvl w:val="0"/>
          <w:numId w:val="110"/>
        </w:numPr>
        <w:tabs>
          <w:tab w:pos="1927" w:val="left" w:leader="none"/>
          <w:tab w:pos="1928" w:val="left" w:leader="none"/>
        </w:tabs>
        <w:spacing w:line="235" w:lineRule="auto" w:before="1" w:after="0"/>
        <w:ind w:left="1247" w:right="2303" w:firstLine="0"/>
        <w:jc w:val="left"/>
        <w:rPr>
          <w:sz w:val="20"/>
        </w:rPr>
      </w:pPr>
      <w:r>
        <w:rPr>
          <w:w w:val="120"/>
          <w:sz w:val="20"/>
        </w:rPr>
        <w:t>The </w:t>
      </w:r>
      <w:r>
        <w:rPr>
          <w:spacing w:val="-8"/>
          <w:w w:val="120"/>
          <w:sz w:val="20"/>
        </w:rPr>
        <w:t>2013  </w:t>
      </w:r>
      <w:r>
        <w:rPr>
          <w:w w:val="120"/>
          <w:sz w:val="20"/>
        </w:rPr>
        <w:t>study conference went to Shepherds Dene, the retreat house for  the dioceses of Newcastle and Durham, an attractive residence in the </w:t>
      </w:r>
      <w:r>
        <w:rPr>
          <w:spacing w:val="3"/>
          <w:w w:val="120"/>
          <w:sz w:val="20"/>
        </w:rPr>
        <w:t>arts </w:t>
      </w:r>
      <w:r>
        <w:rPr>
          <w:w w:val="120"/>
          <w:sz w:val="20"/>
        </w:rPr>
        <w:t>and </w:t>
      </w:r>
      <w:r>
        <w:rPr>
          <w:spacing w:val="2"/>
          <w:w w:val="120"/>
          <w:sz w:val="20"/>
        </w:rPr>
        <w:t>crafts </w:t>
      </w:r>
      <w:r>
        <w:rPr>
          <w:w w:val="120"/>
          <w:sz w:val="20"/>
        </w:rPr>
        <w:t>tradition at Riding Mill. The warden, George Hepburn, provided hospitality of a high standard, and was able to join members in some of the sessions. The Revd Elizabeth Brown and the moderator of the General Assembly, John Ellis, shared responsibility for</w:t>
      </w:r>
      <w:r>
        <w:rPr>
          <w:spacing w:val="1"/>
          <w:w w:val="120"/>
          <w:sz w:val="20"/>
        </w:rPr>
        <w:t> </w:t>
      </w:r>
      <w:r>
        <w:rPr>
          <w:w w:val="120"/>
          <w:sz w:val="20"/>
        </w:rPr>
        <w:t>worship.</w:t>
      </w:r>
    </w:p>
    <w:p>
      <w:pPr>
        <w:pStyle w:val="BodyText"/>
      </w:pPr>
    </w:p>
    <w:p>
      <w:pPr>
        <w:pStyle w:val="ListParagraph"/>
        <w:numPr>
          <w:ilvl w:val="0"/>
          <w:numId w:val="110"/>
        </w:numPr>
        <w:tabs>
          <w:tab w:pos="1927" w:val="left" w:leader="none"/>
          <w:tab w:pos="1928" w:val="left" w:leader="none"/>
        </w:tabs>
        <w:spacing w:line="235" w:lineRule="auto" w:before="0" w:after="0"/>
        <w:ind w:left="1247" w:right="2454" w:firstLine="0"/>
        <w:jc w:val="left"/>
        <w:rPr>
          <w:sz w:val="20"/>
        </w:rPr>
      </w:pPr>
      <w:r>
        <w:rPr>
          <w:spacing w:val="-7"/>
          <w:w w:val="120"/>
          <w:sz w:val="20"/>
        </w:rPr>
        <w:t>To </w:t>
      </w:r>
      <w:r>
        <w:rPr>
          <w:w w:val="120"/>
          <w:sz w:val="20"/>
        </w:rPr>
        <w:t>mark the centenary of the founding of the Presbyterian Historical Society, it was appropriate that the annual lecture, a fascinating account of ‘Presbytery</w:t>
      </w:r>
      <w:r>
        <w:rPr>
          <w:spacing w:val="7"/>
          <w:w w:val="120"/>
          <w:sz w:val="20"/>
        </w:rPr>
        <w:t> </w:t>
      </w:r>
      <w:r>
        <w:rPr>
          <w:w w:val="120"/>
          <w:sz w:val="20"/>
        </w:rPr>
        <w:t>in</w:t>
      </w:r>
    </w:p>
    <w:p>
      <w:pPr>
        <w:pStyle w:val="BodyText"/>
        <w:spacing w:line="235" w:lineRule="auto" w:before="1"/>
        <w:ind w:left="1247" w:right="2030"/>
      </w:pPr>
      <w:r>
        <w:rPr>
          <w:w w:val="120"/>
        </w:rPr>
        <w:t>Northumberland: three hundred years of dissent’, should have been given by a former clerk to the General Assembly, the Revd James Breslin, who has spent much of his ministerial career in the county. An opportunity to explore the terrain was organised with the assistance of the Revd Ron Forster. The tour began at Kirkharle parish church, from where Robert Blunt was ejected, before a visit to the URC at Great Bavington, the origins of which certainly precede its official registration as a meeting house in 1693.</w:t>
      </w:r>
    </w:p>
    <w:p>
      <w:pPr>
        <w:pStyle w:val="BodyText"/>
        <w:spacing w:before="1"/>
        <w:ind w:left="1247"/>
      </w:pPr>
      <w:r>
        <w:rPr>
          <w:w w:val="120"/>
        </w:rPr>
        <w:t>Hexham Abbey provided the last point of call.</w:t>
      </w:r>
    </w:p>
    <w:p>
      <w:pPr>
        <w:pStyle w:val="BodyText"/>
        <w:spacing w:before="8"/>
        <w:rPr>
          <w:sz w:val="19"/>
        </w:rPr>
      </w:pPr>
    </w:p>
    <w:p>
      <w:pPr>
        <w:pStyle w:val="ListParagraph"/>
        <w:numPr>
          <w:ilvl w:val="0"/>
          <w:numId w:val="110"/>
        </w:numPr>
        <w:tabs>
          <w:tab w:pos="1927" w:val="left" w:leader="none"/>
          <w:tab w:pos="1928" w:val="left" w:leader="none"/>
        </w:tabs>
        <w:spacing w:line="235" w:lineRule="auto" w:before="0" w:after="0"/>
        <w:ind w:left="1247" w:right="2040" w:firstLine="0"/>
        <w:jc w:val="left"/>
        <w:rPr>
          <w:sz w:val="20"/>
        </w:rPr>
      </w:pPr>
      <w:r>
        <w:rPr>
          <w:w w:val="120"/>
          <w:sz w:val="20"/>
        </w:rPr>
        <w:t>The programme included papers on the Christian world, John </w:t>
      </w:r>
      <w:r>
        <w:rPr>
          <w:spacing w:val="-3"/>
          <w:w w:val="120"/>
          <w:sz w:val="20"/>
        </w:rPr>
        <w:t>Penry, </w:t>
      </w:r>
      <w:r>
        <w:rPr>
          <w:w w:val="120"/>
          <w:sz w:val="20"/>
        </w:rPr>
        <w:t>URC local pastors, ecumenical diplomacy in the aftermath of the Great </w:t>
      </w:r>
      <w:r>
        <w:rPr>
          <w:spacing w:val="-6"/>
          <w:w w:val="120"/>
          <w:sz w:val="20"/>
        </w:rPr>
        <w:t>War, </w:t>
      </w:r>
      <w:r>
        <w:rPr>
          <w:spacing w:val="-3"/>
          <w:w w:val="120"/>
          <w:sz w:val="20"/>
        </w:rPr>
        <w:t>alcohol </w:t>
      </w:r>
      <w:r>
        <w:rPr>
          <w:w w:val="120"/>
          <w:sz w:val="20"/>
        </w:rPr>
        <w:t>and the </w:t>
      </w:r>
      <w:r>
        <w:rPr>
          <w:spacing w:val="-3"/>
          <w:w w:val="120"/>
          <w:sz w:val="20"/>
        </w:rPr>
        <w:t>churches, </w:t>
      </w:r>
      <w:r>
        <w:rPr>
          <w:w w:val="120"/>
          <w:sz w:val="20"/>
        </w:rPr>
        <w:t>and an examination of what </w:t>
      </w:r>
      <w:r>
        <w:rPr>
          <w:spacing w:val="-3"/>
          <w:w w:val="120"/>
          <w:sz w:val="20"/>
        </w:rPr>
        <w:t>constitute </w:t>
      </w:r>
      <w:r>
        <w:rPr>
          <w:w w:val="120"/>
          <w:sz w:val="20"/>
        </w:rPr>
        <w:t>gifts and graces in synod </w:t>
      </w:r>
      <w:r>
        <w:rPr>
          <w:spacing w:val="-3"/>
          <w:w w:val="120"/>
          <w:sz w:val="20"/>
        </w:rPr>
        <w:t>(previously provincial) </w:t>
      </w:r>
      <w:r>
        <w:rPr>
          <w:w w:val="120"/>
          <w:sz w:val="20"/>
        </w:rPr>
        <w:t>moderators. Warm appreciation was expressed for Liz </w:t>
      </w:r>
      <w:r>
        <w:rPr>
          <w:spacing w:val="-5"/>
          <w:w w:val="120"/>
          <w:sz w:val="20"/>
        </w:rPr>
        <w:t>Brown’s </w:t>
      </w:r>
      <w:r>
        <w:rPr>
          <w:w w:val="120"/>
          <w:sz w:val="20"/>
        </w:rPr>
        <w:t>secretarial </w:t>
      </w:r>
      <w:r>
        <w:rPr>
          <w:spacing w:val="-3"/>
          <w:w w:val="120"/>
          <w:sz w:val="20"/>
        </w:rPr>
        <w:t>contributions since </w:t>
      </w:r>
      <w:r>
        <w:rPr>
          <w:spacing w:val="-6"/>
          <w:w w:val="120"/>
          <w:sz w:val="20"/>
        </w:rPr>
        <w:t>1996, </w:t>
      </w:r>
      <w:r>
        <w:rPr>
          <w:w w:val="120"/>
          <w:sz w:val="20"/>
        </w:rPr>
        <w:t>as she retired from post at the Annual Meeting. Margaret Thompson</w:t>
      </w:r>
      <w:r>
        <w:rPr>
          <w:spacing w:val="-7"/>
          <w:w w:val="120"/>
          <w:sz w:val="20"/>
        </w:rPr>
        <w:t> </w:t>
      </w:r>
      <w:r>
        <w:rPr>
          <w:w w:val="120"/>
          <w:sz w:val="20"/>
        </w:rPr>
        <w:t>will</w:t>
      </w:r>
      <w:r>
        <w:rPr>
          <w:spacing w:val="-6"/>
          <w:w w:val="120"/>
          <w:sz w:val="20"/>
        </w:rPr>
        <w:t> </w:t>
      </w:r>
      <w:r>
        <w:rPr>
          <w:spacing w:val="-3"/>
          <w:w w:val="120"/>
          <w:sz w:val="20"/>
        </w:rPr>
        <w:t>combine</w:t>
      </w:r>
      <w:r>
        <w:rPr>
          <w:spacing w:val="-7"/>
          <w:w w:val="120"/>
          <w:sz w:val="20"/>
        </w:rPr>
        <w:t> </w:t>
      </w:r>
      <w:r>
        <w:rPr>
          <w:w w:val="120"/>
          <w:sz w:val="20"/>
        </w:rPr>
        <w:t>the</w:t>
      </w:r>
      <w:r>
        <w:rPr>
          <w:spacing w:val="-6"/>
          <w:w w:val="120"/>
          <w:sz w:val="20"/>
        </w:rPr>
        <w:t> </w:t>
      </w:r>
      <w:r>
        <w:rPr>
          <w:w w:val="120"/>
          <w:sz w:val="20"/>
        </w:rPr>
        <w:t>roles</w:t>
      </w:r>
      <w:r>
        <w:rPr>
          <w:spacing w:val="-7"/>
          <w:w w:val="120"/>
          <w:sz w:val="20"/>
        </w:rPr>
        <w:t> </w:t>
      </w:r>
      <w:r>
        <w:rPr>
          <w:w w:val="120"/>
          <w:sz w:val="20"/>
        </w:rPr>
        <w:t>of</w:t>
      </w:r>
      <w:r>
        <w:rPr>
          <w:spacing w:val="-6"/>
          <w:w w:val="120"/>
          <w:sz w:val="20"/>
        </w:rPr>
        <w:t> </w:t>
      </w:r>
      <w:r>
        <w:rPr>
          <w:spacing w:val="-3"/>
          <w:w w:val="120"/>
          <w:sz w:val="20"/>
        </w:rPr>
        <w:t>administrative</w:t>
      </w:r>
      <w:r>
        <w:rPr>
          <w:spacing w:val="-7"/>
          <w:w w:val="120"/>
          <w:sz w:val="20"/>
        </w:rPr>
        <w:t> </w:t>
      </w:r>
      <w:r>
        <w:rPr>
          <w:w w:val="120"/>
          <w:sz w:val="20"/>
        </w:rPr>
        <w:t>and</w:t>
      </w:r>
      <w:r>
        <w:rPr>
          <w:spacing w:val="-6"/>
          <w:w w:val="120"/>
          <w:sz w:val="20"/>
        </w:rPr>
        <w:t> </w:t>
      </w:r>
      <w:r>
        <w:rPr>
          <w:w w:val="120"/>
          <w:sz w:val="20"/>
        </w:rPr>
        <w:t>membership</w:t>
      </w:r>
      <w:r>
        <w:rPr>
          <w:spacing w:val="-7"/>
          <w:w w:val="120"/>
          <w:sz w:val="20"/>
        </w:rPr>
        <w:t> </w:t>
      </w:r>
      <w:r>
        <w:rPr>
          <w:w w:val="120"/>
          <w:sz w:val="20"/>
        </w:rPr>
        <w:t>secretaries</w:t>
      </w:r>
      <w:r>
        <w:rPr>
          <w:spacing w:val="-6"/>
          <w:w w:val="120"/>
          <w:sz w:val="20"/>
        </w:rPr>
        <w:t> </w:t>
      </w:r>
      <w:r>
        <w:rPr>
          <w:w w:val="120"/>
          <w:sz w:val="20"/>
        </w:rPr>
        <w:t>in</w:t>
      </w:r>
      <w:r>
        <w:rPr>
          <w:spacing w:val="-7"/>
          <w:w w:val="120"/>
          <w:sz w:val="20"/>
        </w:rPr>
        <w:t> </w:t>
      </w:r>
      <w:r>
        <w:rPr>
          <w:spacing w:val="-3"/>
          <w:w w:val="120"/>
          <w:sz w:val="20"/>
        </w:rPr>
        <w:t>future.</w:t>
      </w:r>
    </w:p>
    <w:p>
      <w:pPr>
        <w:pStyle w:val="BodyText"/>
      </w:pPr>
    </w:p>
    <w:p>
      <w:pPr>
        <w:pStyle w:val="ListParagraph"/>
        <w:numPr>
          <w:ilvl w:val="0"/>
          <w:numId w:val="110"/>
        </w:numPr>
        <w:tabs>
          <w:tab w:pos="1927" w:val="left" w:leader="none"/>
          <w:tab w:pos="1928" w:val="left" w:leader="none"/>
        </w:tabs>
        <w:spacing w:line="235" w:lineRule="auto" w:before="0" w:after="0"/>
        <w:ind w:left="1247" w:right="2154" w:firstLine="0"/>
        <w:jc w:val="left"/>
        <w:rPr>
          <w:sz w:val="20"/>
        </w:rPr>
      </w:pPr>
      <w:r>
        <w:rPr>
          <w:w w:val="120"/>
          <w:sz w:val="20"/>
        </w:rPr>
        <w:t>One issue raised at the annual meeting concerned the wider United Reformed Church, in that any decision to discontinue the Yearbook would almost certainly end the custom, inherited from all the constituent denominations, of providing obituaries of ministers and other prominent members. Another discussion focussed on attracting a larger audience to study days and weekends by looking to organise mid-week meetings, these to be in the spring rather than the</w:t>
      </w:r>
      <w:r>
        <w:rPr>
          <w:spacing w:val="22"/>
          <w:w w:val="120"/>
          <w:sz w:val="20"/>
        </w:rPr>
        <w:t> </w:t>
      </w:r>
      <w:r>
        <w:rPr>
          <w:w w:val="120"/>
          <w:sz w:val="20"/>
        </w:rPr>
        <w:t>autumn.</w:t>
      </w:r>
    </w:p>
    <w:p>
      <w:pPr>
        <w:pStyle w:val="BodyText"/>
      </w:pPr>
    </w:p>
    <w:p>
      <w:pPr>
        <w:pStyle w:val="ListParagraph"/>
        <w:numPr>
          <w:ilvl w:val="0"/>
          <w:numId w:val="110"/>
        </w:numPr>
        <w:tabs>
          <w:tab w:pos="1927" w:val="left" w:leader="none"/>
          <w:tab w:pos="1928" w:val="left" w:leader="none"/>
        </w:tabs>
        <w:spacing w:line="235" w:lineRule="auto" w:before="0" w:after="0"/>
        <w:ind w:left="1247" w:right="2486" w:firstLine="0"/>
        <w:jc w:val="left"/>
        <w:rPr>
          <w:sz w:val="20"/>
        </w:rPr>
      </w:pPr>
      <w:r>
        <w:rPr>
          <w:w w:val="120"/>
          <w:sz w:val="20"/>
        </w:rPr>
        <w:t>The new editor of the journal, (in succession to Professor Clyde Binfield), is the Revd Dr </w:t>
      </w:r>
      <w:r>
        <w:rPr>
          <w:spacing w:val="2"/>
          <w:w w:val="120"/>
          <w:sz w:val="20"/>
        </w:rPr>
        <w:t>Robert </w:t>
      </w:r>
      <w:r>
        <w:rPr>
          <w:w w:val="120"/>
          <w:sz w:val="20"/>
        </w:rPr>
        <w:t>Pope. He has produced one thematic issue, drawing together    a</w:t>
      </w:r>
      <w:r>
        <w:rPr>
          <w:spacing w:val="8"/>
          <w:w w:val="120"/>
          <w:sz w:val="20"/>
        </w:rPr>
        <w:t> </w:t>
      </w:r>
      <w:r>
        <w:rPr>
          <w:w w:val="120"/>
          <w:sz w:val="20"/>
        </w:rPr>
        <w:t>number</w:t>
      </w:r>
      <w:r>
        <w:rPr>
          <w:spacing w:val="8"/>
          <w:w w:val="120"/>
          <w:sz w:val="20"/>
        </w:rPr>
        <w:t> </w:t>
      </w:r>
      <w:r>
        <w:rPr>
          <w:w w:val="120"/>
          <w:sz w:val="20"/>
        </w:rPr>
        <w:t>of</w:t>
      </w:r>
      <w:r>
        <w:rPr>
          <w:spacing w:val="8"/>
          <w:w w:val="120"/>
          <w:sz w:val="20"/>
        </w:rPr>
        <w:t> </w:t>
      </w:r>
      <w:r>
        <w:rPr>
          <w:w w:val="120"/>
          <w:sz w:val="20"/>
        </w:rPr>
        <w:t>contributions</w:t>
      </w:r>
      <w:r>
        <w:rPr>
          <w:spacing w:val="8"/>
          <w:w w:val="120"/>
          <w:sz w:val="20"/>
        </w:rPr>
        <w:t> </w:t>
      </w:r>
      <w:r>
        <w:rPr>
          <w:w w:val="120"/>
          <w:sz w:val="20"/>
        </w:rPr>
        <w:t>where</w:t>
      </w:r>
      <w:r>
        <w:rPr>
          <w:spacing w:val="8"/>
          <w:w w:val="120"/>
          <w:sz w:val="20"/>
        </w:rPr>
        <w:t> </w:t>
      </w:r>
      <w:r>
        <w:rPr>
          <w:spacing w:val="-5"/>
          <w:w w:val="120"/>
          <w:sz w:val="20"/>
        </w:rPr>
        <w:t>1662</w:t>
      </w:r>
      <w:r>
        <w:rPr>
          <w:spacing w:val="8"/>
          <w:w w:val="120"/>
          <w:sz w:val="20"/>
        </w:rPr>
        <w:t> </w:t>
      </w:r>
      <w:r>
        <w:rPr>
          <w:w w:val="120"/>
          <w:sz w:val="20"/>
        </w:rPr>
        <w:t>provided</w:t>
      </w:r>
      <w:r>
        <w:rPr>
          <w:spacing w:val="8"/>
          <w:w w:val="120"/>
          <w:sz w:val="20"/>
        </w:rPr>
        <w:t> </w:t>
      </w:r>
      <w:r>
        <w:rPr>
          <w:w w:val="120"/>
          <w:sz w:val="20"/>
        </w:rPr>
        <w:t>the</w:t>
      </w:r>
      <w:r>
        <w:rPr>
          <w:spacing w:val="8"/>
          <w:w w:val="120"/>
          <w:sz w:val="20"/>
        </w:rPr>
        <w:t> </w:t>
      </w:r>
      <w:r>
        <w:rPr>
          <w:w w:val="120"/>
          <w:sz w:val="20"/>
        </w:rPr>
        <w:t>significant</w:t>
      </w:r>
      <w:r>
        <w:rPr>
          <w:spacing w:val="9"/>
          <w:w w:val="120"/>
          <w:sz w:val="20"/>
        </w:rPr>
        <w:t> </w:t>
      </w:r>
      <w:r>
        <w:rPr>
          <w:w w:val="120"/>
          <w:sz w:val="20"/>
        </w:rPr>
        <w:t>date.</w:t>
      </w:r>
      <w:r>
        <w:rPr>
          <w:spacing w:val="8"/>
          <w:w w:val="120"/>
          <w:sz w:val="20"/>
        </w:rPr>
        <w:t> </w:t>
      </w:r>
      <w:r>
        <w:rPr>
          <w:w w:val="120"/>
          <w:sz w:val="20"/>
        </w:rPr>
        <w:t>Other</w:t>
      </w:r>
      <w:r>
        <w:rPr>
          <w:spacing w:val="8"/>
          <w:w w:val="120"/>
          <w:sz w:val="20"/>
        </w:rPr>
        <w:t> </w:t>
      </w:r>
      <w:r>
        <w:rPr>
          <w:w w:val="120"/>
          <w:sz w:val="20"/>
        </w:rPr>
        <w:t>articles</w:t>
      </w:r>
    </w:p>
    <w:p>
      <w:pPr>
        <w:pStyle w:val="BodyText"/>
        <w:spacing w:line="235" w:lineRule="auto" w:before="3"/>
        <w:ind w:left="1247" w:right="2193"/>
        <w:jc w:val="both"/>
      </w:pPr>
      <w:r>
        <w:rPr>
          <w:w w:val="120"/>
        </w:rPr>
        <w:t>have addressed issues to do with hymnology, theology, scandal in the ministry and an examination of addresses from the chair of the Congregational Union/Congregational Church in the period 1940-72. Dr Pope has also edited the T &amp; T Clark Companion</w:t>
      </w:r>
    </w:p>
    <w:p>
      <w:pPr>
        <w:pStyle w:val="BodyText"/>
        <w:spacing w:line="235" w:lineRule="auto" w:before="2"/>
        <w:ind w:left="1247" w:right="2455"/>
        <w:jc w:val="both"/>
      </w:pPr>
      <w:r>
        <w:rPr>
          <w:w w:val="120"/>
        </w:rPr>
        <w:t>to Nonconformity and is to be congratulated on a wide ranging volume, to which a number of Society members, past and present, have contributed.</w:t>
      </w:r>
    </w:p>
    <w:p>
      <w:pPr>
        <w:pStyle w:val="BodyText"/>
        <w:spacing w:before="9"/>
        <w:rPr>
          <w:sz w:val="19"/>
        </w:rPr>
      </w:pPr>
    </w:p>
    <w:p>
      <w:pPr>
        <w:pStyle w:val="ListParagraph"/>
        <w:numPr>
          <w:ilvl w:val="0"/>
          <w:numId w:val="110"/>
        </w:numPr>
        <w:tabs>
          <w:tab w:pos="1927" w:val="left" w:leader="none"/>
          <w:tab w:pos="1928" w:val="left" w:leader="none"/>
        </w:tabs>
        <w:spacing w:line="235" w:lineRule="auto" w:before="0" w:after="0"/>
        <w:ind w:left="1247" w:right="2174" w:firstLine="0"/>
        <w:jc w:val="left"/>
        <w:rPr>
          <w:sz w:val="20"/>
        </w:rPr>
      </w:pPr>
      <w:r>
        <w:rPr>
          <w:w w:val="120"/>
          <w:sz w:val="20"/>
        </w:rPr>
        <w:t>Mrs Helen </w:t>
      </w:r>
      <w:r>
        <w:rPr>
          <w:spacing w:val="-3"/>
          <w:w w:val="120"/>
          <w:sz w:val="20"/>
        </w:rPr>
        <w:t>Weller, </w:t>
      </w:r>
      <w:r>
        <w:rPr>
          <w:w w:val="120"/>
          <w:sz w:val="20"/>
        </w:rPr>
        <w:t>archivist at Westminster College, continued her supervision of the society’s collections. The main task, as a consequence of the College’s redevelopment, has been to pack archives and papers for transfer to Churchill College for safekeeping for the duration of the work. Arrangements were made in good time</w:t>
      </w:r>
    </w:p>
    <w:p>
      <w:pPr>
        <w:spacing w:after="0" w:line="235" w:lineRule="auto"/>
        <w:jc w:val="left"/>
        <w:rPr>
          <w:sz w:val="20"/>
        </w:rPr>
        <w:sectPr>
          <w:headerReference w:type="even" r:id="rId529"/>
          <w:footerReference w:type="even" r:id="rId530"/>
          <w:footerReference w:type="default" r:id="rId531"/>
          <w:pgSz w:w="11910" w:h="16840"/>
          <w:pgMar w:header="0" w:footer="647" w:top="0" w:bottom="840" w:left="0" w:right="0"/>
          <w:pgNumType w:start="216"/>
        </w:sectPr>
      </w:pPr>
    </w:p>
    <w:p>
      <w:pPr>
        <w:pStyle w:val="BodyText"/>
      </w:pPr>
      <w:r>
        <w:rPr/>
        <w:drawing>
          <wp:anchor distT="0" distB="0" distL="0" distR="0" allowOverlap="1" layoutInCell="1" locked="0" behindDoc="0" simplePos="0" relativeHeight="252201984">
            <wp:simplePos x="0" y="0"/>
            <wp:positionH relativeFrom="page">
              <wp:posOffset>6974928</wp:posOffset>
            </wp:positionH>
            <wp:positionV relativeFrom="page">
              <wp:posOffset>0</wp:posOffset>
            </wp:positionV>
            <wp:extent cx="585063" cy="10692003"/>
            <wp:effectExtent l="0" t="0" r="0" b="0"/>
            <wp:wrapNone/>
            <wp:docPr id="433" name="image72.png"/>
            <wp:cNvGraphicFramePr>
              <a:graphicFrameLocks noChangeAspect="1"/>
            </wp:cNvGraphicFramePr>
            <a:graphic>
              <a:graphicData uri="http://schemas.openxmlformats.org/drawingml/2006/picture">
                <pic:pic>
                  <pic:nvPicPr>
                    <pic:cNvPr id="434" name="image72.png"/>
                    <pic:cNvPicPr/>
                  </pic:nvPicPr>
                  <pic:blipFill>
                    <a:blip r:embed="rId528"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199.1pt;mso-position-horizontal-relative:page;mso-position-vertical-relative:paragraph;z-index:252203008" type="#_x0000_t202" filled="false" stroked="false">
            <v:textbox inset="0,0,0,0" style="layout-flow:vertical">
              <w:txbxContent>
                <w:p>
                  <w:pPr>
                    <w:spacing w:before="27"/>
                    <w:ind w:left="20" w:right="0" w:firstLine="0"/>
                    <w:jc w:val="left"/>
                    <w:rPr>
                      <w:sz w:val="39"/>
                    </w:rPr>
                  </w:pPr>
                  <w:r>
                    <w:rPr>
                      <w:color w:val="FFFFFF"/>
                      <w:w w:val="120"/>
                      <w:sz w:val="39"/>
                    </w:rPr>
                    <w:t>URC history society</w:t>
                  </w:r>
                </w:p>
              </w:txbxContent>
            </v:textbox>
            <w10:wrap type="none"/>
          </v:shape>
        </w:pict>
      </w:r>
      <w:r>
        <w:rPr>
          <w:color w:val="7EAABF"/>
          <w:w w:val="115"/>
          <w:sz w:val="26"/>
        </w:rPr>
        <w:t>Information papers</w:t>
      </w:r>
    </w:p>
    <w:p>
      <w:pPr>
        <w:pStyle w:val="BodyText"/>
        <w:spacing w:line="235" w:lineRule="auto" w:before="222"/>
        <w:ind w:left="1984" w:right="1352"/>
      </w:pPr>
      <w:r>
        <w:rPr>
          <w:w w:val="120"/>
        </w:rPr>
        <w:t>to identify books and other resources required by scholars already at work. In addition, Mrs Weller has retained key material in her office, and is able to give guidance on sources and what material is available for consultation. She can be contacted every morning except Tuesdays by phone (01223 330620) or by email (hw374@cam.ac.uk).</w:t>
      </w:r>
    </w:p>
    <w:p>
      <w:pPr>
        <w:pStyle w:val="BodyText"/>
        <w:spacing w:before="10"/>
        <w:rPr>
          <w:sz w:val="19"/>
        </w:rPr>
      </w:pPr>
    </w:p>
    <w:p>
      <w:pPr>
        <w:pStyle w:val="ListParagraph"/>
        <w:numPr>
          <w:ilvl w:val="0"/>
          <w:numId w:val="110"/>
        </w:numPr>
        <w:tabs>
          <w:tab w:pos="2664" w:val="left" w:leader="none"/>
          <w:tab w:pos="2665" w:val="left" w:leader="none"/>
        </w:tabs>
        <w:spacing w:line="235" w:lineRule="auto" w:before="1" w:after="0"/>
        <w:ind w:left="1984" w:right="1448" w:firstLine="0"/>
        <w:jc w:val="left"/>
        <w:rPr>
          <w:sz w:val="20"/>
        </w:rPr>
      </w:pPr>
      <w:r>
        <w:rPr>
          <w:spacing w:val="2"/>
          <w:w w:val="120"/>
          <w:sz w:val="20"/>
        </w:rPr>
        <w:t>Library </w:t>
      </w:r>
      <w:r>
        <w:rPr>
          <w:w w:val="120"/>
          <w:sz w:val="20"/>
        </w:rPr>
        <w:t>purchases included the five volume edition of the minutes and papers  of the Westminster Assembly </w:t>
      </w:r>
      <w:r>
        <w:rPr>
          <w:spacing w:val="-7"/>
          <w:w w:val="120"/>
          <w:sz w:val="20"/>
        </w:rPr>
        <w:t>1643-1652, </w:t>
      </w:r>
      <w:r>
        <w:rPr>
          <w:w w:val="120"/>
          <w:sz w:val="20"/>
        </w:rPr>
        <w:t>edited by Chad van Dixhoorn, and the Cockermouth Congregational Church Book, published by the Cumberland and Westmorland Antiquarian and Archaeological Society. It has been possible to initiate a programme of re-binding those books most in need of new</w:t>
      </w:r>
      <w:r>
        <w:rPr>
          <w:spacing w:val="40"/>
          <w:w w:val="120"/>
          <w:sz w:val="20"/>
        </w:rPr>
        <w:t> </w:t>
      </w:r>
      <w:r>
        <w:rPr>
          <w:w w:val="120"/>
          <w:sz w:val="20"/>
        </w:rPr>
        <w:t>boards.</w:t>
      </w:r>
    </w:p>
    <w:p>
      <w:pPr>
        <w:pStyle w:val="BodyText"/>
        <w:spacing w:before="11"/>
        <w:rPr>
          <w:sz w:val="19"/>
        </w:rPr>
      </w:pPr>
    </w:p>
    <w:p>
      <w:pPr>
        <w:pStyle w:val="ListParagraph"/>
        <w:numPr>
          <w:ilvl w:val="0"/>
          <w:numId w:val="110"/>
        </w:numPr>
        <w:tabs>
          <w:tab w:pos="2664" w:val="left" w:leader="none"/>
          <w:tab w:pos="2665" w:val="left" w:leader="none"/>
        </w:tabs>
        <w:spacing w:line="235" w:lineRule="auto" w:before="0" w:after="0"/>
        <w:ind w:left="1984" w:right="1245" w:firstLine="0"/>
        <w:jc w:val="left"/>
        <w:rPr>
          <w:sz w:val="20"/>
        </w:rPr>
      </w:pPr>
      <w:r>
        <w:rPr>
          <w:w w:val="120"/>
          <w:sz w:val="20"/>
        </w:rPr>
        <w:t>In line with decisions made at society and national levels, some local congregational material from the Churches of Christ archives was offered to county record offices and archive centres in London, Leicester and Cumbria. In addition, the National Records of Scotland in Edinburgh agreed to act as in the first instance as forwarding agent for material collected before the union of </w:t>
      </w:r>
      <w:r>
        <w:rPr>
          <w:spacing w:val="-8"/>
          <w:w w:val="120"/>
          <w:sz w:val="20"/>
        </w:rPr>
        <w:t>1981, </w:t>
      </w:r>
      <w:r>
        <w:rPr>
          <w:w w:val="120"/>
          <w:sz w:val="20"/>
        </w:rPr>
        <w:t>but with the option of retaining core</w:t>
      </w:r>
      <w:r>
        <w:rPr>
          <w:spacing w:val="4"/>
          <w:w w:val="120"/>
          <w:sz w:val="20"/>
        </w:rPr>
        <w:t> </w:t>
      </w:r>
      <w:r>
        <w:rPr>
          <w:w w:val="120"/>
          <w:sz w:val="20"/>
        </w:rPr>
        <w:t>records.</w:t>
      </w:r>
    </w:p>
    <w:p>
      <w:pPr>
        <w:pStyle w:val="BodyText"/>
        <w:spacing w:before="1"/>
      </w:pPr>
    </w:p>
    <w:p>
      <w:pPr>
        <w:pStyle w:val="ListParagraph"/>
        <w:numPr>
          <w:ilvl w:val="0"/>
          <w:numId w:val="110"/>
        </w:numPr>
        <w:tabs>
          <w:tab w:pos="2664" w:val="left" w:leader="none"/>
          <w:tab w:pos="2665" w:val="left" w:leader="none"/>
        </w:tabs>
        <w:spacing w:line="235" w:lineRule="auto" w:before="0" w:after="0"/>
        <w:ind w:left="1984" w:right="1337" w:firstLine="0"/>
        <w:jc w:val="left"/>
        <w:rPr>
          <w:sz w:val="20"/>
        </w:rPr>
      </w:pPr>
      <w:r>
        <w:rPr>
          <w:w w:val="120"/>
          <w:sz w:val="20"/>
        </w:rPr>
        <w:t>The Marquis Fund, to further the study and publication of Nonconformist history, is administered by the society and representatives of Westminster College. Grants may be made to scholars of any denominational affiliation or none, if the criteria are satisfied. Application should be made to the treasurer, using the College address.   In the course of the year copies of works were received, where assistance had been provided from the</w:t>
      </w:r>
      <w:r>
        <w:rPr>
          <w:spacing w:val="6"/>
          <w:w w:val="120"/>
          <w:sz w:val="20"/>
        </w:rPr>
        <w:t> </w:t>
      </w:r>
      <w:r>
        <w:rPr>
          <w:w w:val="120"/>
          <w:sz w:val="20"/>
        </w:rPr>
        <w:t>Fund.</w:t>
      </w:r>
    </w:p>
    <w:p>
      <w:pPr>
        <w:pStyle w:val="BodyText"/>
      </w:pPr>
    </w:p>
    <w:p>
      <w:pPr>
        <w:pStyle w:val="ListParagraph"/>
        <w:numPr>
          <w:ilvl w:val="0"/>
          <w:numId w:val="110"/>
        </w:numPr>
        <w:tabs>
          <w:tab w:pos="2664" w:val="left" w:leader="none"/>
          <w:tab w:pos="2665" w:val="left" w:leader="none"/>
        </w:tabs>
        <w:spacing w:line="235" w:lineRule="auto" w:before="0" w:after="0"/>
        <w:ind w:left="1984" w:right="1647" w:firstLine="0"/>
        <w:jc w:val="left"/>
        <w:rPr>
          <w:sz w:val="20"/>
        </w:rPr>
      </w:pPr>
      <w:r>
        <w:rPr>
          <w:w w:val="120"/>
          <w:sz w:val="20"/>
        </w:rPr>
        <w:t>The standard subscription rate for membership is </w:t>
      </w:r>
      <w:r>
        <w:rPr>
          <w:spacing w:val="-5"/>
          <w:w w:val="120"/>
          <w:sz w:val="20"/>
        </w:rPr>
        <w:t>£18. </w:t>
      </w:r>
      <w:r>
        <w:rPr>
          <w:w w:val="120"/>
          <w:sz w:val="20"/>
        </w:rPr>
        <w:t>For all enquiries about society membership, including a </w:t>
      </w:r>
      <w:r>
        <w:rPr>
          <w:spacing w:val="-3"/>
          <w:w w:val="120"/>
          <w:sz w:val="20"/>
        </w:rPr>
        <w:t>25% </w:t>
      </w:r>
      <w:r>
        <w:rPr>
          <w:w w:val="120"/>
          <w:sz w:val="20"/>
        </w:rPr>
        <w:t>reduction for students and newly retired ministers, Mrs Margaret Thompson may be consulted either by email </w:t>
      </w:r>
      <w:r>
        <w:rPr>
          <w:spacing w:val="-4"/>
          <w:w w:val="120"/>
          <w:sz w:val="20"/>
        </w:rPr>
        <w:t>(mt212@cam. </w:t>
      </w:r>
      <w:r>
        <w:rPr>
          <w:spacing w:val="-3"/>
          <w:w w:val="120"/>
          <w:sz w:val="20"/>
        </w:rPr>
        <w:t>ac.uk) </w:t>
      </w:r>
      <w:r>
        <w:rPr>
          <w:w w:val="120"/>
          <w:sz w:val="20"/>
        </w:rPr>
        <w:t>or via Westminster College. </w:t>
      </w:r>
      <w:r>
        <w:rPr>
          <w:spacing w:val="2"/>
          <w:w w:val="120"/>
          <w:sz w:val="20"/>
        </w:rPr>
        <w:t>Gift </w:t>
      </w:r>
      <w:r>
        <w:rPr>
          <w:w w:val="120"/>
          <w:sz w:val="20"/>
        </w:rPr>
        <w:t>aid declarations continue to make a valuable contribution to general</w:t>
      </w:r>
      <w:r>
        <w:rPr>
          <w:spacing w:val="6"/>
          <w:w w:val="120"/>
          <w:sz w:val="20"/>
        </w:rPr>
        <w:t> </w:t>
      </w:r>
      <w:r>
        <w:rPr>
          <w:w w:val="120"/>
          <w:sz w:val="20"/>
        </w:rPr>
        <w:t>finances.</w:t>
      </w:r>
    </w:p>
    <w:p>
      <w:pPr>
        <w:spacing w:after="0" w:line="235" w:lineRule="auto"/>
        <w:jc w:val="left"/>
        <w:rPr>
          <w:sz w:val="20"/>
        </w:rPr>
        <w:sectPr>
          <w:headerReference w:type="default" r:id="rId533"/>
          <w:pgSz w:w="11910" w:h="16840"/>
          <w:pgMar w:header="0" w:footer="647" w:top="0" w:bottom="840" w:left="0" w:right="0"/>
        </w:sectPr>
      </w:pPr>
    </w:p>
    <w:p>
      <w:pPr>
        <w:pStyle w:val="BodyText"/>
      </w:pPr>
      <w:r>
        <w:rPr/>
        <w:drawing>
          <wp:anchor distT="0" distB="0" distL="0" distR="0" allowOverlap="1" layoutInCell="1" locked="0" behindDoc="0" simplePos="0" relativeHeight="252204032">
            <wp:simplePos x="0" y="0"/>
            <wp:positionH relativeFrom="page">
              <wp:posOffset>0</wp:posOffset>
            </wp:positionH>
            <wp:positionV relativeFrom="page">
              <wp:posOffset>0</wp:posOffset>
            </wp:positionV>
            <wp:extent cx="594067" cy="10692003"/>
            <wp:effectExtent l="0" t="0" r="0" b="0"/>
            <wp:wrapNone/>
            <wp:docPr id="435" name="image74.png"/>
            <wp:cNvGraphicFramePr>
              <a:graphicFrameLocks noChangeAspect="1"/>
            </wp:cNvGraphicFramePr>
            <a:graphic>
              <a:graphicData uri="http://schemas.openxmlformats.org/drawingml/2006/picture">
                <pic:pic>
                  <pic:nvPicPr>
                    <pic:cNvPr id="436" name="image74.png"/>
                    <pic:cNvPicPr/>
                  </pic:nvPicPr>
                  <pic:blipFill>
                    <a:blip r:embed="rId537"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shape style="position:absolute;margin-left:20.519100pt;margin-top:22.593945pt;width:25.9pt;height:215.9pt;mso-position-horizontal-relative:page;mso-position-vertical-relative:paragraph;z-index:252205056" type="#_x0000_t202" filled="false" stroked="false">
            <v:textbox inset="0,0,0,0" style="layout-flow:vertical">
              <w:txbxContent>
                <w:p>
                  <w:pPr>
                    <w:spacing w:before="27"/>
                    <w:ind w:left="20" w:right="0" w:firstLine="0"/>
                    <w:jc w:val="left"/>
                    <w:rPr>
                      <w:sz w:val="39"/>
                    </w:rPr>
                  </w:pPr>
                  <w:r>
                    <w:rPr>
                      <w:color w:val="FFFFFF"/>
                      <w:w w:val="125"/>
                      <w:sz w:val="39"/>
                    </w:rPr>
                    <w:t>URC musicians’ guild</w:t>
                  </w:r>
                </w:p>
              </w:txbxContent>
            </v:textbox>
            <w10:wrap type="none"/>
          </v:shape>
        </w:pict>
      </w:r>
      <w:r>
        <w:rPr>
          <w:color w:val="7EAABF"/>
          <w:w w:val="115"/>
        </w:rPr>
        <w:t>Information papers</w:t>
      </w:r>
    </w:p>
    <w:p>
      <w:pPr>
        <w:spacing w:before="246"/>
        <w:ind w:left="1247" w:right="0" w:firstLine="0"/>
        <w:jc w:val="left"/>
        <w:rPr>
          <w:rFonts w:ascii="Stone Sans II ITC Std X Bd" w:hAnsi="Stone Sans II ITC Std X Bd"/>
          <w:b/>
          <w:sz w:val="50"/>
        </w:rPr>
      </w:pPr>
      <w:r>
        <w:rPr>
          <w:rFonts w:ascii="Stone Sans II ITC Std X Bd" w:hAnsi="Stone Sans II ITC Std X Bd"/>
          <w:b/>
          <w:w w:val="110"/>
          <w:sz w:val="50"/>
        </w:rPr>
        <w:t>URC musicians’ guild</w:t>
      </w:r>
    </w:p>
    <w:p>
      <w:pPr>
        <w:pStyle w:val="ListParagraph"/>
        <w:numPr>
          <w:ilvl w:val="0"/>
          <w:numId w:val="111"/>
        </w:numPr>
        <w:tabs>
          <w:tab w:pos="1927" w:val="left" w:leader="none"/>
          <w:tab w:pos="1928" w:val="left" w:leader="none"/>
        </w:tabs>
        <w:spacing w:line="235" w:lineRule="auto" w:before="365" w:after="0"/>
        <w:ind w:left="1247" w:right="2116" w:firstLine="0"/>
        <w:jc w:val="left"/>
        <w:rPr>
          <w:sz w:val="20"/>
        </w:rPr>
      </w:pPr>
      <w:r>
        <w:rPr>
          <w:spacing w:val="-8"/>
          <w:w w:val="120"/>
          <w:sz w:val="20"/>
        </w:rPr>
        <w:t>2013 </w:t>
      </w:r>
      <w:r>
        <w:rPr>
          <w:w w:val="120"/>
          <w:sz w:val="20"/>
        </w:rPr>
        <w:t>was not an easy year for the URC musicians’ guild. For several years </w:t>
      </w:r>
      <w:r>
        <w:rPr>
          <w:spacing w:val="-3"/>
          <w:w w:val="120"/>
          <w:sz w:val="20"/>
        </w:rPr>
        <w:t>now, </w:t>
      </w:r>
      <w:r>
        <w:rPr>
          <w:w w:val="120"/>
          <w:sz w:val="20"/>
        </w:rPr>
        <w:t>the guild has been aware that its membership is declining, bringing challenges to the way in which it sees its future. Our regional activity has shrunk to a position where  only our branches in southern England organise events. Our membership is very thinly scattered throughout the synods of the URC and it seems no longer affordable or practical to expect members to travel miles to</w:t>
      </w:r>
      <w:r>
        <w:rPr>
          <w:spacing w:val="19"/>
          <w:w w:val="120"/>
          <w:sz w:val="20"/>
        </w:rPr>
        <w:t> </w:t>
      </w:r>
      <w:r>
        <w:rPr>
          <w:w w:val="120"/>
          <w:sz w:val="20"/>
        </w:rPr>
        <w:t>meetings.</w:t>
      </w:r>
    </w:p>
    <w:p>
      <w:pPr>
        <w:pStyle w:val="BodyText"/>
        <w:spacing w:before="8"/>
        <w:rPr>
          <w:sz w:val="19"/>
        </w:rPr>
      </w:pPr>
    </w:p>
    <w:p>
      <w:pPr>
        <w:pStyle w:val="ListParagraph"/>
        <w:numPr>
          <w:ilvl w:val="0"/>
          <w:numId w:val="111"/>
        </w:numPr>
        <w:tabs>
          <w:tab w:pos="1927" w:val="left" w:leader="none"/>
          <w:tab w:pos="1928" w:val="left" w:leader="none"/>
        </w:tabs>
        <w:spacing w:line="237" w:lineRule="exact" w:before="0" w:after="0"/>
        <w:ind w:left="1927" w:right="0" w:hanging="681"/>
        <w:jc w:val="left"/>
        <w:rPr>
          <w:sz w:val="20"/>
        </w:rPr>
      </w:pPr>
      <w:r>
        <w:rPr>
          <w:w w:val="120"/>
          <w:sz w:val="20"/>
        </w:rPr>
        <w:t>So the central committee has spent many hours</w:t>
      </w:r>
      <w:r>
        <w:rPr>
          <w:spacing w:val="13"/>
          <w:w w:val="120"/>
          <w:sz w:val="20"/>
        </w:rPr>
        <w:t> </w:t>
      </w:r>
      <w:r>
        <w:rPr>
          <w:w w:val="120"/>
          <w:sz w:val="20"/>
        </w:rPr>
        <w:t>heart-searching:</w:t>
      </w:r>
    </w:p>
    <w:p>
      <w:pPr>
        <w:pStyle w:val="ListParagraph"/>
        <w:numPr>
          <w:ilvl w:val="0"/>
          <w:numId w:val="112"/>
        </w:numPr>
        <w:tabs>
          <w:tab w:pos="1927" w:val="left" w:leader="none"/>
          <w:tab w:pos="1928" w:val="left" w:leader="none"/>
        </w:tabs>
        <w:spacing w:line="240" w:lineRule="exact" w:before="0" w:after="0"/>
        <w:ind w:left="1927" w:right="0" w:hanging="681"/>
        <w:jc w:val="left"/>
        <w:rPr>
          <w:sz w:val="20"/>
        </w:rPr>
      </w:pPr>
      <w:r>
        <w:rPr>
          <w:w w:val="120"/>
          <w:sz w:val="20"/>
        </w:rPr>
        <w:t>does the guild in its present form have a realistic future</w:t>
      </w:r>
      <w:r>
        <w:rPr>
          <w:spacing w:val="20"/>
          <w:w w:val="120"/>
          <w:sz w:val="20"/>
        </w:rPr>
        <w:t> </w:t>
      </w:r>
      <w:r>
        <w:rPr>
          <w:spacing w:val="-5"/>
          <w:w w:val="120"/>
          <w:sz w:val="20"/>
        </w:rPr>
        <w:t>or...</w:t>
      </w:r>
    </w:p>
    <w:p>
      <w:pPr>
        <w:pStyle w:val="ListParagraph"/>
        <w:numPr>
          <w:ilvl w:val="0"/>
          <w:numId w:val="112"/>
        </w:numPr>
        <w:tabs>
          <w:tab w:pos="1927" w:val="left" w:leader="none"/>
          <w:tab w:pos="1928" w:val="left" w:leader="none"/>
        </w:tabs>
        <w:spacing w:line="235" w:lineRule="auto" w:before="0" w:after="0"/>
        <w:ind w:left="1927" w:right="2464" w:hanging="681"/>
        <w:jc w:val="left"/>
        <w:rPr>
          <w:sz w:val="20"/>
        </w:rPr>
      </w:pPr>
      <w:r>
        <w:rPr>
          <w:w w:val="120"/>
          <w:sz w:val="20"/>
        </w:rPr>
        <w:t>should it accept that it has had 40 good years but now is the time to shut up shop and let others take on a new musical mantle</w:t>
      </w:r>
      <w:r>
        <w:rPr>
          <w:spacing w:val="18"/>
          <w:w w:val="120"/>
          <w:sz w:val="20"/>
        </w:rPr>
        <w:t> </w:t>
      </w:r>
      <w:r>
        <w:rPr>
          <w:spacing w:val="-5"/>
          <w:w w:val="120"/>
          <w:sz w:val="20"/>
        </w:rPr>
        <w:t>or...</w:t>
      </w:r>
    </w:p>
    <w:p>
      <w:pPr>
        <w:pStyle w:val="ListParagraph"/>
        <w:numPr>
          <w:ilvl w:val="0"/>
          <w:numId w:val="112"/>
        </w:numPr>
        <w:tabs>
          <w:tab w:pos="1927" w:val="left" w:leader="none"/>
          <w:tab w:pos="1928" w:val="left" w:leader="none"/>
        </w:tabs>
        <w:spacing w:line="234" w:lineRule="exact" w:before="0" w:after="0"/>
        <w:ind w:left="1927" w:right="0" w:hanging="681"/>
        <w:jc w:val="left"/>
        <w:rPr>
          <w:sz w:val="20"/>
        </w:rPr>
      </w:pPr>
      <w:r>
        <w:rPr>
          <w:w w:val="120"/>
          <w:sz w:val="20"/>
        </w:rPr>
        <w:t>should it restructure and if so</w:t>
      </w:r>
      <w:r>
        <w:rPr>
          <w:spacing w:val="12"/>
          <w:w w:val="120"/>
          <w:sz w:val="20"/>
        </w:rPr>
        <w:t> </w:t>
      </w:r>
      <w:r>
        <w:rPr>
          <w:spacing w:val="-4"/>
          <w:w w:val="120"/>
          <w:sz w:val="20"/>
        </w:rPr>
        <w:t>how...</w:t>
      </w:r>
    </w:p>
    <w:p>
      <w:pPr>
        <w:pStyle w:val="ListParagraph"/>
        <w:numPr>
          <w:ilvl w:val="0"/>
          <w:numId w:val="112"/>
        </w:numPr>
        <w:tabs>
          <w:tab w:pos="1927" w:val="left" w:leader="none"/>
          <w:tab w:pos="1928" w:val="left" w:leader="none"/>
        </w:tabs>
        <w:spacing w:line="240" w:lineRule="exact" w:before="0" w:after="0"/>
        <w:ind w:left="1927" w:right="0" w:hanging="681"/>
        <w:jc w:val="left"/>
        <w:rPr>
          <w:sz w:val="20"/>
        </w:rPr>
      </w:pPr>
      <w:r>
        <w:rPr>
          <w:w w:val="120"/>
          <w:sz w:val="20"/>
        </w:rPr>
        <w:t>does the URC want a musical organisation and if</w:t>
      </w:r>
      <w:r>
        <w:rPr>
          <w:spacing w:val="19"/>
          <w:w w:val="120"/>
          <w:sz w:val="20"/>
        </w:rPr>
        <w:t> </w:t>
      </w:r>
      <w:r>
        <w:rPr>
          <w:spacing w:val="-3"/>
          <w:w w:val="120"/>
          <w:sz w:val="20"/>
        </w:rPr>
        <w:t>so...</w:t>
      </w:r>
    </w:p>
    <w:p>
      <w:pPr>
        <w:pStyle w:val="ListParagraph"/>
        <w:numPr>
          <w:ilvl w:val="0"/>
          <w:numId w:val="112"/>
        </w:numPr>
        <w:tabs>
          <w:tab w:pos="1927" w:val="left" w:leader="none"/>
          <w:tab w:pos="1928" w:val="left" w:leader="none"/>
        </w:tabs>
        <w:spacing w:line="240" w:lineRule="exact" w:before="0" w:after="0"/>
        <w:ind w:left="1927" w:right="0" w:hanging="681"/>
        <w:jc w:val="left"/>
        <w:rPr>
          <w:sz w:val="20"/>
        </w:rPr>
      </w:pPr>
      <w:r>
        <w:rPr>
          <w:w w:val="125"/>
          <w:sz w:val="20"/>
        </w:rPr>
        <w:t>how should it be promoting good music for worship</w:t>
      </w:r>
      <w:r>
        <w:rPr>
          <w:spacing w:val="-16"/>
          <w:w w:val="125"/>
          <w:sz w:val="20"/>
        </w:rPr>
        <w:t> </w:t>
      </w:r>
      <w:r>
        <w:rPr>
          <w:w w:val="125"/>
          <w:sz w:val="20"/>
        </w:rPr>
        <w:t>and...</w:t>
      </w:r>
    </w:p>
    <w:p>
      <w:pPr>
        <w:pStyle w:val="ListParagraph"/>
        <w:numPr>
          <w:ilvl w:val="0"/>
          <w:numId w:val="112"/>
        </w:numPr>
        <w:tabs>
          <w:tab w:pos="1927" w:val="left" w:leader="none"/>
          <w:tab w:pos="1928" w:val="left" w:leader="none"/>
        </w:tabs>
        <w:spacing w:line="247" w:lineRule="exact" w:before="0" w:after="0"/>
        <w:ind w:left="1927" w:right="0" w:hanging="681"/>
        <w:jc w:val="left"/>
        <w:rPr>
          <w:sz w:val="20"/>
        </w:rPr>
      </w:pPr>
      <w:r>
        <w:rPr>
          <w:w w:val="120"/>
          <w:sz w:val="20"/>
        </w:rPr>
        <w:t>who will</w:t>
      </w:r>
      <w:r>
        <w:rPr>
          <w:spacing w:val="4"/>
          <w:w w:val="120"/>
          <w:sz w:val="20"/>
        </w:rPr>
        <w:t> </w:t>
      </w:r>
      <w:r>
        <w:rPr>
          <w:w w:val="120"/>
          <w:sz w:val="20"/>
        </w:rPr>
        <w:t>help?</w:t>
      </w:r>
    </w:p>
    <w:p>
      <w:pPr>
        <w:pStyle w:val="BodyText"/>
        <w:spacing w:before="4"/>
        <w:rPr>
          <w:sz w:val="19"/>
        </w:rPr>
      </w:pPr>
    </w:p>
    <w:p>
      <w:pPr>
        <w:pStyle w:val="ListParagraph"/>
        <w:numPr>
          <w:ilvl w:val="0"/>
          <w:numId w:val="111"/>
        </w:numPr>
        <w:tabs>
          <w:tab w:pos="1927" w:val="left" w:leader="none"/>
          <w:tab w:pos="1928" w:val="left" w:leader="none"/>
        </w:tabs>
        <w:spacing w:line="235" w:lineRule="auto" w:before="1" w:after="0"/>
        <w:ind w:left="1247" w:right="1993" w:firstLine="0"/>
        <w:jc w:val="left"/>
        <w:rPr>
          <w:sz w:val="20"/>
        </w:rPr>
      </w:pPr>
      <w:r>
        <w:rPr>
          <w:w w:val="120"/>
          <w:sz w:val="20"/>
        </w:rPr>
        <w:t>The guild believes it must have a future, but it has to have more focused objectives and different ways of making these happen throughout all the synods of the URC, with the help of all those who think as we do – that music in all its most wonderful forms can bring people to God in a way that other aspects of Christian worship may   not. Our revival is still a ‘work in progress’ but by the time you read this, we will be well on</w:t>
      </w:r>
      <w:r>
        <w:rPr>
          <w:spacing w:val="6"/>
          <w:w w:val="120"/>
          <w:sz w:val="20"/>
        </w:rPr>
        <w:t> </w:t>
      </w:r>
      <w:r>
        <w:rPr>
          <w:w w:val="120"/>
          <w:sz w:val="20"/>
        </w:rPr>
        <w:t>the</w:t>
      </w:r>
      <w:r>
        <w:rPr>
          <w:spacing w:val="7"/>
          <w:w w:val="120"/>
          <w:sz w:val="20"/>
        </w:rPr>
        <w:t> </w:t>
      </w:r>
      <w:r>
        <w:rPr>
          <w:w w:val="120"/>
          <w:sz w:val="20"/>
        </w:rPr>
        <w:t>way</w:t>
      </w:r>
      <w:r>
        <w:rPr>
          <w:spacing w:val="7"/>
          <w:w w:val="120"/>
          <w:sz w:val="20"/>
        </w:rPr>
        <w:t> </w:t>
      </w:r>
      <w:r>
        <w:rPr>
          <w:w w:val="120"/>
          <w:sz w:val="20"/>
        </w:rPr>
        <w:t>to</w:t>
      </w:r>
      <w:r>
        <w:rPr>
          <w:spacing w:val="7"/>
          <w:w w:val="120"/>
          <w:sz w:val="20"/>
        </w:rPr>
        <w:t> </w:t>
      </w:r>
      <w:r>
        <w:rPr>
          <w:w w:val="120"/>
          <w:sz w:val="20"/>
        </w:rPr>
        <w:t>deciding</w:t>
      </w:r>
      <w:r>
        <w:rPr>
          <w:spacing w:val="6"/>
          <w:w w:val="120"/>
          <w:sz w:val="20"/>
        </w:rPr>
        <w:t> </w:t>
      </w:r>
      <w:r>
        <w:rPr>
          <w:w w:val="120"/>
          <w:sz w:val="20"/>
        </w:rPr>
        <w:t>where</w:t>
      </w:r>
      <w:r>
        <w:rPr>
          <w:spacing w:val="7"/>
          <w:w w:val="120"/>
          <w:sz w:val="20"/>
        </w:rPr>
        <w:t> </w:t>
      </w:r>
      <w:r>
        <w:rPr>
          <w:w w:val="120"/>
          <w:sz w:val="20"/>
        </w:rPr>
        <w:t>we</w:t>
      </w:r>
      <w:r>
        <w:rPr>
          <w:spacing w:val="7"/>
          <w:w w:val="120"/>
          <w:sz w:val="20"/>
        </w:rPr>
        <w:t> </w:t>
      </w:r>
      <w:r>
        <w:rPr>
          <w:w w:val="120"/>
          <w:sz w:val="20"/>
        </w:rPr>
        <w:t>want</w:t>
      </w:r>
      <w:r>
        <w:rPr>
          <w:spacing w:val="7"/>
          <w:w w:val="120"/>
          <w:sz w:val="20"/>
        </w:rPr>
        <w:t> </w:t>
      </w:r>
      <w:r>
        <w:rPr>
          <w:w w:val="120"/>
          <w:sz w:val="20"/>
        </w:rPr>
        <w:t>to</w:t>
      </w:r>
      <w:r>
        <w:rPr>
          <w:spacing w:val="6"/>
          <w:w w:val="120"/>
          <w:sz w:val="20"/>
        </w:rPr>
        <w:t> </w:t>
      </w:r>
      <w:r>
        <w:rPr>
          <w:w w:val="120"/>
          <w:sz w:val="20"/>
        </w:rPr>
        <w:t>be</w:t>
      </w:r>
      <w:r>
        <w:rPr>
          <w:spacing w:val="7"/>
          <w:w w:val="120"/>
          <w:sz w:val="20"/>
        </w:rPr>
        <w:t> </w:t>
      </w:r>
      <w:r>
        <w:rPr>
          <w:w w:val="120"/>
          <w:sz w:val="20"/>
        </w:rPr>
        <w:t>and,</w:t>
      </w:r>
      <w:r>
        <w:rPr>
          <w:spacing w:val="7"/>
          <w:w w:val="120"/>
          <w:sz w:val="20"/>
        </w:rPr>
        <w:t> </w:t>
      </w:r>
      <w:r>
        <w:rPr>
          <w:w w:val="120"/>
          <w:sz w:val="20"/>
        </w:rPr>
        <w:t>hopefully,</w:t>
      </w:r>
      <w:r>
        <w:rPr>
          <w:spacing w:val="7"/>
          <w:w w:val="120"/>
          <w:sz w:val="20"/>
        </w:rPr>
        <w:t> </w:t>
      </w:r>
      <w:r>
        <w:rPr>
          <w:w w:val="120"/>
          <w:sz w:val="20"/>
        </w:rPr>
        <w:t>who</w:t>
      </w:r>
      <w:r>
        <w:rPr>
          <w:spacing w:val="6"/>
          <w:w w:val="120"/>
          <w:sz w:val="20"/>
        </w:rPr>
        <w:t> </w:t>
      </w:r>
      <w:r>
        <w:rPr>
          <w:w w:val="120"/>
          <w:sz w:val="20"/>
        </w:rPr>
        <w:t>will</w:t>
      </w:r>
      <w:r>
        <w:rPr>
          <w:spacing w:val="7"/>
          <w:w w:val="120"/>
          <w:sz w:val="20"/>
        </w:rPr>
        <w:t> </w:t>
      </w:r>
      <w:r>
        <w:rPr>
          <w:w w:val="120"/>
          <w:sz w:val="20"/>
        </w:rPr>
        <w:t>help</w:t>
      </w:r>
      <w:r>
        <w:rPr>
          <w:spacing w:val="7"/>
          <w:w w:val="120"/>
          <w:sz w:val="20"/>
        </w:rPr>
        <w:t> </w:t>
      </w:r>
      <w:r>
        <w:rPr>
          <w:w w:val="120"/>
          <w:sz w:val="20"/>
        </w:rPr>
        <w:t>us</w:t>
      </w:r>
      <w:r>
        <w:rPr>
          <w:spacing w:val="7"/>
          <w:w w:val="120"/>
          <w:sz w:val="20"/>
        </w:rPr>
        <w:t> </w:t>
      </w:r>
      <w:r>
        <w:rPr>
          <w:w w:val="120"/>
          <w:sz w:val="20"/>
        </w:rPr>
        <w:t>get</w:t>
      </w:r>
      <w:r>
        <w:rPr>
          <w:spacing w:val="6"/>
          <w:w w:val="120"/>
          <w:sz w:val="20"/>
        </w:rPr>
        <w:t> </w:t>
      </w:r>
      <w:r>
        <w:rPr>
          <w:w w:val="120"/>
          <w:sz w:val="20"/>
        </w:rPr>
        <w:t>there.</w:t>
      </w:r>
    </w:p>
    <w:p>
      <w:pPr>
        <w:pStyle w:val="BodyText"/>
        <w:spacing w:before="8"/>
        <w:rPr>
          <w:sz w:val="19"/>
        </w:rPr>
      </w:pPr>
    </w:p>
    <w:p>
      <w:pPr>
        <w:pStyle w:val="ListParagraph"/>
        <w:numPr>
          <w:ilvl w:val="0"/>
          <w:numId w:val="111"/>
        </w:numPr>
        <w:tabs>
          <w:tab w:pos="1927" w:val="left" w:leader="none"/>
          <w:tab w:pos="1928" w:val="left" w:leader="none"/>
        </w:tabs>
        <w:spacing w:line="240" w:lineRule="auto" w:before="0" w:after="0"/>
        <w:ind w:left="1927" w:right="0" w:hanging="681"/>
        <w:jc w:val="left"/>
        <w:rPr>
          <w:sz w:val="20"/>
        </w:rPr>
      </w:pPr>
      <w:r>
        <w:rPr>
          <w:w w:val="120"/>
          <w:sz w:val="20"/>
        </w:rPr>
        <w:t>We would like to be known as</w:t>
      </w:r>
      <w:r>
        <w:rPr>
          <w:spacing w:val="14"/>
          <w:w w:val="120"/>
          <w:sz w:val="20"/>
        </w:rPr>
        <w:t> </w:t>
      </w:r>
      <w:r>
        <w:rPr>
          <w:w w:val="120"/>
          <w:sz w:val="20"/>
        </w:rPr>
        <w:t>URCMusic.</w:t>
      </w:r>
    </w:p>
    <w:p>
      <w:pPr>
        <w:pStyle w:val="BodyText"/>
        <w:spacing w:before="8"/>
        <w:rPr>
          <w:sz w:val="19"/>
        </w:rPr>
      </w:pPr>
    </w:p>
    <w:p>
      <w:pPr>
        <w:pStyle w:val="ListParagraph"/>
        <w:numPr>
          <w:ilvl w:val="0"/>
          <w:numId w:val="111"/>
        </w:numPr>
        <w:tabs>
          <w:tab w:pos="1927" w:val="left" w:leader="none"/>
          <w:tab w:pos="1928" w:val="left" w:leader="none"/>
        </w:tabs>
        <w:spacing w:line="235" w:lineRule="auto" w:before="0" w:after="0"/>
        <w:ind w:left="1247" w:right="1981" w:firstLine="0"/>
        <w:jc w:val="left"/>
        <w:rPr>
          <w:sz w:val="20"/>
        </w:rPr>
      </w:pPr>
      <w:r>
        <w:rPr>
          <w:i/>
          <w:w w:val="120"/>
          <w:sz w:val="20"/>
        </w:rPr>
        <w:t>Anyone </w:t>
      </w:r>
      <w:r>
        <w:rPr>
          <w:w w:val="120"/>
          <w:sz w:val="20"/>
        </w:rPr>
        <w:t>who enjoys music in their local church, whether it be traditional, modern, multi-cultural or a mixture of all those </w:t>
      </w:r>
      <w:r>
        <w:rPr>
          <w:spacing w:val="-5"/>
          <w:w w:val="120"/>
          <w:sz w:val="20"/>
        </w:rPr>
        <w:t>(and </w:t>
      </w:r>
      <w:r>
        <w:rPr>
          <w:w w:val="120"/>
          <w:sz w:val="20"/>
        </w:rPr>
        <w:t>that should include </w:t>
      </w:r>
      <w:r>
        <w:rPr>
          <w:i/>
          <w:w w:val="120"/>
          <w:sz w:val="20"/>
        </w:rPr>
        <w:t>everyone </w:t>
      </w:r>
      <w:r>
        <w:rPr>
          <w:spacing w:val="-3"/>
          <w:w w:val="120"/>
          <w:sz w:val="20"/>
        </w:rPr>
        <w:t>!) </w:t>
      </w:r>
      <w:r>
        <w:rPr>
          <w:w w:val="120"/>
          <w:sz w:val="20"/>
        </w:rPr>
        <w:t>should be interested in how URCMusic can help them. Or perhaps you will know someone who  can help URCMusic be the organisation that is central to the way in which we make music in the United Reformed Church for the </w:t>
      </w:r>
      <w:r>
        <w:rPr>
          <w:spacing w:val="2"/>
          <w:w w:val="120"/>
          <w:sz w:val="20"/>
        </w:rPr>
        <w:t>glory </w:t>
      </w:r>
      <w:r>
        <w:rPr>
          <w:w w:val="120"/>
          <w:sz w:val="20"/>
        </w:rPr>
        <w:t>of our Lord Jesus Christ. If </w:t>
      </w:r>
      <w:r>
        <w:rPr>
          <w:i/>
          <w:w w:val="120"/>
          <w:sz w:val="20"/>
        </w:rPr>
        <w:t>you </w:t>
      </w:r>
      <w:r>
        <w:rPr>
          <w:w w:val="120"/>
          <w:sz w:val="20"/>
        </w:rPr>
        <w:t>can help URCMusic in any </w:t>
      </w:r>
      <w:r>
        <w:rPr>
          <w:spacing w:val="-4"/>
          <w:w w:val="120"/>
          <w:sz w:val="20"/>
        </w:rPr>
        <w:t>way, </w:t>
      </w:r>
      <w:r>
        <w:rPr>
          <w:w w:val="120"/>
          <w:sz w:val="20"/>
        </w:rPr>
        <w:t>please do not hesitate to get in touch with our secretary,   Mrs Chris James, via Church House or by emailing</w:t>
      </w:r>
      <w:r>
        <w:rPr>
          <w:spacing w:val="19"/>
          <w:w w:val="120"/>
          <w:sz w:val="20"/>
        </w:rPr>
        <w:t> </w:t>
      </w:r>
      <w:hyperlink r:id="rId538">
        <w:r>
          <w:rPr>
            <w:w w:val="120"/>
            <w:sz w:val="20"/>
          </w:rPr>
          <w:t>secretary@urcmusic.org.uk</w:t>
        </w:r>
      </w:hyperlink>
    </w:p>
    <w:p>
      <w:pPr>
        <w:spacing w:after="0" w:line="235" w:lineRule="auto"/>
        <w:jc w:val="left"/>
        <w:rPr>
          <w:sz w:val="20"/>
        </w:rPr>
        <w:sectPr>
          <w:headerReference w:type="even" r:id="rId534"/>
          <w:footerReference w:type="even" r:id="rId535"/>
          <w:footerReference w:type="default" r:id="rId536"/>
          <w:pgSz w:w="11910" w:h="16840"/>
          <w:pgMar w:header="0" w:footer="647" w:top="0" w:bottom="840" w:left="0" w:right="0"/>
          <w:pgNumType w:start="218"/>
        </w:sectPr>
      </w:pPr>
    </w:p>
    <w:p>
      <w:pPr>
        <w:pStyle w:val="BodyText"/>
      </w:pPr>
      <w:r>
        <w:rPr/>
        <w:drawing>
          <wp:anchor distT="0" distB="0" distL="0" distR="0" allowOverlap="1" layoutInCell="1" locked="0" behindDoc="0" simplePos="0" relativeHeight="252206080">
            <wp:simplePos x="0" y="0"/>
            <wp:positionH relativeFrom="page">
              <wp:posOffset>6974928</wp:posOffset>
            </wp:positionH>
            <wp:positionV relativeFrom="page">
              <wp:posOffset>0</wp:posOffset>
            </wp:positionV>
            <wp:extent cx="585076" cy="10692003"/>
            <wp:effectExtent l="0" t="0" r="0" b="0"/>
            <wp:wrapNone/>
            <wp:docPr id="437" name="image75.png"/>
            <wp:cNvGraphicFramePr>
              <a:graphicFrameLocks noChangeAspect="1"/>
            </wp:cNvGraphicFramePr>
            <a:graphic>
              <a:graphicData uri="http://schemas.openxmlformats.org/drawingml/2006/picture">
                <pic:pic>
                  <pic:nvPicPr>
                    <pic:cNvPr id="438" name="image75.png"/>
                    <pic:cNvPicPr/>
                  </pic:nvPicPr>
                  <pic:blipFill>
                    <a:blip r:embed="rId540" cstate="print"/>
                    <a:stretch>
                      <a:fillRect/>
                    </a:stretch>
                  </pic:blipFill>
                  <pic:spPr>
                    <a:xfrm>
                      <a:off x="0" y="0"/>
                      <a:ext cx="585076" cy="10692003"/>
                    </a:xfrm>
                    <a:prstGeom prst="rect">
                      <a:avLst/>
                    </a:prstGeom>
                  </pic:spPr>
                </pic:pic>
              </a:graphicData>
            </a:graphic>
          </wp:anchor>
        </w:drawing>
      </w:r>
    </w:p>
    <w:p>
      <w:pPr>
        <w:pStyle w:val="BodyText"/>
        <w:spacing w:before="7"/>
        <w:rPr>
          <w:sz w:val="21"/>
        </w:rPr>
      </w:pPr>
    </w:p>
    <w:p>
      <w:pPr>
        <w:pStyle w:val="Heading5"/>
        <w:ind w:left="0" w:right="1245"/>
        <w:jc w:val="right"/>
      </w:pPr>
      <w:r>
        <w:rPr/>
        <w:pict>
          <v:shape style="position:absolute;margin-left:554.141174pt;margin-top:22.593945pt;width:25.9pt;height:280.150pt;mso-position-horizontal-relative:page;mso-position-vertical-relative:paragraph;z-index:252207104" type="#_x0000_t202" filled="false" stroked="false">
            <v:textbox inset="0,0,0,0" style="layout-flow:vertical">
              <w:txbxContent>
                <w:p>
                  <w:pPr>
                    <w:spacing w:before="27"/>
                    <w:ind w:left="20" w:right="0" w:firstLine="0"/>
                    <w:jc w:val="left"/>
                    <w:rPr>
                      <w:sz w:val="39"/>
                    </w:rPr>
                  </w:pPr>
                  <w:r>
                    <w:rPr>
                      <w:color w:val="FFFFFF"/>
                      <w:spacing w:val="9"/>
                      <w:w w:val="120"/>
                      <w:sz w:val="39"/>
                    </w:rPr>
                    <w:t>Schools relating </w:t>
                  </w:r>
                  <w:r>
                    <w:rPr>
                      <w:color w:val="FFFFFF"/>
                      <w:spacing w:val="3"/>
                      <w:w w:val="120"/>
                      <w:sz w:val="39"/>
                    </w:rPr>
                    <w:t>to </w:t>
                  </w:r>
                  <w:r>
                    <w:rPr>
                      <w:color w:val="FFFFFF"/>
                      <w:spacing w:val="8"/>
                      <w:w w:val="120"/>
                      <w:sz w:val="39"/>
                    </w:rPr>
                    <w:t>the</w:t>
                  </w:r>
                  <w:r>
                    <w:rPr>
                      <w:color w:val="FFFFFF"/>
                      <w:spacing w:val="73"/>
                      <w:w w:val="120"/>
                      <w:sz w:val="39"/>
                    </w:rPr>
                    <w:t> </w:t>
                  </w:r>
                  <w:r>
                    <w:rPr>
                      <w:color w:val="FFFFFF"/>
                      <w:spacing w:val="6"/>
                      <w:w w:val="120"/>
                      <w:sz w:val="39"/>
                    </w:rPr>
                    <w:t>URC</w:t>
                  </w:r>
                </w:p>
              </w:txbxContent>
            </v:textbox>
            <w10:wrap type="none"/>
          </v:shape>
        </w:pict>
      </w:r>
      <w:r>
        <w:rPr>
          <w:color w:val="7EAABF"/>
          <w:w w:val="115"/>
        </w:rPr>
        <w:t>Information papers</w:t>
      </w:r>
    </w:p>
    <w:p>
      <w:pPr>
        <w:spacing w:before="246"/>
        <w:ind w:left="1984" w:right="0" w:firstLine="0"/>
        <w:jc w:val="left"/>
        <w:rPr>
          <w:rFonts w:ascii="Stone Sans II ITC Std X Bd"/>
          <w:b/>
          <w:sz w:val="50"/>
        </w:rPr>
      </w:pPr>
      <w:r>
        <w:rPr>
          <w:rFonts w:ascii="Stone Sans II ITC Std X Bd"/>
          <w:b/>
          <w:spacing w:val="-3"/>
          <w:w w:val="110"/>
          <w:sz w:val="50"/>
        </w:rPr>
        <w:t>Schools </w:t>
      </w:r>
      <w:r>
        <w:rPr>
          <w:rFonts w:ascii="Stone Sans II ITC Std X Bd"/>
          <w:b/>
          <w:spacing w:val="-6"/>
          <w:w w:val="110"/>
          <w:sz w:val="50"/>
        </w:rPr>
        <w:t>relating </w:t>
      </w:r>
      <w:r>
        <w:rPr>
          <w:rFonts w:ascii="Stone Sans II ITC Std X Bd"/>
          <w:b/>
          <w:spacing w:val="-7"/>
          <w:w w:val="110"/>
          <w:sz w:val="50"/>
        </w:rPr>
        <w:t>to </w:t>
      </w:r>
      <w:r>
        <w:rPr>
          <w:rFonts w:ascii="Stone Sans II ITC Std X Bd"/>
          <w:b/>
          <w:spacing w:val="-4"/>
          <w:w w:val="110"/>
          <w:sz w:val="50"/>
        </w:rPr>
        <w:t>the</w:t>
      </w:r>
      <w:r>
        <w:rPr>
          <w:rFonts w:ascii="Stone Sans II ITC Std X Bd"/>
          <w:b/>
          <w:spacing w:val="48"/>
          <w:w w:val="110"/>
          <w:sz w:val="50"/>
        </w:rPr>
        <w:t> </w:t>
      </w:r>
      <w:r>
        <w:rPr>
          <w:rFonts w:ascii="Stone Sans II ITC Std X Bd"/>
          <w:b/>
          <w:w w:val="110"/>
          <w:sz w:val="50"/>
        </w:rPr>
        <w:t>URC</w:t>
      </w:r>
    </w:p>
    <w:p>
      <w:pPr>
        <w:pStyle w:val="BodyText"/>
        <w:spacing w:before="7"/>
        <w:rPr>
          <w:rFonts w:ascii="Stone Sans II ITC Std X Bd"/>
          <w:b/>
          <w:sz w:val="54"/>
        </w:rPr>
      </w:pPr>
    </w:p>
    <w:p>
      <w:pPr>
        <w:spacing w:before="0"/>
        <w:ind w:left="1984" w:right="0" w:firstLine="0"/>
        <w:jc w:val="left"/>
        <w:rPr>
          <w:rFonts w:ascii="Stone Sans II ITC Std X Bd"/>
          <w:b/>
          <w:sz w:val="29"/>
        </w:rPr>
      </w:pPr>
      <w:r>
        <w:rPr>
          <w:rFonts w:ascii="Stone Sans II ITC Std X Bd"/>
          <w:b/>
          <w:w w:val="110"/>
          <w:sz w:val="29"/>
        </w:rPr>
        <w:t>Bournemouth Collegiate School</w:t>
      </w:r>
    </w:p>
    <w:p>
      <w:pPr>
        <w:pStyle w:val="ListParagraph"/>
        <w:numPr>
          <w:ilvl w:val="1"/>
          <w:numId w:val="111"/>
        </w:numPr>
        <w:tabs>
          <w:tab w:pos="2664" w:val="left" w:leader="none"/>
          <w:tab w:pos="2665" w:val="left" w:leader="none"/>
        </w:tabs>
        <w:spacing w:line="235" w:lineRule="auto" w:before="196" w:after="0"/>
        <w:ind w:left="1984" w:right="1416" w:firstLine="0"/>
        <w:jc w:val="left"/>
        <w:rPr>
          <w:sz w:val="20"/>
        </w:rPr>
      </w:pPr>
      <w:r>
        <w:rPr>
          <w:w w:val="120"/>
          <w:sz w:val="20"/>
        </w:rPr>
        <w:t>Bournemouth Collegiate School has enjoyed a successful time from April </w:t>
      </w:r>
      <w:r>
        <w:rPr>
          <w:spacing w:val="-7"/>
          <w:w w:val="120"/>
          <w:sz w:val="20"/>
        </w:rPr>
        <w:t>2012  </w:t>
      </w:r>
      <w:r>
        <w:rPr>
          <w:w w:val="120"/>
          <w:sz w:val="20"/>
        </w:rPr>
        <w:t>to December </w:t>
      </w:r>
      <w:r>
        <w:rPr>
          <w:spacing w:val="-7"/>
          <w:w w:val="120"/>
          <w:sz w:val="20"/>
        </w:rPr>
        <w:t>2013. </w:t>
      </w:r>
      <w:r>
        <w:rPr>
          <w:w w:val="120"/>
          <w:sz w:val="20"/>
        </w:rPr>
        <w:t>The school numbers remain buoyant and strong, which is pleasing given our strong and excessive local mainstream and independent school competition and the economic climate which really only hit the Bournemouth and Poole areas in the last </w:t>
      </w:r>
      <w:r>
        <w:rPr>
          <w:spacing w:val="-9"/>
          <w:w w:val="120"/>
          <w:sz w:val="20"/>
        </w:rPr>
        <w:t>12 </w:t>
      </w:r>
      <w:r>
        <w:rPr>
          <w:w w:val="120"/>
          <w:sz w:val="20"/>
        </w:rPr>
        <w:t>months </w:t>
      </w:r>
      <w:r>
        <w:rPr>
          <w:spacing w:val="-3"/>
          <w:w w:val="120"/>
          <w:sz w:val="20"/>
        </w:rPr>
        <w:t>(always </w:t>
      </w:r>
      <w:r>
        <w:rPr>
          <w:w w:val="120"/>
          <w:sz w:val="20"/>
        </w:rPr>
        <w:t>delayed along the south </w:t>
      </w:r>
      <w:r>
        <w:rPr>
          <w:spacing w:val="-3"/>
          <w:w w:val="120"/>
          <w:sz w:val="20"/>
        </w:rPr>
        <w:t>coast). </w:t>
      </w:r>
      <w:r>
        <w:rPr>
          <w:w w:val="120"/>
          <w:sz w:val="20"/>
        </w:rPr>
        <w:t>Most pleasing has been</w:t>
      </w:r>
      <w:r>
        <w:rPr>
          <w:spacing w:val="46"/>
          <w:w w:val="120"/>
          <w:sz w:val="20"/>
        </w:rPr>
        <w:t> </w:t>
      </w:r>
      <w:r>
        <w:rPr>
          <w:w w:val="120"/>
          <w:sz w:val="20"/>
        </w:rPr>
        <w:t>the</w:t>
      </w:r>
    </w:p>
    <w:p>
      <w:pPr>
        <w:pStyle w:val="BodyText"/>
        <w:spacing w:line="235" w:lineRule="auto" w:before="3"/>
        <w:ind w:left="1984" w:right="1244"/>
      </w:pPr>
      <w:r>
        <w:rPr>
          <w:w w:val="120"/>
        </w:rPr>
        <w:t>increase in numbers in year 12. However, the school is still challenged by having to offer considerable financial support to many parents.</w:t>
      </w:r>
    </w:p>
    <w:p>
      <w:pPr>
        <w:pStyle w:val="BodyText"/>
        <w:spacing w:before="10"/>
        <w:rPr>
          <w:sz w:val="19"/>
        </w:rPr>
      </w:pPr>
    </w:p>
    <w:p>
      <w:pPr>
        <w:pStyle w:val="ListParagraph"/>
        <w:numPr>
          <w:ilvl w:val="1"/>
          <w:numId w:val="111"/>
        </w:numPr>
        <w:tabs>
          <w:tab w:pos="2664" w:val="left" w:leader="none"/>
          <w:tab w:pos="2665" w:val="left" w:leader="none"/>
        </w:tabs>
        <w:spacing w:line="235" w:lineRule="auto" w:before="0" w:after="0"/>
        <w:ind w:left="1984" w:right="1379" w:firstLine="0"/>
        <w:jc w:val="left"/>
        <w:rPr>
          <w:sz w:val="20"/>
        </w:rPr>
      </w:pPr>
      <w:r>
        <w:rPr>
          <w:w w:val="120"/>
          <w:sz w:val="20"/>
        </w:rPr>
        <w:t>The school has strengthened and significantly enhanced our position and  quality of output regarding pupil tracking and academic monitoring </w:t>
      </w:r>
      <w:r>
        <w:rPr>
          <w:spacing w:val="-3"/>
          <w:w w:val="120"/>
          <w:sz w:val="20"/>
        </w:rPr>
        <w:t>(with </w:t>
      </w:r>
      <w:r>
        <w:rPr>
          <w:w w:val="120"/>
          <w:sz w:val="20"/>
        </w:rPr>
        <w:t>mentoring), the range of performing </w:t>
      </w:r>
      <w:r>
        <w:rPr>
          <w:spacing w:val="3"/>
          <w:w w:val="120"/>
          <w:sz w:val="20"/>
        </w:rPr>
        <w:t>arts </w:t>
      </w:r>
      <w:r>
        <w:rPr>
          <w:w w:val="120"/>
          <w:sz w:val="20"/>
        </w:rPr>
        <w:t>productions and events, </w:t>
      </w:r>
      <w:r>
        <w:rPr>
          <w:spacing w:val="2"/>
          <w:w w:val="120"/>
          <w:sz w:val="20"/>
        </w:rPr>
        <w:t>sports </w:t>
      </w:r>
      <w:r>
        <w:rPr>
          <w:w w:val="120"/>
          <w:sz w:val="20"/>
        </w:rPr>
        <w:t>academy success (international and national), visual and creative </w:t>
      </w:r>
      <w:r>
        <w:rPr>
          <w:spacing w:val="3"/>
          <w:w w:val="120"/>
          <w:sz w:val="20"/>
        </w:rPr>
        <w:t>arts </w:t>
      </w:r>
      <w:r>
        <w:rPr>
          <w:w w:val="120"/>
          <w:sz w:val="20"/>
        </w:rPr>
        <w:t>and photography, and musical repertoire and</w:t>
      </w:r>
      <w:r>
        <w:rPr>
          <w:spacing w:val="4"/>
          <w:w w:val="120"/>
          <w:sz w:val="20"/>
        </w:rPr>
        <w:t> </w:t>
      </w:r>
      <w:r>
        <w:rPr>
          <w:w w:val="120"/>
          <w:sz w:val="20"/>
        </w:rPr>
        <w:t>opportunities.</w:t>
      </w:r>
    </w:p>
    <w:p>
      <w:pPr>
        <w:pStyle w:val="BodyText"/>
        <w:spacing w:before="11"/>
        <w:rPr>
          <w:sz w:val="19"/>
        </w:rPr>
      </w:pPr>
    </w:p>
    <w:p>
      <w:pPr>
        <w:pStyle w:val="ListParagraph"/>
        <w:numPr>
          <w:ilvl w:val="1"/>
          <w:numId w:val="111"/>
        </w:numPr>
        <w:tabs>
          <w:tab w:pos="2664" w:val="left" w:leader="none"/>
          <w:tab w:pos="2665" w:val="left" w:leader="none"/>
        </w:tabs>
        <w:spacing w:line="235" w:lineRule="auto" w:before="1" w:after="0"/>
        <w:ind w:left="1984" w:right="1639" w:firstLine="0"/>
        <w:jc w:val="left"/>
        <w:rPr>
          <w:sz w:val="20"/>
        </w:rPr>
      </w:pPr>
      <w:r>
        <w:rPr>
          <w:w w:val="120"/>
          <w:sz w:val="20"/>
        </w:rPr>
        <w:t>In addition, the school’s staff team (support staff and teaching </w:t>
      </w:r>
      <w:r>
        <w:rPr>
          <w:spacing w:val="2"/>
          <w:w w:val="120"/>
          <w:sz w:val="20"/>
        </w:rPr>
        <w:t>staff) </w:t>
      </w:r>
      <w:r>
        <w:rPr>
          <w:w w:val="120"/>
          <w:sz w:val="20"/>
        </w:rPr>
        <w:t>has been significantly strengthened through the additions of new staff and more staff posts, the appointments of some outstanding staff and a focused continuing professional development programme for</w:t>
      </w:r>
      <w:r>
        <w:rPr>
          <w:spacing w:val="6"/>
          <w:w w:val="120"/>
          <w:sz w:val="20"/>
        </w:rPr>
        <w:t> </w:t>
      </w:r>
      <w:r>
        <w:rPr>
          <w:w w:val="120"/>
          <w:sz w:val="20"/>
        </w:rPr>
        <w:t>all.</w:t>
      </w:r>
    </w:p>
    <w:p>
      <w:pPr>
        <w:pStyle w:val="BodyText"/>
        <w:spacing w:before="10"/>
        <w:rPr>
          <w:sz w:val="19"/>
        </w:rPr>
      </w:pPr>
    </w:p>
    <w:p>
      <w:pPr>
        <w:pStyle w:val="ListParagraph"/>
        <w:numPr>
          <w:ilvl w:val="1"/>
          <w:numId w:val="111"/>
        </w:numPr>
        <w:tabs>
          <w:tab w:pos="2664" w:val="left" w:leader="none"/>
          <w:tab w:pos="2665" w:val="left" w:leader="none"/>
        </w:tabs>
        <w:spacing w:line="235" w:lineRule="auto" w:before="1" w:after="0"/>
        <w:ind w:left="1984" w:right="1253" w:firstLine="0"/>
        <w:jc w:val="left"/>
        <w:rPr>
          <w:sz w:val="20"/>
        </w:rPr>
      </w:pPr>
      <w:r>
        <w:rPr>
          <w:w w:val="120"/>
          <w:sz w:val="20"/>
        </w:rPr>
        <w:t>The school belongs to the United Learning group and continues to be supported well by</w:t>
      </w:r>
      <w:r>
        <w:rPr>
          <w:spacing w:val="4"/>
          <w:w w:val="120"/>
          <w:sz w:val="20"/>
        </w:rPr>
        <w:t> </w:t>
      </w:r>
      <w:r>
        <w:rPr>
          <w:w w:val="120"/>
          <w:sz w:val="20"/>
        </w:rPr>
        <w:t>them.</w:t>
      </w:r>
    </w:p>
    <w:p>
      <w:pPr>
        <w:pStyle w:val="BodyText"/>
        <w:spacing w:before="9"/>
        <w:rPr>
          <w:sz w:val="19"/>
        </w:rPr>
      </w:pPr>
    </w:p>
    <w:p>
      <w:pPr>
        <w:pStyle w:val="ListParagraph"/>
        <w:numPr>
          <w:ilvl w:val="1"/>
          <w:numId w:val="111"/>
        </w:numPr>
        <w:tabs>
          <w:tab w:pos="2664" w:val="left" w:leader="none"/>
          <w:tab w:pos="2665" w:val="left" w:leader="none"/>
        </w:tabs>
        <w:spacing w:line="235" w:lineRule="auto" w:before="0" w:after="0"/>
        <w:ind w:left="1984" w:right="1317" w:firstLine="0"/>
        <w:jc w:val="left"/>
        <w:rPr>
          <w:sz w:val="20"/>
        </w:rPr>
      </w:pPr>
      <w:r>
        <w:rPr>
          <w:w w:val="120"/>
          <w:sz w:val="20"/>
        </w:rPr>
        <w:t>There are numerous challenges for BCS to address. The local schools have all increased the numbers on their rolls and places available, with the result that we have a very mixed, and in some year groups, weak academic clientele. An increasing number  of parents are experiencing financial pressures. Our senior school has very old and in some cases very poor facilities and this is hampering recruitment. Its lack of suitable teaching spaces is adversely impacting on teaching and learning. Like all</w:t>
      </w:r>
      <w:r>
        <w:rPr>
          <w:spacing w:val="8"/>
          <w:w w:val="120"/>
          <w:sz w:val="20"/>
        </w:rPr>
        <w:t> </w:t>
      </w:r>
      <w:r>
        <w:rPr>
          <w:w w:val="120"/>
          <w:sz w:val="20"/>
        </w:rPr>
        <w:t>schools,</w:t>
      </w:r>
    </w:p>
    <w:p>
      <w:pPr>
        <w:pStyle w:val="BodyText"/>
        <w:spacing w:line="235" w:lineRule="auto" w:before="5"/>
        <w:ind w:left="1984" w:right="1726"/>
      </w:pPr>
      <w:r>
        <w:rPr>
          <w:w w:val="120"/>
        </w:rPr>
        <w:t>we must contend with the constant meddling in education by the authorities and the changes to GCSE’s and A level requirements. We also need more members with appropriate expertise and skills on our local governing body.</w:t>
      </w:r>
    </w:p>
    <w:p>
      <w:pPr>
        <w:pStyle w:val="BodyText"/>
        <w:spacing w:before="10"/>
        <w:rPr>
          <w:sz w:val="19"/>
        </w:rPr>
      </w:pPr>
    </w:p>
    <w:p>
      <w:pPr>
        <w:pStyle w:val="ListParagraph"/>
        <w:numPr>
          <w:ilvl w:val="1"/>
          <w:numId w:val="111"/>
        </w:numPr>
        <w:tabs>
          <w:tab w:pos="2664" w:val="left" w:leader="none"/>
          <w:tab w:pos="2665" w:val="left" w:leader="none"/>
        </w:tabs>
        <w:spacing w:line="235" w:lineRule="auto" w:before="0" w:after="0"/>
        <w:ind w:left="1984" w:right="1566" w:firstLine="0"/>
        <w:jc w:val="left"/>
        <w:rPr>
          <w:sz w:val="20"/>
        </w:rPr>
      </w:pPr>
      <w:r>
        <w:rPr>
          <w:w w:val="120"/>
          <w:sz w:val="20"/>
        </w:rPr>
        <w:t>In conclusion, I can </w:t>
      </w:r>
      <w:r>
        <w:rPr>
          <w:spacing w:val="2"/>
          <w:w w:val="120"/>
          <w:sz w:val="20"/>
        </w:rPr>
        <w:t>report </w:t>
      </w:r>
      <w:r>
        <w:rPr>
          <w:w w:val="120"/>
          <w:sz w:val="20"/>
        </w:rPr>
        <w:t>a happy school that is unrecognisable from the one four years ago. We remain proud our pupils’ achievements and successes, and we intend to set the bar even higher to the next academic</w:t>
      </w:r>
      <w:r>
        <w:rPr>
          <w:spacing w:val="24"/>
          <w:w w:val="120"/>
          <w:sz w:val="20"/>
        </w:rPr>
        <w:t> </w:t>
      </w:r>
      <w:r>
        <w:rPr>
          <w:spacing w:val="-4"/>
          <w:w w:val="120"/>
          <w:sz w:val="20"/>
        </w:rPr>
        <w:t>year.</w:t>
      </w:r>
    </w:p>
    <w:p>
      <w:pPr>
        <w:spacing w:after="0" w:line="235" w:lineRule="auto"/>
        <w:jc w:val="left"/>
        <w:rPr>
          <w:sz w:val="20"/>
        </w:rPr>
        <w:sectPr>
          <w:headerReference w:type="default" r:id="rId539"/>
          <w:pgSz w:w="11910" w:h="16840"/>
          <w:pgMar w:header="0" w:footer="647" w:top="0" w:bottom="840" w:left="0" w:right="0"/>
        </w:sectPr>
      </w:pPr>
    </w:p>
    <w:p>
      <w:pPr>
        <w:pStyle w:val="BodyText"/>
      </w:pPr>
      <w:r>
        <w:rPr/>
        <w:drawing>
          <wp:anchor distT="0" distB="0" distL="0" distR="0" allowOverlap="1" layoutInCell="1" locked="0" behindDoc="0" simplePos="0" relativeHeight="252208128">
            <wp:simplePos x="0" y="0"/>
            <wp:positionH relativeFrom="page">
              <wp:posOffset>0</wp:posOffset>
            </wp:positionH>
            <wp:positionV relativeFrom="page">
              <wp:posOffset>0</wp:posOffset>
            </wp:positionV>
            <wp:extent cx="594067" cy="10692003"/>
            <wp:effectExtent l="0" t="0" r="0" b="0"/>
            <wp:wrapNone/>
            <wp:docPr id="439" name="image74.png"/>
            <wp:cNvGraphicFramePr>
              <a:graphicFrameLocks noChangeAspect="1"/>
            </wp:cNvGraphicFramePr>
            <a:graphic>
              <a:graphicData uri="http://schemas.openxmlformats.org/drawingml/2006/picture">
                <pic:pic>
                  <pic:nvPicPr>
                    <pic:cNvPr id="440" name="image74.png"/>
                    <pic:cNvPicPr/>
                  </pic:nvPicPr>
                  <pic:blipFill>
                    <a:blip r:embed="rId537"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shape style="position:absolute;margin-left:20.519100pt;margin-top:22.593945pt;width:25.9pt;height:280.150pt;mso-position-horizontal-relative:page;mso-position-vertical-relative:paragraph;z-index:252211200" type="#_x0000_t202" filled="false" stroked="false">
            <v:textbox inset="0,0,0,0" style="layout-flow:vertical">
              <w:txbxContent>
                <w:p>
                  <w:pPr>
                    <w:spacing w:before="27"/>
                    <w:ind w:left="20" w:right="0" w:firstLine="0"/>
                    <w:jc w:val="left"/>
                    <w:rPr>
                      <w:sz w:val="39"/>
                    </w:rPr>
                  </w:pPr>
                  <w:r>
                    <w:rPr>
                      <w:color w:val="FFFFFF"/>
                      <w:spacing w:val="9"/>
                      <w:w w:val="120"/>
                      <w:sz w:val="39"/>
                    </w:rPr>
                    <w:t>Schools relating </w:t>
                  </w:r>
                  <w:r>
                    <w:rPr>
                      <w:color w:val="FFFFFF"/>
                      <w:spacing w:val="3"/>
                      <w:w w:val="120"/>
                      <w:sz w:val="39"/>
                    </w:rPr>
                    <w:t>to </w:t>
                  </w:r>
                  <w:r>
                    <w:rPr>
                      <w:color w:val="FFFFFF"/>
                      <w:spacing w:val="8"/>
                      <w:w w:val="120"/>
                      <w:sz w:val="39"/>
                    </w:rPr>
                    <w:t>the</w:t>
                  </w:r>
                  <w:r>
                    <w:rPr>
                      <w:color w:val="FFFFFF"/>
                      <w:spacing w:val="73"/>
                      <w:w w:val="120"/>
                      <w:sz w:val="39"/>
                    </w:rPr>
                    <w:t> </w:t>
                  </w:r>
                  <w:r>
                    <w:rPr>
                      <w:color w:val="FFFFFF"/>
                      <w:spacing w:val="6"/>
                      <w:w w:val="120"/>
                      <w:sz w:val="39"/>
                    </w:rPr>
                    <w:t>URC</w:t>
                  </w:r>
                </w:p>
              </w:txbxContent>
            </v:textbox>
            <w10:wrap type="none"/>
          </v:shape>
        </w:pict>
      </w:r>
      <w:r>
        <w:rPr>
          <w:color w:val="7EAABF"/>
          <w:w w:val="115"/>
        </w:rPr>
        <w:t>Information papers</w:t>
      </w:r>
    </w:p>
    <w:p>
      <w:pPr>
        <w:pStyle w:val="BodyText"/>
        <w:spacing w:before="10"/>
        <w:rPr>
          <w:sz w:val="23"/>
        </w:rPr>
      </w:pPr>
    </w:p>
    <w:p>
      <w:pPr>
        <w:spacing w:before="0"/>
        <w:ind w:left="1247" w:right="0" w:firstLine="0"/>
        <w:jc w:val="left"/>
        <w:rPr>
          <w:rFonts w:ascii="Stone Sans II ITC Std X Bd"/>
          <w:b/>
          <w:sz w:val="29"/>
        </w:rPr>
      </w:pPr>
      <w:r>
        <w:rPr>
          <w:rFonts w:ascii="Stone Sans II ITC Std X Bd"/>
          <w:b/>
          <w:w w:val="110"/>
          <w:sz w:val="29"/>
        </w:rPr>
        <w:t>Caterham School</w:t>
      </w:r>
    </w:p>
    <w:p>
      <w:pPr>
        <w:pStyle w:val="ListParagraph"/>
        <w:numPr>
          <w:ilvl w:val="0"/>
          <w:numId w:val="113"/>
        </w:numPr>
        <w:tabs>
          <w:tab w:pos="1927" w:val="left" w:leader="none"/>
          <w:tab w:pos="1928" w:val="left" w:leader="none"/>
        </w:tabs>
        <w:spacing w:line="240" w:lineRule="auto" w:before="312" w:after="0"/>
        <w:ind w:left="1927" w:right="0" w:hanging="681"/>
        <w:jc w:val="left"/>
        <w:rPr>
          <w:sz w:val="20"/>
        </w:rPr>
      </w:pPr>
      <w:r>
        <w:rPr>
          <w:w w:val="120"/>
          <w:sz w:val="20"/>
        </w:rPr>
        <w:t>I am pleased to </w:t>
      </w:r>
      <w:r>
        <w:rPr>
          <w:spacing w:val="2"/>
          <w:w w:val="120"/>
          <w:sz w:val="20"/>
        </w:rPr>
        <w:t>report </w:t>
      </w:r>
      <w:r>
        <w:rPr>
          <w:w w:val="120"/>
          <w:sz w:val="20"/>
        </w:rPr>
        <w:t>that, once again, the past year has been very</w:t>
      </w:r>
      <w:r>
        <w:rPr>
          <w:spacing w:val="20"/>
          <w:w w:val="120"/>
          <w:sz w:val="20"/>
        </w:rPr>
        <w:t> </w:t>
      </w:r>
      <w:r>
        <w:rPr>
          <w:w w:val="120"/>
          <w:sz w:val="20"/>
        </w:rPr>
        <w:t>successful.</w:t>
      </w:r>
    </w:p>
    <w:p>
      <w:pPr>
        <w:pStyle w:val="BodyText"/>
        <w:spacing w:before="8"/>
        <w:rPr>
          <w:sz w:val="19"/>
        </w:rPr>
      </w:pPr>
    </w:p>
    <w:p>
      <w:pPr>
        <w:pStyle w:val="ListParagraph"/>
        <w:numPr>
          <w:ilvl w:val="0"/>
          <w:numId w:val="113"/>
        </w:numPr>
        <w:tabs>
          <w:tab w:pos="1927" w:val="left" w:leader="none"/>
          <w:tab w:pos="1928" w:val="left" w:leader="none"/>
        </w:tabs>
        <w:spacing w:line="235" w:lineRule="auto" w:before="0" w:after="0"/>
        <w:ind w:left="1247" w:right="2848" w:firstLine="0"/>
        <w:jc w:val="left"/>
        <w:rPr>
          <w:sz w:val="20"/>
        </w:rPr>
      </w:pPr>
      <w:r>
        <w:rPr>
          <w:w w:val="120"/>
          <w:sz w:val="20"/>
        </w:rPr>
        <w:t>In academic terms we had our best ever year for GCSE results with every record</w:t>
      </w:r>
      <w:r>
        <w:rPr>
          <w:spacing w:val="2"/>
          <w:w w:val="120"/>
          <w:sz w:val="20"/>
        </w:rPr>
        <w:t> </w:t>
      </w:r>
      <w:r>
        <w:rPr>
          <w:w w:val="120"/>
          <w:sz w:val="20"/>
        </w:rPr>
        <w:t>broken:</w:t>
      </w:r>
    </w:p>
    <w:p>
      <w:pPr>
        <w:pStyle w:val="BodyText"/>
        <w:spacing w:line="240" w:lineRule="exact"/>
        <w:ind w:left="1927"/>
      </w:pPr>
      <w:r>
        <w:rPr>
          <w:w w:val="120"/>
        </w:rPr>
        <w:t>A*48%</w:t>
      </w:r>
    </w:p>
    <w:p>
      <w:pPr>
        <w:pStyle w:val="BodyText"/>
        <w:tabs>
          <w:tab w:pos="2687" w:val="left" w:leader="none"/>
        </w:tabs>
        <w:spacing w:line="240" w:lineRule="exact"/>
        <w:ind w:left="1927"/>
      </w:pPr>
      <w:r>
        <w:rPr>
          <w:w w:val="120"/>
        </w:rPr>
        <w:t>A*-A</w:t>
        <w:tab/>
      </w:r>
      <w:r>
        <w:rPr>
          <w:spacing w:val="-2"/>
          <w:w w:val="120"/>
        </w:rPr>
        <w:t>78%</w:t>
      </w:r>
    </w:p>
    <w:p>
      <w:pPr>
        <w:pStyle w:val="BodyText"/>
        <w:tabs>
          <w:tab w:pos="2687" w:val="left" w:leader="none"/>
        </w:tabs>
        <w:spacing w:line="240" w:lineRule="exact"/>
        <w:ind w:left="1927"/>
      </w:pPr>
      <w:r>
        <w:rPr>
          <w:w w:val="120"/>
        </w:rPr>
        <w:t>A*-B</w:t>
        <w:tab/>
      </w:r>
      <w:r>
        <w:rPr>
          <w:spacing w:val="-6"/>
          <w:w w:val="120"/>
        </w:rPr>
        <w:t>95%</w:t>
      </w:r>
    </w:p>
    <w:p>
      <w:pPr>
        <w:pStyle w:val="BodyText"/>
        <w:tabs>
          <w:tab w:pos="2687" w:val="left" w:leader="none"/>
        </w:tabs>
        <w:spacing w:line="242" w:lineRule="exact"/>
        <w:ind w:left="1927"/>
      </w:pPr>
      <w:r>
        <w:rPr>
          <w:w w:val="125"/>
        </w:rPr>
        <w:t>A*-C</w:t>
        <w:tab/>
      </w:r>
      <w:r>
        <w:rPr>
          <w:spacing w:val="-5"/>
          <w:w w:val="125"/>
        </w:rPr>
        <w:t>99.5%</w:t>
      </w:r>
    </w:p>
    <w:p>
      <w:pPr>
        <w:pStyle w:val="BodyText"/>
        <w:spacing w:before="7"/>
        <w:rPr>
          <w:sz w:val="19"/>
        </w:rPr>
      </w:pPr>
    </w:p>
    <w:p>
      <w:pPr>
        <w:pStyle w:val="ListParagraph"/>
        <w:numPr>
          <w:ilvl w:val="0"/>
          <w:numId w:val="113"/>
        </w:numPr>
        <w:tabs>
          <w:tab w:pos="1927" w:val="left" w:leader="none"/>
          <w:tab w:pos="1928" w:val="left" w:leader="none"/>
        </w:tabs>
        <w:spacing w:line="235" w:lineRule="auto" w:before="0" w:after="0"/>
        <w:ind w:left="1247" w:right="2615" w:firstLine="0"/>
        <w:jc w:val="left"/>
        <w:rPr>
          <w:sz w:val="20"/>
        </w:rPr>
      </w:pPr>
      <w:r>
        <w:rPr>
          <w:w w:val="120"/>
          <w:sz w:val="20"/>
        </w:rPr>
        <w:t>We also had some excellent A level results. The raw data did not match last year but they represent a significant result for each student with many achieving personal</w:t>
      </w:r>
      <w:r>
        <w:rPr>
          <w:spacing w:val="1"/>
          <w:w w:val="120"/>
          <w:sz w:val="20"/>
        </w:rPr>
        <w:t> </w:t>
      </w:r>
      <w:r>
        <w:rPr>
          <w:w w:val="120"/>
          <w:sz w:val="20"/>
        </w:rPr>
        <w:t>bests:</w:t>
      </w:r>
    </w:p>
    <w:p>
      <w:pPr>
        <w:pStyle w:val="BodyText"/>
        <w:spacing w:line="240" w:lineRule="exact"/>
        <w:ind w:left="1927"/>
      </w:pPr>
      <w:r>
        <w:rPr>
          <w:w w:val="120"/>
        </w:rPr>
        <w:t>A*22%</w:t>
      </w:r>
    </w:p>
    <w:p>
      <w:pPr>
        <w:pStyle w:val="BodyText"/>
        <w:tabs>
          <w:tab w:pos="2687" w:val="left" w:leader="none"/>
        </w:tabs>
        <w:spacing w:line="240" w:lineRule="exact"/>
        <w:ind w:left="1927"/>
      </w:pPr>
      <w:r>
        <w:rPr>
          <w:w w:val="120"/>
        </w:rPr>
        <w:t>A*-A</w:t>
        <w:tab/>
        <w:t>62%</w:t>
      </w:r>
    </w:p>
    <w:p>
      <w:pPr>
        <w:pStyle w:val="BodyText"/>
        <w:tabs>
          <w:tab w:pos="2687" w:val="left" w:leader="none"/>
        </w:tabs>
        <w:spacing w:line="240" w:lineRule="exact"/>
        <w:ind w:left="1927"/>
      </w:pPr>
      <w:r>
        <w:rPr>
          <w:w w:val="120"/>
        </w:rPr>
        <w:t>A*-B</w:t>
        <w:tab/>
        <w:t>88%</w:t>
      </w:r>
    </w:p>
    <w:p>
      <w:pPr>
        <w:pStyle w:val="BodyText"/>
        <w:tabs>
          <w:tab w:pos="2687" w:val="left" w:leader="none"/>
        </w:tabs>
        <w:spacing w:line="242" w:lineRule="exact"/>
        <w:ind w:left="1927"/>
      </w:pPr>
      <w:r>
        <w:rPr>
          <w:w w:val="125"/>
        </w:rPr>
        <w:t>A*-C</w:t>
        <w:tab/>
      </w:r>
      <w:r>
        <w:rPr>
          <w:spacing w:val="-4"/>
          <w:w w:val="125"/>
        </w:rPr>
        <w:t>97%</w:t>
      </w:r>
    </w:p>
    <w:p>
      <w:pPr>
        <w:pStyle w:val="BodyText"/>
        <w:spacing w:before="8"/>
        <w:rPr>
          <w:sz w:val="19"/>
        </w:rPr>
      </w:pPr>
    </w:p>
    <w:p>
      <w:pPr>
        <w:pStyle w:val="ListParagraph"/>
        <w:numPr>
          <w:ilvl w:val="0"/>
          <w:numId w:val="113"/>
        </w:numPr>
        <w:tabs>
          <w:tab w:pos="1927" w:val="left" w:leader="none"/>
          <w:tab w:pos="1928" w:val="left" w:leader="none"/>
        </w:tabs>
        <w:spacing w:line="235" w:lineRule="auto" w:before="0" w:after="0"/>
        <w:ind w:left="1247" w:right="2176" w:firstLine="0"/>
        <w:jc w:val="left"/>
        <w:rPr>
          <w:sz w:val="20"/>
        </w:rPr>
      </w:pPr>
      <w:r>
        <w:rPr>
          <w:w w:val="120"/>
          <w:sz w:val="20"/>
        </w:rPr>
        <w:t>This year we have a record number of pupils on the senior school roll </w:t>
      </w:r>
      <w:r>
        <w:rPr>
          <w:spacing w:val="-7"/>
          <w:w w:val="120"/>
          <w:sz w:val="20"/>
        </w:rPr>
        <w:t>(879). </w:t>
      </w:r>
      <w:r>
        <w:rPr>
          <w:w w:val="120"/>
          <w:sz w:val="20"/>
        </w:rPr>
        <w:t>We have record number of applications for both day and boarding places, which bodes well for the</w:t>
      </w:r>
      <w:r>
        <w:rPr>
          <w:spacing w:val="5"/>
          <w:w w:val="120"/>
          <w:sz w:val="20"/>
        </w:rPr>
        <w:t> </w:t>
      </w:r>
      <w:r>
        <w:rPr>
          <w:w w:val="120"/>
          <w:sz w:val="20"/>
        </w:rPr>
        <w:t>future.</w:t>
      </w:r>
    </w:p>
    <w:p>
      <w:pPr>
        <w:pStyle w:val="BodyText"/>
        <w:spacing w:before="10"/>
        <w:rPr>
          <w:sz w:val="19"/>
        </w:rPr>
      </w:pPr>
    </w:p>
    <w:p>
      <w:pPr>
        <w:pStyle w:val="ListParagraph"/>
        <w:numPr>
          <w:ilvl w:val="0"/>
          <w:numId w:val="113"/>
        </w:numPr>
        <w:tabs>
          <w:tab w:pos="1927" w:val="left" w:leader="none"/>
          <w:tab w:pos="1928" w:val="left" w:leader="none"/>
        </w:tabs>
        <w:spacing w:line="235" w:lineRule="auto" w:before="1" w:after="0"/>
        <w:ind w:left="1247" w:right="2222" w:firstLine="0"/>
        <w:jc w:val="left"/>
        <w:rPr>
          <w:sz w:val="20"/>
        </w:rPr>
      </w:pPr>
      <w:r>
        <w:rPr>
          <w:w w:val="120"/>
          <w:sz w:val="20"/>
        </w:rPr>
        <w:t>The school maintains its commitment to holistic education, with a strong focus on what happens outside the</w:t>
      </w:r>
      <w:r>
        <w:rPr>
          <w:spacing w:val="10"/>
          <w:w w:val="120"/>
          <w:sz w:val="20"/>
        </w:rPr>
        <w:t> </w:t>
      </w:r>
      <w:r>
        <w:rPr>
          <w:w w:val="120"/>
          <w:sz w:val="20"/>
        </w:rPr>
        <w:t>classroom.</w:t>
      </w:r>
    </w:p>
    <w:p>
      <w:pPr>
        <w:pStyle w:val="BodyText"/>
        <w:spacing w:before="9"/>
        <w:rPr>
          <w:sz w:val="19"/>
        </w:rPr>
      </w:pPr>
    </w:p>
    <w:p>
      <w:pPr>
        <w:pStyle w:val="ListParagraph"/>
        <w:numPr>
          <w:ilvl w:val="0"/>
          <w:numId w:val="113"/>
        </w:numPr>
        <w:tabs>
          <w:tab w:pos="1927" w:val="left" w:leader="none"/>
          <w:tab w:pos="1928" w:val="left" w:leader="none"/>
        </w:tabs>
        <w:spacing w:line="235" w:lineRule="auto" w:before="0" w:after="0"/>
        <w:ind w:left="1247" w:right="6574" w:firstLine="0"/>
        <w:jc w:val="left"/>
        <w:rPr>
          <w:sz w:val="20"/>
        </w:rPr>
      </w:pPr>
      <w:r>
        <w:rPr/>
        <w:pict>
          <v:group style="position:absolute;margin-left:279.212585pt;margin-top:-.208547pt;width:262.4pt;height:196.8pt;mso-position-horizontal-relative:page;mso-position-vertical-relative:paragraph;z-index:252210176" coordorigin="5584,-4" coordsize="5248,3936">
            <v:shape style="position:absolute;left:5584;top:-5;width:5248;height:3936" type="#_x0000_t75" stroked="false">
              <v:imagedata r:id="rId544" o:title=""/>
            </v:shape>
            <v:shape style="position:absolute;left:7998;top:3629;width:2708;height:219" type="#_x0000_t202" filled="false" stroked="false">
              <v:textbox inset="0,0,0,0">
                <w:txbxContent>
                  <w:p>
                    <w:pPr>
                      <w:spacing w:line="217" w:lineRule="exact" w:before="1"/>
                      <w:ind w:left="0" w:right="0" w:firstLine="0"/>
                      <w:jc w:val="left"/>
                      <w:rPr>
                        <w:sz w:val="18"/>
                      </w:rPr>
                    </w:pPr>
                    <w:r>
                      <w:rPr>
                        <w:color w:val="FFFFFF"/>
                        <w:w w:val="110"/>
                        <w:sz w:val="18"/>
                      </w:rPr>
                      <w:t>Home Field with Old Park Woods</w:t>
                    </w:r>
                  </w:p>
                </w:txbxContent>
              </v:textbox>
              <w10:wrap type="none"/>
            </v:shape>
            <w10:wrap type="none"/>
          </v:group>
        </w:pict>
      </w:r>
      <w:r>
        <w:rPr>
          <w:w w:val="120"/>
          <w:sz w:val="20"/>
        </w:rPr>
        <w:t>A notable and extremely positive development for the school is our recent purchase of Old Park Woods and Gravelly Hill Woods. </w:t>
      </w:r>
      <w:r>
        <w:rPr>
          <w:spacing w:val="3"/>
          <w:w w:val="120"/>
          <w:sz w:val="20"/>
        </w:rPr>
        <w:t>As </w:t>
      </w:r>
      <w:r>
        <w:rPr>
          <w:w w:val="120"/>
          <w:sz w:val="20"/>
        </w:rPr>
        <w:t>the Headmaster, Julian Thomas, states: ‘This is a truly significant moment in the school’s </w:t>
      </w:r>
      <w:r>
        <w:rPr>
          <w:spacing w:val="-3"/>
          <w:w w:val="120"/>
          <w:sz w:val="20"/>
        </w:rPr>
        <w:t>202 </w:t>
      </w:r>
      <w:r>
        <w:rPr>
          <w:w w:val="120"/>
          <w:sz w:val="20"/>
        </w:rPr>
        <w:t>year history’. For those not wholly familiar with the area, the photograph shows Home Field with Old Park Woods in the background. </w:t>
      </w:r>
      <w:r>
        <w:rPr>
          <w:spacing w:val="3"/>
          <w:w w:val="120"/>
          <w:sz w:val="20"/>
        </w:rPr>
        <w:t>As </w:t>
      </w:r>
      <w:r>
        <w:rPr>
          <w:w w:val="120"/>
          <w:sz w:val="20"/>
        </w:rPr>
        <w:t>you will see, the woodland is contiguous with the school’s boundary. Its purchase takes the overall size of the school’s campus to over 200 acres. The school is committed to a programme of inspirational learning outside, as well as inside, the classroom. We want students to be inspired by their</w:t>
      </w:r>
      <w:r>
        <w:rPr>
          <w:spacing w:val="23"/>
          <w:w w:val="120"/>
          <w:sz w:val="20"/>
        </w:rPr>
        <w:t> </w:t>
      </w:r>
      <w:r>
        <w:rPr>
          <w:w w:val="120"/>
          <w:sz w:val="20"/>
        </w:rPr>
        <w:t>surroundings</w:t>
      </w:r>
    </w:p>
    <w:p>
      <w:pPr>
        <w:pStyle w:val="BodyText"/>
        <w:spacing w:line="242" w:lineRule="exact" w:before="9"/>
        <w:ind w:left="1247"/>
      </w:pPr>
      <w:r>
        <w:rPr>
          <w:w w:val="120"/>
        </w:rPr>
        <w:t>and to learn both the delight and value</w:t>
      </w:r>
    </w:p>
    <w:p>
      <w:pPr>
        <w:pStyle w:val="BodyText"/>
        <w:spacing w:line="235" w:lineRule="auto" w:before="2"/>
        <w:ind w:left="1247" w:right="2167"/>
      </w:pPr>
      <w:r>
        <w:rPr>
          <w:w w:val="120"/>
        </w:rPr>
        <w:t>of being outside. We have recently completed our new outdoor learning area which includes a high-ropes course, climbing tower and outdoor classroom </w:t>
      </w:r>
      <w:r>
        <w:rPr>
          <w:spacing w:val="-4"/>
          <w:w w:val="120"/>
        </w:rPr>
        <w:t>(see </w:t>
      </w:r>
      <w:r>
        <w:rPr>
          <w:w w:val="120"/>
        </w:rPr>
        <w:t>photographs </w:t>
      </w:r>
      <w:r>
        <w:rPr>
          <w:spacing w:val="-3"/>
          <w:w w:val="120"/>
        </w:rPr>
        <w:t>below). </w:t>
      </w:r>
      <w:r>
        <w:rPr>
          <w:w w:val="120"/>
        </w:rPr>
        <w:t>This acquisition will allow us to develop our programme of outdoor activities  for students even</w:t>
      </w:r>
      <w:r>
        <w:rPr>
          <w:spacing w:val="5"/>
          <w:w w:val="120"/>
        </w:rPr>
        <w:t> </w:t>
      </w:r>
      <w:r>
        <w:rPr>
          <w:w w:val="120"/>
        </w:rPr>
        <w:t>further.</w:t>
      </w:r>
    </w:p>
    <w:p>
      <w:pPr>
        <w:pStyle w:val="BodyText"/>
        <w:spacing w:before="10"/>
        <w:rPr>
          <w:sz w:val="19"/>
        </w:rPr>
      </w:pPr>
    </w:p>
    <w:p>
      <w:pPr>
        <w:pStyle w:val="ListParagraph"/>
        <w:numPr>
          <w:ilvl w:val="0"/>
          <w:numId w:val="113"/>
        </w:numPr>
        <w:tabs>
          <w:tab w:pos="1927" w:val="left" w:leader="none"/>
          <w:tab w:pos="1928" w:val="left" w:leader="none"/>
        </w:tabs>
        <w:spacing w:line="235" w:lineRule="auto" w:before="1" w:after="0"/>
        <w:ind w:left="1247" w:right="2234" w:firstLine="0"/>
        <w:jc w:val="left"/>
        <w:rPr>
          <w:sz w:val="20"/>
        </w:rPr>
      </w:pPr>
      <w:r>
        <w:rPr>
          <w:w w:val="120"/>
          <w:sz w:val="20"/>
        </w:rPr>
        <w:t>There have been some terrific achievements in school </w:t>
      </w:r>
      <w:r>
        <w:rPr>
          <w:spacing w:val="2"/>
          <w:w w:val="120"/>
          <w:sz w:val="20"/>
        </w:rPr>
        <w:t>sport, </w:t>
      </w:r>
      <w:r>
        <w:rPr>
          <w:w w:val="120"/>
          <w:sz w:val="20"/>
        </w:rPr>
        <w:t>too, although the heavy rain during the summer term hampered many of the school’s Saturday cricket fixtures. A new director of rugby, Dan Richards, was appointed for the </w:t>
      </w:r>
      <w:r>
        <w:rPr>
          <w:spacing w:val="2"/>
          <w:w w:val="120"/>
          <w:sz w:val="20"/>
        </w:rPr>
        <w:t>start </w:t>
      </w:r>
      <w:r>
        <w:rPr>
          <w:w w:val="120"/>
          <w:sz w:val="20"/>
        </w:rPr>
        <w:t>of the autumn term and he is already making a positive impact on all the rugby teams. It has also been an extremely successful term for our lacrosse teams. Netball continues to be very popular, demonstrated by a successful tour of Dubai which took place in the autumn half-term break. There continues to be an extensive range of around 60 clubs and societies for pupils to enjoy during break times and after</w:t>
      </w:r>
      <w:r>
        <w:rPr>
          <w:spacing w:val="26"/>
          <w:w w:val="120"/>
          <w:sz w:val="20"/>
        </w:rPr>
        <w:t> </w:t>
      </w:r>
      <w:r>
        <w:rPr>
          <w:w w:val="120"/>
          <w:sz w:val="20"/>
        </w:rPr>
        <w:t>school.</w:t>
      </w:r>
    </w:p>
    <w:p>
      <w:pPr>
        <w:spacing w:after="0" w:line="235" w:lineRule="auto"/>
        <w:jc w:val="left"/>
        <w:rPr>
          <w:sz w:val="20"/>
        </w:rPr>
        <w:sectPr>
          <w:headerReference w:type="even" r:id="rId541"/>
          <w:footerReference w:type="even" r:id="rId542"/>
          <w:footerReference w:type="default" r:id="rId543"/>
          <w:pgSz w:w="11910" w:h="16840"/>
          <w:pgMar w:header="0" w:footer="647" w:top="0" w:bottom="840" w:left="0" w:right="0"/>
        </w:sectPr>
      </w:pPr>
    </w:p>
    <w:p>
      <w:pPr>
        <w:pStyle w:val="BodyText"/>
      </w:pPr>
      <w:r>
        <w:rPr/>
        <w:pict>
          <v:group style="position:absolute;margin-left:276.293823pt;margin-top:0pt;width:319pt;height:841.9pt;mso-position-horizontal-relative:page;mso-position-vertical-relative:page;z-index:-267064320" coordorigin="5526,0" coordsize="6380,16838">
            <v:shape style="position:absolute;left:10984;top:0;width:922;height:16838" type="#_x0000_t75" stroked="false">
              <v:imagedata r:id="rId540" o:title=""/>
            </v:shape>
            <v:shape style="position:absolute;left:5525;top:1209;width:5456;height:4079" type="#_x0000_t75" stroked="false">
              <v:imagedata r:id="rId546" o:title=""/>
            </v:shape>
            <v:shape style="position:absolute;left:5525;top:5429;width:5456;height:4079" type="#_x0000_t75" stroked="false">
              <v:imagedata r:id="rId547" o:title=""/>
            </v:shape>
            <v:shape style="position:absolute;left:5525;top:9649;width:5456;height:4079" type="#_x0000_t75" stroked="false">
              <v:imagedata r:id="rId548" o:title=""/>
            </v:shape>
            <w10:wrap type="none"/>
          </v:group>
        </w:pict>
      </w:r>
    </w:p>
    <w:p>
      <w:pPr>
        <w:pStyle w:val="BodyText"/>
        <w:spacing w:before="7"/>
        <w:rPr>
          <w:sz w:val="21"/>
        </w:rPr>
      </w:pPr>
    </w:p>
    <w:p>
      <w:pPr>
        <w:pStyle w:val="Heading5"/>
        <w:ind w:left="0" w:right="1245"/>
        <w:jc w:val="right"/>
      </w:pPr>
      <w:r>
        <w:rPr/>
        <w:pict>
          <v:shape style="position:absolute;margin-left:554.141174pt;margin-top:22.593945pt;width:25.9pt;height:280.150pt;mso-position-horizontal-relative:page;mso-position-vertical-relative:paragraph;z-index:252213248" type="#_x0000_t202" filled="false" stroked="false">
            <v:textbox inset="0,0,0,0" style="layout-flow:vertical">
              <w:txbxContent>
                <w:p>
                  <w:pPr>
                    <w:spacing w:before="27"/>
                    <w:ind w:left="20" w:right="0" w:firstLine="0"/>
                    <w:jc w:val="left"/>
                    <w:rPr>
                      <w:sz w:val="39"/>
                    </w:rPr>
                  </w:pPr>
                  <w:r>
                    <w:rPr>
                      <w:color w:val="FFFFFF"/>
                      <w:spacing w:val="9"/>
                      <w:w w:val="120"/>
                      <w:sz w:val="39"/>
                    </w:rPr>
                    <w:t>Schools relating </w:t>
                  </w:r>
                  <w:r>
                    <w:rPr>
                      <w:color w:val="FFFFFF"/>
                      <w:spacing w:val="3"/>
                      <w:w w:val="120"/>
                      <w:sz w:val="39"/>
                    </w:rPr>
                    <w:t>to </w:t>
                  </w:r>
                  <w:r>
                    <w:rPr>
                      <w:color w:val="FFFFFF"/>
                      <w:spacing w:val="8"/>
                      <w:w w:val="120"/>
                      <w:sz w:val="39"/>
                    </w:rPr>
                    <w:t>the</w:t>
                  </w:r>
                  <w:r>
                    <w:rPr>
                      <w:color w:val="FFFFFF"/>
                      <w:spacing w:val="73"/>
                      <w:w w:val="120"/>
                      <w:sz w:val="39"/>
                    </w:rPr>
                    <w:t> </w:t>
                  </w:r>
                  <w:r>
                    <w:rPr>
                      <w:color w:val="FFFFFF"/>
                      <w:spacing w:val="6"/>
                      <w:w w:val="120"/>
                      <w:sz w:val="39"/>
                    </w:rPr>
                    <w:t>URC</w:t>
                  </w:r>
                </w:p>
              </w:txbxContent>
            </v:textbox>
            <w10:wrap type="none"/>
          </v:shape>
        </w:pict>
      </w:r>
      <w:r>
        <w:rPr>
          <w:color w:val="7EAABF"/>
          <w:w w:val="115"/>
        </w:rPr>
        <w:t>Information papers</w:t>
      </w:r>
    </w:p>
    <w:p>
      <w:pPr>
        <w:pStyle w:val="ListParagraph"/>
        <w:numPr>
          <w:ilvl w:val="0"/>
          <w:numId w:val="113"/>
        </w:numPr>
        <w:tabs>
          <w:tab w:pos="2664" w:val="left" w:leader="none"/>
          <w:tab w:pos="2665" w:val="left" w:leader="none"/>
        </w:tabs>
        <w:spacing w:line="235" w:lineRule="auto" w:before="222" w:after="0"/>
        <w:ind w:left="1984" w:right="6736" w:firstLine="0"/>
        <w:jc w:val="left"/>
        <w:rPr>
          <w:sz w:val="20"/>
        </w:rPr>
      </w:pPr>
      <w:r>
        <w:rPr>
          <w:w w:val="120"/>
          <w:sz w:val="20"/>
        </w:rPr>
        <w:t>The </w:t>
      </w:r>
      <w:r>
        <w:rPr>
          <w:spacing w:val="-4"/>
          <w:w w:val="120"/>
          <w:sz w:val="20"/>
        </w:rPr>
        <w:t>school’s </w:t>
      </w:r>
      <w:r>
        <w:rPr>
          <w:w w:val="120"/>
          <w:sz w:val="20"/>
        </w:rPr>
        <w:t>proud tradition of charitable activity </w:t>
      </w:r>
      <w:r>
        <w:rPr>
          <w:spacing w:val="-3"/>
          <w:w w:val="120"/>
          <w:sz w:val="20"/>
        </w:rPr>
        <w:t>continues </w:t>
      </w:r>
      <w:r>
        <w:rPr>
          <w:w w:val="120"/>
          <w:sz w:val="20"/>
        </w:rPr>
        <w:t>with a wide range of events organised </w:t>
      </w:r>
      <w:r>
        <w:rPr>
          <w:spacing w:val="-3"/>
          <w:w w:val="120"/>
          <w:sz w:val="20"/>
        </w:rPr>
        <w:t>to </w:t>
      </w:r>
      <w:r>
        <w:rPr>
          <w:w w:val="120"/>
          <w:sz w:val="20"/>
        </w:rPr>
        <w:t>support the </w:t>
      </w:r>
      <w:r>
        <w:rPr>
          <w:spacing w:val="-4"/>
          <w:w w:val="120"/>
          <w:sz w:val="20"/>
        </w:rPr>
        <w:t>school’s </w:t>
      </w:r>
      <w:r>
        <w:rPr>
          <w:w w:val="120"/>
          <w:sz w:val="20"/>
        </w:rPr>
        <w:t>main charities, </w:t>
      </w:r>
      <w:r>
        <w:rPr>
          <w:spacing w:val="-3"/>
          <w:w w:val="120"/>
          <w:sz w:val="20"/>
        </w:rPr>
        <w:t>which </w:t>
      </w:r>
      <w:r>
        <w:rPr>
          <w:w w:val="120"/>
          <w:sz w:val="20"/>
        </w:rPr>
        <w:t>are schools in </w:t>
      </w:r>
      <w:r>
        <w:rPr>
          <w:spacing w:val="-4"/>
          <w:w w:val="120"/>
          <w:sz w:val="20"/>
        </w:rPr>
        <w:t>Tanzania, </w:t>
      </w:r>
      <w:r>
        <w:rPr>
          <w:w w:val="120"/>
          <w:sz w:val="20"/>
        </w:rPr>
        <w:t>India and Ukraine. The </w:t>
      </w:r>
      <w:r>
        <w:rPr>
          <w:spacing w:val="-4"/>
          <w:w w:val="120"/>
          <w:sz w:val="20"/>
        </w:rPr>
        <w:t>school’s</w:t>
      </w:r>
      <w:r>
        <w:rPr>
          <w:spacing w:val="-18"/>
          <w:w w:val="120"/>
          <w:sz w:val="20"/>
        </w:rPr>
        <w:t> </w:t>
      </w:r>
      <w:r>
        <w:rPr>
          <w:w w:val="120"/>
          <w:sz w:val="20"/>
        </w:rPr>
        <w:t>charity</w:t>
      </w:r>
    </w:p>
    <w:p>
      <w:pPr>
        <w:pStyle w:val="BodyText"/>
        <w:spacing w:line="235" w:lineRule="auto" w:before="5"/>
        <w:ind w:left="1984" w:right="6590"/>
        <w:jc w:val="both"/>
      </w:pPr>
      <w:r>
        <w:rPr>
          <w:spacing w:val="-3"/>
          <w:w w:val="120"/>
        </w:rPr>
        <w:t>committee, </w:t>
      </w:r>
      <w:r>
        <w:rPr>
          <w:w w:val="120"/>
        </w:rPr>
        <w:t>made up of Caterham sixth formers, plans all events and last</w:t>
      </w:r>
      <w:r>
        <w:rPr>
          <w:spacing w:val="-11"/>
          <w:w w:val="120"/>
        </w:rPr>
        <w:t> </w:t>
      </w:r>
      <w:r>
        <w:rPr>
          <w:spacing w:val="-3"/>
          <w:w w:val="120"/>
        </w:rPr>
        <w:t>year</w:t>
      </w:r>
      <w:r>
        <w:rPr>
          <w:spacing w:val="-11"/>
          <w:w w:val="120"/>
        </w:rPr>
        <w:t> </w:t>
      </w:r>
      <w:r>
        <w:rPr>
          <w:w w:val="120"/>
        </w:rPr>
        <w:t>broke</w:t>
      </w:r>
      <w:r>
        <w:rPr>
          <w:spacing w:val="-10"/>
          <w:w w:val="120"/>
        </w:rPr>
        <w:t> </w:t>
      </w:r>
      <w:r>
        <w:rPr>
          <w:w w:val="120"/>
        </w:rPr>
        <w:t>all</w:t>
      </w:r>
      <w:r>
        <w:rPr>
          <w:spacing w:val="-11"/>
          <w:w w:val="120"/>
        </w:rPr>
        <w:t> </w:t>
      </w:r>
      <w:r>
        <w:rPr>
          <w:w w:val="120"/>
        </w:rPr>
        <w:t>previous</w:t>
      </w:r>
      <w:r>
        <w:rPr>
          <w:spacing w:val="-10"/>
          <w:w w:val="120"/>
        </w:rPr>
        <w:t> </w:t>
      </w:r>
      <w:r>
        <w:rPr>
          <w:spacing w:val="-3"/>
          <w:w w:val="120"/>
        </w:rPr>
        <w:t>records </w:t>
      </w:r>
      <w:r>
        <w:rPr>
          <w:w w:val="120"/>
        </w:rPr>
        <w:t>by raising nearly</w:t>
      </w:r>
      <w:r>
        <w:rPr>
          <w:spacing w:val="-3"/>
          <w:w w:val="120"/>
        </w:rPr>
        <w:t> </w:t>
      </w:r>
      <w:r>
        <w:rPr>
          <w:w w:val="120"/>
        </w:rPr>
        <w:t>£20,000</w:t>
      </w:r>
    </w:p>
    <w:p>
      <w:pPr>
        <w:pStyle w:val="BodyText"/>
        <w:spacing w:line="235" w:lineRule="auto" w:before="3"/>
        <w:ind w:left="1984" w:right="6592"/>
        <w:jc w:val="both"/>
      </w:pPr>
      <w:r>
        <w:rPr>
          <w:w w:val="120"/>
        </w:rPr>
        <w:t>during the academic </w:t>
      </w:r>
      <w:r>
        <w:rPr>
          <w:spacing w:val="-3"/>
          <w:w w:val="120"/>
        </w:rPr>
        <w:t>year </w:t>
      </w:r>
      <w:r>
        <w:rPr>
          <w:spacing w:val="-11"/>
          <w:w w:val="120"/>
        </w:rPr>
        <w:t>2012-13. </w:t>
      </w:r>
      <w:r>
        <w:rPr>
          <w:w w:val="120"/>
        </w:rPr>
        <w:t>A wide range of local and </w:t>
      </w:r>
      <w:r>
        <w:rPr>
          <w:spacing w:val="-3"/>
          <w:w w:val="120"/>
        </w:rPr>
        <w:t>national </w:t>
      </w:r>
      <w:r>
        <w:rPr>
          <w:w w:val="120"/>
        </w:rPr>
        <w:t>charities is supported as </w:t>
      </w:r>
      <w:r>
        <w:rPr>
          <w:spacing w:val="-3"/>
          <w:w w:val="120"/>
        </w:rPr>
        <w:t>well.</w:t>
      </w:r>
    </w:p>
    <w:p>
      <w:pPr>
        <w:pStyle w:val="BodyText"/>
        <w:spacing w:before="10"/>
        <w:rPr>
          <w:sz w:val="19"/>
        </w:rPr>
      </w:pPr>
    </w:p>
    <w:p>
      <w:pPr>
        <w:pStyle w:val="ListParagraph"/>
        <w:numPr>
          <w:ilvl w:val="0"/>
          <w:numId w:val="113"/>
        </w:numPr>
        <w:tabs>
          <w:tab w:pos="2664" w:val="left" w:leader="none"/>
          <w:tab w:pos="2665" w:val="left" w:leader="none"/>
        </w:tabs>
        <w:spacing w:line="235" w:lineRule="auto" w:before="0" w:after="0"/>
        <w:ind w:left="1984" w:right="6635" w:firstLine="0"/>
        <w:jc w:val="left"/>
        <w:rPr>
          <w:sz w:val="20"/>
        </w:rPr>
      </w:pPr>
      <w:r>
        <w:rPr>
          <w:w w:val="120"/>
          <w:sz w:val="20"/>
        </w:rPr>
        <w:t>The </w:t>
      </w:r>
      <w:r>
        <w:rPr>
          <w:spacing w:val="-8"/>
          <w:w w:val="120"/>
          <w:sz w:val="20"/>
        </w:rPr>
        <w:t>2013 </w:t>
      </w:r>
      <w:r>
        <w:rPr>
          <w:w w:val="120"/>
          <w:sz w:val="20"/>
        </w:rPr>
        <w:t>summer term ended on a high with Gyles Brandreth visiting us as our guest speaker on speech </w:t>
      </w:r>
      <w:r>
        <w:rPr>
          <w:spacing w:val="-4"/>
          <w:w w:val="120"/>
          <w:sz w:val="20"/>
        </w:rPr>
        <w:t>day. </w:t>
      </w:r>
      <w:r>
        <w:rPr>
          <w:w w:val="120"/>
          <w:sz w:val="20"/>
        </w:rPr>
        <w:t>The head master was recently</w:t>
      </w:r>
      <w:r>
        <w:rPr>
          <w:spacing w:val="6"/>
          <w:w w:val="120"/>
          <w:sz w:val="20"/>
        </w:rPr>
        <w:t> </w:t>
      </w:r>
      <w:r>
        <w:rPr>
          <w:w w:val="120"/>
          <w:sz w:val="20"/>
        </w:rPr>
        <w:t>delighted</w:t>
      </w:r>
    </w:p>
    <w:p>
      <w:pPr>
        <w:pStyle w:val="BodyText"/>
        <w:spacing w:line="235" w:lineRule="auto" w:before="4"/>
        <w:ind w:left="1984" w:right="6485"/>
      </w:pPr>
      <w:r>
        <w:rPr>
          <w:w w:val="120"/>
        </w:rPr>
        <w:t>to announce that the speaker at the next speech day will be none other than Brian Blessed!</w:t>
      </w:r>
    </w:p>
    <w:p>
      <w:pPr>
        <w:spacing w:after="0" w:line="235" w:lineRule="auto"/>
        <w:sectPr>
          <w:headerReference w:type="default" r:id="rId545"/>
          <w:pgSz w:w="11910" w:h="16840"/>
          <w:pgMar w:header="0" w:footer="647" w:top="0" w:bottom="840" w:left="0" w:right="0"/>
        </w:sectPr>
      </w:pPr>
    </w:p>
    <w:p>
      <w:pPr>
        <w:pStyle w:val="BodyText"/>
      </w:pPr>
      <w:r>
        <w:rPr/>
        <w:drawing>
          <wp:anchor distT="0" distB="0" distL="0" distR="0" allowOverlap="1" layoutInCell="1" locked="0" behindDoc="0" simplePos="0" relativeHeight="252214272">
            <wp:simplePos x="0" y="0"/>
            <wp:positionH relativeFrom="page">
              <wp:posOffset>0</wp:posOffset>
            </wp:positionH>
            <wp:positionV relativeFrom="page">
              <wp:posOffset>0</wp:posOffset>
            </wp:positionV>
            <wp:extent cx="594067" cy="10692003"/>
            <wp:effectExtent l="0" t="0" r="0" b="0"/>
            <wp:wrapNone/>
            <wp:docPr id="441" name="image74.png"/>
            <wp:cNvGraphicFramePr>
              <a:graphicFrameLocks noChangeAspect="1"/>
            </wp:cNvGraphicFramePr>
            <a:graphic>
              <a:graphicData uri="http://schemas.openxmlformats.org/drawingml/2006/picture">
                <pic:pic>
                  <pic:nvPicPr>
                    <pic:cNvPr id="442" name="image74.png"/>
                    <pic:cNvPicPr/>
                  </pic:nvPicPr>
                  <pic:blipFill>
                    <a:blip r:embed="rId537"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shape style="position:absolute;margin-left:20.519100pt;margin-top:22.593945pt;width:25.9pt;height:280.150pt;mso-position-horizontal-relative:page;mso-position-vertical-relative:paragraph;z-index:252215296" type="#_x0000_t202" filled="false" stroked="false">
            <v:textbox inset="0,0,0,0" style="layout-flow:vertical">
              <w:txbxContent>
                <w:p>
                  <w:pPr>
                    <w:spacing w:before="27"/>
                    <w:ind w:left="20" w:right="0" w:firstLine="0"/>
                    <w:jc w:val="left"/>
                    <w:rPr>
                      <w:sz w:val="39"/>
                    </w:rPr>
                  </w:pPr>
                  <w:r>
                    <w:rPr>
                      <w:color w:val="FFFFFF"/>
                      <w:spacing w:val="9"/>
                      <w:w w:val="120"/>
                      <w:sz w:val="39"/>
                    </w:rPr>
                    <w:t>Schools relating </w:t>
                  </w:r>
                  <w:r>
                    <w:rPr>
                      <w:color w:val="FFFFFF"/>
                      <w:spacing w:val="3"/>
                      <w:w w:val="120"/>
                      <w:sz w:val="39"/>
                    </w:rPr>
                    <w:t>to </w:t>
                  </w:r>
                  <w:r>
                    <w:rPr>
                      <w:color w:val="FFFFFF"/>
                      <w:spacing w:val="8"/>
                      <w:w w:val="120"/>
                      <w:sz w:val="39"/>
                    </w:rPr>
                    <w:t>the</w:t>
                  </w:r>
                  <w:r>
                    <w:rPr>
                      <w:color w:val="FFFFFF"/>
                      <w:spacing w:val="73"/>
                      <w:w w:val="120"/>
                      <w:sz w:val="39"/>
                    </w:rPr>
                    <w:t> </w:t>
                  </w:r>
                  <w:r>
                    <w:rPr>
                      <w:color w:val="FFFFFF"/>
                      <w:spacing w:val="6"/>
                      <w:w w:val="120"/>
                      <w:sz w:val="39"/>
                    </w:rPr>
                    <w:t>URC</w:t>
                  </w:r>
                </w:p>
              </w:txbxContent>
            </v:textbox>
            <w10:wrap type="none"/>
          </v:shape>
        </w:pict>
      </w:r>
      <w:r>
        <w:rPr>
          <w:color w:val="7EAABF"/>
          <w:w w:val="115"/>
        </w:rPr>
        <w:t>Information papers</w:t>
      </w:r>
    </w:p>
    <w:p>
      <w:pPr>
        <w:spacing w:before="215"/>
        <w:ind w:left="1247" w:right="0" w:firstLine="0"/>
        <w:jc w:val="left"/>
        <w:rPr>
          <w:rFonts w:ascii="Stone Sans II ITC Std X Bd"/>
          <w:b/>
          <w:sz w:val="29"/>
        </w:rPr>
      </w:pPr>
      <w:r>
        <w:rPr>
          <w:rFonts w:ascii="Stone Sans II ITC Std X Bd"/>
          <w:b/>
          <w:w w:val="110"/>
          <w:sz w:val="29"/>
        </w:rPr>
        <w:t>Eltham College</w:t>
      </w:r>
    </w:p>
    <w:p>
      <w:pPr>
        <w:pStyle w:val="ListParagraph"/>
        <w:numPr>
          <w:ilvl w:val="0"/>
          <w:numId w:val="114"/>
        </w:numPr>
        <w:tabs>
          <w:tab w:pos="1927" w:val="left" w:leader="none"/>
          <w:tab w:pos="1928" w:val="left" w:leader="none"/>
        </w:tabs>
        <w:spacing w:line="235" w:lineRule="auto" w:before="196" w:after="0"/>
        <w:ind w:left="1247" w:right="2029" w:firstLine="0"/>
        <w:jc w:val="left"/>
        <w:rPr>
          <w:sz w:val="20"/>
        </w:rPr>
      </w:pPr>
      <w:r>
        <w:rPr>
          <w:w w:val="120"/>
          <w:sz w:val="20"/>
        </w:rPr>
        <w:t>In </w:t>
      </w:r>
      <w:r>
        <w:rPr>
          <w:spacing w:val="-9"/>
          <w:w w:val="120"/>
          <w:sz w:val="20"/>
        </w:rPr>
        <w:t>2012 </w:t>
      </w:r>
      <w:r>
        <w:rPr>
          <w:spacing w:val="-3"/>
          <w:w w:val="120"/>
          <w:sz w:val="20"/>
        </w:rPr>
        <w:t>Eltham College celebrated </w:t>
      </w:r>
      <w:r>
        <w:rPr>
          <w:w w:val="120"/>
          <w:sz w:val="20"/>
        </w:rPr>
        <w:t>the centenary of its </w:t>
      </w:r>
      <w:r>
        <w:rPr>
          <w:spacing w:val="-3"/>
          <w:w w:val="120"/>
          <w:sz w:val="20"/>
        </w:rPr>
        <w:t>move </w:t>
      </w:r>
      <w:r>
        <w:rPr>
          <w:w w:val="120"/>
          <w:sz w:val="20"/>
        </w:rPr>
        <w:t>from Blackheath </w:t>
      </w:r>
      <w:r>
        <w:rPr>
          <w:spacing w:val="-3"/>
          <w:w w:val="120"/>
          <w:sz w:val="20"/>
        </w:rPr>
        <w:t>to </w:t>
      </w:r>
      <w:r>
        <w:rPr>
          <w:w w:val="120"/>
          <w:sz w:val="20"/>
        </w:rPr>
        <w:t>Mottingham. </w:t>
      </w:r>
      <w:r>
        <w:rPr>
          <w:spacing w:val="-3"/>
          <w:w w:val="120"/>
          <w:sz w:val="20"/>
        </w:rPr>
        <w:t>We recreated this event </w:t>
      </w:r>
      <w:r>
        <w:rPr>
          <w:w w:val="120"/>
          <w:sz w:val="20"/>
        </w:rPr>
        <w:t>with a charity run from Blackheath </w:t>
      </w:r>
      <w:r>
        <w:rPr>
          <w:spacing w:val="-3"/>
          <w:w w:val="120"/>
          <w:sz w:val="20"/>
        </w:rPr>
        <w:t>to </w:t>
      </w:r>
      <w:r>
        <w:rPr>
          <w:w w:val="120"/>
          <w:sz w:val="20"/>
        </w:rPr>
        <w:t>Mottingham </w:t>
      </w:r>
      <w:r>
        <w:rPr>
          <w:spacing w:val="-3"/>
          <w:w w:val="120"/>
          <w:sz w:val="20"/>
        </w:rPr>
        <w:t>involving pupils, </w:t>
      </w:r>
      <w:r>
        <w:rPr>
          <w:w w:val="120"/>
          <w:sz w:val="20"/>
        </w:rPr>
        <w:t>staff and parents, raising funds for a local </w:t>
      </w:r>
      <w:r>
        <w:rPr>
          <w:spacing w:val="-5"/>
          <w:w w:val="120"/>
          <w:sz w:val="20"/>
        </w:rPr>
        <w:t>children’s </w:t>
      </w:r>
      <w:r>
        <w:rPr>
          <w:spacing w:val="-4"/>
          <w:w w:val="120"/>
          <w:sz w:val="20"/>
        </w:rPr>
        <w:t>hospice. </w:t>
      </w:r>
      <w:r>
        <w:rPr>
          <w:w w:val="120"/>
          <w:sz w:val="20"/>
        </w:rPr>
        <w:t>A centenary dinner</w:t>
      </w:r>
      <w:r>
        <w:rPr>
          <w:spacing w:val="-4"/>
          <w:w w:val="120"/>
          <w:sz w:val="20"/>
        </w:rPr>
        <w:t> </w:t>
      </w:r>
      <w:r>
        <w:rPr>
          <w:w w:val="120"/>
          <w:sz w:val="20"/>
        </w:rPr>
        <w:t>with</w:t>
      </w:r>
      <w:r>
        <w:rPr>
          <w:spacing w:val="-4"/>
          <w:w w:val="120"/>
          <w:sz w:val="20"/>
        </w:rPr>
        <w:t> </w:t>
      </w:r>
      <w:r>
        <w:rPr>
          <w:w w:val="120"/>
          <w:sz w:val="20"/>
        </w:rPr>
        <w:t>an</w:t>
      </w:r>
      <w:r>
        <w:rPr>
          <w:spacing w:val="-4"/>
          <w:w w:val="120"/>
          <w:sz w:val="20"/>
        </w:rPr>
        <w:t> </w:t>
      </w:r>
      <w:r>
        <w:rPr>
          <w:spacing w:val="-3"/>
          <w:w w:val="120"/>
          <w:sz w:val="20"/>
        </w:rPr>
        <w:t>invited</w:t>
      </w:r>
      <w:r>
        <w:rPr>
          <w:spacing w:val="-4"/>
          <w:w w:val="120"/>
          <w:sz w:val="20"/>
        </w:rPr>
        <w:t> </w:t>
      </w:r>
      <w:r>
        <w:rPr>
          <w:spacing w:val="-3"/>
          <w:w w:val="120"/>
          <w:sz w:val="20"/>
        </w:rPr>
        <w:t>audience</w:t>
      </w:r>
      <w:r>
        <w:rPr>
          <w:spacing w:val="-4"/>
          <w:w w:val="120"/>
          <w:sz w:val="20"/>
        </w:rPr>
        <w:t> </w:t>
      </w:r>
      <w:r>
        <w:rPr>
          <w:w w:val="120"/>
          <w:sz w:val="20"/>
        </w:rPr>
        <w:t>heard</w:t>
      </w:r>
      <w:r>
        <w:rPr>
          <w:spacing w:val="-4"/>
          <w:w w:val="120"/>
          <w:sz w:val="20"/>
        </w:rPr>
        <w:t> </w:t>
      </w:r>
      <w:r>
        <w:rPr>
          <w:w w:val="120"/>
          <w:sz w:val="20"/>
        </w:rPr>
        <w:t>Lord</w:t>
      </w:r>
      <w:r>
        <w:rPr>
          <w:spacing w:val="-4"/>
          <w:w w:val="120"/>
          <w:sz w:val="20"/>
        </w:rPr>
        <w:t> </w:t>
      </w:r>
      <w:r>
        <w:rPr>
          <w:w w:val="120"/>
          <w:sz w:val="20"/>
        </w:rPr>
        <w:t>Puttnam</w:t>
      </w:r>
      <w:r>
        <w:rPr>
          <w:spacing w:val="-4"/>
          <w:w w:val="120"/>
          <w:sz w:val="20"/>
        </w:rPr>
        <w:t> </w:t>
      </w:r>
      <w:r>
        <w:rPr>
          <w:w w:val="120"/>
          <w:sz w:val="20"/>
        </w:rPr>
        <w:t>remind</w:t>
      </w:r>
      <w:r>
        <w:rPr>
          <w:spacing w:val="-4"/>
          <w:w w:val="120"/>
          <w:sz w:val="20"/>
        </w:rPr>
        <w:t> </w:t>
      </w:r>
      <w:r>
        <w:rPr>
          <w:w w:val="120"/>
          <w:sz w:val="20"/>
        </w:rPr>
        <w:t>us</w:t>
      </w:r>
      <w:r>
        <w:rPr>
          <w:spacing w:val="-4"/>
          <w:w w:val="120"/>
          <w:sz w:val="20"/>
        </w:rPr>
        <w:t> </w:t>
      </w:r>
      <w:r>
        <w:rPr>
          <w:w w:val="120"/>
          <w:sz w:val="20"/>
        </w:rPr>
        <w:t>of</w:t>
      </w:r>
      <w:r>
        <w:rPr>
          <w:spacing w:val="-4"/>
          <w:w w:val="120"/>
          <w:sz w:val="20"/>
        </w:rPr>
        <w:t> </w:t>
      </w:r>
      <w:r>
        <w:rPr>
          <w:w w:val="120"/>
          <w:sz w:val="20"/>
        </w:rPr>
        <w:t>the</w:t>
      </w:r>
      <w:r>
        <w:rPr>
          <w:spacing w:val="-4"/>
          <w:w w:val="120"/>
          <w:sz w:val="20"/>
        </w:rPr>
        <w:t> </w:t>
      </w:r>
      <w:r>
        <w:rPr>
          <w:w w:val="120"/>
          <w:sz w:val="20"/>
        </w:rPr>
        <w:t>importance</w:t>
      </w:r>
      <w:r>
        <w:rPr>
          <w:spacing w:val="-4"/>
          <w:w w:val="120"/>
          <w:sz w:val="20"/>
        </w:rPr>
        <w:t> </w:t>
      </w:r>
      <w:r>
        <w:rPr>
          <w:w w:val="120"/>
          <w:sz w:val="20"/>
        </w:rPr>
        <w:t>of</w:t>
      </w:r>
    </w:p>
    <w:p>
      <w:pPr>
        <w:pStyle w:val="BodyText"/>
        <w:spacing w:line="235" w:lineRule="auto" w:before="3"/>
        <w:ind w:left="1247" w:right="2167"/>
      </w:pPr>
      <w:r>
        <w:rPr>
          <w:w w:val="120"/>
        </w:rPr>
        <w:t>Eric Liddell </w:t>
      </w:r>
      <w:r>
        <w:rPr>
          <w:spacing w:val="-3"/>
          <w:w w:val="120"/>
        </w:rPr>
        <w:t>to </w:t>
      </w:r>
      <w:r>
        <w:rPr>
          <w:w w:val="120"/>
        </w:rPr>
        <w:t>the world, </w:t>
      </w:r>
      <w:r>
        <w:rPr>
          <w:spacing w:val="-2"/>
          <w:w w:val="120"/>
        </w:rPr>
        <w:t>not </w:t>
      </w:r>
      <w:r>
        <w:rPr>
          <w:w w:val="120"/>
        </w:rPr>
        <w:t>just </w:t>
      </w:r>
      <w:r>
        <w:rPr>
          <w:spacing w:val="-3"/>
          <w:w w:val="120"/>
        </w:rPr>
        <w:t>Eltham College, </w:t>
      </w:r>
      <w:r>
        <w:rPr>
          <w:w w:val="120"/>
        </w:rPr>
        <w:t>where he was a pupil one hundred years ago. With </w:t>
      </w:r>
      <w:r>
        <w:rPr>
          <w:spacing w:val="-9"/>
          <w:w w:val="120"/>
        </w:rPr>
        <w:t>2012 </w:t>
      </w:r>
      <w:r>
        <w:rPr>
          <w:w w:val="120"/>
        </w:rPr>
        <w:t>being an Olympic </w:t>
      </w:r>
      <w:r>
        <w:rPr>
          <w:spacing w:val="-3"/>
          <w:w w:val="120"/>
        </w:rPr>
        <w:t>year </w:t>
      </w:r>
      <w:r>
        <w:rPr>
          <w:w w:val="120"/>
        </w:rPr>
        <w:t>in London, the memory of Eric Liddell was very much </w:t>
      </w:r>
      <w:r>
        <w:rPr>
          <w:spacing w:val="-3"/>
          <w:w w:val="120"/>
        </w:rPr>
        <w:t>to </w:t>
      </w:r>
      <w:r>
        <w:rPr>
          <w:w w:val="120"/>
        </w:rPr>
        <w:t>the fore both at </w:t>
      </w:r>
      <w:r>
        <w:rPr>
          <w:spacing w:val="-3"/>
          <w:w w:val="120"/>
        </w:rPr>
        <w:t>Eltham College </w:t>
      </w:r>
      <w:r>
        <w:rPr>
          <w:w w:val="120"/>
        </w:rPr>
        <w:t>and on the </w:t>
      </w:r>
      <w:r>
        <w:rPr>
          <w:spacing w:val="-3"/>
          <w:w w:val="120"/>
        </w:rPr>
        <w:t>television. </w:t>
      </w:r>
      <w:r>
        <w:rPr>
          <w:w w:val="120"/>
        </w:rPr>
        <w:t>There were three </w:t>
      </w:r>
      <w:r>
        <w:rPr>
          <w:spacing w:val="-3"/>
          <w:w w:val="120"/>
        </w:rPr>
        <w:t>television </w:t>
      </w:r>
      <w:r>
        <w:rPr>
          <w:w w:val="120"/>
        </w:rPr>
        <w:t>programmes which </w:t>
      </w:r>
      <w:r>
        <w:rPr>
          <w:spacing w:val="-3"/>
          <w:w w:val="120"/>
        </w:rPr>
        <w:t>involved </w:t>
      </w:r>
      <w:r>
        <w:rPr>
          <w:w w:val="120"/>
        </w:rPr>
        <w:t>the </w:t>
      </w:r>
      <w:r>
        <w:rPr>
          <w:spacing w:val="-3"/>
          <w:w w:val="120"/>
        </w:rPr>
        <w:t>retelling </w:t>
      </w:r>
      <w:r>
        <w:rPr>
          <w:w w:val="120"/>
        </w:rPr>
        <w:t>of </w:t>
      </w:r>
      <w:r>
        <w:rPr>
          <w:spacing w:val="-4"/>
          <w:w w:val="120"/>
        </w:rPr>
        <w:t>Eric’s </w:t>
      </w:r>
      <w:r>
        <w:rPr>
          <w:w w:val="120"/>
        </w:rPr>
        <w:t>great achievements in the Paris Olympics and </w:t>
      </w:r>
      <w:r>
        <w:rPr>
          <w:spacing w:val="-3"/>
          <w:w w:val="120"/>
        </w:rPr>
        <w:t>his subsequent </w:t>
      </w:r>
      <w:r>
        <w:rPr>
          <w:w w:val="120"/>
        </w:rPr>
        <w:t>missionary work in </w:t>
      </w:r>
      <w:r>
        <w:rPr>
          <w:spacing w:val="-3"/>
          <w:w w:val="120"/>
        </w:rPr>
        <w:t>China. </w:t>
      </w:r>
      <w:r>
        <w:rPr>
          <w:w w:val="120"/>
        </w:rPr>
        <w:t>The </w:t>
      </w:r>
      <w:r>
        <w:rPr>
          <w:i/>
          <w:w w:val="120"/>
        </w:rPr>
        <w:t>Real Chariots of </w:t>
      </w:r>
      <w:r>
        <w:rPr>
          <w:i/>
          <w:spacing w:val="-3"/>
          <w:w w:val="120"/>
        </w:rPr>
        <w:t>Fire </w:t>
      </w:r>
      <w:r>
        <w:rPr>
          <w:w w:val="120"/>
        </w:rPr>
        <w:t>programme used </w:t>
      </w:r>
      <w:r>
        <w:rPr>
          <w:spacing w:val="-3"/>
          <w:w w:val="120"/>
        </w:rPr>
        <w:t>pupils </w:t>
      </w:r>
      <w:r>
        <w:rPr>
          <w:w w:val="120"/>
        </w:rPr>
        <w:t>from </w:t>
      </w:r>
      <w:r>
        <w:rPr>
          <w:spacing w:val="-3"/>
          <w:w w:val="120"/>
        </w:rPr>
        <w:t>Eltham to recreate </w:t>
      </w:r>
      <w:r>
        <w:rPr>
          <w:w w:val="120"/>
        </w:rPr>
        <w:t>and </w:t>
      </w:r>
      <w:r>
        <w:rPr>
          <w:spacing w:val="-3"/>
          <w:w w:val="120"/>
        </w:rPr>
        <w:t>discuss </w:t>
      </w:r>
      <w:r>
        <w:rPr>
          <w:w w:val="120"/>
        </w:rPr>
        <w:t>the Paris Olympics and </w:t>
      </w:r>
      <w:r>
        <w:rPr>
          <w:spacing w:val="-4"/>
          <w:w w:val="120"/>
        </w:rPr>
        <w:t>Eric’s</w:t>
      </w:r>
      <w:r>
        <w:rPr>
          <w:spacing w:val="-9"/>
          <w:w w:val="120"/>
        </w:rPr>
        <w:t> </w:t>
      </w:r>
      <w:r>
        <w:rPr>
          <w:w w:val="120"/>
        </w:rPr>
        <w:t>legacy</w:t>
      </w:r>
      <w:r>
        <w:rPr>
          <w:spacing w:val="-9"/>
          <w:w w:val="120"/>
        </w:rPr>
        <w:t> </w:t>
      </w:r>
      <w:r>
        <w:rPr>
          <w:w w:val="120"/>
        </w:rPr>
        <w:t>at</w:t>
      </w:r>
      <w:r>
        <w:rPr>
          <w:spacing w:val="-9"/>
          <w:w w:val="120"/>
        </w:rPr>
        <w:t> </w:t>
      </w:r>
      <w:r>
        <w:rPr>
          <w:w w:val="120"/>
        </w:rPr>
        <w:t>the</w:t>
      </w:r>
      <w:r>
        <w:rPr>
          <w:spacing w:val="-8"/>
          <w:w w:val="120"/>
        </w:rPr>
        <w:t> </w:t>
      </w:r>
      <w:r>
        <w:rPr>
          <w:w w:val="120"/>
        </w:rPr>
        <w:t>school.</w:t>
      </w:r>
      <w:r>
        <w:rPr>
          <w:spacing w:val="-9"/>
          <w:w w:val="120"/>
        </w:rPr>
        <w:t> </w:t>
      </w:r>
      <w:r>
        <w:rPr>
          <w:i/>
          <w:spacing w:val="-3"/>
          <w:w w:val="120"/>
        </w:rPr>
        <w:t>Songs</w:t>
      </w:r>
      <w:r>
        <w:rPr>
          <w:i/>
          <w:spacing w:val="-12"/>
          <w:w w:val="120"/>
        </w:rPr>
        <w:t> </w:t>
      </w:r>
      <w:r>
        <w:rPr>
          <w:i/>
          <w:w w:val="120"/>
        </w:rPr>
        <w:t>of</w:t>
      </w:r>
      <w:r>
        <w:rPr>
          <w:i/>
          <w:spacing w:val="-12"/>
          <w:w w:val="120"/>
        </w:rPr>
        <w:t> </w:t>
      </w:r>
      <w:r>
        <w:rPr>
          <w:i/>
          <w:spacing w:val="-4"/>
          <w:w w:val="120"/>
        </w:rPr>
        <w:t>Praise</w:t>
      </w:r>
      <w:r>
        <w:rPr>
          <w:i/>
          <w:spacing w:val="-9"/>
          <w:w w:val="120"/>
        </w:rPr>
        <w:t> </w:t>
      </w:r>
      <w:r>
        <w:rPr>
          <w:w w:val="120"/>
        </w:rPr>
        <w:t>from</w:t>
      </w:r>
      <w:r>
        <w:rPr>
          <w:spacing w:val="-9"/>
          <w:w w:val="120"/>
        </w:rPr>
        <w:t> </w:t>
      </w:r>
      <w:r>
        <w:rPr>
          <w:w w:val="120"/>
        </w:rPr>
        <w:t>the</w:t>
      </w:r>
      <w:r>
        <w:rPr>
          <w:spacing w:val="-9"/>
          <w:w w:val="120"/>
        </w:rPr>
        <w:t> </w:t>
      </w:r>
      <w:r>
        <w:rPr>
          <w:w w:val="120"/>
        </w:rPr>
        <w:t>Old</w:t>
      </w:r>
      <w:r>
        <w:rPr>
          <w:spacing w:val="-8"/>
          <w:w w:val="120"/>
        </w:rPr>
        <w:t> </w:t>
      </w:r>
      <w:r>
        <w:rPr>
          <w:w w:val="120"/>
        </w:rPr>
        <w:t>Naval</w:t>
      </w:r>
      <w:r>
        <w:rPr>
          <w:spacing w:val="-9"/>
          <w:w w:val="120"/>
        </w:rPr>
        <w:t> </w:t>
      </w:r>
      <w:r>
        <w:rPr>
          <w:w w:val="120"/>
        </w:rPr>
        <w:t>Chapel</w:t>
      </w:r>
      <w:r>
        <w:rPr>
          <w:spacing w:val="-9"/>
          <w:w w:val="120"/>
        </w:rPr>
        <w:t> </w:t>
      </w:r>
      <w:r>
        <w:rPr>
          <w:w w:val="120"/>
        </w:rPr>
        <w:t>in</w:t>
      </w:r>
      <w:r>
        <w:rPr>
          <w:spacing w:val="-8"/>
          <w:w w:val="120"/>
        </w:rPr>
        <w:t> </w:t>
      </w:r>
      <w:r>
        <w:rPr>
          <w:w w:val="120"/>
        </w:rPr>
        <w:t>Greenwich</w:t>
      </w:r>
      <w:r>
        <w:rPr>
          <w:spacing w:val="-9"/>
          <w:w w:val="120"/>
        </w:rPr>
        <w:t> </w:t>
      </w:r>
      <w:r>
        <w:rPr>
          <w:w w:val="120"/>
        </w:rPr>
        <w:t>used</w:t>
      </w:r>
    </w:p>
    <w:p>
      <w:pPr>
        <w:pStyle w:val="BodyText"/>
        <w:spacing w:line="235" w:lineRule="auto" w:before="5"/>
        <w:ind w:left="1247" w:right="1978"/>
      </w:pPr>
      <w:r>
        <w:rPr>
          <w:spacing w:val="-5"/>
          <w:w w:val="120"/>
        </w:rPr>
        <w:t>Eltham’s </w:t>
      </w:r>
      <w:r>
        <w:rPr>
          <w:w w:val="120"/>
        </w:rPr>
        <w:t>trebles for most of the </w:t>
      </w:r>
      <w:r>
        <w:rPr>
          <w:spacing w:val="-3"/>
          <w:w w:val="120"/>
        </w:rPr>
        <w:t>hymns. </w:t>
      </w:r>
      <w:r>
        <w:rPr>
          <w:spacing w:val="-4"/>
          <w:w w:val="120"/>
        </w:rPr>
        <w:t>Finally, </w:t>
      </w:r>
      <w:r>
        <w:rPr>
          <w:w w:val="120"/>
        </w:rPr>
        <w:t>BBC </w:t>
      </w:r>
      <w:r>
        <w:rPr>
          <w:spacing w:val="-3"/>
          <w:w w:val="120"/>
        </w:rPr>
        <w:t>Scotland </w:t>
      </w:r>
      <w:r>
        <w:rPr>
          <w:w w:val="120"/>
        </w:rPr>
        <w:t>came and filmed </w:t>
      </w:r>
      <w:r>
        <w:rPr>
          <w:spacing w:val="-4"/>
          <w:w w:val="120"/>
        </w:rPr>
        <w:t>Eric’s </w:t>
      </w:r>
      <w:r>
        <w:rPr>
          <w:w w:val="120"/>
        </w:rPr>
        <w:t>eldest </w:t>
      </w:r>
      <w:r>
        <w:rPr>
          <w:spacing w:val="-4"/>
          <w:w w:val="120"/>
        </w:rPr>
        <w:t>daughter, </w:t>
      </w:r>
      <w:r>
        <w:rPr>
          <w:w w:val="120"/>
        </w:rPr>
        <w:t>Patricia, whom we had brought </w:t>
      </w:r>
      <w:r>
        <w:rPr>
          <w:spacing w:val="-3"/>
          <w:w w:val="120"/>
        </w:rPr>
        <w:t>over </w:t>
      </w:r>
      <w:r>
        <w:rPr>
          <w:w w:val="120"/>
        </w:rPr>
        <w:t>from Canada </w:t>
      </w:r>
      <w:r>
        <w:rPr>
          <w:spacing w:val="-3"/>
          <w:w w:val="120"/>
        </w:rPr>
        <w:t>to </w:t>
      </w:r>
      <w:r>
        <w:rPr>
          <w:w w:val="120"/>
        </w:rPr>
        <w:t>hand out the prizes at our </w:t>
      </w:r>
      <w:r>
        <w:rPr>
          <w:spacing w:val="-3"/>
          <w:w w:val="120"/>
        </w:rPr>
        <w:t>annual </w:t>
      </w:r>
      <w:r>
        <w:rPr>
          <w:w w:val="120"/>
        </w:rPr>
        <w:t>sports </w:t>
      </w:r>
      <w:r>
        <w:rPr>
          <w:spacing w:val="-6"/>
          <w:w w:val="120"/>
        </w:rPr>
        <w:t>day. </w:t>
      </w:r>
      <w:r>
        <w:rPr>
          <w:w w:val="120"/>
        </w:rPr>
        <w:t>There were </w:t>
      </w:r>
      <w:r>
        <w:rPr>
          <w:spacing w:val="-3"/>
          <w:w w:val="120"/>
        </w:rPr>
        <w:t>even </w:t>
      </w:r>
      <w:r>
        <w:rPr>
          <w:w w:val="120"/>
        </w:rPr>
        <w:t>events which recalled the style of races and prizes distributed in </w:t>
      </w:r>
      <w:r>
        <w:rPr>
          <w:spacing w:val="-12"/>
          <w:w w:val="120"/>
        </w:rPr>
        <w:t>1912 </w:t>
      </w:r>
      <w:r>
        <w:rPr>
          <w:spacing w:val="-7"/>
          <w:w w:val="120"/>
        </w:rPr>
        <w:t>(eg </w:t>
      </w:r>
      <w:r>
        <w:rPr>
          <w:w w:val="120"/>
        </w:rPr>
        <w:t>the </w:t>
      </w:r>
      <w:r>
        <w:rPr>
          <w:spacing w:val="-4"/>
          <w:w w:val="120"/>
        </w:rPr>
        <w:t>Businessman’s </w:t>
      </w:r>
      <w:r>
        <w:rPr>
          <w:spacing w:val="-3"/>
          <w:w w:val="120"/>
        </w:rPr>
        <w:t>Race, </w:t>
      </w:r>
      <w:r>
        <w:rPr>
          <w:w w:val="120"/>
        </w:rPr>
        <w:t>and a set of </w:t>
      </w:r>
      <w:r>
        <w:rPr>
          <w:spacing w:val="-4"/>
          <w:w w:val="120"/>
        </w:rPr>
        <w:t>crayons!) </w:t>
      </w:r>
      <w:r>
        <w:rPr>
          <w:w w:val="120"/>
        </w:rPr>
        <w:t>Patricia Liddell then formally opened our refurbished sports </w:t>
      </w:r>
      <w:r>
        <w:rPr>
          <w:spacing w:val="-3"/>
          <w:w w:val="120"/>
        </w:rPr>
        <w:t>pavilion </w:t>
      </w:r>
      <w:r>
        <w:rPr>
          <w:w w:val="120"/>
        </w:rPr>
        <w:t>which was used one month </w:t>
      </w:r>
      <w:r>
        <w:rPr>
          <w:spacing w:val="-3"/>
          <w:w w:val="120"/>
        </w:rPr>
        <w:t>later </w:t>
      </w:r>
      <w:r>
        <w:rPr>
          <w:w w:val="120"/>
        </w:rPr>
        <w:t>as an official training ground for the Olympic </w:t>
      </w:r>
      <w:r>
        <w:rPr>
          <w:spacing w:val="-3"/>
          <w:w w:val="120"/>
        </w:rPr>
        <w:t>football </w:t>
      </w:r>
      <w:r>
        <w:rPr>
          <w:w w:val="120"/>
        </w:rPr>
        <w:t>tournament, with both Mexico </w:t>
      </w:r>
      <w:r>
        <w:rPr>
          <w:spacing w:val="-9"/>
          <w:w w:val="120"/>
        </w:rPr>
        <w:t>(men) </w:t>
      </w:r>
      <w:r>
        <w:rPr>
          <w:w w:val="120"/>
        </w:rPr>
        <w:t>and the </w:t>
      </w:r>
      <w:r>
        <w:rPr>
          <w:spacing w:val="-2"/>
          <w:w w:val="120"/>
        </w:rPr>
        <w:t>USA </w:t>
      </w:r>
      <w:r>
        <w:rPr>
          <w:spacing w:val="-7"/>
          <w:w w:val="120"/>
        </w:rPr>
        <w:t>(women) </w:t>
      </w:r>
      <w:r>
        <w:rPr>
          <w:w w:val="120"/>
        </w:rPr>
        <w:t>training there before </w:t>
      </w:r>
      <w:r>
        <w:rPr>
          <w:spacing w:val="-3"/>
          <w:w w:val="120"/>
        </w:rPr>
        <w:t>winning </w:t>
      </w:r>
      <w:r>
        <w:rPr>
          <w:w w:val="120"/>
        </w:rPr>
        <w:t>the gold medals. </w:t>
      </w:r>
      <w:r>
        <w:rPr>
          <w:spacing w:val="-3"/>
          <w:w w:val="120"/>
        </w:rPr>
        <w:t>We </w:t>
      </w:r>
      <w:r>
        <w:rPr>
          <w:w w:val="120"/>
        </w:rPr>
        <w:t>were also </w:t>
      </w:r>
      <w:r>
        <w:rPr>
          <w:spacing w:val="-3"/>
          <w:w w:val="120"/>
        </w:rPr>
        <w:t>delighted to have </w:t>
      </w:r>
      <w:r>
        <w:rPr>
          <w:w w:val="120"/>
        </w:rPr>
        <w:t>a former </w:t>
      </w:r>
      <w:r>
        <w:rPr>
          <w:spacing w:val="-3"/>
          <w:w w:val="120"/>
        </w:rPr>
        <w:t>pupil, </w:t>
      </w:r>
      <w:r>
        <w:rPr>
          <w:w w:val="120"/>
        </w:rPr>
        <w:t>Jack </w:t>
      </w:r>
      <w:r>
        <w:rPr>
          <w:spacing w:val="-4"/>
          <w:w w:val="120"/>
        </w:rPr>
        <w:t>Oliver, </w:t>
      </w:r>
      <w:r>
        <w:rPr>
          <w:spacing w:val="-3"/>
          <w:w w:val="120"/>
        </w:rPr>
        <w:t>competing </w:t>
      </w:r>
      <w:r>
        <w:rPr>
          <w:w w:val="120"/>
        </w:rPr>
        <w:t>in the weightlifting </w:t>
      </w:r>
      <w:r>
        <w:rPr>
          <w:spacing w:val="-3"/>
          <w:w w:val="120"/>
        </w:rPr>
        <w:t>competition </w:t>
      </w:r>
      <w:r>
        <w:rPr>
          <w:w w:val="120"/>
        </w:rPr>
        <w:t>in London</w:t>
      </w:r>
    </w:p>
    <w:p>
      <w:pPr>
        <w:pStyle w:val="ListParagraph"/>
        <w:numPr>
          <w:ilvl w:val="0"/>
          <w:numId w:val="45"/>
        </w:numPr>
        <w:tabs>
          <w:tab w:pos="1427" w:val="left" w:leader="none"/>
        </w:tabs>
        <w:spacing w:line="240" w:lineRule="auto" w:before="2" w:after="0"/>
        <w:ind w:left="1426" w:right="0" w:hanging="180"/>
        <w:jc w:val="left"/>
        <w:rPr>
          <w:sz w:val="20"/>
        </w:rPr>
      </w:pPr>
      <w:r>
        <w:rPr>
          <w:w w:val="120"/>
          <w:sz w:val="20"/>
        </w:rPr>
        <w:t>the first pupil </w:t>
      </w:r>
      <w:r>
        <w:rPr>
          <w:spacing w:val="-3"/>
          <w:w w:val="120"/>
          <w:sz w:val="20"/>
        </w:rPr>
        <w:t>to have </w:t>
      </w:r>
      <w:r>
        <w:rPr>
          <w:w w:val="120"/>
          <w:sz w:val="20"/>
        </w:rPr>
        <w:t>been at the Olympics </w:t>
      </w:r>
      <w:r>
        <w:rPr>
          <w:spacing w:val="-3"/>
          <w:w w:val="120"/>
          <w:sz w:val="20"/>
        </w:rPr>
        <w:t>since </w:t>
      </w:r>
      <w:r>
        <w:rPr>
          <w:w w:val="120"/>
          <w:sz w:val="20"/>
        </w:rPr>
        <w:t>Eric</w:t>
      </w:r>
      <w:r>
        <w:rPr>
          <w:spacing w:val="-14"/>
          <w:w w:val="120"/>
          <w:sz w:val="20"/>
        </w:rPr>
        <w:t> </w:t>
      </w:r>
      <w:r>
        <w:rPr>
          <w:w w:val="120"/>
          <w:sz w:val="20"/>
        </w:rPr>
        <w:t>Liddell.</w:t>
      </w:r>
    </w:p>
    <w:p>
      <w:pPr>
        <w:pStyle w:val="BodyText"/>
        <w:spacing w:before="8"/>
        <w:rPr>
          <w:sz w:val="19"/>
        </w:rPr>
      </w:pPr>
    </w:p>
    <w:p>
      <w:pPr>
        <w:pStyle w:val="ListParagraph"/>
        <w:numPr>
          <w:ilvl w:val="0"/>
          <w:numId w:val="114"/>
        </w:numPr>
        <w:tabs>
          <w:tab w:pos="1927" w:val="left" w:leader="none"/>
          <w:tab w:pos="1928" w:val="left" w:leader="none"/>
        </w:tabs>
        <w:spacing w:line="235" w:lineRule="auto" w:before="0" w:after="0"/>
        <w:ind w:left="1247" w:right="2074" w:firstLine="0"/>
        <w:jc w:val="left"/>
        <w:rPr>
          <w:sz w:val="20"/>
        </w:rPr>
      </w:pPr>
      <w:r>
        <w:rPr>
          <w:w w:val="120"/>
          <w:sz w:val="20"/>
        </w:rPr>
        <w:t>The autumn term included performances of drama relating to </w:t>
      </w:r>
      <w:r>
        <w:rPr>
          <w:spacing w:val="-9"/>
          <w:w w:val="120"/>
          <w:sz w:val="20"/>
        </w:rPr>
        <w:t>1912. </w:t>
      </w:r>
      <w:r>
        <w:rPr>
          <w:w w:val="120"/>
          <w:sz w:val="20"/>
        </w:rPr>
        <w:t>Our annual carol service moved from the school chapel to Southwark Cathedral so that two  services could be held, accommodating the whole school in the afternoon, and many parents and former pupils were present in the evening. The moderator of the Southern Synod of the United Reformed Church, the </w:t>
      </w:r>
      <w:r>
        <w:rPr>
          <w:spacing w:val="-3"/>
          <w:w w:val="120"/>
          <w:sz w:val="20"/>
        </w:rPr>
        <w:t>Rev’d </w:t>
      </w:r>
      <w:r>
        <w:rPr>
          <w:w w:val="120"/>
          <w:sz w:val="20"/>
        </w:rPr>
        <w:t>Nicola Furley-Smith, was present at these</w:t>
      </w:r>
      <w:r>
        <w:rPr>
          <w:spacing w:val="1"/>
          <w:w w:val="120"/>
          <w:sz w:val="20"/>
        </w:rPr>
        <w:t> </w:t>
      </w:r>
      <w:r>
        <w:rPr>
          <w:w w:val="120"/>
          <w:sz w:val="20"/>
        </w:rPr>
        <w:t>services.</w:t>
      </w:r>
    </w:p>
    <w:p>
      <w:pPr>
        <w:pStyle w:val="BodyText"/>
      </w:pPr>
    </w:p>
    <w:p>
      <w:pPr>
        <w:pStyle w:val="ListParagraph"/>
        <w:numPr>
          <w:ilvl w:val="0"/>
          <w:numId w:val="114"/>
        </w:numPr>
        <w:tabs>
          <w:tab w:pos="1927" w:val="left" w:leader="none"/>
          <w:tab w:pos="1928" w:val="left" w:leader="none"/>
        </w:tabs>
        <w:spacing w:line="235" w:lineRule="auto" w:before="0" w:after="0"/>
        <w:ind w:left="1247" w:right="2111" w:firstLine="0"/>
        <w:jc w:val="left"/>
        <w:rPr>
          <w:sz w:val="20"/>
        </w:rPr>
      </w:pPr>
      <w:r>
        <w:rPr>
          <w:w w:val="120"/>
          <w:sz w:val="20"/>
        </w:rPr>
        <w:t>Throughout the past two years, at the request of Old Elthamians, the school has been trying to recall the </w:t>
      </w:r>
      <w:r>
        <w:rPr>
          <w:spacing w:val="2"/>
          <w:w w:val="120"/>
          <w:sz w:val="20"/>
        </w:rPr>
        <w:t>efforts </w:t>
      </w:r>
      <w:r>
        <w:rPr>
          <w:w w:val="120"/>
          <w:sz w:val="20"/>
        </w:rPr>
        <w:t>of our founding fathers in relation to the School for   the Sons of Missionaries </w:t>
      </w:r>
      <w:r>
        <w:rPr>
          <w:spacing w:val="-5"/>
          <w:w w:val="120"/>
          <w:sz w:val="20"/>
        </w:rPr>
        <w:t>(our </w:t>
      </w:r>
      <w:r>
        <w:rPr>
          <w:w w:val="120"/>
          <w:sz w:val="20"/>
        </w:rPr>
        <w:t>former </w:t>
      </w:r>
      <w:r>
        <w:rPr>
          <w:spacing w:val="-4"/>
          <w:w w:val="120"/>
          <w:sz w:val="20"/>
        </w:rPr>
        <w:t>name) </w:t>
      </w:r>
      <w:r>
        <w:rPr>
          <w:w w:val="120"/>
          <w:sz w:val="20"/>
        </w:rPr>
        <w:t>by supporting a school in Tanzania. Kisasa Secondary School in Dodoma, the capitol city of Tanzania, is run by the state but has been in need of support for some time. Eltham College pupils visit the school over the October half-terms and take </w:t>
      </w:r>
      <w:r>
        <w:rPr>
          <w:spacing w:val="2"/>
          <w:w w:val="120"/>
          <w:sz w:val="20"/>
        </w:rPr>
        <w:t>part </w:t>
      </w:r>
      <w:r>
        <w:rPr>
          <w:w w:val="120"/>
          <w:sz w:val="20"/>
        </w:rPr>
        <w:t>in lessons helping the local children with English, </w:t>
      </w:r>
      <w:r>
        <w:rPr>
          <w:spacing w:val="2"/>
          <w:w w:val="120"/>
          <w:sz w:val="20"/>
        </w:rPr>
        <w:t>sport </w:t>
      </w:r>
      <w:r>
        <w:rPr>
          <w:w w:val="120"/>
          <w:sz w:val="20"/>
        </w:rPr>
        <w:t>and drama. A member of staff, Mrs Elaine Galloway, has spent two years working in the school teaching physics and English. She was joined by a series of former pupils who have spent up to six months teaching science and English, two key subjects</w:t>
      </w:r>
      <w:r>
        <w:rPr>
          <w:spacing w:val="53"/>
          <w:w w:val="120"/>
          <w:sz w:val="20"/>
        </w:rPr>
        <w:t> </w:t>
      </w:r>
      <w:r>
        <w:rPr>
          <w:w w:val="120"/>
          <w:sz w:val="20"/>
        </w:rPr>
        <w:t>at</w:t>
      </w:r>
    </w:p>
    <w:p>
      <w:pPr>
        <w:pStyle w:val="BodyText"/>
        <w:spacing w:line="235" w:lineRule="auto" w:before="7"/>
        <w:ind w:left="1247" w:right="2172"/>
      </w:pPr>
      <w:r>
        <w:rPr>
          <w:w w:val="120"/>
        </w:rPr>
        <w:t>the school. Monies have been raised at Eltham College to help build </w:t>
      </w:r>
      <w:r>
        <w:rPr>
          <w:spacing w:val="2"/>
          <w:w w:val="120"/>
        </w:rPr>
        <w:t>extra </w:t>
      </w:r>
      <w:r>
        <w:rPr>
          <w:w w:val="120"/>
        </w:rPr>
        <w:t>classrooms,  a toilet block for girls, a </w:t>
      </w:r>
      <w:r>
        <w:rPr>
          <w:spacing w:val="2"/>
          <w:w w:val="120"/>
        </w:rPr>
        <w:t>sports </w:t>
      </w:r>
      <w:r>
        <w:rPr>
          <w:w w:val="120"/>
        </w:rPr>
        <w:t>field and a library, as well as paying for a librarian who opens the facility on Saturdays. We are delighted that our support has been welcomed with open arms. More pupils now want to attend the school and we are hopeful that their academic achievements will rise over the next few</w:t>
      </w:r>
      <w:r>
        <w:rPr>
          <w:spacing w:val="13"/>
          <w:w w:val="120"/>
        </w:rPr>
        <w:t> </w:t>
      </w:r>
      <w:r>
        <w:rPr>
          <w:w w:val="120"/>
        </w:rPr>
        <w:t>years.</w:t>
      </w:r>
    </w:p>
    <w:p>
      <w:pPr>
        <w:pStyle w:val="BodyText"/>
        <w:spacing w:before="12"/>
        <w:rPr>
          <w:sz w:val="19"/>
        </w:rPr>
      </w:pPr>
    </w:p>
    <w:p>
      <w:pPr>
        <w:pStyle w:val="ListParagraph"/>
        <w:numPr>
          <w:ilvl w:val="0"/>
          <w:numId w:val="114"/>
        </w:numPr>
        <w:tabs>
          <w:tab w:pos="1927" w:val="left" w:leader="none"/>
          <w:tab w:pos="1928" w:val="left" w:leader="none"/>
        </w:tabs>
        <w:spacing w:line="235" w:lineRule="auto" w:before="0" w:after="0"/>
        <w:ind w:left="1247" w:right="2162" w:firstLine="0"/>
        <w:jc w:val="left"/>
        <w:rPr>
          <w:sz w:val="20"/>
        </w:rPr>
      </w:pPr>
      <w:r>
        <w:rPr>
          <w:w w:val="120"/>
          <w:sz w:val="20"/>
        </w:rPr>
        <w:t>A similar project took place in Borneo in </w:t>
      </w:r>
      <w:r>
        <w:rPr>
          <w:spacing w:val="-7"/>
          <w:w w:val="120"/>
          <w:sz w:val="20"/>
        </w:rPr>
        <w:t>2013, </w:t>
      </w:r>
      <w:r>
        <w:rPr>
          <w:w w:val="120"/>
          <w:sz w:val="20"/>
        </w:rPr>
        <w:t>with a group of pupils led by the headmaster. They not only visited an orang-utan sanctuary but also spent four days in a village in the ‘Corridor of Life’ region helping the construction of two water towers and paying for tow tanks to provide clean water to the local villagers. The concept of ensuring that our pupils remain aware of the needs of others remains alive at Eltham College one hundred years on from Eric Liddell’s</w:t>
      </w:r>
      <w:r>
        <w:rPr>
          <w:spacing w:val="23"/>
          <w:w w:val="120"/>
          <w:sz w:val="20"/>
        </w:rPr>
        <w:t> </w:t>
      </w:r>
      <w:r>
        <w:rPr>
          <w:w w:val="120"/>
          <w:sz w:val="20"/>
        </w:rPr>
        <w:t>time.</w:t>
      </w:r>
    </w:p>
    <w:p>
      <w:pPr>
        <w:spacing w:after="0" w:line="235" w:lineRule="auto"/>
        <w:jc w:val="left"/>
        <w:rPr>
          <w:sz w:val="20"/>
        </w:rPr>
        <w:sectPr>
          <w:headerReference w:type="even" r:id="rId549"/>
          <w:footerReference w:type="even" r:id="rId550"/>
          <w:footerReference w:type="default" r:id="rId551"/>
          <w:pgSz w:w="11910" w:h="16840"/>
          <w:pgMar w:header="0" w:footer="647" w:top="0" w:bottom="840" w:left="0" w:right="0"/>
          <w:pgNumType w:start="222"/>
        </w:sectPr>
      </w:pPr>
    </w:p>
    <w:p>
      <w:pPr>
        <w:pStyle w:val="BodyText"/>
      </w:pPr>
      <w:r>
        <w:rPr/>
        <w:pict>
          <v:group style="position:absolute;margin-left:169.557999pt;margin-top:0pt;width:425.75pt;height:841.9pt;mso-position-horizontal-relative:page;mso-position-vertical-relative:page;z-index:-267060224" coordorigin="3391,0" coordsize="8515,16838">
            <v:shape style="position:absolute;left:10984;top:0;width:922;height:16838" type="#_x0000_t75" stroked="false">
              <v:imagedata r:id="rId540" o:title=""/>
            </v:shape>
            <v:shape style="position:absolute;left:7117;top:6037;width:3858;height:2884" type="#_x0000_t75" stroked="false">
              <v:imagedata r:id="rId553" o:title=""/>
            </v:shape>
            <v:shape style="position:absolute;left:7089;top:1739;width:3892;height:2796" type="#_x0000_t75" stroked="false">
              <v:imagedata r:id="rId554" o:title=""/>
            </v:shape>
            <v:shape style="position:absolute;left:3391;top:11631;width:7584;height:3919" type="#_x0000_t75" stroked="false">
              <v:imagedata r:id="rId555" o:title=""/>
            </v:shape>
            <w10:wrap type="none"/>
          </v:group>
        </w:pict>
      </w:r>
    </w:p>
    <w:p>
      <w:pPr>
        <w:pStyle w:val="BodyText"/>
        <w:spacing w:before="7"/>
        <w:rPr>
          <w:sz w:val="21"/>
        </w:rPr>
      </w:pPr>
    </w:p>
    <w:p>
      <w:pPr>
        <w:pStyle w:val="Heading5"/>
        <w:ind w:left="0" w:right="1245"/>
        <w:jc w:val="right"/>
      </w:pPr>
      <w:r>
        <w:rPr/>
        <w:pict>
          <v:shape style="position:absolute;margin-left:554.141174pt;margin-top:22.593945pt;width:25.9pt;height:280.150pt;mso-position-horizontal-relative:page;mso-position-vertical-relative:paragraph;z-index:252217344" type="#_x0000_t202" filled="false" stroked="false">
            <v:textbox inset="0,0,0,0" style="layout-flow:vertical">
              <w:txbxContent>
                <w:p>
                  <w:pPr>
                    <w:spacing w:before="27"/>
                    <w:ind w:left="20" w:right="0" w:firstLine="0"/>
                    <w:jc w:val="left"/>
                    <w:rPr>
                      <w:sz w:val="39"/>
                    </w:rPr>
                  </w:pPr>
                  <w:r>
                    <w:rPr>
                      <w:color w:val="FFFFFF"/>
                      <w:spacing w:val="9"/>
                      <w:w w:val="120"/>
                      <w:sz w:val="39"/>
                    </w:rPr>
                    <w:t>Schools relating </w:t>
                  </w:r>
                  <w:r>
                    <w:rPr>
                      <w:color w:val="FFFFFF"/>
                      <w:spacing w:val="3"/>
                      <w:w w:val="120"/>
                      <w:sz w:val="39"/>
                    </w:rPr>
                    <w:t>to </w:t>
                  </w:r>
                  <w:r>
                    <w:rPr>
                      <w:color w:val="FFFFFF"/>
                      <w:spacing w:val="8"/>
                      <w:w w:val="120"/>
                      <w:sz w:val="39"/>
                    </w:rPr>
                    <w:t>the</w:t>
                  </w:r>
                  <w:r>
                    <w:rPr>
                      <w:color w:val="FFFFFF"/>
                      <w:spacing w:val="73"/>
                      <w:w w:val="120"/>
                      <w:sz w:val="39"/>
                    </w:rPr>
                    <w:t> </w:t>
                  </w:r>
                  <w:r>
                    <w:rPr>
                      <w:color w:val="FFFFFF"/>
                      <w:spacing w:val="6"/>
                      <w:w w:val="120"/>
                      <w:sz w:val="39"/>
                    </w:rPr>
                    <w:t>URC</w:t>
                  </w:r>
                </w:p>
              </w:txbxContent>
            </v:textbox>
            <w10:wrap type="none"/>
          </v:shape>
        </w:pict>
      </w:r>
      <w:r>
        <w:rPr>
          <w:color w:val="7EAABF"/>
          <w:w w:val="115"/>
        </w:rPr>
        <w:t>Information papers</w:t>
      </w:r>
    </w:p>
    <w:p>
      <w:pPr>
        <w:spacing w:before="215"/>
        <w:ind w:left="1984" w:right="0" w:firstLine="0"/>
        <w:jc w:val="left"/>
        <w:rPr>
          <w:rFonts w:ascii="Stone Sans II ITC Std X Bd"/>
          <w:b/>
          <w:sz w:val="29"/>
        </w:rPr>
      </w:pPr>
      <w:r>
        <w:rPr>
          <w:rFonts w:ascii="Stone Sans II ITC Std X Bd"/>
          <w:b/>
          <w:w w:val="110"/>
          <w:sz w:val="29"/>
        </w:rPr>
        <w:t>Silcoates School</w:t>
      </w:r>
    </w:p>
    <w:p>
      <w:pPr>
        <w:pStyle w:val="ListParagraph"/>
        <w:numPr>
          <w:ilvl w:val="1"/>
          <w:numId w:val="114"/>
        </w:numPr>
        <w:tabs>
          <w:tab w:pos="2664" w:val="left" w:leader="none"/>
          <w:tab w:pos="2665" w:val="left" w:leader="none"/>
        </w:tabs>
        <w:spacing w:line="235" w:lineRule="auto" w:before="196" w:after="0"/>
        <w:ind w:left="1984" w:right="5095" w:firstLine="0"/>
        <w:jc w:val="left"/>
        <w:rPr>
          <w:sz w:val="20"/>
        </w:rPr>
      </w:pPr>
      <w:r>
        <w:rPr>
          <w:spacing w:val="3"/>
          <w:w w:val="120"/>
          <w:sz w:val="20"/>
        </w:rPr>
        <w:t>As </w:t>
      </w:r>
      <w:r>
        <w:rPr>
          <w:spacing w:val="-7"/>
          <w:w w:val="120"/>
          <w:sz w:val="20"/>
        </w:rPr>
        <w:t>2014  </w:t>
      </w:r>
      <w:r>
        <w:rPr>
          <w:w w:val="120"/>
          <w:sz w:val="20"/>
        </w:rPr>
        <w:t>marks the 100</w:t>
      </w:r>
      <w:r>
        <w:rPr>
          <w:w w:val="120"/>
          <w:position w:val="7"/>
          <w:sz w:val="11"/>
        </w:rPr>
        <w:t>th  </w:t>
      </w:r>
      <w:r>
        <w:rPr>
          <w:w w:val="120"/>
          <w:sz w:val="20"/>
        </w:rPr>
        <w:t>anniversary of the </w:t>
      </w:r>
      <w:r>
        <w:rPr>
          <w:spacing w:val="2"/>
          <w:w w:val="120"/>
          <w:sz w:val="20"/>
        </w:rPr>
        <w:t>start </w:t>
      </w:r>
      <w:r>
        <w:rPr>
          <w:w w:val="120"/>
          <w:sz w:val="20"/>
        </w:rPr>
        <w:t>of the First World War we, like many others, have turned our attention to a fitting commemoration of the events that marked our school and country all those years ago. With no living witnesses of the conflict we must </w:t>
      </w:r>
      <w:r>
        <w:rPr>
          <w:spacing w:val="3"/>
          <w:w w:val="120"/>
          <w:sz w:val="20"/>
        </w:rPr>
        <w:t>try </w:t>
      </w:r>
      <w:r>
        <w:rPr>
          <w:w w:val="120"/>
          <w:sz w:val="20"/>
        </w:rPr>
        <w:t>to build on the memories </w:t>
      </w:r>
      <w:r>
        <w:rPr>
          <w:spacing w:val="2"/>
          <w:w w:val="120"/>
          <w:sz w:val="20"/>
        </w:rPr>
        <w:t>left </w:t>
      </w:r>
      <w:r>
        <w:rPr>
          <w:w w:val="120"/>
          <w:sz w:val="20"/>
        </w:rPr>
        <w:t>to us to help a new generation understand the importance of the ‘war to end all </w:t>
      </w:r>
      <w:r>
        <w:rPr>
          <w:spacing w:val="-4"/>
          <w:w w:val="120"/>
          <w:sz w:val="20"/>
        </w:rPr>
        <w:t>wars’. </w:t>
      </w:r>
      <w:r>
        <w:rPr>
          <w:w w:val="120"/>
          <w:sz w:val="20"/>
        </w:rPr>
        <w:t>In our chapel, our roll of honour furnishes us with the names of the fallen, our school having had an above average number of deaths in service during that</w:t>
      </w:r>
      <w:r>
        <w:rPr>
          <w:spacing w:val="14"/>
          <w:w w:val="120"/>
          <w:sz w:val="20"/>
        </w:rPr>
        <w:t> </w:t>
      </w:r>
      <w:r>
        <w:rPr>
          <w:spacing w:val="-4"/>
          <w:w w:val="120"/>
          <w:sz w:val="20"/>
        </w:rPr>
        <w:t>war.</w:t>
      </w:r>
    </w:p>
    <w:p>
      <w:pPr>
        <w:pStyle w:val="BodyText"/>
        <w:spacing w:before="11"/>
        <w:rPr>
          <w:sz w:val="11"/>
        </w:rPr>
      </w:pPr>
    </w:p>
    <w:p>
      <w:pPr>
        <w:pStyle w:val="ListParagraph"/>
        <w:numPr>
          <w:ilvl w:val="1"/>
          <w:numId w:val="114"/>
        </w:numPr>
        <w:tabs>
          <w:tab w:pos="2664" w:val="left" w:leader="none"/>
          <w:tab w:pos="2665" w:val="left" w:leader="none"/>
        </w:tabs>
        <w:spacing w:line="235" w:lineRule="auto" w:before="104" w:after="0"/>
        <w:ind w:left="1984" w:right="1625" w:firstLine="0"/>
        <w:jc w:val="left"/>
        <w:rPr>
          <w:sz w:val="20"/>
        </w:rPr>
      </w:pPr>
      <w:r>
        <w:rPr>
          <w:w w:val="120"/>
          <w:sz w:val="20"/>
        </w:rPr>
        <w:t>We have been following that train of names in our recent journeys with year </w:t>
      </w:r>
      <w:r>
        <w:rPr>
          <w:spacing w:val="-11"/>
          <w:w w:val="120"/>
          <w:sz w:val="20"/>
        </w:rPr>
        <w:t>11 </w:t>
      </w:r>
      <w:r>
        <w:rPr>
          <w:w w:val="120"/>
          <w:sz w:val="20"/>
        </w:rPr>
        <w:t>students to the battlefields of northern France and Belgium, piecing together the stories of these Old Silcoatians, amongst so many others. Our A level theatre studies students have also taken these names as a starting point for their final examination piece which is to be called ‘The</w:t>
      </w:r>
      <w:r>
        <w:rPr>
          <w:spacing w:val="16"/>
          <w:w w:val="120"/>
          <w:sz w:val="20"/>
        </w:rPr>
        <w:t> </w:t>
      </w:r>
      <w:r>
        <w:rPr>
          <w:w w:val="120"/>
          <w:sz w:val="20"/>
        </w:rPr>
        <w:t>Silcoates</w:t>
      </w:r>
    </w:p>
    <w:p>
      <w:pPr>
        <w:pStyle w:val="BodyText"/>
        <w:spacing w:line="235" w:lineRule="auto" w:before="3"/>
        <w:ind w:left="1984" w:right="5067"/>
      </w:pPr>
      <w:r>
        <w:rPr>
          <w:spacing w:val="-5"/>
          <w:w w:val="120"/>
        </w:rPr>
        <w:t>Pals’. </w:t>
      </w:r>
      <w:r>
        <w:rPr>
          <w:w w:val="120"/>
        </w:rPr>
        <w:t>Our junior school made for us a field of remembrance last Remembrance Day and we aim to have a wall of remembrance for the centenary. Poppy seeds have been planted in our grounds which we hope will flower this summer. Alongside these thoughts and plans we continue to support a number of charities including the Royal British Legion poppy</w:t>
      </w:r>
      <w:r>
        <w:rPr>
          <w:spacing w:val="14"/>
          <w:w w:val="120"/>
        </w:rPr>
        <w:t> </w:t>
      </w:r>
      <w:r>
        <w:rPr>
          <w:w w:val="120"/>
        </w:rPr>
        <w:t>appeal.</w:t>
      </w:r>
    </w:p>
    <w:p>
      <w:pPr>
        <w:pStyle w:val="BodyText"/>
        <w:spacing w:before="2"/>
      </w:pPr>
    </w:p>
    <w:p>
      <w:pPr>
        <w:pStyle w:val="ListParagraph"/>
        <w:numPr>
          <w:ilvl w:val="1"/>
          <w:numId w:val="114"/>
        </w:numPr>
        <w:tabs>
          <w:tab w:pos="2664" w:val="left" w:leader="none"/>
          <w:tab w:pos="2665" w:val="left" w:leader="none"/>
        </w:tabs>
        <w:spacing w:line="235" w:lineRule="auto" w:before="0" w:after="0"/>
        <w:ind w:left="1984" w:right="5273" w:firstLine="0"/>
        <w:jc w:val="both"/>
        <w:rPr>
          <w:sz w:val="20"/>
        </w:rPr>
      </w:pPr>
      <w:r>
        <w:rPr>
          <w:w w:val="120"/>
          <w:sz w:val="20"/>
        </w:rPr>
        <w:t>Our charity work is one of our strengths as a school. After our successful Goa project at Easter </w:t>
      </w:r>
      <w:r>
        <w:rPr>
          <w:spacing w:val="-7"/>
          <w:w w:val="120"/>
          <w:sz w:val="20"/>
        </w:rPr>
        <w:t>2012, </w:t>
      </w:r>
      <w:r>
        <w:rPr>
          <w:w w:val="120"/>
          <w:sz w:val="20"/>
        </w:rPr>
        <w:t>we are now linked with a school in Tanzania and aim to send a group of sixth</w:t>
      </w:r>
      <w:r>
        <w:rPr>
          <w:spacing w:val="17"/>
          <w:w w:val="120"/>
          <w:sz w:val="20"/>
        </w:rPr>
        <w:t> </w:t>
      </w:r>
      <w:r>
        <w:rPr>
          <w:w w:val="120"/>
          <w:sz w:val="20"/>
        </w:rPr>
        <w:t>form</w:t>
      </w:r>
    </w:p>
    <w:p>
      <w:pPr>
        <w:pStyle w:val="BodyText"/>
        <w:spacing w:line="235" w:lineRule="auto" w:before="3"/>
        <w:ind w:left="1984" w:right="1419"/>
      </w:pPr>
      <w:r>
        <w:rPr>
          <w:w w:val="120"/>
        </w:rPr>
        <w:t>students to visit in October </w:t>
      </w:r>
      <w:r>
        <w:rPr>
          <w:spacing w:val="-6"/>
          <w:w w:val="120"/>
        </w:rPr>
        <w:t>2014. </w:t>
      </w:r>
      <w:r>
        <w:rPr>
          <w:w w:val="120"/>
        </w:rPr>
        <w:t>We hope to improve facilities at the school and take </w:t>
      </w:r>
      <w:r>
        <w:rPr>
          <w:spacing w:val="2"/>
          <w:w w:val="120"/>
        </w:rPr>
        <w:t>part </w:t>
      </w:r>
      <w:r>
        <w:rPr>
          <w:w w:val="120"/>
        </w:rPr>
        <w:t>in daily life with the students. Our major fundraising in </w:t>
      </w:r>
      <w:r>
        <w:rPr>
          <w:spacing w:val="-8"/>
          <w:w w:val="120"/>
        </w:rPr>
        <w:t>2013 </w:t>
      </w:r>
      <w:r>
        <w:rPr>
          <w:w w:val="120"/>
        </w:rPr>
        <w:t>was for meningitis charities in </w:t>
      </w:r>
      <w:r>
        <w:rPr>
          <w:spacing w:val="2"/>
          <w:w w:val="120"/>
        </w:rPr>
        <w:t>memory </w:t>
      </w:r>
      <w:r>
        <w:rPr>
          <w:w w:val="120"/>
        </w:rPr>
        <w:t>of William Blackburn, one of our pupils, who died from meningitis in December </w:t>
      </w:r>
      <w:r>
        <w:rPr>
          <w:spacing w:val="-7"/>
          <w:w w:val="120"/>
        </w:rPr>
        <w:t>2012 </w:t>
      </w:r>
      <w:r>
        <w:rPr>
          <w:w w:val="120"/>
        </w:rPr>
        <w:t>aged </w:t>
      </w:r>
      <w:r>
        <w:rPr>
          <w:spacing w:val="-7"/>
          <w:w w:val="120"/>
        </w:rPr>
        <w:t>14. </w:t>
      </w:r>
      <w:r>
        <w:rPr>
          <w:w w:val="120"/>
        </w:rPr>
        <w:t>We continue to remember him and our </w:t>
      </w:r>
      <w:r>
        <w:rPr>
          <w:spacing w:val="2"/>
          <w:w w:val="120"/>
        </w:rPr>
        <w:t>efforts </w:t>
      </w:r>
      <w:r>
        <w:rPr>
          <w:w w:val="120"/>
        </w:rPr>
        <w:t>so far exceed</w:t>
      </w:r>
      <w:r>
        <w:rPr>
          <w:spacing w:val="2"/>
          <w:w w:val="120"/>
        </w:rPr>
        <w:t> </w:t>
      </w:r>
      <w:r>
        <w:rPr>
          <w:spacing w:val="-3"/>
          <w:w w:val="120"/>
        </w:rPr>
        <w:t>£14,000.</w:t>
      </w:r>
    </w:p>
    <w:p>
      <w:pPr>
        <w:pStyle w:val="BodyText"/>
        <w:spacing w:before="12"/>
        <w:rPr>
          <w:sz w:val="19"/>
        </w:rPr>
      </w:pPr>
    </w:p>
    <w:p>
      <w:pPr>
        <w:pStyle w:val="ListParagraph"/>
        <w:numPr>
          <w:ilvl w:val="1"/>
          <w:numId w:val="114"/>
        </w:numPr>
        <w:tabs>
          <w:tab w:pos="2664" w:val="left" w:leader="none"/>
          <w:tab w:pos="2665" w:val="left" w:leader="none"/>
        </w:tabs>
        <w:spacing w:line="235" w:lineRule="auto" w:before="0" w:after="0"/>
        <w:ind w:left="1984" w:right="1605" w:firstLine="0"/>
        <w:jc w:val="left"/>
        <w:rPr>
          <w:sz w:val="20"/>
        </w:rPr>
      </w:pPr>
      <w:r>
        <w:rPr>
          <w:w w:val="120"/>
          <w:sz w:val="20"/>
        </w:rPr>
        <w:t>Our website – </w:t>
      </w:r>
      <w:hyperlink r:id="rId556">
        <w:r>
          <w:rPr>
            <w:w w:val="120"/>
            <w:sz w:val="20"/>
          </w:rPr>
          <w:t>www.silocoates.org.uk </w:t>
        </w:r>
      </w:hyperlink>
      <w:r>
        <w:rPr>
          <w:w w:val="120"/>
          <w:sz w:val="20"/>
        </w:rPr>
        <w:t>– continues to provide news of all our activities. Chapel resources and activities for worship and learning with children and young</w:t>
      </w:r>
      <w:r>
        <w:rPr>
          <w:spacing w:val="10"/>
          <w:w w:val="120"/>
          <w:sz w:val="20"/>
        </w:rPr>
        <w:t> </w:t>
      </w:r>
      <w:r>
        <w:rPr>
          <w:w w:val="120"/>
          <w:sz w:val="20"/>
        </w:rPr>
        <w:t>people</w:t>
      </w:r>
      <w:r>
        <w:rPr>
          <w:spacing w:val="10"/>
          <w:w w:val="120"/>
          <w:sz w:val="20"/>
        </w:rPr>
        <w:t> </w:t>
      </w:r>
      <w:r>
        <w:rPr>
          <w:w w:val="120"/>
          <w:sz w:val="20"/>
        </w:rPr>
        <w:t>have</w:t>
      </w:r>
      <w:r>
        <w:rPr>
          <w:spacing w:val="10"/>
          <w:w w:val="120"/>
          <w:sz w:val="20"/>
        </w:rPr>
        <w:t> </w:t>
      </w:r>
      <w:r>
        <w:rPr>
          <w:w w:val="120"/>
          <w:sz w:val="20"/>
        </w:rPr>
        <w:t>been</w:t>
      </w:r>
      <w:r>
        <w:rPr>
          <w:spacing w:val="10"/>
          <w:w w:val="120"/>
          <w:sz w:val="20"/>
        </w:rPr>
        <w:t> </w:t>
      </w:r>
      <w:r>
        <w:rPr>
          <w:w w:val="120"/>
          <w:sz w:val="20"/>
        </w:rPr>
        <w:t>developed</w:t>
      </w:r>
      <w:r>
        <w:rPr>
          <w:spacing w:val="10"/>
          <w:w w:val="120"/>
          <w:sz w:val="20"/>
        </w:rPr>
        <w:t> </w:t>
      </w:r>
      <w:r>
        <w:rPr>
          <w:w w:val="120"/>
          <w:sz w:val="20"/>
        </w:rPr>
        <w:t>by</w:t>
      </w:r>
      <w:r>
        <w:rPr>
          <w:spacing w:val="10"/>
          <w:w w:val="120"/>
          <w:sz w:val="20"/>
        </w:rPr>
        <w:t> </w:t>
      </w:r>
      <w:r>
        <w:rPr>
          <w:w w:val="120"/>
          <w:sz w:val="20"/>
        </w:rPr>
        <w:t>our</w:t>
      </w:r>
      <w:r>
        <w:rPr>
          <w:spacing w:val="10"/>
          <w:w w:val="120"/>
          <w:sz w:val="20"/>
        </w:rPr>
        <w:t> </w:t>
      </w:r>
      <w:r>
        <w:rPr>
          <w:w w:val="120"/>
          <w:sz w:val="20"/>
        </w:rPr>
        <w:t>chaplain</w:t>
      </w:r>
      <w:r>
        <w:rPr>
          <w:spacing w:val="10"/>
          <w:w w:val="120"/>
          <w:sz w:val="20"/>
        </w:rPr>
        <w:t> </w:t>
      </w:r>
      <w:r>
        <w:rPr>
          <w:w w:val="120"/>
          <w:sz w:val="20"/>
        </w:rPr>
        <w:t>and</w:t>
      </w:r>
      <w:r>
        <w:rPr>
          <w:spacing w:val="10"/>
          <w:w w:val="120"/>
          <w:sz w:val="20"/>
        </w:rPr>
        <w:t> </w:t>
      </w:r>
      <w:r>
        <w:rPr>
          <w:w w:val="120"/>
          <w:sz w:val="20"/>
        </w:rPr>
        <w:t>can</w:t>
      </w:r>
      <w:r>
        <w:rPr>
          <w:spacing w:val="10"/>
          <w:w w:val="120"/>
          <w:sz w:val="20"/>
        </w:rPr>
        <w:t> </w:t>
      </w:r>
      <w:r>
        <w:rPr>
          <w:w w:val="120"/>
          <w:sz w:val="20"/>
        </w:rPr>
        <w:t>be</w:t>
      </w:r>
      <w:r>
        <w:rPr>
          <w:spacing w:val="11"/>
          <w:w w:val="120"/>
          <w:sz w:val="20"/>
        </w:rPr>
        <w:t> </w:t>
      </w:r>
      <w:r>
        <w:rPr>
          <w:w w:val="120"/>
          <w:sz w:val="20"/>
        </w:rPr>
        <w:t>downloaded</w:t>
      </w:r>
      <w:r>
        <w:rPr>
          <w:spacing w:val="10"/>
          <w:w w:val="120"/>
          <w:sz w:val="20"/>
        </w:rPr>
        <w:t> </w:t>
      </w:r>
      <w:r>
        <w:rPr>
          <w:w w:val="120"/>
          <w:sz w:val="20"/>
        </w:rPr>
        <w:t>free</w:t>
      </w:r>
    </w:p>
    <w:p>
      <w:pPr>
        <w:pStyle w:val="BodyText"/>
        <w:spacing w:line="243" w:lineRule="exact"/>
        <w:ind w:left="1984"/>
      </w:pPr>
      <w:r>
        <w:rPr>
          <w:w w:val="120"/>
        </w:rPr>
        <w:t>of charge.</w:t>
      </w:r>
    </w:p>
    <w:p>
      <w:pPr>
        <w:spacing w:after="0" w:line="243" w:lineRule="exact"/>
        <w:sectPr>
          <w:headerReference w:type="default" r:id="rId552"/>
          <w:pgSz w:w="11910" w:h="16840"/>
          <w:pgMar w:header="0" w:footer="647" w:top="0" w:bottom="840" w:left="0" w:right="0"/>
        </w:sectPr>
      </w:pPr>
    </w:p>
    <w:p>
      <w:pPr>
        <w:pStyle w:val="Heading5"/>
        <w:spacing w:before="94"/>
      </w:pPr>
      <w:r>
        <w:rPr/>
        <w:pict>
          <v:group style="position:absolute;margin-left:0pt;margin-top:0pt;width:567.450pt;height:841.9pt;mso-position-horizontal-relative:page;mso-position-vertical-relative:page;z-index:-267058176" coordorigin="0,0" coordsize="11349,16838">
            <v:shape style="position:absolute;left:0;top:0;width:936;height:16838" type="#_x0000_t75" stroked="false">
              <v:imagedata r:id="rId537" o:title=""/>
            </v:shape>
            <v:shape style="position:absolute;left:927;top:1133;width:10422;height:2598" type="#_x0000_t75" stroked="false">
              <v:imagedata r:id="rId559" o:title=""/>
            </v:shape>
            <v:shape style="position:absolute;left:8083;top:11924;width:2462;height:3693" type="#_x0000_t75" stroked="false">
              <v:imagedata r:id="rId560" o:title=""/>
            </v:shape>
            <w10:wrap type="none"/>
          </v:group>
        </w:pict>
      </w:r>
      <w:r>
        <w:rPr>
          <w:color w:val="7EAABF"/>
          <w:w w:val="115"/>
        </w:rPr>
        <w:t>Information papers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
        <w:rPr>
          <w:sz w:val="26"/>
        </w:rPr>
      </w:pPr>
    </w:p>
    <w:p>
      <w:pPr>
        <w:spacing w:before="94"/>
        <w:ind w:left="1247" w:right="0" w:firstLine="0"/>
        <w:jc w:val="left"/>
        <w:rPr>
          <w:rFonts w:ascii="Stone Sans II ITC Std X Bd"/>
          <w:b/>
          <w:sz w:val="29"/>
        </w:rPr>
      </w:pPr>
      <w:r>
        <w:rPr/>
        <w:pict>
          <v:shape style="position:absolute;margin-left:20.519100pt;margin-top:-149.19249pt;width:25.9pt;height:280.150pt;mso-position-horizontal-relative:page;mso-position-vertical-relative:paragraph;z-index:252219392" type="#_x0000_t202" filled="false" stroked="false">
            <v:textbox inset="0,0,0,0" style="layout-flow:vertical">
              <w:txbxContent>
                <w:p>
                  <w:pPr>
                    <w:spacing w:before="27"/>
                    <w:ind w:left="20" w:right="0" w:firstLine="0"/>
                    <w:jc w:val="left"/>
                    <w:rPr>
                      <w:sz w:val="39"/>
                    </w:rPr>
                  </w:pPr>
                  <w:r>
                    <w:rPr>
                      <w:color w:val="FFFFFF"/>
                      <w:spacing w:val="9"/>
                      <w:w w:val="120"/>
                      <w:sz w:val="39"/>
                    </w:rPr>
                    <w:t>Schools relating </w:t>
                  </w:r>
                  <w:r>
                    <w:rPr>
                      <w:color w:val="FFFFFF"/>
                      <w:spacing w:val="3"/>
                      <w:w w:val="120"/>
                      <w:sz w:val="39"/>
                    </w:rPr>
                    <w:t>to </w:t>
                  </w:r>
                  <w:r>
                    <w:rPr>
                      <w:color w:val="FFFFFF"/>
                      <w:spacing w:val="8"/>
                      <w:w w:val="120"/>
                      <w:sz w:val="39"/>
                    </w:rPr>
                    <w:t>the</w:t>
                  </w:r>
                  <w:r>
                    <w:rPr>
                      <w:color w:val="FFFFFF"/>
                      <w:spacing w:val="73"/>
                      <w:w w:val="120"/>
                      <w:sz w:val="39"/>
                    </w:rPr>
                    <w:t> </w:t>
                  </w:r>
                  <w:r>
                    <w:rPr>
                      <w:color w:val="FFFFFF"/>
                      <w:spacing w:val="6"/>
                      <w:w w:val="120"/>
                      <w:sz w:val="39"/>
                    </w:rPr>
                    <w:t>URC</w:t>
                  </w:r>
                </w:p>
              </w:txbxContent>
            </v:textbox>
            <w10:wrap type="none"/>
          </v:shape>
        </w:pict>
      </w:r>
      <w:r>
        <w:rPr>
          <w:rFonts w:ascii="Stone Sans II ITC Std X Bd"/>
          <w:b/>
          <w:w w:val="110"/>
          <w:sz w:val="29"/>
        </w:rPr>
        <w:t>Taunton</w:t>
      </w:r>
    </w:p>
    <w:p>
      <w:pPr>
        <w:pStyle w:val="ListParagraph"/>
        <w:numPr>
          <w:ilvl w:val="0"/>
          <w:numId w:val="115"/>
        </w:numPr>
        <w:tabs>
          <w:tab w:pos="1927" w:val="left" w:leader="none"/>
          <w:tab w:pos="1928" w:val="left" w:leader="none"/>
        </w:tabs>
        <w:spacing w:line="235" w:lineRule="auto" w:before="196" w:after="0"/>
        <w:ind w:left="1247" w:right="2477" w:firstLine="0"/>
        <w:jc w:val="left"/>
        <w:rPr>
          <w:sz w:val="20"/>
        </w:rPr>
      </w:pPr>
      <w:r>
        <w:rPr>
          <w:w w:val="120"/>
          <w:sz w:val="20"/>
        </w:rPr>
        <w:t>At </w:t>
      </w:r>
      <w:r>
        <w:rPr>
          <w:spacing w:val="-3"/>
          <w:w w:val="120"/>
          <w:sz w:val="20"/>
        </w:rPr>
        <w:t>Taunton </w:t>
      </w:r>
      <w:r>
        <w:rPr>
          <w:w w:val="120"/>
          <w:sz w:val="20"/>
        </w:rPr>
        <w:t>School, the chapel continues to be the place where we meet regularly for quiet reflection, challenge and the celebration of Christian festivals. Senior school pupils come to the chapel twice a week and the prep school children come each</w:t>
      </w:r>
      <w:r>
        <w:rPr>
          <w:spacing w:val="3"/>
          <w:w w:val="120"/>
          <w:sz w:val="20"/>
        </w:rPr>
        <w:t> </w:t>
      </w:r>
      <w:r>
        <w:rPr>
          <w:w w:val="120"/>
          <w:sz w:val="20"/>
        </w:rPr>
        <w:t>Wednesday.</w:t>
      </w:r>
    </w:p>
    <w:p>
      <w:pPr>
        <w:pStyle w:val="BodyText"/>
        <w:spacing w:before="11"/>
        <w:rPr>
          <w:sz w:val="19"/>
        </w:rPr>
      </w:pPr>
    </w:p>
    <w:p>
      <w:pPr>
        <w:pStyle w:val="ListParagraph"/>
        <w:numPr>
          <w:ilvl w:val="0"/>
          <w:numId w:val="115"/>
        </w:numPr>
        <w:tabs>
          <w:tab w:pos="1927" w:val="left" w:leader="none"/>
          <w:tab w:pos="1928" w:val="left" w:leader="none"/>
        </w:tabs>
        <w:spacing w:line="235" w:lineRule="auto" w:before="0" w:after="0"/>
        <w:ind w:left="1247" w:right="2123" w:firstLine="0"/>
        <w:jc w:val="left"/>
        <w:rPr>
          <w:sz w:val="20"/>
        </w:rPr>
      </w:pPr>
      <w:r>
        <w:rPr>
          <w:w w:val="120"/>
          <w:sz w:val="20"/>
        </w:rPr>
        <w:t>Special services are held for harvest festival, to which the pupils bring </w:t>
      </w:r>
      <w:r>
        <w:rPr>
          <w:spacing w:val="2"/>
          <w:w w:val="120"/>
          <w:sz w:val="20"/>
        </w:rPr>
        <w:t>gifts </w:t>
      </w:r>
      <w:r>
        <w:rPr>
          <w:w w:val="120"/>
          <w:sz w:val="20"/>
        </w:rPr>
        <w:t>of food for donation to the </w:t>
      </w:r>
      <w:r>
        <w:rPr>
          <w:spacing w:val="-3"/>
          <w:w w:val="120"/>
          <w:sz w:val="20"/>
        </w:rPr>
        <w:t>Taunton </w:t>
      </w:r>
      <w:r>
        <w:rPr>
          <w:w w:val="120"/>
          <w:sz w:val="20"/>
        </w:rPr>
        <w:t>food bank and a charity supporting homeless people in the area, Remembrance with the laying of wreaths in </w:t>
      </w:r>
      <w:r>
        <w:rPr>
          <w:spacing w:val="2"/>
          <w:w w:val="120"/>
          <w:sz w:val="20"/>
        </w:rPr>
        <w:t>memory </w:t>
      </w:r>
      <w:r>
        <w:rPr>
          <w:w w:val="120"/>
          <w:sz w:val="20"/>
        </w:rPr>
        <w:t>of the fallen from our school community, Christingle and Christmas. Choirs from both schools enhance our worship with their beautiful</w:t>
      </w:r>
      <w:r>
        <w:rPr>
          <w:spacing w:val="9"/>
          <w:w w:val="120"/>
          <w:sz w:val="20"/>
        </w:rPr>
        <w:t> </w:t>
      </w:r>
      <w:r>
        <w:rPr>
          <w:w w:val="120"/>
          <w:sz w:val="20"/>
        </w:rPr>
        <w:t>singing.</w:t>
      </w:r>
    </w:p>
    <w:p>
      <w:pPr>
        <w:pStyle w:val="ListParagraph"/>
        <w:numPr>
          <w:ilvl w:val="0"/>
          <w:numId w:val="115"/>
        </w:numPr>
        <w:tabs>
          <w:tab w:pos="1927" w:val="left" w:leader="none"/>
          <w:tab w:pos="1928" w:val="left" w:leader="none"/>
        </w:tabs>
        <w:spacing w:line="235" w:lineRule="auto" w:before="4" w:after="0"/>
        <w:ind w:left="1247" w:right="2112" w:firstLine="0"/>
        <w:jc w:val="left"/>
        <w:rPr>
          <w:sz w:val="20"/>
        </w:rPr>
      </w:pPr>
      <w:r>
        <w:rPr>
          <w:w w:val="120"/>
          <w:sz w:val="20"/>
        </w:rPr>
        <w:t>The Senior School marks Lent with a service of Tenebrae and both schools focus on Good Friday at the end of term. Easter is always early for the prep School – we celebrate the resurrection on the last morning of term. We end the summer term with leavers’ services. The prefects put the upper sixth leavers’ service together themselves and include their favourite</w:t>
      </w:r>
      <w:r>
        <w:rPr>
          <w:spacing w:val="8"/>
          <w:w w:val="120"/>
          <w:sz w:val="20"/>
        </w:rPr>
        <w:t> </w:t>
      </w:r>
      <w:r>
        <w:rPr>
          <w:w w:val="120"/>
          <w:sz w:val="20"/>
        </w:rPr>
        <w:t>hymns.</w:t>
      </w:r>
    </w:p>
    <w:p>
      <w:pPr>
        <w:pStyle w:val="BodyText"/>
        <w:spacing w:before="11"/>
        <w:rPr>
          <w:sz w:val="19"/>
        </w:rPr>
      </w:pPr>
    </w:p>
    <w:p>
      <w:pPr>
        <w:pStyle w:val="ListParagraph"/>
        <w:numPr>
          <w:ilvl w:val="0"/>
          <w:numId w:val="115"/>
        </w:numPr>
        <w:tabs>
          <w:tab w:pos="1927" w:val="left" w:leader="none"/>
          <w:tab w:pos="1928" w:val="left" w:leader="none"/>
        </w:tabs>
        <w:spacing w:line="235" w:lineRule="auto" w:before="0" w:after="0"/>
        <w:ind w:left="1247" w:right="2117" w:firstLine="0"/>
        <w:jc w:val="left"/>
        <w:rPr>
          <w:sz w:val="20"/>
        </w:rPr>
      </w:pPr>
      <w:r>
        <w:rPr>
          <w:w w:val="120"/>
          <w:sz w:val="20"/>
        </w:rPr>
        <w:t>Many in the senior school, staff and pupils, have taken responsibility for leading services. We also welcome many outside speakers who show us that God can be worshipped in many different ways. A regular visitor is our jazz piano teacher, who brings his band once a term and leads the school in lively modern songs. In the last   two years, we have looked at the </w:t>
      </w:r>
      <w:r>
        <w:rPr>
          <w:spacing w:val="-5"/>
          <w:w w:val="120"/>
          <w:sz w:val="20"/>
        </w:rPr>
        <w:t>Ten </w:t>
      </w:r>
      <w:r>
        <w:rPr>
          <w:w w:val="120"/>
          <w:sz w:val="20"/>
        </w:rPr>
        <w:t>Commandments, the Lord’s prayer, the </w:t>
      </w:r>
      <w:r>
        <w:rPr>
          <w:spacing w:val="2"/>
          <w:w w:val="120"/>
          <w:sz w:val="20"/>
        </w:rPr>
        <w:t>story </w:t>
      </w:r>
      <w:r>
        <w:rPr>
          <w:w w:val="120"/>
          <w:sz w:val="20"/>
        </w:rPr>
        <w:t>of Moses, how to use the Bible and </w:t>
      </w:r>
      <w:r>
        <w:rPr>
          <w:spacing w:val="-3"/>
          <w:w w:val="120"/>
          <w:sz w:val="20"/>
        </w:rPr>
        <w:t>pray, </w:t>
      </w:r>
      <w:r>
        <w:rPr>
          <w:w w:val="120"/>
          <w:sz w:val="20"/>
        </w:rPr>
        <w:t>and some of the parables Jesus told. Each spring term from </w:t>
      </w:r>
      <w:r>
        <w:rPr>
          <w:spacing w:val="-6"/>
          <w:w w:val="120"/>
          <w:sz w:val="20"/>
        </w:rPr>
        <w:t>2102, </w:t>
      </w:r>
      <w:r>
        <w:rPr>
          <w:w w:val="120"/>
          <w:sz w:val="20"/>
        </w:rPr>
        <w:t>we have enjoyed a special day to help us understand some Christian teachings – Prayer Spaces in </w:t>
      </w:r>
      <w:r>
        <w:rPr>
          <w:spacing w:val="-7"/>
          <w:w w:val="120"/>
          <w:sz w:val="20"/>
        </w:rPr>
        <w:t>2012, </w:t>
      </w:r>
      <w:r>
        <w:rPr>
          <w:w w:val="120"/>
          <w:sz w:val="20"/>
        </w:rPr>
        <w:t>the Easter Experience in </w:t>
      </w:r>
      <w:r>
        <w:rPr>
          <w:spacing w:val="-8"/>
          <w:w w:val="120"/>
          <w:sz w:val="20"/>
        </w:rPr>
        <w:t>2013 </w:t>
      </w:r>
      <w:r>
        <w:rPr>
          <w:w w:val="120"/>
          <w:sz w:val="20"/>
        </w:rPr>
        <w:t>and the Lord’s Prayer in</w:t>
      </w:r>
      <w:r>
        <w:rPr>
          <w:spacing w:val="2"/>
          <w:w w:val="120"/>
          <w:sz w:val="20"/>
        </w:rPr>
        <w:t> </w:t>
      </w:r>
      <w:r>
        <w:rPr>
          <w:spacing w:val="-6"/>
          <w:w w:val="120"/>
          <w:sz w:val="20"/>
        </w:rPr>
        <w:t>2014.</w:t>
      </w:r>
    </w:p>
    <w:p>
      <w:pPr>
        <w:pStyle w:val="BodyText"/>
        <w:spacing w:before="3"/>
      </w:pPr>
    </w:p>
    <w:p>
      <w:pPr>
        <w:pStyle w:val="ListParagraph"/>
        <w:numPr>
          <w:ilvl w:val="0"/>
          <w:numId w:val="115"/>
        </w:numPr>
        <w:tabs>
          <w:tab w:pos="1927" w:val="left" w:leader="none"/>
          <w:tab w:pos="1928" w:val="left" w:leader="none"/>
        </w:tabs>
        <w:spacing w:line="235" w:lineRule="auto" w:before="0" w:after="0"/>
        <w:ind w:left="1247" w:right="2241" w:firstLine="0"/>
        <w:jc w:val="left"/>
        <w:rPr>
          <w:sz w:val="20"/>
        </w:rPr>
      </w:pPr>
      <w:r>
        <w:rPr>
          <w:w w:val="120"/>
          <w:sz w:val="20"/>
        </w:rPr>
        <w:t>Recently the chapel choir sang the </w:t>
      </w:r>
      <w:r>
        <w:rPr>
          <w:spacing w:val="-3"/>
          <w:w w:val="120"/>
          <w:sz w:val="20"/>
        </w:rPr>
        <w:t>Taunton </w:t>
      </w:r>
      <w:r>
        <w:rPr>
          <w:w w:val="120"/>
          <w:sz w:val="20"/>
        </w:rPr>
        <w:t>school anthem, commissioned by friends of the school from the composer Howard Goodall, and in the same service we celebrated 100 years of Wills East and Wills West, boys’ boarding houses. In October </w:t>
      </w:r>
      <w:r>
        <w:rPr>
          <w:spacing w:val="-7"/>
          <w:w w:val="120"/>
          <w:sz w:val="20"/>
        </w:rPr>
        <w:t>2013, </w:t>
      </w:r>
      <w:r>
        <w:rPr>
          <w:w w:val="120"/>
          <w:sz w:val="20"/>
        </w:rPr>
        <w:t>we had a wonderful service in which a beautiful new</w:t>
      </w:r>
      <w:r>
        <w:rPr>
          <w:spacing w:val="43"/>
          <w:w w:val="120"/>
          <w:sz w:val="20"/>
        </w:rPr>
        <w:t> </w:t>
      </w:r>
      <w:r>
        <w:rPr>
          <w:w w:val="120"/>
          <w:sz w:val="20"/>
        </w:rPr>
        <w:t>stained</w:t>
      </w:r>
    </w:p>
    <w:p>
      <w:pPr>
        <w:pStyle w:val="BodyText"/>
        <w:spacing w:line="235" w:lineRule="auto" w:before="3"/>
        <w:ind w:left="1247" w:right="4439"/>
      </w:pPr>
      <w:r>
        <w:rPr>
          <w:w w:val="120"/>
        </w:rPr>
        <w:t>glass window was dedicated. The window is the gift of a family which has seen five generations of its members pass through the school and depicts some of the many aspects of our vibrant community life.</w:t>
      </w:r>
    </w:p>
    <w:p>
      <w:pPr>
        <w:pStyle w:val="BodyText"/>
        <w:spacing w:before="11"/>
        <w:rPr>
          <w:sz w:val="19"/>
        </w:rPr>
      </w:pPr>
    </w:p>
    <w:p>
      <w:pPr>
        <w:pStyle w:val="ListParagraph"/>
        <w:numPr>
          <w:ilvl w:val="0"/>
          <w:numId w:val="115"/>
        </w:numPr>
        <w:tabs>
          <w:tab w:pos="1927" w:val="left" w:leader="none"/>
          <w:tab w:pos="1928" w:val="left" w:leader="none"/>
        </w:tabs>
        <w:spacing w:line="235" w:lineRule="auto" w:before="0" w:after="0"/>
        <w:ind w:left="1247" w:right="4442" w:firstLine="0"/>
        <w:jc w:val="left"/>
        <w:rPr>
          <w:sz w:val="20"/>
        </w:rPr>
      </w:pPr>
      <w:r>
        <w:rPr>
          <w:w w:val="120"/>
          <w:sz w:val="20"/>
        </w:rPr>
        <w:t>Life is not all joy; the chapel has also too often in the last few years been the place where we have met to give</w:t>
      </w:r>
      <w:r>
        <w:rPr>
          <w:spacing w:val="13"/>
          <w:w w:val="120"/>
          <w:sz w:val="20"/>
        </w:rPr>
        <w:t> </w:t>
      </w:r>
      <w:r>
        <w:rPr>
          <w:w w:val="120"/>
          <w:sz w:val="20"/>
        </w:rPr>
        <w:t>thanks</w:t>
      </w:r>
    </w:p>
    <w:p>
      <w:pPr>
        <w:pStyle w:val="BodyText"/>
        <w:spacing w:line="235" w:lineRule="auto" w:before="1"/>
        <w:ind w:left="1247" w:right="4173"/>
      </w:pPr>
      <w:r>
        <w:rPr>
          <w:w w:val="120"/>
        </w:rPr>
        <w:t>for the lives of young people, a current pupil and some recent leavers, whose lives ended prematurely. These sad occasions have reminded us of the eternal values which are part of our Christian ethos. School life comes to an end, human life is uncertain, but faith, hope and love continue; faith will be swallowed up in sight, hope emptied in delight, but the love of God for us is never- ending and this is the bedrock on which our school life must be built if our time here is to have lasting worth.</w:t>
      </w:r>
    </w:p>
    <w:p>
      <w:pPr>
        <w:spacing w:after="0" w:line="235" w:lineRule="auto"/>
        <w:sectPr>
          <w:headerReference w:type="even" r:id="rId557"/>
          <w:footerReference w:type="even" r:id="rId558"/>
          <w:pgSz w:w="11910" w:h="16840"/>
          <w:pgMar w:header="0" w:footer="647" w:top="520" w:bottom="840" w:left="0" w:right="0"/>
          <w:pgNumType w:start="224"/>
        </w:sectPr>
      </w:pPr>
    </w:p>
    <w:p>
      <w:pPr>
        <w:pStyle w:val="Heading5"/>
        <w:spacing w:before="94"/>
        <w:ind w:left="0" w:right="1245"/>
        <w:jc w:val="right"/>
      </w:pPr>
      <w:r>
        <w:rPr/>
        <w:pict>
          <v:shape style="position:absolute;margin-left:217.523407pt;margin-top:799.53833pt;width:315.4pt;height:15.45pt;mso-position-horizontal-relative:page;mso-position-vertical-relative:page;z-index:-267056128" type="#_x0000_t202" filled="false" stroked="false">
            <v:textbox inset="0,0,0,0">
              <w:txbxContent>
                <w:p>
                  <w:pPr>
                    <w:spacing w:line="308" w:lineRule="exact" w:before="0"/>
                    <w:ind w:left="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rFonts w:ascii="Stone Sans II ITC Std X Bd" w:hAnsi="Stone Sans II ITC Std X Bd"/>
                      <w:b/>
                      <w:spacing w:val="-91"/>
                      <w:w w:val="110"/>
                      <w:sz w:val="24"/>
                    </w:rPr>
                    <w:t>225</w:t>
                  </w:r>
                </w:p>
              </w:txbxContent>
            </v:textbox>
            <w10:wrap type="none"/>
          </v:shape>
        </w:pict>
      </w:r>
      <w:r>
        <w:rPr/>
        <w:pict>
          <v:group style="position:absolute;margin-left:96.297997pt;margin-top:0pt;width:499pt;height:841.9pt;mso-position-horizontal-relative:page;mso-position-vertical-relative:page;z-index:-267055104" coordorigin="1926,0" coordsize="9980,16838">
            <v:shape style="position:absolute;left:10984;top:0;width:922;height:16838" type="#_x0000_t75" stroked="false">
              <v:imagedata r:id="rId540" o:title=""/>
            </v:shape>
            <v:shape style="position:absolute;left:7509;top:1133;width:3475;height:4400" type="#_x0000_t75" stroked="false">
              <v:imagedata r:id="rId563" o:title=""/>
            </v:shape>
            <v:shape style="position:absolute;left:1925;top:11428;width:9070;height:5410" type="#_x0000_t75" stroked="false">
              <v:imagedata r:id="rId564" o:title=""/>
            </v:shape>
            <w10:wrap type="none"/>
          </v:group>
        </w:pict>
      </w:r>
      <w:r>
        <w:rPr/>
        <w:pict>
          <v:shape style="position:absolute;margin-left:554.141174pt;margin-top:21.993946pt;width:25.9pt;height:280.150pt;mso-position-horizontal-relative:page;mso-position-vertical-relative:paragraph;z-index:252222464" type="#_x0000_t202" filled="false" stroked="false">
            <v:textbox inset="0,0,0,0" style="layout-flow:vertical">
              <w:txbxContent>
                <w:p>
                  <w:pPr>
                    <w:spacing w:before="27"/>
                    <w:ind w:left="20" w:right="0" w:firstLine="0"/>
                    <w:jc w:val="left"/>
                    <w:rPr>
                      <w:sz w:val="39"/>
                    </w:rPr>
                  </w:pPr>
                  <w:r>
                    <w:rPr>
                      <w:color w:val="FFFFFF"/>
                      <w:spacing w:val="9"/>
                      <w:w w:val="120"/>
                      <w:sz w:val="39"/>
                    </w:rPr>
                    <w:t>Schools relating </w:t>
                  </w:r>
                  <w:r>
                    <w:rPr>
                      <w:color w:val="FFFFFF"/>
                      <w:spacing w:val="3"/>
                      <w:w w:val="120"/>
                      <w:sz w:val="39"/>
                    </w:rPr>
                    <w:t>to </w:t>
                  </w:r>
                  <w:r>
                    <w:rPr>
                      <w:color w:val="FFFFFF"/>
                      <w:spacing w:val="8"/>
                      <w:w w:val="120"/>
                      <w:sz w:val="39"/>
                    </w:rPr>
                    <w:t>the</w:t>
                  </w:r>
                  <w:r>
                    <w:rPr>
                      <w:color w:val="FFFFFF"/>
                      <w:spacing w:val="73"/>
                      <w:w w:val="120"/>
                      <w:sz w:val="39"/>
                    </w:rPr>
                    <w:t> </w:t>
                  </w:r>
                  <w:r>
                    <w:rPr>
                      <w:color w:val="FFFFFF"/>
                      <w:spacing w:val="6"/>
                      <w:w w:val="120"/>
                      <w:sz w:val="39"/>
                    </w:rPr>
                    <w:t>URC</w:t>
                  </w:r>
                </w:p>
              </w:txbxContent>
            </v:textbox>
            <w10:wrap type="none"/>
          </v:shape>
        </w:pict>
      </w:r>
      <w:r>
        <w:rPr>
          <w:color w:val="7EAABF"/>
          <w:w w:val="115"/>
        </w:rPr>
        <w:t>Information papers</w:t>
      </w:r>
    </w:p>
    <w:p>
      <w:pPr>
        <w:spacing w:before="215"/>
        <w:ind w:left="1984" w:right="0" w:firstLine="0"/>
        <w:jc w:val="left"/>
        <w:rPr>
          <w:rFonts w:ascii="Stone Sans II ITC Std X Bd"/>
          <w:b/>
          <w:sz w:val="29"/>
        </w:rPr>
      </w:pPr>
      <w:r>
        <w:rPr>
          <w:rFonts w:ascii="Stone Sans II ITC Std X Bd"/>
          <w:b/>
          <w:w w:val="110"/>
          <w:sz w:val="29"/>
        </w:rPr>
        <w:t>Walthamstow Hall</w:t>
      </w:r>
    </w:p>
    <w:p>
      <w:pPr>
        <w:pStyle w:val="ListParagraph"/>
        <w:numPr>
          <w:ilvl w:val="1"/>
          <w:numId w:val="115"/>
        </w:numPr>
        <w:tabs>
          <w:tab w:pos="2664" w:val="left" w:leader="none"/>
          <w:tab w:pos="2665" w:val="left" w:leader="none"/>
        </w:tabs>
        <w:spacing w:line="235" w:lineRule="auto" w:before="195" w:after="0"/>
        <w:ind w:left="1984" w:right="4637" w:firstLine="0"/>
        <w:jc w:val="left"/>
        <w:rPr>
          <w:sz w:val="20"/>
        </w:rPr>
      </w:pPr>
      <w:r>
        <w:rPr>
          <w:w w:val="120"/>
          <w:sz w:val="20"/>
        </w:rPr>
        <w:t>Greetings to the URC from Walthamstow Hall! Walthamstow Hall has had a fantastic and busy </w:t>
      </w:r>
      <w:r>
        <w:rPr>
          <w:spacing w:val="-9"/>
          <w:w w:val="120"/>
          <w:sz w:val="20"/>
        </w:rPr>
        <w:t>175th </w:t>
      </w:r>
      <w:r>
        <w:rPr>
          <w:w w:val="120"/>
          <w:sz w:val="20"/>
        </w:rPr>
        <w:t>Anniversary </w:t>
      </w:r>
      <w:r>
        <w:rPr>
          <w:spacing w:val="-4"/>
          <w:w w:val="120"/>
          <w:sz w:val="20"/>
        </w:rPr>
        <w:t>year, </w:t>
      </w:r>
      <w:r>
        <w:rPr>
          <w:w w:val="120"/>
          <w:sz w:val="20"/>
        </w:rPr>
        <w:t>with a series of celebrations to mark our foundation in</w:t>
      </w:r>
      <w:r>
        <w:rPr>
          <w:spacing w:val="7"/>
          <w:w w:val="120"/>
          <w:sz w:val="20"/>
        </w:rPr>
        <w:t> </w:t>
      </w:r>
      <w:r>
        <w:rPr>
          <w:spacing w:val="-5"/>
          <w:w w:val="120"/>
          <w:sz w:val="20"/>
        </w:rPr>
        <w:t>1838.</w:t>
      </w:r>
    </w:p>
    <w:p>
      <w:pPr>
        <w:pStyle w:val="BodyText"/>
        <w:spacing w:before="11"/>
        <w:rPr>
          <w:sz w:val="19"/>
        </w:rPr>
      </w:pPr>
    </w:p>
    <w:p>
      <w:pPr>
        <w:pStyle w:val="ListParagraph"/>
        <w:numPr>
          <w:ilvl w:val="1"/>
          <w:numId w:val="115"/>
        </w:numPr>
        <w:tabs>
          <w:tab w:pos="2664" w:val="left" w:leader="none"/>
          <w:tab w:pos="2665" w:val="left" w:leader="none"/>
        </w:tabs>
        <w:spacing w:line="235" w:lineRule="auto" w:before="1" w:after="0"/>
        <w:ind w:left="1984" w:right="4991" w:firstLine="0"/>
        <w:jc w:val="left"/>
        <w:rPr>
          <w:sz w:val="20"/>
        </w:rPr>
      </w:pPr>
      <w:r>
        <w:rPr>
          <w:w w:val="120"/>
          <w:sz w:val="20"/>
        </w:rPr>
        <w:t>The school is thriving in many ways: record numbers, record examination results, sporting successes and many additional events to mark</w:t>
      </w:r>
    </w:p>
    <w:p>
      <w:pPr>
        <w:pStyle w:val="BodyText"/>
        <w:spacing w:line="235" w:lineRule="auto" w:before="2"/>
        <w:ind w:left="1984" w:right="4576"/>
      </w:pPr>
      <w:r>
        <w:rPr>
          <w:w w:val="120"/>
        </w:rPr>
        <w:t>our birthday. After an eventful 2012 of plans and preparation, 2013 began auspiciously with our U15 lacrosse team taking the national championships Cup in a nail biting final against Wycombe Abbey.</w:t>
      </w:r>
    </w:p>
    <w:p>
      <w:pPr>
        <w:pStyle w:val="BodyText"/>
        <w:spacing w:before="11"/>
        <w:rPr>
          <w:sz w:val="19"/>
        </w:rPr>
      </w:pPr>
    </w:p>
    <w:p>
      <w:pPr>
        <w:pStyle w:val="ListParagraph"/>
        <w:numPr>
          <w:ilvl w:val="1"/>
          <w:numId w:val="115"/>
        </w:numPr>
        <w:tabs>
          <w:tab w:pos="2664" w:val="left" w:leader="none"/>
          <w:tab w:pos="2665" w:val="left" w:leader="none"/>
        </w:tabs>
        <w:spacing w:line="235" w:lineRule="auto" w:before="0" w:after="0"/>
        <w:ind w:left="1984" w:right="4736" w:firstLine="0"/>
        <w:jc w:val="both"/>
        <w:rPr>
          <w:sz w:val="20"/>
        </w:rPr>
      </w:pPr>
      <w:r>
        <w:rPr>
          <w:w w:val="120"/>
          <w:sz w:val="20"/>
        </w:rPr>
        <w:t>Then, in the summer term, we turned the sod on a one million pound project for a new dining hall on our junior school site. This follows the</w:t>
      </w:r>
      <w:r>
        <w:rPr>
          <w:spacing w:val="40"/>
          <w:w w:val="120"/>
          <w:sz w:val="20"/>
        </w:rPr>
        <w:t> </w:t>
      </w:r>
      <w:r>
        <w:rPr>
          <w:w w:val="120"/>
          <w:sz w:val="20"/>
        </w:rPr>
        <w:t>building</w:t>
      </w:r>
    </w:p>
    <w:p>
      <w:pPr>
        <w:pStyle w:val="BodyText"/>
        <w:spacing w:line="235" w:lineRule="auto" w:before="2"/>
        <w:ind w:left="1984" w:right="4908"/>
        <w:jc w:val="both"/>
      </w:pPr>
      <w:r>
        <w:rPr>
          <w:w w:val="120"/>
        </w:rPr>
        <w:t>of a new hub pupil entrance, reception and gallery space completed at senior school in 2012.</w:t>
      </w:r>
    </w:p>
    <w:p>
      <w:pPr>
        <w:pStyle w:val="BodyText"/>
        <w:spacing w:before="3"/>
        <w:rPr>
          <w:sz w:val="11"/>
        </w:rPr>
      </w:pPr>
    </w:p>
    <w:p>
      <w:pPr>
        <w:pStyle w:val="ListParagraph"/>
        <w:numPr>
          <w:ilvl w:val="1"/>
          <w:numId w:val="115"/>
        </w:numPr>
        <w:tabs>
          <w:tab w:pos="2664" w:val="left" w:leader="none"/>
          <w:tab w:pos="2665" w:val="left" w:leader="none"/>
        </w:tabs>
        <w:spacing w:line="235" w:lineRule="auto" w:before="104" w:after="0"/>
        <w:ind w:left="1984" w:right="1334" w:firstLine="0"/>
        <w:jc w:val="left"/>
        <w:rPr>
          <w:sz w:val="20"/>
        </w:rPr>
      </w:pPr>
      <w:r>
        <w:rPr>
          <w:w w:val="120"/>
          <w:sz w:val="20"/>
        </w:rPr>
        <w:t>In the summer our year </w:t>
      </w:r>
      <w:r>
        <w:rPr>
          <w:spacing w:val="-13"/>
          <w:w w:val="120"/>
          <w:sz w:val="20"/>
        </w:rPr>
        <w:t>11’s </w:t>
      </w:r>
      <w:r>
        <w:rPr>
          <w:w w:val="120"/>
          <w:sz w:val="20"/>
        </w:rPr>
        <w:t>achieved </w:t>
      </w:r>
      <w:r>
        <w:rPr>
          <w:spacing w:val="-6"/>
          <w:w w:val="120"/>
          <w:sz w:val="20"/>
        </w:rPr>
        <w:t>45% </w:t>
      </w:r>
      <w:r>
        <w:rPr>
          <w:w w:val="120"/>
          <w:sz w:val="20"/>
        </w:rPr>
        <w:t>of their GCSEs at </w:t>
      </w:r>
      <w:r>
        <w:rPr>
          <w:spacing w:val="-5"/>
          <w:w w:val="120"/>
          <w:sz w:val="20"/>
        </w:rPr>
        <w:t>A* </w:t>
      </w:r>
      <w:r>
        <w:rPr>
          <w:w w:val="120"/>
          <w:sz w:val="20"/>
        </w:rPr>
        <w:t>with </w:t>
      </w:r>
      <w:r>
        <w:rPr>
          <w:spacing w:val="-3"/>
          <w:w w:val="120"/>
          <w:sz w:val="20"/>
        </w:rPr>
        <w:t>94% </w:t>
      </w:r>
      <w:r>
        <w:rPr>
          <w:w w:val="120"/>
          <w:sz w:val="20"/>
        </w:rPr>
        <w:t>at </w:t>
      </w:r>
      <w:r>
        <w:rPr>
          <w:spacing w:val="-5"/>
          <w:w w:val="120"/>
          <w:sz w:val="20"/>
        </w:rPr>
        <w:t>A* </w:t>
      </w:r>
      <w:r>
        <w:rPr>
          <w:w w:val="120"/>
          <w:sz w:val="20"/>
        </w:rPr>
        <w:t>to B level. The upper sixth leavers hit a record </w:t>
      </w:r>
      <w:r>
        <w:rPr>
          <w:spacing w:val="-3"/>
          <w:w w:val="120"/>
          <w:sz w:val="20"/>
        </w:rPr>
        <w:t>92% </w:t>
      </w:r>
      <w:r>
        <w:rPr>
          <w:w w:val="120"/>
          <w:sz w:val="20"/>
        </w:rPr>
        <w:t>A*to B grades at pre-U, and a stunning average of </w:t>
      </w:r>
      <w:r>
        <w:rPr>
          <w:spacing w:val="-8"/>
          <w:w w:val="120"/>
          <w:sz w:val="20"/>
        </w:rPr>
        <w:t>74% </w:t>
      </w:r>
      <w:r>
        <w:rPr>
          <w:w w:val="120"/>
          <w:sz w:val="20"/>
        </w:rPr>
        <w:t>at </w:t>
      </w:r>
      <w:r>
        <w:rPr>
          <w:spacing w:val="-5"/>
          <w:w w:val="120"/>
          <w:sz w:val="20"/>
        </w:rPr>
        <w:t>A* </w:t>
      </w:r>
      <w:r>
        <w:rPr>
          <w:w w:val="120"/>
          <w:sz w:val="20"/>
        </w:rPr>
        <w:t>and A grades. Not surprisingly, </w:t>
      </w:r>
      <w:r>
        <w:rPr>
          <w:spacing w:val="-3"/>
          <w:w w:val="120"/>
          <w:sz w:val="20"/>
        </w:rPr>
        <w:t>10% </w:t>
      </w:r>
      <w:r>
        <w:rPr>
          <w:w w:val="120"/>
          <w:sz w:val="20"/>
        </w:rPr>
        <w:t>of the year gained Oxbridge places, with the usual clutch of medics in</w:t>
      </w:r>
      <w:r>
        <w:rPr>
          <w:spacing w:val="19"/>
          <w:w w:val="120"/>
          <w:sz w:val="20"/>
        </w:rPr>
        <w:t> </w:t>
      </w:r>
      <w:r>
        <w:rPr>
          <w:w w:val="120"/>
          <w:sz w:val="20"/>
        </w:rPr>
        <w:t>addition.</w:t>
      </w:r>
    </w:p>
    <w:p>
      <w:pPr>
        <w:pStyle w:val="BodyText"/>
        <w:spacing w:before="11"/>
        <w:rPr>
          <w:sz w:val="19"/>
        </w:rPr>
      </w:pPr>
    </w:p>
    <w:p>
      <w:pPr>
        <w:pStyle w:val="ListParagraph"/>
        <w:numPr>
          <w:ilvl w:val="1"/>
          <w:numId w:val="115"/>
        </w:numPr>
        <w:tabs>
          <w:tab w:pos="2664" w:val="left" w:leader="none"/>
          <w:tab w:pos="2665" w:val="left" w:leader="none"/>
        </w:tabs>
        <w:spacing w:line="235" w:lineRule="auto" w:before="0" w:after="0"/>
        <w:ind w:left="1984" w:right="1445" w:firstLine="0"/>
        <w:jc w:val="left"/>
        <w:rPr>
          <w:sz w:val="20"/>
        </w:rPr>
      </w:pPr>
      <w:r>
        <w:rPr>
          <w:w w:val="120"/>
          <w:sz w:val="20"/>
        </w:rPr>
        <w:t>We continue to be a school where academic excellence is valued and nurtured. These results placed us very high in all the national league tables, though we never forget that these only tell </w:t>
      </w:r>
      <w:r>
        <w:rPr>
          <w:spacing w:val="2"/>
          <w:w w:val="120"/>
          <w:sz w:val="20"/>
        </w:rPr>
        <w:t>part </w:t>
      </w:r>
      <w:r>
        <w:rPr>
          <w:w w:val="120"/>
          <w:sz w:val="20"/>
        </w:rPr>
        <w:t>of the story. Each girl’s personal, spiritual and cultural development as a whole person remains our ultimate</w:t>
      </w:r>
      <w:r>
        <w:rPr>
          <w:spacing w:val="17"/>
          <w:w w:val="120"/>
          <w:sz w:val="20"/>
        </w:rPr>
        <w:t> </w:t>
      </w:r>
      <w:r>
        <w:rPr>
          <w:w w:val="120"/>
          <w:sz w:val="20"/>
        </w:rPr>
        <w:t>goal.</w:t>
      </w:r>
    </w:p>
    <w:p>
      <w:pPr>
        <w:pStyle w:val="BodyText"/>
        <w:spacing w:before="11"/>
        <w:rPr>
          <w:sz w:val="19"/>
        </w:rPr>
      </w:pPr>
    </w:p>
    <w:p>
      <w:pPr>
        <w:pStyle w:val="ListParagraph"/>
        <w:numPr>
          <w:ilvl w:val="1"/>
          <w:numId w:val="115"/>
        </w:numPr>
        <w:tabs>
          <w:tab w:pos="2664" w:val="left" w:leader="none"/>
          <w:tab w:pos="2665" w:val="left" w:leader="none"/>
        </w:tabs>
        <w:spacing w:line="235" w:lineRule="auto" w:before="0" w:after="0"/>
        <w:ind w:left="1984" w:right="1500" w:firstLine="0"/>
        <w:jc w:val="both"/>
        <w:rPr>
          <w:sz w:val="20"/>
        </w:rPr>
      </w:pPr>
      <w:r>
        <w:rPr>
          <w:w w:val="120"/>
          <w:sz w:val="20"/>
        </w:rPr>
        <w:t>Over the summer the Ship Theatre enjoyed a total refurbishment thanks to the generosity of parents and old girls. </w:t>
      </w:r>
      <w:r>
        <w:rPr>
          <w:spacing w:val="3"/>
          <w:w w:val="120"/>
          <w:sz w:val="20"/>
        </w:rPr>
        <w:t>As </w:t>
      </w:r>
      <w:r>
        <w:rPr>
          <w:w w:val="120"/>
          <w:sz w:val="20"/>
        </w:rPr>
        <w:t>a result it was in fine fettle for six performances of </w:t>
      </w:r>
      <w:r>
        <w:rPr>
          <w:i/>
          <w:w w:val="120"/>
          <w:sz w:val="20"/>
        </w:rPr>
        <w:t>Guys and Dolls </w:t>
      </w:r>
      <w:r>
        <w:rPr>
          <w:w w:val="120"/>
          <w:sz w:val="20"/>
        </w:rPr>
        <w:t>this autumn</w:t>
      </w:r>
      <w:r>
        <w:rPr>
          <w:spacing w:val="-1"/>
          <w:w w:val="120"/>
          <w:sz w:val="20"/>
        </w:rPr>
        <w:t> </w:t>
      </w:r>
      <w:r>
        <w:rPr>
          <w:w w:val="120"/>
          <w:sz w:val="20"/>
        </w:rPr>
        <w:t>term.</w:t>
      </w:r>
    </w:p>
    <w:p>
      <w:pPr>
        <w:pStyle w:val="BodyText"/>
        <w:spacing w:before="10"/>
        <w:rPr>
          <w:sz w:val="19"/>
        </w:rPr>
      </w:pPr>
    </w:p>
    <w:p>
      <w:pPr>
        <w:pStyle w:val="ListParagraph"/>
        <w:numPr>
          <w:ilvl w:val="1"/>
          <w:numId w:val="115"/>
        </w:numPr>
        <w:tabs>
          <w:tab w:pos="2664" w:val="left" w:leader="none"/>
          <w:tab w:pos="2665" w:val="left" w:leader="none"/>
        </w:tabs>
        <w:spacing w:line="235" w:lineRule="auto" w:before="1" w:after="0"/>
        <w:ind w:left="1984" w:right="1499" w:firstLine="0"/>
        <w:jc w:val="both"/>
        <w:rPr>
          <w:sz w:val="20"/>
        </w:rPr>
      </w:pPr>
      <w:r>
        <w:rPr>
          <w:spacing w:val="3"/>
          <w:w w:val="120"/>
          <w:sz w:val="20"/>
        </w:rPr>
        <w:t>As </w:t>
      </w:r>
      <w:r>
        <w:rPr>
          <w:w w:val="120"/>
          <w:sz w:val="20"/>
        </w:rPr>
        <w:t>a bonus, we recently welcomed an independent schools’ inspectorate team here on inspection and await the final</w:t>
      </w:r>
      <w:r>
        <w:rPr>
          <w:spacing w:val="14"/>
          <w:w w:val="120"/>
          <w:sz w:val="20"/>
        </w:rPr>
        <w:t> </w:t>
      </w:r>
      <w:r>
        <w:rPr>
          <w:w w:val="120"/>
          <w:sz w:val="20"/>
        </w:rPr>
        <w:t>report.</w:t>
      </w:r>
    </w:p>
    <w:p>
      <w:pPr>
        <w:pStyle w:val="BodyText"/>
        <w:spacing w:before="9"/>
        <w:rPr>
          <w:sz w:val="19"/>
        </w:rPr>
      </w:pPr>
    </w:p>
    <w:p>
      <w:pPr>
        <w:pStyle w:val="ListParagraph"/>
        <w:numPr>
          <w:ilvl w:val="1"/>
          <w:numId w:val="115"/>
        </w:numPr>
        <w:tabs>
          <w:tab w:pos="2664" w:val="left" w:leader="none"/>
          <w:tab w:pos="2665" w:val="left" w:leader="none"/>
        </w:tabs>
        <w:spacing w:line="235" w:lineRule="auto" w:before="0" w:after="0"/>
        <w:ind w:left="1984" w:right="1721" w:firstLine="0"/>
        <w:jc w:val="left"/>
        <w:rPr>
          <w:sz w:val="20"/>
        </w:rPr>
      </w:pPr>
      <w:r>
        <w:rPr>
          <w:w w:val="120"/>
          <w:sz w:val="20"/>
        </w:rPr>
        <w:t>Through our well-established bursary scheme, including virtually 100% founders’ bursaries, we continue to make a remarkable and privileged education in a Christian setting available to as many girls as possible. Long may it</w:t>
      </w:r>
      <w:r>
        <w:rPr>
          <w:spacing w:val="38"/>
          <w:w w:val="120"/>
          <w:sz w:val="20"/>
        </w:rPr>
        <w:t> </w:t>
      </w:r>
      <w:r>
        <w:rPr>
          <w:w w:val="120"/>
          <w:sz w:val="20"/>
        </w:rPr>
        <w:t>continue!</w:t>
      </w:r>
    </w:p>
    <w:p>
      <w:pPr>
        <w:spacing w:after="0" w:line="235" w:lineRule="auto"/>
        <w:jc w:val="left"/>
        <w:rPr>
          <w:sz w:val="20"/>
        </w:rPr>
        <w:sectPr>
          <w:headerReference w:type="default" r:id="rId561"/>
          <w:footerReference w:type="default" r:id="rId562"/>
          <w:pgSz w:w="11910" w:h="16840"/>
          <w:pgMar w:header="0" w:footer="0" w:top="520" w:bottom="280" w:left="0" w:right="0"/>
        </w:sectPr>
      </w:pPr>
    </w:p>
    <w:p>
      <w:pPr>
        <w:pStyle w:val="BodyText"/>
      </w:pPr>
      <w:r>
        <w:rPr/>
        <w:drawing>
          <wp:anchor distT="0" distB="0" distL="0" distR="0" allowOverlap="1" layoutInCell="1" locked="0" behindDoc="0" simplePos="0" relativeHeight="252223488">
            <wp:simplePos x="0" y="0"/>
            <wp:positionH relativeFrom="page">
              <wp:posOffset>0</wp:posOffset>
            </wp:positionH>
            <wp:positionV relativeFrom="page">
              <wp:posOffset>0</wp:posOffset>
            </wp:positionV>
            <wp:extent cx="594067" cy="10692003"/>
            <wp:effectExtent l="0" t="0" r="0" b="0"/>
            <wp:wrapNone/>
            <wp:docPr id="443" name="image74.png"/>
            <wp:cNvGraphicFramePr>
              <a:graphicFrameLocks noChangeAspect="1"/>
            </wp:cNvGraphicFramePr>
            <a:graphic>
              <a:graphicData uri="http://schemas.openxmlformats.org/drawingml/2006/picture">
                <pic:pic>
                  <pic:nvPicPr>
                    <pic:cNvPr id="444" name="image74.png"/>
                    <pic:cNvPicPr/>
                  </pic:nvPicPr>
                  <pic:blipFill>
                    <a:blip r:embed="rId537"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jc w:val="both"/>
      </w:pPr>
      <w:r>
        <w:rPr/>
        <w:pict>
          <v:shape style="position:absolute;margin-left:20.519100pt;margin-top:22.593945pt;width:25.9pt;height:296.4pt;mso-position-horizontal-relative:page;mso-position-vertical-relative:paragraph;z-index:252225536" type="#_x0000_t202" filled="false" stroked="false">
            <v:textbox inset="0,0,0,0" style="layout-flow:vertical">
              <w:txbxContent>
                <w:p>
                  <w:pPr>
                    <w:spacing w:before="27"/>
                    <w:ind w:left="20" w:right="0" w:firstLine="0"/>
                    <w:jc w:val="left"/>
                    <w:rPr>
                      <w:sz w:val="39"/>
                    </w:rPr>
                  </w:pPr>
                  <w:r>
                    <w:rPr>
                      <w:color w:val="FFFFFF"/>
                      <w:w w:val="120"/>
                      <w:sz w:val="39"/>
                    </w:rPr>
                    <w:t>Women’s world day of prayer</w:t>
                  </w:r>
                </w:p>
              </w:txbxContent>
            </v:textbox>
            <w10:wrap type="none"/>
          </v:shape>
        </w:pict>
      </w:r>
      <w:r>
        <w:rPr>
          <w:color w:val="7EAABF"/>
          <w:w w:val="115"/>
        </w:rPr>
        <w:t>Information papers</w:t>
      </w:r>
    </w:p>
    <w:p>
      <w:pPr>
        <w:pStyle w:val="BodyText"/>
        <w:spacing w:before="8"/>
        <w:rPr>
          <w:sz w:val="24"/>
        </w:rPr>
      </w:pPr>
    </w:p>
    <w:p>
      <w:pPr>
        <w:spacing w:line="213" w:lineRule="auto" w:before="1"/>
        <w:ind w:left="1247" w:right="2385" w:firstLine="0"/>
        <w:jc w:val="both"/>
        <w:rPr>
          <w:rFonts w:ascii="Stone Sans II ITC Std X Bd" w:hAnsi="Stone Sans II ITC Std X Bd"/>
          <w:b/>
          <w:sz w:val="50"/>
        </w:rPr>
      </w:pPr>
      <w:r>
        <w:rPr>
          <w:rFonts w:ascii="Stone Sans II ITC Std X Bd" w:hAnsi="Stone Sans II ITC Std X Bd"/>
          <w:b/>
          <w:spacing w:val="-11"/>
          <w:w w:val="110"/>
          <w:sz w:val="50"/>
        </w:rPr>
        <w:t>Women’s </w:t>
      </w:r>
      <w:r>
        <w:rPr>
          <w:rFonts w:ascii="Stone Sans II ITC Std X Bd" w:hAnsi="Stone Sans II ITC Std X Bd"/>
          <w:b/>
          <w:spacing w:val="-5"/>
          <w:w w:val="110"/>
          <w:sz w:val="50"/>
        </w:rPr>
        <w:t>world </w:t>
      </w:r>
      <w:r>
        <w:rPr>
          <w:rFonts w:ascii="Stone Sans II ITC Std X Bd" w:hAnsi="Stone Sans II ITC Std X Bd"/>
          <w:b/>
          <w:spacing w:val="-8"/>
          <w:w w:val="110"/>
          <w:sz w:val="50"/>
        </w:rPr>
        <w:t>day </w:t>
      </w:r>
      <w:r>
        <w:rPr>
          <w:rFonts w:ascii="Stone Sans II ITC Std X Bd" w:hAnsi="Stone Sans II ITC Std X Bd"/>
          <w:b/>
          <w:w w:val="110"/>
          <w:sz w:val="50"/>
        </w:rPr>
        <w:t>of </w:t>
      </w:r>
      <w:r>
        <w:rPr>
          <w:rFonts w:ascii="Stone Sans II ITC Std X Bd" w:hAnsi="Stone Sans II ITC Std X Bd"/>
          <w:b/>
          <w:spacing w:val="-14"/>
          <w:w w:val="110"/>
          <w:sz w:val="50"/>
        </w:rPr>
        <w:t>prayer, </w:t>
      </w:r>
      <w:r>
        <w:rPr>
          <w:rFonts w:ascii="Stone Sans II ITC Std X Bd" w:hAnsi="Stone Sans II ITC Std X Bd"/>
          <w:b/>
          <w:spacing w:val="-4"/>
          <w:w w:val="110"/>
          <w:sz w:val="50"/>
        </w:rPr>
        <w:t>England, </w:t>
      </w:r>
      <w:r>
        <w:rPr>
          <w:rFonts w:ascii="Stone Sans II ITC Std X Bd" w:hAnsi="Stone Sans II ITC Std X Bd"/>
          <w:b/>
          <w:spacing w:val="-6"/>
          <w:w w:val="110"/>
          <w:sz w:val="50"/>
        </w:rPr>
        <w:t>Wales </w:t>
      </w:r>
      <w:r>
        <w:rPr>
          <w:rFonts w:ascii="Stone Sans II ITC Std X Bd" w:hAnsi="Stone Sans II ITC Std X Bd"/>
          <w:b/>
          <w:spacing w:val="-4"/>
          <w:w w:val="110"/>
          <w:sz w:val="50"/>
        </w:rPr>
        <w:t>and </w:t>
      </w:r>
      <w:r>
        <w:rPr>
          <w:rFonts w:ascii="Stone Sans II ITC Std X Bd" w:hAnsi="Stone Sans II ITC Std X Bd"/>
          <w:b/>
          <w:w w:val="110"/>
          <w:sz w:val="50"/>
        </w:rPr>
        <w:t>Northern </w:t>
      </w:r>
      <w:r>
        <w:rPr>
          <w:rFonts w:ascii="Stone Sans II ITC Std X Bd" w:hAnsi="Stone Sans II ITC Std X Bd"/>
          <w:b/>
          <w:spacing w:val="-5"/>
          <w:w w:val="110"/>
          <w:sz w:val="50"/>
        </w:rPr>
        <w:t>Ireland</w:t>
      </w:r>
    </w:p>
    <w:p>
      <w:pPr>
        <w:spacing w:before="472"/>
        <w:ind w:left="1247" w:right="0" w:firstLine="0"/>
        <w:jc w:val="left"/>
        <w:rPr>
          <w:rFonts w:ascii="Stone Sans II ITC Std Bk"/>
          <w:b/>
          <w:sz w:val="29"/>
        </w:rPr>
      </w:pPr>
      <w:r>
        <w:rPr>
          <w:rFonts w:ascii="Stone Sans II ITC Std Bk"/>
          <w:b/>
          <w:w w:val="110"/>
          <w:sz w:val="29"/>
        </w:rPr>
        <w:t>2013</w:t>
      </w:r>
    </w:p>
    <w:p>
      <w:pPr>
        <w:pStyle w:val="ListParagraph"/>
        <w:numPr>
          <w:ilvl w:val="1"/>
          <w:numId w:val="116"/>
        </w:numPr>
        <w:tabs>
          <w:tab w:pos="1927" w:val="left" w:leader="none"/>
          <w:tab w:pos="1928" w:val="left" w:leader="none"/>
        </w:tabs>
        <w:spacing w:line="235" w:lineRule="auto" w:before="69" w:after="0"/>
        <w:ind w:left="1247" w:right="2081" w:firstLine="0"/>
        <w:jc w:val="left"/>
        <w:rPr>
          <w:i/>
          <w:sz w:val="20"/>
        </w:rPr>
      </w:pPr>
      <w:r>
        <w:rPr>
          <w:i/>
          <w:w w:val="120"/>
          <w:sz w:val="20"/>
        </w:rPr>
        <w:t>I was a stranger and you welcomed me </w:t>
      </w:r>
      <w:r>
        <w:rPr>
          <w:w w:val="120"/>
          <w:sz w:val="20"/>
        </w:rPr>
        <w:t>was the theme that became close to our </w:t>
      </w:r>
      <w:r>
        <w:rPr>
          <w:spacing w:val="2"/>
          <w:w w:val="120"/>
          <w:sz w:val="20"/>
        </w:rPr>
        <w:t>hearts </w:t>
      </w:r>
      <w:r>
        <w:rPr>
          <w:w w:val="120"/>
          <w:sz w:val="20"/>
        </w:rPr>
        <w:t>as we celebrated the annual </w:t>
      </w:r>
      <w:r>
        <w:rPr>
          <w:spacing w:val="-3"/>
          <w:w w:val="120"/>
          <w:sz w:val="20"/>
        </w:rPr>
        <w:t>women’s </w:t>
      </w:r>
      <w:r>
        <w:rPr>
          <w:w w:val="120"/>
          <w:sz w:val="20"/>
        </w:rPr>
        <w:t>world day of prayer </w:t>
      </w:r>
      <w:r>
        <w:rPr>
          <w:spacing w:val="2"/>
          <w:w w:val="120"/>
          <w:sz w:val="20"/>
        </w:rPr>
        <w:t>(WWDP) </w:t>
      </w:r>
      <w:r>
        <w:rPr>
          <w:w w:val="120"/>
          <w:sz w:val="20"/>
        </w:rPr>
        <w:t>service in March. Written and prepared by Christian women of France, the service challenged us to consider our own standpoint and actions towards strangers and to remember that   in</w:t>
      </w:r>
      <w:r>
        <w:rPr>
          <w:spacing w:val="-20"/>
          <w:w w:val="120"/>
          <w:sz w:val="20"/>
        </w:rPr>
        <w:t> </w:t>
      </w:r>
      <w:r>
        <w:rPr>
          <w:w w:val="120"/>
          <w:sz w:val="20"/>
        </w:rPr>
        <w:t>the</w:t>
      </w:r>
      <w:r>
        <w:rPr>
          <w:spacing w:val="-19"/>
          <w:w w:val="120"/>
          <w:sz w:val="20"/>
        </w:rPr>
        <w:t> </w:t>
      </w:r>
      <w:r>
        <w:rPr>
          <w:w w:val="120"/>
          <w:sz w:val="20"/>
        </w:rPr>
        <w:t>words</w:t>
      </w:r>
      <w:r>
        <w:rPr>
          <w:spacing w:val="-20"/>
          <w:w w:val="120"/>
          <w:sz w:val="20"/>
        </w:rPr>
        <w:t> </w:t>
      </w:r>
      <w:r>
        <w:rPr>
          <w:w w:val="120"/>
          <w:sz w:val="20"/>
        </w:rPr>
        <w:t>of</w:t>
      </w:r>
      <w:r>
        <w:rPr>
          <w:spacing w:val="-19"/>
          <w:w w:val="120"/>
          <w:sz w:val="20"/>
        </w:rPr>
        <w:t> </w:t>
      </w:r>
      <w:r>
        <w:rPr>
          <w:w w:val="120"/>
          <w:sz w:val="20"/>
        </w:rPr>
        <w:t>the</w:t>
      </w:r>
      <w:r>
        <w:rPr>
          <w:spacing w:val="-20"/>
          <w:w w:val="120"/>
          <w:sz w:val="20"/>
        </w:rPr>
        <w:t> </w:t>
      </w:r>
      <w:r>
        <w:rPr>
          <w:spacing w:val="-3"/>
          <w:w w:val="120"/>
          <w:sz w:val="20"/>
        </w:rPr>
        <w:t>Talmud,</w:t>
      </w:r>
      <w:r>
        <w:rPr>
          <w:spacing w:val="-19"/>
          <w:w w:val="120"/>
          <w:sz w:val="20"/>
        </w:rPr>
        <w:t> </w:t>
      </w:r>
      <w:r>
        <w:rPr>
          <w:i/>
          <w:w w:val="120"/>
          <w:sz w:val="20"/>
        </w:rPr>
        <w:t>there</w:t>
      </w:r>
      <w:r>
        <w:rPr>
          <w:i/>
          <w:spacing w:val="-22"/>
          <w:w w:val="120"/>
          <w:sz w:val="20"/>
        </w:rPr>
        <w:t> </w:t>
      </w:r>
      <w:r>
        <w:rPr>
          <w:i/>
          <w:w w:val="120"/>
          <w:sz w:val="20"/>
        </w:rPr>
        <w:t>are</w:t>
      </w:r>
      <w:r>
        <w:rPr>
          <w:i/>
          <w:spacing w:val="-21"/>
          <w:w w:val="120"/>
          <w:sz w:val="20"/>
        </w:rPr>
        <w:t> </w:t>
      </w:r>
      <w:r>
        <w:rPr>
          <w:i/>
          <w:w w:val="120"/>
          <w:sz w:val="20"/>
        </w:rPr>
        <w:t>no</w:t>
      </w:r>
      <w:r>
        <w:rPr>
          <w:i/>
          <w:spacing w:val="-22"/>
          <w:w w:val="120"/>
          <w:sz w:val="20"/>
        </w:rPr>
        <w:t> </w:t>
      </w:r>
      <w:r>
        <w:rPr>
          <w:i/>
          <w:w w:val="120"/>
          <w:sz w:val="20"/>
        </w:rPr>
        <w:t>strangers</w:t>
      </w:r>
      <w:r>
        <w:rPr>
          <w:w w:val="120"/>
          <w:sz w:val="20"/>
        </w:rPr>
        <w:t>;</w:t>
      </w:r>
      <w:r>
        <w:rPr>
          <w:spacing w:val="-19"/>
          <w:w w:val="120"/>
          <w:sz w:val="20"/>
        </w:rPr>
        <w:t> </w:t>
      </w:r>
      <w:r>
        <w:rPr>
          <w:i/>
          <w:w w:val="120"/>
          <w:sz w:val="20"/>
        </w:rPr>
        <w:t>there</w:t>
      </w:r>
      <w:r>
        <w:rPr>
          <w:i/>
          <w:spacing w:val="-21"/>
          <w:w w:val="120"/>
          <w:sz w:val="20"/>
        </w:rPr>
        <w:t> </w:t>
      </w:r>
      <w:r>
        <w:rPr>
          <w:i/>
          <w:w w:val="120"/>
          <w:sz w:val="20"/>
        </w:rPr>
        <w:t>are</w:t>
      </w:r>
      <w:r>
        <w:rPr>
          <w:i/>
          <w:spacing w:val="-22"/>
          <w:w w:val="120"/>
          <w:sz w:val="20"/>
        </w:rPr>
        <w:t> </w:t>
      </w:r>
      <w:r>
        <w:rPr>
          <w:i/>
          <w:w w:val="120"/>
          <w:sz w:val="20"/>
        </w:rPr>
        <w:t>only</w:t>
      </w:r>
      <w:r>
        <w:rPr>
          <w:i/>
          <w:spacing w:val="-21"/>
          <w:w w:val="120"/>
          <w:sz w:val="20"/>
        </w:rPr>
        <w:t> </w:t>
      </w:r>
      <w:r>
        <w:rPr>
          <w:i/>
          <w:w w:val="120"/>
          <w:sz w:val="20"/>
        </w:rPr>
        <w:t>women</w:t>
      </w:r>
      <w:r>
        <w:rPr>
          <w:i/>
          <w:spacing w:val="-21"/>
          <w:w w:val="120"/>
          <w:sz w:val="20"/>
        </w:rPr>
        <w:t> </w:t>
      </w:r>
      <w:r>
        <w:rPr>
          <w:i/>
          <w:w w:val="120"/>
          <w:sz w:val="20"/>
        </w:rPr>
        <w:t>and</w:t>
      </w:r>
      <w:r>
        <w:rPr>
          <w:i/>
          <w:spacing w:val="-22"/>
          <w:w w:val="120"/>
          <w:sz w:val="20"/>
        </w:rPr>
        <w:t> </w:t>
      </w:r>
      <w:r>
        <w:rPr>
          <w:i/>
          <w:w w:val="120"/>
          <w:sz w:val="20"/>
        </w:rPr>
        <w:t>men</w:t>
      </w:r>
      <w:r>
        <w:rPr>
          <w:i/>
          <w:spacing w:val="-21"/>
          <w:w w:val="120"/>
          <w:sz w:val="20"/>
        </w:rPr>
        <w:t> </w:t>
      </w:r>
      <w:r>
        <w:rPr>
          <w:i/>
          <w:w w:val="120"/>
          <w:sz w:val="20"/>
        </w:rPr>
        <w:t>we</w:t>
      </w:r>
      <w:r>
        <w:rPr>
          <w:i/>
          <w:spacing w:val="-22"/>
          <w:w w:val="120"/>
          <w:sz w:val="20"/>
        </w:rPr>
        <w:t> </w:t>
      </w:r>
      <w:r>
        <w:rPr>
          <w:i/>
          <w:w w:val="120"/>
          <w:sz w:val="20"/>
        </w:rPr>
        <w:t>have </w:t>
      </w:r>
      <w:r>
        <w:rPr>
          <w:i/>
          <w:w w:val="120"/>
          <w:sz w:val="20"/>
        </w:rPr>
        <w:t>not yet</w:t>
      </w:r>
      <w:r>
        <w:rPr>
          <w:i/>
          <w:spacing w:val="-4"/>
          <w:w w:val="120"/>
          <w:sz w:val="20"/>
        </w:rPr>
        <w:t> </w:t>
      </w:r>
      <w:r>
        <w:rPr>
          <w:i/>
          <w:w w:val="120"/>
          <w:sz w:val="20"/>
        </w:rPr>
        <w:t>met.</w:t>
      </w:r>
    </w:p>
    <w:p>
      <w:pPr>
        <w:pStyle w:val="BodyText"/>
        <w:rPr>
          <w:i/>
        </w:rPr>
      </w:pPr>
    </w:p>
    <w:p>
      <w:pPr>
        <w:pStyle w:val="ListParagraph"/>
        <w:numPr>
          <w:ilvl w:val="1"/>
          <w:numId w:val="116"/>
        </w:numPr>
        <w:tabs>
          <w:tab w:pos="1927" w:val="left" w:leader="none"/>
          <w:tab w:pos="1928" w:val="left" w:leader="none"/>
        </w:tabs>
        <w:spacing w:line="235" w:lineRule="auto" w:before="0" w:after="0"/>
        <w:ind w:left="1247" w:right="7282" w:firstLine="0"/>
        <w:jc w:val="left"/>
        <w:rPr>
          <w:sz w:val="20"/>
        </w:rPr>
      </w:pPr>
      <w:r>
        <w:rPr/>
        <w:drawing>
          <wp:anchor distT="0" distB="0" distL="0" distR="0" allowOverlap="1" layoutInCell="1" locked="0" behindDoc="0" simplePos="0" relativeHeight="252224512">
            <wp:simplePos x="0" y="0"/>
            <wp:positionH relativeFrom="page">
              <wp:posOffset>3143380</wp:posOffset>
            </wp:positionH>
            <wp:positionV relativeFrom="paragraph">
              <wp:posOffset>36170</wp:posOffset>
            </wp:positionV>
            <wp:extent cx="3703069" cy="5227863"/>
            <wp:effectExtent l="0" t="0" r="0" b="0"/>
            <wp:wrapNone/>
            <wp:docPr id="445" name="image87.jpeg"/>
            <wp:cNvGraphicFramePr>
              <a:graphicFrameLocks noChangeAspect="1"/>
            </wp:cNvGraphicFramePr>
            <a:graphic>
              <a:graphicData uri="http://schemas.openxmlformats.org/drawingml/2006/picture">
                <pic:pic>
                  <pic:nvPicPr>
                    <pic:cNvPr id="446" name="image87.jpeg"/>
                    <pic:cNvPicPr/>
                  </pic:nvPicPr>
                  <pic:blipFill>
                    <a:blip r:embed="rId567" cstate="print"/>
                    <a:stretch>
                      <a:fillRect/>
                    </a:stretch>
                  </pic:blipFill>
                  <pic:spPr>
                    <a:xfrm>
                      <a:off x="0" y="0"/>
                      <a:ext cx="3703069" cy="5227863"/>
                    </a:xfrm>
                    <a:prstGeom prst="rect">
                      <a:avLst/>
                    </a:prstGeom>
                  </pic:spPr>
                </pic:pic>
              </a:graphicData>
            </a:graphic>
          </wp:anchor>
        </w:drawing>
      </w:r>
      <w:r>
        <w:rPr>
          <w:w w:val="120"/>
          <w:sz w:val="20"/>
        </w:rPr>
        <w:t>From the outset the service emphasised the importance of welcoming others into our midst, symbolised by the colours of the graphic. The reds and</w:t>
      </w:r>
      <w:r>
        <w:rPr>
          <w:spacing w:val="23"/>
          <w:w w:val="120"/>
          <w:sz w:val="20"/>
        </w:rPr>
        <w:t> </w:t>
      </w:r>
      <w:r>
        <w:rPr>
          <w:w w:val="120"/>
          <w:sz w:val="20"/>
        </w:rPr>
        <w:t>yellows</w:t>
      </w:r>
    </w:p>
    <w:p>
      <w:pPr>
        <w:pStyle w:val="BodyText"/>
        <w:spacing w:line="235" w:lineRule="auto" w:before="4"/>
        <w:ind w:left="1247" w:right="7267"/>
      </w:pPr>
      <w:r>
        <w:rPr>
          <w:w w:val="120"/>
        </w:rPr>
        <w:t>are symbols of warmth and acceptance, while the grey gives the impression of being left out in the cold.</w:t>
      </w:r>
    </w:p>
    <w:p>
      <w:pPr>
        <w:pStyle w:val="BodyText"/>
        <w:spacing w:before="11"/>
        <w:rPr>
          <w:sz w:val="19"/>
        </w:rPr>
      </w:pPr>
    </w:p>
    <w:p>
      <w:pPr>
        <w:pStyle w:val="ListParagraph"/>
        <w:numPr>
          <w:ilvl w:val="1"/>
          <w:numId w:val="116"/>
        </w:numPr>
        <w:tabs>
          <w:tab w:pos="1927" w:val="left" w:leader="none"/>
          <w:tab w:pos="1928" w:val="left" w:leader="none"/>
        </w:tabs>
        <w:spacing w:line="235" w:lineRule="auto" w:before="0" w:after="0"/>
        <w:ind w:left="1247" w:right="7292" w:firstLine="0"/>
        <w:jc w:val="left"/>
        <w:rPr>
          <w:sz w:val="20"/>
        </w:rPr>
      </w:pPr>
      <w:r>
        <w:rPr>
          <w:w w:val="120"/>
          <w:sz w:val="20"/>
        </w:rPr>
        <w:t>Bible verses from Leviticus </w:t>
      </w:r>
      <w:r>
        <w:rPr>
          <w:spacing w:val="-8"/>
          <w:w w:val="120"/>
          <w:sz w:val="20"/>
        </w:rPr>
        <w:t>19 </w:t>
      </w:r>
      <w:r>
        <w:rPr>
          <w:w w:val="120"/>
          <w:sz w:val="20"/>
        </w:rPr>
        <w:t>reminded us that we should love the stranger as ourselves. The verses were interspersed with life stories of women who</w:t>
      </w:r>
      <w:r>
        <w:rPr>
          <w:spacing w:val="7"/>
          <w:w w:val="120"/>
          <w:sz w:val="20"/>
        </w:rPr>
        <w:t> </w:t>
      </w:r>
      <w:r>
        <w:rPr>
          <w:w w:val="120"/>
          <w:sz w:val="20"/>
        </w:rPr>
        <w:t>had</w:t>
      </w:r>
    </w:p>
    <w:p>
      <w:pPr>
        <w:pStyle w:val="BodyText"/>
        <w:spacing w:line="235" w:lineRule="auto" w:before="4"/>
        <w:ind w:left="1247" w:right="7556"/>
      </w:pPr>
      <w:r>
        <w:rPr>
          <w:w w:val="120"/>
        </w:rPr>
        <w:t>not received a warm welcome in France and were followed by prayers for forgiveness for any ways in which we may have</w:t>
      </w:r>
    </w:p>
    <w:p>
      <w:pPr>
        <w:pStyle w:val="BodyText"/>
        <w:spacing w:line="235" w:lineRule="auto" w:before="3"/>
        <w:ind w:left="1247" w:right="7267"/>
      </w:pPr>
      <w:r>
        <w:rPr>
          <w:w w:val="120"/>
        </w:rPr>
        <w:t>caused hurt to those who turned to us for refuge.</w:t>
      </w:r>
    </w:p>
    <w:p>
      <w:pPr>
        <w:pStyle w:val="BodyText"/>
        <w:spacing w:before="9"/>
        <w:rPr>
          <w:sz w:val="19"/>
        </w:rPr>
      </w:pPr>
    </w:p>
    <w:p>
      <w:pPr>
        <w:pStyle w:val="ListParagraph"/>
        <w:numPr>
          <w:ilvl w:val="1"/>
          <w:numId w:val="116"/>
        </w:numPr>
        <w:tabs>
          <w:tab w:pos="1927" w:val="left" w:leader="none"/>
          <w:tab w:pos="1928" w:val="left" w:leader="none"/>
        </w:tabs>
        <w:spacing w:line="235" w:lineRule="auto" w:before="0" w:after="0"/>
        <w:ind w:left="1247" w:right="7217" w:firstLine="0"/>
        <w:jc w:val="left"/>
        <w:rPr>
          <w:sz w:val="20"/>
        </w:rPr>
      </w:pPr>
      <w:r>
        <w:rPr>
          <w:w w:val="120"/>
          <w:sz w:val="20"/>
        </w:rPr>
        <w:t>The New Testament message from Matthew </w:t>
      </w:r>
      <w:r>
        <w:rPr>
          <w:spacing w:val="-4"/>
          <w:w w:val="120"/>
          <w:sz w:val="20"/>
        </w:rPr>
        <w:t>25:31-40 </w:t>
      </w:r>
      <w:r>
        <w:rPr>
          <w:w w:val="120"/>
          <w:sz w:val="20"/>
        </w:rPr>
        <w:t>made it clear that whenever we welcome a stranger it is Christ himself we are welcoming. Positive experiences of women who had come from other countries to live in France were shared. In prayers of intercession we committed ourselves to reaching out to strangers and to giving</w:t>
      </w:r>
      <w:r>
        <w:rPr>
          <w:spacing w:val="23"/>
          <w:w w:val="120"/>
          <w:sz w:val="20"/>
        </w:rPr>
        <w:t> </w:t>
      </w:r>
      <w:r>
        <w:rPr>
          <w:w w:val="120"/>
          <w:sz w:val="20"/>
        </w:rPr>
        <w:t>thanks</w:t>
      </w:r>
    </w:p>
    <w:p>
      <w:pPr>
        <w:pStyle w:val="BodyText"/>
        <w:spacing w:line="235" w:lineRule="auto" w:before="9"/>
        <w:ind w:left="1247" w:right="7038"/>
      </w:pPr>
      <w:r>
        <w:rPr>
          <w:w w:val="120"/>
        </w:rPr>
        <w:t>for the richness and diversity that those coming from other countries offer to society.</w:t>
      </w:r>
    </w:p>
    <w:p>
      <w:pPr>
        <w:pStyle w:val="BodyText"/>
        <w:spacing w:before="10"/>
        <w:rPr>
          <w:sz w:val="19"/>
        </w:rPr>
      </w:pPr>
    </w:p>
    <w:p>
      <w:pPr>
        <w:pStyle w:val="ListParagraph"/>
        <w:numPr>
          <w:ilvl w:val="1"/>
          <w:numId w:val="116"/>
        </w:numPr>
        <w:tabs>
          <w:tab w:pos="1927" w:val="left" w:leader="none"/>
          <w:tab w:pos="1928" w:val="left" w:leader="none"/>
        </w:tabs>
        <w:spacing w:line="235" w:lineRule="auto" w:before="0" w:after="0"/>
        <w:ind w:left="1247" w:right="2093" w:firstLine="0"/>
        <w:jc w:val="left"/>
        <w:rPr>
          <w:sz w:val="20"/>
        </w:rPr>
      </w:pPr>
      <w:r>
        <w:rPr>
          <w:w w:val="120"/>
          <w:sz w:val="20"/>
        </w:rPr>
        <w:t>During the year a national consultation was held regarding a name change for the movement in England, Wales and </w:t>
      </w:r>
      <w:r>
        <w:rPr>
          <w:spacing w:val="2"/>
          <w:w w:val="120"/>
          <w:sz w:val="20"/>
        </w:rPr>
        <w:t>Northern </w:t>
      </w:r>
      <w:r>
        <w:rPr>
          <w:w w:val="120"/>
          <w:sz w:val="20"/>
        </w:rPr>
        <w:t>Ireland. An overwhelming 90% said   no, and at their annual general meeting in </w:t>
      </w:r>
      <w:r>
        <w:rPr>
          <w:spacing w:val="-4"/>
          <w:w w:val="120"/>
          <w:sz w:val="20"/>
        </w:rPr>
        <w:t>May, </w:t>
      </w:r>
      <w:r>
        <w:rPr>
          <w:w w:val="120"/>
          <w:sz w:val="20"/>
        </w:rPr>
        <w:t>the national committee voted to keep the name as </w:t>
      </w:r>
      <w:r>
        <w:rPr>
          <w:spacing w:val="-3"/>
          <w:w w:val="120"/>
          <w:sz w:val="20"/>
        </w:rPr>
        <w:t>‘women’s </w:t>
      </w:r>
      <w:r>
        <w:rPr>
          <w:w w:val="120"/>
          <w:sz w:val="20"/>
        </w:rPr>
        <w:t>world day of prayer’. Feedback and comments will be taken into consideration to </w:t>
      </w:r>
      <w:r>
        <w:rPr>
          <w:spacing w:val="2"/>
          <w:w w:val="120"/>
          <w:sz w:val="20"/>
        </w:rPr>
        <w:t>carry </w:t>
      </w:r>
      <w:r>
        <w:rPr>
          <w:w w:val="120"/>
          <w:sz w:val="20"/>
        </w:rPr>
        <w:t>the movement</w:t>
      </w:r>
      <w:r>
        <w:rPr>
          <w:spacing w:val="7"/>
          <w:w w:val="120"/>
          <w:sz w:val="20"/>
        </w:rPr>
        <w:t> </w:t>
      </w:r>
      <w:r>
        <w:rPr>
          <w:w w:val="120"/>
          <w:sz w:val="20"/>
        </w:rPr>
        <w:t>forward.</w:t>
      </w:r>
    </w:p>
    <w:p>
      <w:pPr>
        <w:spacing w:after="0" w:line="235" w:lineRule="auto"/>
        <w:jc w:val="left"/>
        <w:rPr>
          <w:sz w:val="20"/>
        </w:rPr>
        <w:sectPr>
          <w:headerReference w:type="even" r:id="rId565"/>
          <w:footerReference w:type="even" r:id="rId566"/>
          <w:pgSz w:w="11910" w:h="16840"/>
          <w:pgMar w:header="0" w:footer="647" w:top="0" w:bottom="840" w:left="0" w:right="0"/>
          <w:pgNumType w:start="226"/>
        </w:sectPr>
      </w:pPr>
    </w:p>
    <w:p>
      <w:pPr>
        <w:pStyle w:val="BodyText"/>
      </w:pPr>
      <w:r>
        <w:rPr/>
        <w:pict>
          <v:group style="position:absolute;margin-left:294.854553pt;margin-top:0pt;width:300.45pt;height:841.9pt;mso-position-horizontal-relative:page;mso-position-vertical-relative:page;z-index:-267049984" coordorigin="5897,0" coordsize="6009,16838">
            <v:shape style="position:absolute;left:10984;top:0;width:922;height:16838" type="#_x0000_t75" stroked="false">
              <v:imagedata r:id="rId540" o:title=""/>
            </v:shape>
            <v:shape style="position:absolute;left:5897;top:1190;width:5085;height:7025" type="#_x0000_t75" stroked="false">
              <v:imagedata r:id="rId570" o:title=""/>
            </v:shape>
            <w10:wrap type="none"/>
          </v:group>
        </w:pict>
      </w:r>
    </w:p>
    <w:p>
      <w:pPr>
        <w:pStyle w:val="BodyText"/>
        <w:spacing w:before="7"/>
        <w:rPr>
          <w:sz w:val="21"/>
        </w:rPr>
      </w:pPr>
    </w:p>
    <w:p>
      <w:pPr>
        <w:pStyle w:val="Heading5"/>
        <w:ind w:left="0" w:right="1245"/>
        <w:jc w:val="right"/>
      </w:pPr>
      <w:r>
        <w:rPr/>
        <w:pict>
          <v:shape style="position:absolute;margin-left:554.141174pt;margin-top:22.593945pt;width:25.9pt;height:296.4pt;mso-position-horizontal-relative:page;mso-position-vertical-relative:paragraph;z-index:252227584" type="#_x0000_t202" filled="false" stroked="false">
            <v:textbox inset="0,0,0,0" style="layout-flow:vertical">
              <w:txbxContent>
                <w:p>
                  <w:pPr>
                    <w:spacing w:before="27"/>
                    <w:ind w:left="20" w:right="0" w:firstLine="0"/>
                    <w:jc w:val="left"/>
                    <w:rPr>
                      <w:sz w:val="39"/>
                    </w:rPr>
                  </w:pPr>
                  <w:r>
                    <w:rPr>
                      <w:color w:val="FFFFFF"/>
                      <w:w w:val="120"/>
                      <w:sz w:val="39"/>
                    </w:rPr>
                    <w:t>Women’s world day of prayer</w:t>
                  </w:r>
                </w:p>
              </w:txbxContent>
            </v:textbox>
            <w10:wrap type="none"/>
          </v:shape>
        </w:pict>
      </w:r>
      <w:r>
        <w:rPr>
          <w:color w:val="7EAABF"/>
          <w:w w:val="115"/>
        </w:rPr>
        <w:t>Information papers</w:t>
      </w:r>
    </w:p>
    <w:p>
      <w:pPr>
        <w:spacing w:before="215"/>
        <w:ind w:left="1984" w:right="0" w:firstLine="0"/>
        <w:jc w:val="left"/>
        <w:rPr>
          <w:rFonts w:ascii="Stone Sans II ITC Std Bk"/>
          <w:b/>
          <w:sz w:val="29"/>
        </w:rPr>
      </w:pPr>
      <w:r>
        <w:rPr>
          <w:rFonts w:ascii="Stone Sans II ITC Std Bk"/>
          <w:b/>
          <w:w w:val="110"/>
          <w:sz w:val="29"/>
        </w:rPr>
        <w:t>2014</w:t>
      </w:r>
    </w:p>
    <w:p>
      <w:pPr>
        <w:pStyle w:val="ListParagraph"/>
        <w:numPr>
          <w:ilvl w:val="1"/>
          <w:numId w:val="117"/>
        </w:numPr>
        <w:tabs>
          <w:tab w:pos="2664" w:val="left" w:leader="none"/>
          <w:tab w:pos="2665" w:val="left" w:leader="none"/>
        </w:tabs>
        <w:spacing w:line="235" w:lineRule="auto" w:before="69" w:after="0"/>
        <w:ind w:left="1984" w:right="6362" w:firstLine="0"/>
        <w:jc w:val="left"/>
        <w:rPr>
          <w:sz w:val="20"/>
        </w:rPr>
      </w:pPr>
      <w:r>
        <w:rPr>
          <w:w w:val="120"/>
          <w:sz w:val="20"/>
        </w:rPr>
        <w:t>The theme for the </w:t>
      </w:r>
      <w:r>
        <w:rPr>
          <w:spacing w:val="-7"/>
          <w:w w:val="120"/>
          <w:sz w:val="20"/>
        </w:rPr>
        <w:t>2014 </w:t>
      </w:r>
      <w:r>
        <w:rPr>
          <w:w w:val="120"/>
          <w:sz w:val="20"/>
        </w:rPr>
        <w:t>day of</w:t>
      </w:r>
      <w:r>
        <w:rPr>
          <w:spacing w:val="-13"/>
          <w:w w:val="120"/>
          <w:sz w:val="20"/>
        </w:rPr>
        <w:t> </w:t>
      </w:r>
      <w:r>
        <w:rPr>
          <w:w w:val="120"/>
          <w:sz w:val="20"/>
        </w:rPr>
        <w:t>prayer</w:t>
      </w:r>
      <w:r>
        <w:rPr>
          <w:spacing w:val="-12"/>
          <w:w w:val="120"/>
          <w:sz w:val="20"/>
        </w:rPr>
        <w:t> </w:t>
      </w:r>
      <w:r>
        <w:rPr>
          <w:w w:val="120"/>
          <w:sz w:val="20"/>
        </w:rPr>
        <w:t>service</w:t>
      </w:r>
      <w:r>
        <w:rPr>
          <w:spacing w:val="-13"/>
          <w:w w:val="120"/>
          <w:sz w:val="20"/>
        </w:rPr>
        <w:t> </w:t>
      </w:r>
      <w:r>
        <w:rPr>
          <w:w w:val="120"/>
          <w:sz w:val="20"/>
        </w:rPr>
        <w:t>in</w:t>
      </w:r>
      <w:r>
        <w:rPr>
          <w:spacing w:val="-12"/>
          <w:w w:val="120"/>
          <w:sz w:val="20"/>
        </w:rPr>
        <w:t> </w:t>
      </w:r>
      <w:r>
        <w:rPr>
          <w:w w:val="120"/>
          <w:sz w:val="20"/>
        </w:rPr>
        <w:t>March</w:t>
      </w:r>
      <w:r>
        <w:rPr>
          <w:spacing w:val="-13"/>
          <w:w w:val="120"/>
          <w:sz w:val="20"/>
        </w:rPr>
        <w:t> </w:t>
      </w:r>
      <w:r>
        <w:rPr>
          <w:w w:val="120"/>
          <w:sz w:val="20"/>
        </w:rPr>
        <w:t>is</w:t>
      </w:r>
      <w:r>
        <w:rPr>
          <w:spacing w:val="-12"/>
          <w:w w:val="120"/>
          <w:sz w:val="20"/>
        </w:rPr>
        <w:t> </w:t>
      </w:r>
      <w:r>
        <w:rPr>
          <w:i/>
          <w:w w:val="120"/>
          <w:sz w:val="20"/>
        </w:rPr>
        <w:t>Streams </w:t>
      </w:r>
      <w:r>
        <w:rPr>
          <w:i/>
          <w:w w:val="120"/>
          <w:sz w:val="20"/>
        </w:rPr>
        <w:t>in</w:t>
      </w:r>
      <w:r>
        <w:rPr>
          <w:i/>
          <w:spacing w:val="-13"/>
          <w:w w:val="120"/>
          <w:sz w:val="20"/>
        </w:rPr>
        <w:t> </w:t>
      </w:r>
      <w:r>
        <w:rPr>
          <w:i/>
          <w:w w:val="120"/>
          <w:sz w:val="20"/>
        </w:rPr>
        <w:t>the</w:t>
      </w:r>
      <w:r>
        <w:rPr>
          <w:i/>
          <w:spacing w:val="-12"/>
          <w:w w:val="120"/>
          <w:sz w:val="20"/>
        </w:rPr>
        <w:t> </w:t>
      </w:r>
      <w:r>
        <w:rPr>
          <w:i/>
          <w:w w:val="120"/>
          <w:sz w:val="20"/>
        </w:rPr>
        <w:t>desert</w:t>
      </w:r>
      <w:r>
        <w:rPr>
          <w:w w:val="120"/>
          <w:sz w:val="20"/>
        </w:rPr>
        <w:t>.</w:t>
      </w:r>
      <w:r>
        <w:rPr>
          <w:spacing w:val="-10"/>
          <w:w w:val="120"/>
          <w:sz w:val="20"/>
        </w:rPr>
        <w:t> </w:t>
      </w:r>
      <w:r>
        <w:rPr>
          <w:w w:val="120"/>
          <w:sz w:val="20"/>
        </w:rPr>
        <w:t>This</w:t>
      </w:r>
      <w:r>
        <w:rPr>
          <w:spacing w:val="-9"/>
          <w:w w:val="120"/>
          <w:sz w:val="20"/>
        </w:rPr>
        <w:t> </w:t>
      </w:r>
      <w:r>
        <w:rPr>
          <w:w w:val="120"/>
          <w:sz w:val="20"/>
        </w:rPr>
        <w:t>has</w:t>
      </w:r>
      <w:r>
        <w:rPr>
          <w:spacing w:val="-10"/>
          <w:w w:val="120"/>
          <w:sz w:val="20"/>
        </w:rPr>
        <w:t> </w:t>
      </w:r>
      <w:r>
        <w:rPr>
          <w:w w:val="120"/>
          <w:sz w:val="20"/>
        </w:rPr>
        <w:t>been</w:t>
      </w:r>
      <w:r>
        <w:rPr>
          <w:spacing w:val="-10"/>
          <w:w w:val="120"/>
          <w:sz w:val="20"/>
        </w:rPr>
        <w:t> </w:t>
      </w:r>
      <w:r>
        <w:rPr>
          <w:w w:val="120"/>
          <w:sz w:val="20"/>
        </w:rPr>
        <w:t>prepared</w:t>
      </w:r>
    </w:p>
    <w:p>
      <w:pPr>
        <w:pStyle w:val="BodyText"/>
        <w:spacing w:line="235" w:lineRule="auto" w:before="3"/>
        <w:ind w:left="1984" w:right="6240"/>
      </w:pPr>
      <w:r>
        <w:rPr>
          <w:w w:val="120"/>
        </w:rPr>
        <w:t>by Christian women in Egypt and the theme flows like a river through the service, with the promise of living water that never runs dry, through the Bible passages, the prayers and the hymns. The graphic, painted</w:t>
      </w:r>
    </w:p>
    <w:p>
      <w:pPr>
        <w:spacing w:line="235" w:lineRule="auto" w:before="4"/>
        <w:ind w:left="1984" w:right="6437" w:firstLine="0"/>
        <w:jc w:val="left"/>
        <w:rPr>
          <w:i/>
          <w:sz w:val="20"/>
        </w:rPr>
      </w:pPr>
      <w:r>
        <w:rPr>
          <w:w w:val="115"/>
          <w:sz w:val="20"/>
        </w:rPr>
        <w:t>by an Egyptian artist, reflects Isaiah 35.7: </w:t>
      </w:r>
      <w:r>
        <w:rPr>
          <w:i/>
          <w:w w:val="115"/>
          <w:sz w:val="20"/>
        </w:rPr>
        <w:t>Waters shall break forth in the </w:t>
      </w:r>
      <w:r>
        <w:rPr>
          <w:i/>
          <w:w w:val="115"/>
          <w:sz w:val="20"/>
        </w:rPr>
        <w:t>wilderness and streams in </w:t>
      </w:r>
      <w:r>
        <w:rPr>
          <w:w w:val="115"/>
          <w:sz w:val="20"/>
        </w:rPr>
        <w:t>the </w:t>
      </w:r>
      <w:r>
        <w:rPr>
          <w:i/>
          <w:w w:val="115"/>
          <w:sz w:val="20"/>
        </w:rPr>
        <w:t>desert.</w:t>
      </w:r>
    </w:p>
    <w:p>
      <w:pPr>
        <w:pStyle w:val="BodyText"/>
        <w:spacing w:before="10"/>
        <w:rPr>
          <w:i/>
          <w:sz w:val="19"/>
        </w:rPr>
      </w:pPr>
    </w:p>
    <w:p>
      <w:pPr>
        <w:pStyle w:val="ListParagraph"/>
        <w:numPr>
          <w:ilvl w:val="1"/>
          <w:numId w:val="117"/>
        </w:numPr>
        <w:tabs>
          <w:tab w:pos="2664" w:val="left" w:leader="none"/>
          <w:tab w:pos="2665" w:val="left" w:leader="none"/>
        </w:tabs>
        <w:spacing w:line="235" w:lineRule="auto" w:before="0" w:after="0"/>
        <w:ind w:left="1984" w:right="6623" w:firstLine="0"/>
        <w:jc w:val="left"/>
        <w:rPr>
          <w:sz w:val="20"/>
        </w:rPr>
      </w:pPr>
      <w:r>
        <w:rPr>
          <w:w w:val="120"/>
          <w:sz w:val="20"/>
        </w:rPr>
        <w:t>The Bible reading from John </w:t>
      </w:r>
      <w:r>
        <w:rPr>
          <w:spacing w:val="-3"/>
          <w:w w:val="120"/>
          <w:sz w:val="20"/>
        </w:rPr>
        <w:t>4, </w:t>
      </w:r>
      <w:r>
        <w:rPr>
          <w:w w:val="120"/>
          <w:sz w:val="20"/>
        </w:rPr>
        <w:t>the </w:t>
      </w:r>
      <w:r>
        <w:rPr>
          <w:spacing w:val="2"/>
          <w:w w:val="120"/>
          <w:sz w:val="20"/>
        </w:rPr>
        <w:t>story </w:t>
      </w:r>
      <w:r>
        <w:rPr>
          <w:w w:val="120"/>
          <w:sz w:val="20"/>
        </w:rPr>
        <w:t>of the woman  of Samaria, forms the heart of</w:t>
      </w:r>
      <w:r>
        <w:rPr>
          <w:spacing w:val="-31"/>
          <w:w w:val="120"/>
          <w:sz w:val="20"/>
        </w:rPr>
        <w:t> </w:t>
      </w:r>
      <w:r>
        <w:rPr>
          <w:w w:val="120"/>
          <w:sz w:val="20"/>
        </w:rPr>
        <w:t>the</w:t>
      </w:r>
    </w:p>
    <w:p>
      <w:pPr>
        <w:pStyle w:val="BodyText"/>
        <w:spacing w:line="235" w:lineRule="auto" w:before="3"/>
        <w:ind w:left="1984" w:right="6242"/>
      </w:pPr>
      <w:r>
        <w:rPr>
          <w:w w:val="120"/>
        </w:rPr>
        <w:t>service. Through the promise of Jesus offering life-giving water we are challenged to become channels of God’s living water to the world and  to demonstrate the </w:t>
      </w:r>
      <w:r>
        <w:rPr>
          <w:spacing w:val="4"/>
          <w:w w:val="120"/>
        </w:rPr>
        <w:t>WWDP </w:t>
      </w:r>
      <w:r>
        <w:rPr>
          <w:w w:val="120"/>
        </w:rPr>
        <w:t>motto, ‘informed prayer and prayerful </w:t>
      </w:r>
      <w:r>
        <w:rPr>
          <w:spacing w:val="-3"/>
          <w:w w:val="120"/>
        </w:rPr>
        <w:t>action’.  </w:t>
      </w:r>
      <w:r>
        <w:rPr>
          <w:w w:val="120"/>
        </w:rPr>
        <w:t>Pray for Egypt and the </w:t>
      </w:r>
      <w:r>
        <w:rPr>
          <w:spacing w:val="-6"/>
          <w:w w:val="120"/>
        </w:rPr>
        <w:t>12%  </w:t>
      </w:r>
      <w:r>
        <w:rPr>
          <w:w w:val="120"/>
        </w:rPr>
        <w:t>of Christians who live there in their great</w:t>
      </w:r>
      <w:r>
        <w:rPr>
          <w:spacing w:val="2"/>
          <w:w w:val="120"/>
        </w:rPr>
        <w:t> </w:t>
      </w:r>
      <w:r>
        <w:rPr>
          <w:w w:val="120"/>
        </w:rPr>
        <w:t>troubles.</w:t>
      </w:r>
    </w:p>
    <w:p>
      <w:pPr>
        <w:pStyle w:val="BodyText"/>
        <w:spacing w:before="8"/>
        <w:rPr>
          <w:sz w:val="11"/>
        </w:rPr>
      </w:pPr>
    </w:p>
    <w:p>
      <w:pPr>
        <w:pStyle w:val="ListParagraph"/>
        <w:numPr>
          <w:ilvl w:val="1"/>
          <w:numId w:val="117"/>
        </w:numPr>
        <w:tabs>
          <w:tab w:pos="2664" w:val="left" w:leader="none"/>
          <w:tab w:pos="2665" w:val="left" w:leader="none"/>
        </w:tabs>
        <w:spacing w:line="235" w:lineRule="auto" w:before="104" w:after="0"/>
        <w:ind w:left="1984" w:right="6726" w:firstLine="0"/>
        <w:jc w:val="left"/>
        <w:rPr>
          <w:sz w:val="20"/>
        </w:rPr>
      </w:pPr>
      <w:r>
        <w:rPr>
          <w:w w:val="120"/>
          <w:sz w:val="20"/>
        </w:rPr>
        <w:t>In </w:t>
      </w:r>
      <w:r>
        <w:rPr>
          <w:spacing w:val="-7"/>
          <w:w w:val="120"/>
          <w:sz w:val="20"/>
        </w:rPr>
        <w:t>2014 </w:t>
      </w:r>
      <w:r>
        <w:rPr>
          <w:w w:val="120"/>
          <w:sz w:val="20"/>
        </w:rPr>
        <w:t>Eileen Rhodes completes nine years as the URC representative on the</w:t>
      </w:r>
      <w:r>
        <w:rPr>
          <w:spacing w:val="-4"/>
          <w:w w:val="120"/>
          <w:sz w:val="20"/>
        </w:rPr>
        <w:t> </w:t>
      </w:r>
      <w:r>
        <w:rPr>
          <w:w w:val="120"/>
          <w:sz w:val="20"/>
        </w:rPr>
        <w:t>national</w:t>
      </w:r>
    </w:p>
    <w:p>
      <w:pPr>
        <w:pStyle w:val="BodyText"/>
        <w:spacing w:line="235" w:lineRule="auto" w:before="2"/>
        <w:ind w:left="1984" w:right="1414"/>
      </w:pPr>
      <w:r>
        <w:rPr>
          <w:w w:val="120"/>
        </w:rPr>
        <w:t>committee of WWDP and Assembly will wish to express its thanks to her. She says that it has been a life-changing experience, with many new challenges and the opportunity to meet wonderful Christian women, both nationally and internationally. She asks our prayers for her successor, Rosemary Shirley.</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
      </w:pPr>
    </w:p>
    <w:p>
      <w:pPr>
        <w:pStyle w:val="Heading8"/>
        <w:spacing w:before="96"/>
        <w:ind w:left="4350"/>
        <w:rPr>
          <w:rFonts w:ascii="Stone Sans II ITC Std X Bd" w:hAnsi="Stone Sans II ITC Std X Bd"/>
          <w:b/>
          <w:sz w:val="24"/>
        </w:rPr>
      </w:pP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2014 </w:t>
      </w:r>
      <w:r>
        <w:rPr>
          <w:rFonts w:ascii="Symbol" w:hAnsi="Symbol"/>
          <w:color w:val="7EAABF"/>
          <w:w w:val="110"/>
        </w:rPr>
        <w:t></w:t>
      </w:r>
      <w:r>
        <w:rPr>
          <w:rFonts w:ascii="Times New Roman" w:hAnsi="Times New Roman"/>
          <w:color w:val="7EAABF"/>
          <w:w w:val="110"/>
        </w:rPr>
        <w:t> </w:t>
      </w:r>
      <w:r>
        <w:rPr>
          <w:rFonts w:ascii="Stone Sans II ITC Std X Bd" w:hAnsi="Stone Sans II ITC Std X Bd"/>
          <w:b/>
          <w:w w:val="110"/>
          <w:sz w:val="24"/>
        </w:rPr>
        <w:t>227</w:t>
      </w:r>
    </w:p>
    <w:p>
      <w:pPr>
        <w:spacing w:after="0"/>
        <w:rPr>
          <w:rFonts w:ascii="Stone Sans II ITC Std X Bd" w:hAnsi="Stone Sans II ITC Std X Bd"/>
          <w:sz w:val="24"/>
        </w:rPr>
        <w:sectPr>
          <w:headerReference w:type="default" r:id="rId568"/>
          <w:footerReference w:type="default" r:id="rId569"/>
          <w:pgSz w:w="11910" w:h="16840"/>
          <w:pgMar w:header="0" w:footer="0" w:top="0" w:bottom="0" w:left="0" w:right="0"/>
        </w:sectPr>
      </w:pPr>
    </w:p>
    <w:p>
      <w:pPr>
        <w:pStyle w:val="BodyText"/>
        <w:rPr>
          <w:rFonts w:ascii="Stone Sans II ITC Std X Bd"/>
          <w:b/>
        </w:rPr>
      </w:pPr>
      <w:r>
        <w:rPr/>
        <w:drawing>
          <wp:anchor distT="0" distB="0" distL="0" distR="0" allowOverlap="1" layoutInCell="1" locked="0" behindDoc="0" simplePos="0" relativeHeight="252228608">
            <wp:simplePos x="0" y="0"/>
            <wp:positionH relativeFrom="page">
              <wp:posOffset>0</wp:posOffset>
            </wp:positionH>
            <wp:positionV relativeFrom="page">
              <wp:posOffset>0</wp:posOffset>
            </wp:positionV>
            <wp:extent cx="594067" cy="10692003"/>
            <wp:effectExtent l="0" t="0" r="0" b="0"/>
            <wp:wrapNone/>
            <wp:docPr id="447" name="image74.png"/>
            <wp:cNvGraphicFramePr>
              <a:graphicFrameLocks noChangeAspect="1"/>
            </wp:cNvGraphicFramePr>
            <a:graphic>
              <a:graphicData uri="http://schemas.openxmlformats.org/drawingml/2006/picture">
                <pic:pic>
                  <pic:nvPicPr>
                    <pic:cNvPr id="448" name="image74.png"/>
                    <pic:cNvPicPr/>
                  </pic:nvPicPr>
                  <pic:blipFill>
                    <a:blip r:embed="rId537" cstate="print"/>
                    <a:stretch>
                      <a:fillRect/>
                    </a:stretch>
                  </pic:blipFill>
                  <pic:spPr>
                    <a:xfrm>
                      <a:off x="0" y="0"/>
                      <a:ext cx="594067" cy="10692003"/>
                    </a:xfrm>
                    <a:prstGeom prst="rect">
                      <a:avLst/>
                    </a:prstGeom>
                  </pic:spPr>
                </pic:pic>
              </a:graphicData>
            </a:graphic>
          </wp:anchor>
        </w:drawing>
      </w:r>
    </w:p>
    <w:p>
      <w:pPr>
        <w:pStyle w:val="BodyText"/>
        <w:spacing w:before="7"/>
        <w:rPr>
          <w:rFonts w:ascii="Stone Sans II ITC Std X Bd"/>
          <w:b/>
          <w:sz w:val="17"/>
        </w:rPr>
      </w:pPr>
    </w:p>
    <w:p>
      <w:pPr>
        <w:spacing w:before="107"/>
        <w:ind w:left="1247" w:right="0" w:firstLine="0"/>
        <w:jc w:val="left"/>
        <w:rPr>
          <w:sz w:val="26"/>
        </w:rPr>
      </w:pPr>
      <w:r>
        <w:rPr/>
        <w:pict>
          <v:shape style="position:absolute;margin-left:20.519100pt;margin-top:22.643946pt;width:25.9pt;height:201.45pt;mso-position-horizontal-relative:page;mso-position-vertical-relative:paragraph;z-index:252229632" type="#_x0000_t202" filled="false" stroked="false">
            <v:textbox inset="0,0,0,0" style="layout-flow:vertical">
              <w:txbxContent>
                <w:p>
                  <w:pPr>
                    <w:spacing w:before="27"/>
                    <w:ind w:left="20" w:right="0" w:firstLine="0"/>
                    <w:jc w:val="left"/>
                    <w:rPr>
                      <w:sz w:val="39"/>
                    </w:rPr>
                  </w:pPr>
                  <w:r>
                    <w:rPr>
                      <w:color w:val="FFFFFF"/>
                      <w:spacing w:val="6"/>
                      <w:w w:val="120"/>
                      <w:sz w:val="39"/>
                    </w:rPr>
                    <w:t>World </w:t>
                  </w:r>
                  <w:r>
                    <w:rPr>
                      <w:color w:val="FFFFFF"/>
                      <w:spacing w:val="3"/>
                      <w:w w:val="120"/>
                      <w:sz w:val="39"/>
                    </w:rPr>
                    <w:t>day </w:t>
                  </w:r>
                  <w:r>
                    <w:rPr>
                      <w:color w:val="FFFFFF"/>
                      <w:spacing w:val="5"/>
                      <w:w w:val="120"/>
                      <w:sz w:val="39"/>
                    </w:rPr>
                    <w:t>of</w:t>
                  </w:r>
                  <w:r>
                    <w:rPr>
                      <w:color w:val="FFFFFF"/>
                      <w:spacing w:val="79"/>
                      <w:w w:val="120"/>
                      <w:sz w:val="39"/>
                    </w:rPr>
                    <w:t> </w:t>
                  </w:r>
                  <w:r>
                    <w:rPr>
                      <w:color w:val="FFFFFF"/>
                      <w:spacing w:val="6"/>
                      <w:w w:val="120"/>
                      <w:sz w:val="39"/>
                    </w:rPr>
                    <w:t>prayer</w:t>
                  </w:r>
                </w:p>
              </w:txbxContent>
            </v:textbox>
            <w10:wrap type="none"/>
          </v:shape>
        </w:pict>
      </w:r>
      <w:r>
        <w:rPr>
          <w:color w:val="7EAABF"/>
          <w:w w:val="115"/>
          <w:sz w:val="26"/>
        </w:rPr>
        <w:t>Information papers</w:t>
      </w:r>
    </w:p>
    <w:p>
      <w:pPr>
        <w:pStyle w:val="BodyText"/>
        <w:spacing w:before="8"/>
        <w:rPr>
          <w:sz w:val="24"/>
        </w:rPr>
      </w:pPr>
    </w:p>
    <w:p>
      <w:pPr>
        <w:spacing w:line="213" w:lineRule="auto" w:before="0"/>
        <w:ind w:left="1247" w:right="3769" w:firstLine="0"/>
        <w:jc w:val="left"/>
        <w:rPr>
          <w:rFonts w:ascii="Stone Sans II ITC Std X Bd"/>
          <w:b/>
          <w:sz w:val="50"/>
        </w:rPr>
      </w:pPr>
      <w:r>
        <w:rPr>
          <w:rFonts w:ascii="Stone Sans II ITC Std X Bd"/>
          <w:b/>
          <w:spacing w:val="-5"/>
          <w:w w:val="110"/>
          <w:sz w:val="50"/>
        </w:rPr>
        <w:t>World </w:t>
      </w:r>
      <w:r>
        <w:rPr>
          <w:rFonts w:ascii="Stone Sans II ITC Std X Bd"/>
          <w:b/>
          <w:spacing w:val="-8"/>
          <w:w w:val="110"/>
          <w:sz w:val="50"/>
        </w:rPr>
        <w:t>day </w:t>
      </w:r>
      <w:r>
        <w:rPr>
          <w:rFonts w:ascii="Stone Sans II ITC Std X Bd"/>
          <w:b/>
          <w:w w:val="110"/>
          <w:sz w:val="50"/>
        </w:rPr>
        <w:t>of </w:t>
      </w:r>
      <w:r>
        <w:rPr>
          <w:rFonts w:ascii="Stone Sans II ITC Std X Bd"/>
          <w:b/>
          <w:spacing w:val="-8"/>
          <w:w w:val="110"/>
          <w:sz w:val="50"/>
        </w:rPr>
        <w:t>prayer </w:t>
      </w:r>
      <w:r>
        <w:rPr>
          <w:rFonts w:ascii="Stone Sans II ITC Std X Bd"/>
          <w:b/>
          <w:spacing w:val="-4"/>
          <w:w w:val="110"/>
          <w:sz w:val="50"/>
        </w:rPr>
        <w:t>Scottish </w:t>
      </w:r>
      <w:r>
        <w:rPr>
          <w:rFonts w:ascii="Stone Sans II ITC Std X Bd"/>
          <w:b/>
          <w:spacing w:val="-5"/>
          <w:w w:val="110"/>
          <w:sz w:val="50"/>
        </w:rPr>
        <w:t>committee</w:t>
      </w:r>
    </w:p>
    <w:p>
      <w:pPr>
        <w:pStyle w:val="ListParagraph"/>
        <w:numPr>
          <w:ilvl w:val="0"/>
          <w:numId w:val="118"/>
        </w:numPr>
        <w:tabs>
          <w:tab w:pos="1927" w:val="left" w:leader="none"/>
          <w:tab w:pos="1928" w:val="left" w:leader="none"/>
        </w:tabs>
        <w:spacing w:line="235" w:lineRule="auto" w:before="142" w:after="0"/>
        <w:ind w:left="1247" w:right="2065" w:firstLine="0"/>
        <w:jc w:val="left"/>
        <w:rPr>
          <w:sz w:val="20"/>
        </w:rPr>
      </w:pPr>
      <w:r>
        <w:rPr>
          <w:w w:val="120"/>
          <w:sz w:val="20"/>
        </w:rPr>
        <w:t>The committee’s preparations for the world day of prayer in March </w:t>
      </w:r>
      <w:r>
        <w:rPr>
          <w:spacing w:val="-7"/>
          <w:w w:val="120"/>
          <w:sz w:val="20"/>
        </w:rPr>
        <w:t>2014 </w:t>
      </w:r>
      <w:r>
        <w:rPr>
          <w:w w:val="120"/>
          <w:sz w:val="20"/>
        </w:rPr>
        <w:t>are  now complete. The theme, </w:t>
      </w:r>
      <w:r>
        <w:rPr>
          <w:i/>
          <w:w w:val="120"/>
          <w:sz w:val="20"/>
        </w:rPr>
        <w:t>Streams in the Desert, </w:t>
      </w:r>
      <w:r>
        <w:rPr>
          <w:w w:val="120"/>
          <w:sz w:val="20"/>
        </w:rPr>
        <w:t>was prepared by Christian women in Egypt. They were continually in our thoughts and prayers as we prepared. Their hopes for democratic change in their country have sadly not materialised and many Christians have been victimised. We continue to remember them as we distribute the materials. Many of our committee have had requests to give presentations on the world day of prayer and Egypt, which we have been delighted to</w:t>
      </w:r>
      <w:r>
        <w:rPr>
          <w:spacing w:val="29"/>
          <w:w w:val="120"/>
          <w:sz w:val="20"/>
        </w:rPr>
        <w:t> </w:t>
      </w:r>
      <w:r>
        <w:rPr>
          <w:w w:val="120"/>
          <w:sz w:val="20"/>
        </w:rPr>
        <w:t>do.</w:t>
      </w:r>
    </w:p>
    <w:p>
      <w:pPr>
        <w:pStyle w:val="BodyText"/>
        <w:spacing w:before="1"/>
      </w:pPr>
    </w:p>
    <w:p>
      <w:pPr>
        <w:pStyle w:val="ListParagraph"/>
        <w:numPr>
          <w:ilvl w:val="0"/>
          <w:numId w:val="118"/>
        </w:numPr>
        <w:tabs>
          <w:tab w:pos="1927" w:val="left" w:leader="none"/>
          <w:tab w:pos="1928" w:val="left" w:leader="none"/>
        </w:tabs>
        <w:spacing w:line="235" w:lineRule="auto" w:before="0" w:after="0"/>
        <w:ind w:left="1247" w:right="2101" w:firstLine="0"/>
        <w:jc w:val="left"/>
        <w:rPr>
          <w:sz w:val="20"/>
        </w:rPr>
      </w:pPr>
      <w:r>
        <w:rPr>
          <w:spacing w:val="-6"/>
          <w:w w:val="120"/>
          <w:sz w:val="20"/>
        </w:rPr>
        <w:t>Two </w:t>
      </w:r>
      <w:r>
        <w:rPr>
          <w:w w:val="120"/>
          <w:sz w:val="20"/>
        </w:rPr>
        <w:t>of our committee attended the quadrennial meeting in </w:t>
      </w:r>
      <w:r>
        <w:rPr>
          <w:spacing w:val="-6"/>
          <w:w w:val="120"/>
          <w:sz w:val="20"/>
        </w:rPr>
        <w:t>2012. </w:t>
      </w:r>
      <w:r>
        <w:rPr>
          <w:w w:val="120"/>
          <w:sz w:val="20"/>
        </w:rPr>
        <w:t>They enjoyed contact with representatives from all over the world. It was particularly helpful to discuss issues from representatives from the UK and Eire. It was agreed that we meet up</w:t>
      </w:r>
      <w:r>
        <w:rPr>
          <w:spacing w:val="7"/>
          <w:w w:val="120"/>
          <w:sz w:val="20"/>
        </w:rPr>
        <w:t> </w:t>
      </w:r>
      <w:r>
        <w:rPr>
          <w:w w:val="120"/>
          <w:sz w:val="20"/>
        </w:rPr>
        <w:t>every</w:t>
      </w:r>
      <w:r>
        <w:rPr>
          <w:spacing w:val="8"/>
          <w:w w:val="120"/>
          <w:sz w:val="20"/>
        </w:rPr>
        <w:t> </w:t>
      </w:r>
      <w:r>
        <w:rPr>
          <w:w w:val="120"/>
          <w:sz w:val="20"/>
        </w:rPr>
        <w:t>two</w:t>
      </w:r>
      <w:r>
        <w:rPr>
          <w:spacing w:val="7"/>
          <w:w w:val="120"/>
          <w:sz w:val="20"/>
        </w:rPr>
        <w:t> </w:t>
      </w:r>
      <w:r>
        <w:rPr>
          <w:w w:val="120"/>
          <w:sz w:val="20"/>
        </w:rPr>
        <w:t>years</w:t>
      </w:r>
      <w:r>
        <w:rPr>
          <w:spacing w:val="8"/>
          <w:w w:val="120"/>
          <w:sz w:val="20"/>
        </w:rPr>
        <w:t> </w:t>
      </w:r>
      <w:r>
        <w:rPr>
          <w:w w:val="120"/>
          <w:sz w:val="20"/>
        </w:rPr>
        <w:t>and</w:t>
      </w:r>
      <w:r>
        <w:rPr>
          <w:spacing w:val="8"/>
          <w:w w:val="120"/>
          <w:sz w:val="20"/>
        </w:rPr>
        <w:t> </w:t>
      </w:r>
      <w:r>
        <w:rPr>
          <w:w w:val="120"/>
          <w:sz w:val="20"/>
        </w:rPr>
        <w:t>Scotland</w:t>
      </w:r>
      <w:r>
        <w:rPr>
          <w:spacing w:val="7"/>
          <w:w w:val="120"/>
          <w:sz w:val="20"/>
        </w:rPr>
        <w:t> </w:t>
      </w:r>
      <w:r>
        <w:rPr>
          <w:w w:val="120"/>
          <w:sz w:val="20"/>
        </w:rPr>
        <w:t>agreed</w:t>
      </w:r>
      <w:r>
        <w:rPr>
          <w:spacing w:val="8"/>
          <w:w w:val="120"/>
          <w:sz w:val="20"/>
        </w:rPr>
        <w:t> </w:t>
      </w:r>
      <w:r>
        <w:rPr>
          <w:w w:val="120"/>
          <w:sz w:val="20"/>
        </w:rPr>
        <w:t>to</w:t>
      </w:r>
      <w:r>
        <w:rPr>
          <w:spacing w:val="7"/>
          <w:w w:val="120"/>
          <w:sz w:val="20"/>
        </w:rPr>
        <w:t> </w:t>
      </w:r>
      <w:r>
        <w:rPr>
          <w:w w:val="120"/>
          <w:sz w:val="20"/>
        </w:rPr>
        <w:t>host</w:t>
      </w:r>
      <w:r>
        <w:rPr>
          <w:spacing w:val="8"/>
          <w:w w:val="120"/>
          <w:sz w:val="20"/>
        </w:rPr>
        <w:t> </w:t>
      </w:r>
      <w:r>
        <w:rPr>
          <w:w w:val="120"/>
          <w:sz w:val="20"/>
        </w:rPr>
        <w:t>the</w:t>
      </w:r>
      <w:r>
        <w:rPr>
          <w:spacing w:val="8"/>
          <w:w w:val="120"/>
          <w:sz w:val="20"/>
        </w:rPr>
        <w:t> </w:t>
      </w:r>
      <w:r>
        <w:rPr>
          <w:w w:val="120"/>
          <w:sz w:val="20"/>
        </w:rPr>
        <w:t>inaugural</w:t>
      </w:r>
      <w:r>
        <w:rPr>
          <w:spacing w:val="7"/>
          <w:w w:val="120"/>
          <w:sz w:val="20"/>
        </w:rPr>
        <w:t> </w:t>
      </w:r>
      <w:r>
        <w:rPr>
          <w:w w:val="120"/>
          <w:sz w:val="20"/>
        </w:rPr>
        <w:t>meeting</w:t>
      </w:r>
      <w:r>
        <w:rPr>
          <w:spacing w:val="8"/>
          <w:w w:val="120"/>
          <w:sz w:val="20"/>
        </w:rPr>
        <w:t> </w:t>
      </w:r>
      <w:r>
        <w:rPr>
          <w:w w:val="120"/>
          <w:sz w:val="20"/>
        </w:rPr>
        <w:t>in</w:t>
      </w:r>
      <w:r>
        <w:rPr>
          <w:spacing w:val="8"/>
          <w:w w:val="120"/>
          <w:sz w:val="20"/>
        </w:rPr>
        <w:t> </w:t>
      </w:r>
      <w:r>
        <w:rPr>
          <w:w w:val="120"/>
          <w:sz w:val="20"/>
        </w:rPr>
        <w:t>Edinburgh</w:t>
      </w:r>
    </w:p>
    <w:p>
      <w:pPr>
        <w:pStyle w:val="BodyText"/>
        <w:spacing w:line="235" w:lineRule="auto" w:before="3"/>
        <w:ind w:left="1247" w:right="2167"/>
      </w:pPr>
      <w:r>
        <w:rPr>
          <w:w w:val="120"/>
        </w:rPr>
        <w:t>in Sept 2013. Each team gave a presentation about what they did. Discussion followed about possible areas where we could collaborate. From this we have borrowed ideas and have now prepared a joint press release ready for WDP 2014 and a meditation leaflet based on the scripture readings.</w:t>
      </w:r>
    </w:p>
    <w:p>
      <w:pPr>
        <w:pStyle w:val="BodyText"/>
        <w:spacing w:before="11"/>
        <w:rPr>
          <w:sz w:val="19"/>
        </w:rPr>
      </w:pPr>
    </w:p>
    <w:p>
      <w:pPr>
        <w:pStyle w:val="ListParagraph"/>
        <w:numPr>
          <w:ilvl w:val="0"/>
          <w:numId w:val="118"/>
        </w:numPr>
        <w:tabs>
          <w:tab w:pos="1927" w:val="left" w:leader="none"/>
          <w:tab w:pos="1928" w:val="left" w:leader="none"/>
        </w:tabs>
        <w:spacing w:line="235" w:lineRule="auto" w:before="0" w:after="0"/>
        <w:ind w:left="1247" w:right="1988" w:firstLine="0"/>
        <w:jc w:val="left"/>
        <w:rPr>
          <w:sz w:val="20"/>
        </w:rPr>
      </w:pPr>
      <w:r>
        <w:rPr>
          <w:spacing w:val="-6"/>
          <w:w w:val="120"/>
          <w:sz w:val="20"/>
        </w:rPr>
        <w:t>Two </w:t>
      </w:r>
      <w:r>
        <w:rPr>
          <w:w w:val="120"/>
          <w:sz w:val="20"/>
        </w:rPr>
        <w:t>of our members will attend the European conference in Salzburg in July  </w:t>
      </w:r>
      <w:r>
        <w:rPr>
          <w:spacing w:val="-6"/>
          <w:w w:val="120"/>
          <w:sz w:val="20"/>
        </w:rPr>
        <w:t>2014. </w:t>
      </w:r>
      <w:r>
        <w:rPr>
          <w:w w:val="120"/>
          <w:sz w:val="20"/>
        </w:rPr>
        <w:t>The committee has now started preparing the service for March </w:t>
      </w:r>
      <w:r>
        <w:rPr>
          <w:spacing w:val="-7"/>
          <w:w w:val="120"/>
          <w:sz w:val="20"/>
        </w:rPr>
        <w:t>2015, </w:t>
      </w:r>
      <w:r>
        <w:rPr>
          <w:w w:val="120"/>
          <w:sz w:val="20"/>
        </w:rPr>
        <w:t>planned by women in the Bahamas with the theme, </w:t>
      </w:r>
      <w:r>
        <w:rPr>
          <w:i/>
          <w:w w:val="120"/>
          <w:sz w:val="20"/>
        </w:rPr>
        <w:t>Do you know what I have done to </w:t>
      </w:r>
      <w:r>
        <w:rPr>
          <w:i/>
          <w:spacing w:val="-3"/>
          <w:w w:val="120"/>
          <w:sz w:val="20"/>
        </w:rPr>
        <w:t>you? </w:t>
      </w:r>
      <w:r>
        <w:rPr>
          <w:w w:val="120"/>
          <w:sz w:val="20"/>
        </w:rPr>
        <w:t>Fourteen of us attended a </w:t>
      </w:r>
      <w:r>
        <w:rPr>
          <w:spacing w:val="2"/>
          <w:w w:val="120"/>
          <w:sz w:val="20"/>
        </w:rPr>
        <w:t>two-day </w:t>
      </w:r>
      <w:r>
        <w:rPr>
          <w:w w:val="120"/>
          <w:sz w:val="20"/>
        </w:rPr>
        <w:t>retreat to study together and prepare for the work</w:t>
      </w:r>
      <w:r>
        <w:rPr>
          <w:spacing w:val="13"/>
          <w:w w:val="120"/>
          <w:sz w:val="20"/>
        </w:rPr>
        <w:t> </w:t>
      </w:r>
      <w:r>
        <w:rPr>
          <w:w w:val="120"/>
          <w:sz w:val="20"/>
        </w:rPr>
        <w:t>ahead.</w:t>
      </w:r>
    </w:p>
    <w:p>
      <w:pPr>
        <w:spacing w:after="0" w:line="235" w:lineRule="auto"/>
        <w:jc w:val="left"/>
        <w:rPr>
          <w:sz w:val="20"/>
        </w:rPr>
        <w:sectPr>
          <w:headerReference w:type="even" r:id="rId571"/>
          <w:footerReference w:type="even" r:id="rId572"/>
          <w:pgSz w:w="11910" w:h="16840"/>
          <w:pgMar w:header="0" w:footer="647" w:top="0" w:bottom="840" w:left="0" w:right="0"/>
          <w:pgNumType w:start="228"/>
        </w:sectPr>
      </w:pPr>
    </w:p>
    <w:p>
      <w:pPr>
        <w:pStyle w:val="BodyText"/>
      </w:pPr>
      <w:r>
        <w:rPr/>
        <w:pict>
          <v:rect style="position:absolute;margin-left:0pt;margin-top:.000015pt;width:549.207pt;height:841.89pt;mso-position-horizontal-relative:page;mso-position-vertical-relative:page;z-index:-267045888" filled="true" fillcolor="#e2d9ea" stroked="false">
            <v:fill type="solid"/>
            <w10:wrap type="none"/>
          </v:rect>
        </w:pict>
      </w:r>
      <w:r>
        <w:rPr/>
        <w:pict>
          <v:group style="position:absolute;margin-left:0pt;margin-top:.000015pt;width:595.3pt;height:841.9pt;mso-position-horizontal-relative:page;mso-position-vertical-relative:page;z-index:-267044864" coordorigin="0,0" coordsize="11906,16838">
            <v:shape style="position:absolute;left:10984;top:0;width:922;height:16838" type="#_x0000_t75" stroked="false">
              <v:imagedata r:id="rId575" o:title=""/>
            </v:shape>
            <v:shape style="position:absolute;left:0;top:0;width:11906;height:16838" type="#_x0000_t75" stroked="false">
              <v:imagedata r:id="rId193" o:title=""/>
            </v:shape>
            <v:shape style="position:absolute;left:6344;top:94;width:4768;height:6045" type="#_x0000_t75" stroked="false">
              <v:imagedata r:id="rId358" o:title=""/>
            </v:shape>
            <w10:wrap type="none"/>
          </v:group>
        </w:pict>
      </w:r>
      <w:r>
        <w:rPr/>
        <w:pict>
          <v:shape style="position:absolute;margin-left:554.141174pt;margin-top:48.890015pt;width:25.9pt;height:117.85pt;mso-position-horizontal-relative:page;mso-position-vertical-relative:page;z-index:252232704" type="#_x0000_t202" filled="false" stroked="false">
            <v:textbox inset="0,0,0,0" style="layout-flow:vertical">
              <w:txbxContent>
                <w:p>
                  <w:pPr>
                    <w:spacing w:before="27"/>
                    <w:ind w:left="20" w:right="0" w:firstLine="0"/>
                    <w:jc w:val="left"/>
                    <w:rPr>
                      <w:sz w:val="39"/>
                    </w:rPr>
                  </w:pPr>
                  <w:r>
                    <w:rPr>
                      <w:color w:val="FFFFFF"/>
                      <w:w w:val="120"/>
                      <w:sz w:val="39"/>
                    </w:rPr>
                    <w:t>Resolutions</w:t>
                  </w:r>
                </w:p>
              </w:txbxContent>
            </v:textbox>
            <w10:wrap type="none"/>
          </v:shape>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Heading1"/>
        <w:spacing w:before="89"/>
        <w:ind w:left="708" w:right="1098"/>
        <w:jc w:val="center"/>
        <w:rPr>
          <w:b/>
        </w:rPr>
      </w:pPr>
      <w:bookmarkStart w:name="_bookmark44" w:id="56"/>
      <w:bookmarkEnd w:id="56"/>
      <w:r>
        <w:rPr>
          <w:b w:val="0"/>
        </w:rPr>
      </w:r>
      <w:r>
        <w:rPr>
          <w:b/>
          <w:w w:val="110"/>
        </w:rPr>
        <w:t>Resolutions</w:t>
      </w:r>
    </w:p>
    <w:p>
      <w:pPr>
        <w:pStyle w:val="BodyText"/>
        <w:rPr>
          <w:rFonts w:ascii="Stone Sans II ITC Std X Bd"/>
          <w:b/>
          <w:sz w:val="82"/>
        </w:rPr>
      </w:pPr>
    </w:p>
    <w:p>
      <w:pPr>
        <w:pStyle w:val="BodyText"/>
        <w:rPr>
          <w:rFonts w:ascii="Stone Sans II ITC Std X Bd"/>
          <w:b/>
          <w:sz w:val="82"/>
        </w:rPr>
      </w:pPr>
    </w:p>
    <w:p>
      <w:pPr>
        <w:pStyle w:val="BodyText"/>
        <w:rPr>
          <w:rFonts w:ascii="Stone Sans II ITC Std X Bd"/>
          <w:b/>
          <w:sz w:val="82"/>
        </w:rPr>
      </w:pPr>
    </w:p>
    <w:p>
      <w:pPr>
        <w:pStyle w:val="BodyText"/>
        <w:rPr>
          <w:rFonts w:ascii="Stone Sans II ITC Std X Bd"/>
          <w:b/>
          <w:sz w:val="82"/>
        </w:rPr>
      </w:pPr>
    </w:p>
    <w:p>
      <w:pPr>
        <w:pStyle w:val="BodyText"/>
        <w:rPr>
          <w:rFonts w:ascii="Stone Sans II ITC Std X Bd"/>
          <w:b/>
          <w:sz w:val="82"/>
        </w:rPr>
      </w:pPr>
    </w:p>
    <w:p>
      <w:pPr>
        <w:pStyle w:val="BodyText"/>
        <w:rPr>
          <w:rFonts w:ascii="Stone Sans II ITC Std X Bd"/>
          <w:b/>
          <w:sz w:val="82"/>
        </w:rPr>
      </w:pPr>
    </w:p>
    <w:p>
      <w:pPr>
        <w:pStyle w:val="BodyText"/>
        <w:rPr>
          <w:rFonts w:ascii="Stone Sans II ITC Std X Bd"/>
          <w:b/>
          <w:sz w:val="82"/>
        </w:rPr>
      </w:pPr>
    </w:p>
    <w:p>
      <w:pPr>
        <w:pStyle w:val="BodyText"/>
        <w:spacing w:before="8"/>
        <w:rPr>
          <w:rFonts w:ascii="Stone Sans II ITC Std X Bd"/>
          <w:b/>
          <w:sz w:val="75"/>
        </w:rPr>
      </w:pPr>
    </w:p>
    <w:p>
      <w:pPr>
        <w:pStyle w:val="Heading8"/>
        <w:spacing w:before="0"/>
        <w:ind w:left="4350"/>
        <w:rPr>
          <w:rFonts w:ascii="Stone Sans II ITC Std X Bd" w:hAnsi="Stone Sans II ITC Std X Bd"/>
          <w:b/>
          <w:sz w:val="24"/>
        </w:rPr>
      </w:pP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2014 </w:t>
      </w:r>
      <w:r>
        <w:rPr>
          <w:rFonts w:ascii="Symbol" w:hAnsi="Symbol"/>
          <w:color w:val="7EAABF"/>
          <w:w w:val="110"/>
        </w:rPr>
        <w:t></w:t>
      </w:r>
      <w:r>
        <w:rPr>
          <w:rFonts w:ascii="Times New Roman" w:hAnsi="Times New Roman"/>
          <w:color w:val="7EAABF"/>
          <w:w w:val="110"/>
        </w:rPr>
        <w:t> </w:t>
      </w:r>
      <w:r>
        <w:rPr>
          <w:rFonts w:ascii="Stone Sans II ITC Std X Bd" w:hAnsi="Stone Sans II ITC Std X Bd"/>
          <w:b/>
          <w:w w:val="110"/>
          <w:sz w:val="24"/>
        </w:rPr>
        <w:t>229</w:t>
      </w:r>
    </w:p>
    <w:p>
      <w:pPr>
        <w:spacing w:after="0"/>
        <w:rPr>
          <w:rFonts w:ascii="Stone Sans II ITC Std X Bd" w:hAnsi="Stone Sans II ITC Std X Bd"/>
          <w:sz w:val="24"/>
        </w:rPr>
        <w:sectPr>
          <w:headerReference w:type="default" r:id="rId573"/>
          <w:footerReference w:type="default" r:id="rId574"/>
          <w:pgSz w:w="11910" w:h="16840"/>
          <w:pgMar w:header="0" w:footer="0" w:top="1580" w:bottom="280" w:left="0" w:right="0"/>
        </w:sectPr>
      </w:pPr>
    </w:p>
    <w:p>
      <w:pPr>
        <w:pStyle w:val="BodyText"/>
        <w:rPr>
          <w:rFonts w:ascii="Stone Sans II ITC Std X Bd"/>
          <w:b/>
        </w:rPr>
      </w:pPr>
      <w:r>
        <w:rPr/>
        <w:drawing>
          <wp:anchor distT="0" distB="0" distL="0" distR="0" allowOverlap="1" layoutInCell="1" locked="0" behindDoc="0" simplePos="0" relativeHeight="252238848">
            <wp:simplePos x="0" y="0"/>
            <wp:positionH relativeFrom="page">
              <wp:posOffset>0</wp:posOffset>
            </wp:positionH>
            <wp:positionV relativeFrom="page">
              <wp:posOffset>0</wp:posOffset>
            </wp:positionV>
            <wp:extent cx="594067" cy="10692003"/>
            <wp:effectExtent l="0" t="0" r="0" b="0"/>
            <wp:wrapNone/>
            <wp:docPr id="449" name="image90.png"/>
            <wp:cNvGraphicFramePr>
              <a:graphicFrameLocks noChangeAspect="1"/>
            </wp:cNvGraphicFramePr>
            <a:graphic>
              <a:graphicData uri="http://schemas.openxmlformats.org/drawingml/2006/picture">
                <pic:pic>
                  <pic:nvPicPr>
                    <pic:cNvPr id="450" name="image90.png"/>
                    <pic:cNvPicPr/>
                  </pic:nvPicPr>
                  <pic:blipFill>
                    <a:blip r:embed="rId579" cstate="print"/>
                    <a:stretch>
                      <a:fillRect/>
                    </a:stretch>
                  </pic:blipFill>
                  <pic:spPr>
                    <a:xfrm>
                      <a:off x="0" y="0"/>
                      <a:ext cx="594067" cy="10692003"/>
                    </a:xfrm>
                    <a:prstGeom prst="rect">
                      <a:avLst/>
                    </a:prstGeom>
                  </pic:spPr>
                </pic:pic>
              </a:graphicData>
            </a:graphic>
          </wp:anchor>
        </w:drawing>
      </w:r>
    </w:p>
    <w:p>
      <w:pPr>
        <w:pStyle w:val="BodyText"/>
        <w:spacing w:before="7"/>
        <w:rPr>
          <w:rFonts w:ascii="Stone Sans II ITC Std X Bd"/>
          <w:b/>
          <w:sz w:val="17"/>
        </w:rPr>
      </w:pPr>
    </w:p>
    <w:p>
      <w:pPr>
        <w:spacing w:before="107"/>
        <w:ind w:left="1247" w:right="0" w:firstLine="0"/>
        <w:jc w:val="left"/>
        <w:rPr>
          <w:sz w:val="26"/>
        </w:rPr>
      </w:pPr>
      <w:r>
        <w:rPr/>
        <w:pict>
          <v:shape style="position:absolute;margin-left:20.519100pt;margin-top:22.643946pt;width:25.9pt;height:157.35pt;mso-position-horizontal-relative:page;mso-position-vertical-relative:paragraph;z-index:252239872" type="#_x0000_t202" filled="false" stroked="false">
            <v:textbox inset="0,0,0,0" style="layout-flow:vertical">
              <w:txbxContent>
                <w:p>
                  <w:pPr>
                    <w:spacing w:before="27"/>
                    <w:ind w:left="20" w:right="0" w:firstLine="0"/>
                    <w:jc w:val="left"/>
                    <w:rPr>
                      <w:sz w:val="39"/>
                    </w:rPr>
                  </w:pPr>
                  <w:r>
                    <w:rPr>
                      <w:color w:val="FFFFFF"/>
                      <w:w w:val="120"/>
                      <w:sz w:val="39"/>
                    </w:rPr>
                    <w:t>Resolutions 1-5</w:t>
                  </w:r>
                </w:p>
              </w:txbxContent>
            </v:textbox>
            <w10:wrap type="none"/>
          </v:shape>
        </w:pict>
      </w:r>
      <w:r>
        <w:rPr>
          <w:color w:val="7EAABF"/>
          <w:w w:val="115"/>
          <w:sz w:val="26"/>
        </w:rPr>
        <w:t>Resolutions</w:t>
      </w:r>
    </w:p>
    <w:p>
      <w:pPr>
        <w:spacing w:before="245"/>
        <w:ind w:left="1388" w:right="0" w:firstLine="0"/>
        <w:jc w:val="left"/>
        <w:rPr>
          <w:rFonts w:ascii="Stone Sans II ITC Std X Bd"/>
          <w:b/>
          <w:sz w:val="50"/>
        </w:rPr>
      </w:pPr>
      <w:r>
        <w:rPr>
          <w:rFonts w:ascii="Stone Sans II ITC Std X Bd"/>
          <w:b/>
          <w:w w:val="110"/>
          <w:sz w:val="50"/>
        </w:rPr>
        <w:t>RESOLUTIONS</w:t>
      </w:r>
    </w:p>
    <w:p>
      <w:pPr>
        <w:pStyle w:val="BodyText"/>
        <w:spacing w:before="7"/>
        <w:rPr>
          <w:rFonts w:ascii="Stone Sans II ITC Std X Bd"/>
          <w:b/>
          <w:sz w:val="27"/>
        </w:rPr>
      </w:pPr>
      <w:r>
        <w:rPr/>
        <w:pict>
          <v:shape style="position:absolute;margin-left:56.209pt;margin-top:21.072859pt;width:465.85pt;height:87.05pt;mso-position-horizontal-relative:page;mso-position-vertical-relative:paragraph;z-index:-251082752;mso-wrap-distance-left:0;mso-wrap-distance-right:0" type="#_x0000_t202" filled="false" stroked="true" strokeweight="1pt" strokecolor="#000000">
            <v:textbox inset="0,0,0,0">
              <w:txbxContent>
                <w:p>
                  <w:pPr>
                    <w:spacing w:before="155"/>
                    <w:ind w:left="254" w:right="0" w:firstLine="0"/>
                    <w:jc w:val="left"/>
                    <w:rPr>
                      <w:rFonts w:ascii="Stone Sans II ITC Std Bk"/>
                      <w:b/>
                      <w:sz w:val="36"/>
                    </w:rPr>
                  </w:pPr>
                  <w:r>
                    <w:rPr>
                      <w:rFonts w:ascii="Stone Sans II ITC Std Lt"/>
                      <w:b w:val="0"/>
                      <w:color w:val="7B4290"/>
                      <w:w w:val="110"/>
                      <w:sz w:val="29"/>
                    </w:rPr>
                    <w:t>Resolution </w:t>
                  </w:r>
                  <w:r>
                    <w:rPr>
                      <w:rFonts w:ascii="Stone Sans II ITC Std Bk"/>
                      <w:b/>
                      <w:color w:val="7B4290"/>
                      <w:w w:val="110"/>
                      <w:sz w:val="36"/>
                    </w:rPr>
                    <w:t>1</w:t>
                  </w:r>
                </w:p>
                <w:p>
                  <w:pPr>
                    <w:spacing w:before="58"/>
                    <w:ind w:left="254" w:right="0" w:firstLine="0"/>
                    <w:jc w:val="left"/>
                    <w:rPr>
                      <w:rFonts w:ascii="Stone Sans II ITC Std Bk"/>
                      <w:b/>
                      <w:sz w:val="25"/>
                    </w:rPr>
                  </w:pPr>
                  <w:r>
                    <w:rPr>
                      <w:rFonts w:ascii="Stone Sans II ITC Std Bk"/>
                      <w:b/>
                      <w:w w:val="110"/>
                      <w:sz w:val="25"/>
                    </w:rPr>
                    <w:t>Appointment of acting clerk to the Assembly</w:t>
                  </w:r>
                </w:p>
                <w:p>
                  <w:pPr>
                    <w:pStyle w:val="BodyText"/>
                    <w:spacing w:line="235" w:lineRule="auto" w:before="83"/>
                    <w:ind w:left="254" w:right="993"/>
                  </w:pPr>
                  <w:r>
                    <w:rPr>
                      <w:w w:val="120"/>
                    </w:rPr>
                    <w:t>General Assembly appoints the Revd James Breslin as acting clerk to serve until a new clerk has been appointed.</w:t>
                  </w:r>
                </w:p>
              </w:txbxContent>
            </v:textbox>
            <v:stroke dashstyle="solid"/>
            <w10:wrap type="topAndBottom"/>
          </v:shape>
        </w:pict>
      </w:r>
    </w:p>
    <w:p>
      <w:pPr>
        <w:pStyle w:val="BodyText"/>
        <w:rPr>
          <w:rFonts w:ascii="Stone Sans II ITC Std X Bd"/>
          <w:b/>
        </w:rPr>
      </w:pPr>
    </w:p>
    <w:p>
      <w:pPr>
        <w:pStyle w:val="BodyText"/>
        <w:spacing w:before="10"/>
        <w:rPr>
          <w:rFonts w:ascii="Stone Sans II ITC Std X Bd"/>
          <w:b/>
          <w:sz w:val="18"/>
        </w:rPr>
      </w:pPr>
      <w:r>
        <w:rPr/>
        <w:pict>
          <v:shape style="position:absolute;margin-left:56.209pt;margin-top:15.139pt;width:465.85pt;height:104pt;mso-position-horizontal-relative:page;mso-position-vertical-relative:paragraph;z-index:-251081728;mso-wrap-distance-left:0;mso-wrap-distance-right:0" type="#_x0000_t202" filled="false" stroked="true" strokeweight="1pt" strokecolor="#000000">
            <v:textbox inset="0,0,0,0">
              <w:txbxContent>
                <w:p>
                  <w:pPr>
                    <w:spacing w:before="142"/>
                    <w:ind w:left="254" w:right="0" w:firstLine="0"/>
                    <w:jc w:val="left"/>
                    <w:rPr>
                      <w:rFonts w:ascii="Stone Sans II ITC Std Bk"/>
                      <w:b/>
                      <w:sz w:val="36"/>
                    </w:rPr>
                  </w:pPr>
                  <w:r>
                    <w:rPr>
                      <w:rFonts w:ascii="Stone Sans II ITC Std Lt"/>
                      <w:b w:val="0"/>
                      <w:color w:val="7B4290"/>
                      <w:w w:val="110"/>
                      <w:sz w:val="29"/>
                    </w:rPr>
                    <w:t>Resolution </w:t>
                  </w:r>
                  <w:r>
                    <w:rPr>
                      <w:rFonts w:ascii="Stone Sans II ITC Std Bk"/>
                      <w:b/>
                      <w:color w:val="7B4290"/>
                      <w:w w:val="110"/>
                      <w:sz w:val="36"/>
                    </w:rPr>
                    <w:t>2</w:t>
                  </w:r>
                </w:p>
                <w:p>
                  <w:pPr>
                    <w:spacing w:line="228" w:lineRule="auto" w:before="71"/>
                    <w:ind w:left="254" w:right="993" w:firstLine="0"/>
                    <w:jc w:val="left"/>
                    <w:rPr>
                      <w:rFonts w:ascii="Stone Sans II ITC Std Bk"/>
                      <w:b/>
                      <w:sz w:val="25"/>
                    </w:rPr>
                  </w:pPr>
                  <w:r>
                    <w:rPr>
                      <w:rFonts w:ascii="Stone Sans II ITC Std Bk"/>
                      <w:b/>
                      <w:w w:val="110"/>
                      <w:sz w:val="25"/>
                    </w:rPr>
                    <w:t>Appointment of the convener of tellers for the election of the moderators</w:t>
                  </w:r>
                </w:p>
                <w:p>
                  <w:pPr>
                    <w:pStyle w:val="BodyText"/>
                    <w:spacing w:line="235" w:lineRule="auto" w:before="86"/>
                    <w:ind w:left="254" w:right="1313"/>
                  </w:pPr>
                  <w:r>
                    <w:rPr>
                      <w:w w:val="120"/>
                    </w:rPr>
                    <w:t>General Assembly appoints Rita Griffuths to serve as convener of tellers for the election of the moderators 2016-18.</w:t>
                  </w:r>
                </w:p>
              </w:txbxContent>
            </v:textbox>
            <v:stroke dashstyle="solid"/>
            <w10:wrap type="topAndBottom"/>
          </v:shape>
        </w:pict>
      </w:r>
    </w:p>
    <w:p>
      <w:pPr>
        <w:pStyle w:val="BodyText"/>
        <w:rPr>
          <w:rFonts w:ascii="Stone Sans II ITC Std X Bd"/>
          <w:b/>
        </w:rPr>
      </w:pPr>
    </w:p>
    <w:p>
      <w:pPr>
        <w:pStyle w:val="BodyText"/>
        <w:spacing w:before="7"/>
        <w:rPr>
          <w:rFonts w:ascii="Stone Sans II ITC Std X Bd"/>
          <w:b/>
          <w:sz w:val="18"/>
        </w:rPr>
      </w:pPr>
      <w:r>
        <w:rPr/>
        <w:pict>
          <v:shape style="position:absolute;margin-left:56.209pt;margin-top:15.007pt;width:465.85pt;height:87.05pt;mso-position-horizontal-relative:page;mso-position-vertical-relative:paragraph;z-index:-251080704;mso-wrap-distance-left:0;mso-wrap-distance-right:0" type="#_x0000_t202" filled="false" stroked="true" strokeweight="1pt" strokecolor="#000000">
            <v:textbox inset="0,0,0,0">
              <w:txbxContent>
                <w:p>
                  <w:pPr>
                    <w:spacing w:before="114"/>
                    <w:ind w:left="254" w:right="0" w:firstLine="0"/>
                    <w:jc w:val="left"/>
                    <w:rPr>
                      <w:rFonts w:ascii="Stone Sans II ITC Std Bk"/>
                      <w:b/>
                      <w:sz w:val="36"/>
                    </w:rPr>
                  </w:pPr>
                  <w:r>
                    <w:rPr>
                      <w:rFonts w:ascii="Stone Sans II ITC Std Lt"/>
                      <w:b w:val="0"/>
                      <w:color w:val="7B4290"/>
                      <w:w w:val="110"/>
                      <w:sz w:val="29"/>
                    </w:rPr>
                    <w:t>Resolution </w:t>
                  </w:r>
                  <w:r>
                    <w:rPr>
                      <w:rFonts w:ascii="Stone Sans II ITC Std Bk"/>
                      <w:b/>
                      <w:color w:val="7B4290"/>
                      <w:w w:val="110"/>
                      <w:sz w:val="36"/>
                    </w:rPr>
                    <w:t>3</w:t>
                  </w:r>
                </w:p>
                <w:p>
                  <w:pPr>
                    <w:spacing w:before="58"/>
                    <w:ind w:left="254" w:right="0" w:firstLine="0"/>
                    <w:jc w:val="left"/>
                    <w:rPr>
                      <w:rFonts w:ascii="Stone Sans II ITC Std Bk"/>
                      <w:b/>
                      <w:sz w:val="25"/>
                    </w:rPr>
                  </w:pPr>
                  <w:r>
                    <w:rPr>
                      <w:rFonts w:ascii="Stone Sans II ITC Std Bk"/>
                      <w:b/>
                      <w:w w:val="110"/>
                      <w:sz w:val="25"/>
                    </w:rPr>
                    <w:t>Appointment of facilitation group leaders</w:t>
                  </w:r>
                </w:p>
                <w:p>
                  <w:pPr>
                    <w:pStyle w:val="BodyText"/>
                    <w:spacing w:line="235" w:lineRule="auto" w:before="83"/>
                    <w:ind w:left="254" w:right="1313"/>
                  </w:pPr>
                  <w:r>
                    <w:rPr>
                      <w:w w:val="120"/>
                    </w:rPr>
                    <w:t>General Assembly appoints AB, CD, EF to serve as facilitation group leaders, with the freedom to involve others as appropriate.</w:t>
                  </w:r>
                </w:p>
              </w:txbxContent>
            </v:textbox>
            <v:stroke dashstyle="solid"/>
            <w10:wrap type="topAndBottom"/>
          </v:shape>
        </w:pict>
      </w:r>
    </w:p>
    <w:p>
      <w:pPr>
        <w:pStyle w:val="BodyText"/>
        <w:rPr>
          <w:rFonts w:ascii="Stone Sans II ITC Std X Bd"/>
          <w:b/>
        </w:rPr>
      </w:pPr>
    </w:p>
    <w:p>
      <w:pPr>
        <w:pStyle w:val="BodyText"/>
        <w:spacing w:before="7"/>
        <w:rPr>
          <w:rFonts w:ascii="Stone Sans II ITC Std X Bd"/>
          <w:b/>
          <w:sz w:val="18"/>
        </w:rPr>
      </w:pPr>
      <w:r>
        <w:rPr/>
        <w:pict>
          <v:shape style="position:absolute;margin-left:56.209pt;margin-top:14.999pt;width:465.85pt;height:87.05pt;mso-position-horizontal-relative:page;mso-position-vertical-relative:paragraph;z-index:-251079680;mso-wrap-distance-left:0;mso-wrap-distance-right:0" type="#_x0000_t202" filled="false" stroked="true" strokeweight="1pt" strokecolor="#000000">
            <v:textbox inset="0,0,0,0">
              <w:txbxContent>
                <w:p>
                  <w:pPr>
                    <w:spacing w:before="104"/>
                    <w:ind w:left="254" w:right="0" w:firstLine="0"/>
                    <w:jc w:val="left"/>
                    <w:rPr>
                      <w:rFonts w:ascii="Stone Sans II ITC Std Bk"/>
                      <w:b/>
                      <w:sz w:val="36"/>
                    </w:rPr>
                  </w:pPr>
                  <w:r>
                    <w:rPr>
                      <w:rFonts w:ascii="Stone Sans II ITC Std Lt"/>
                      <w:b w:val="0"/>
                      <w:color w:val="7B4290"/>
                      <w:w w:val="110"/>
                      <w:sz w:val="29"/>
                    </w:rPr>
                    <w:t>Resolution </w:t>
                  </w:r>
                  <w:r>
                    <w:rPr>
                      <w:rFonts w:ascii="Stone Sans II ITC Std Bk"/>
                      <w:b/>
                      <w:color w:val="7B4290"/>
                      <w:w w:val="110"/>
                      <w:sz w:val="36"/>
                    </w:rPr>
                    <w:t>4</w:t>
                  </w:r>
                </w:p>
                <w:p>
                  <w:pPr>
                    <w:spacing w:before="58"/>
                    <w:ind w:left="254" w:right="0" w:firstLine="0"/>
                    <w:jc w:val="left"/>
                    <w:rPr>
                      <w:rFonts w:ascii="Stone Sans II ITC Std Bk"/>
                      <w:b/>
                      <w:sz w:val="25"/>
                    </w:rPr>
                  </w:pPr>
                  <w:r>
                    <w:rPr>
                      <w:rFonts w:ascii="Stone Sans II ITC Std Bk"/>
                      <w:b/>
                      <w:w w:val="110"/>
                      <w:sz w:val="25"/>
                    </w:rPr>
                    <w:t>Grindon Church Community Centre</w:t>
                  </w:r>
                </w:p>
                <w:p>
                  <w:pPr>
                    <w:tabs>
                      <w:tab w:pos="4574" w:val="left" w:leader="none"/>
                      <w:tab w:pos="6734" w:val="left" w:leader="none"/>
                    </w:tabs>
                    <w:spacing w:line="235" w:lineRule="auto" w:before="83"/>
                    <w:ind w:left="254" w:right="438" w:firstLine="0"/>
                    <w:jc w:val="left"/>
                    <w:rPr>
                      <w:i/>
                      <w:sz w:val="20"/>
                    </w:rPr>
                  </w:pPr>
                  <w:r>
                    <w:rPr>
                      <w:w w:val="115"/>
                      <w:sz w:val="20"/>
                    </w:rPr>
                    <w:t>General Assembly receives the Grindon Church Community Centre as a mission project      of  the  United</w:t>
                  </w:r>
                  <w:r>
                    <w:rPr>
                      <w:spacing w:val="-24"/>
                      <w:w w:val="115"/>
                      <w:sz w:val="20"/>
                    </w:rPr>
                    <w:t> </w:t>
                  </w:r>
                  <w:r>
                    <w:rPr>
                      <w:w w:val="115"/>
                      <w:sz w:val="20"/>
                    </w:rPr>
                    <w:t>Reformed</w:t>
                  </w:r>
                  <w:r>
                    <w:rPr>
                      <w:spacing w:val="27"/>
                      <w:w w:val="115"/>
                      <w:sz w:val="20"/>
                    </w:rPr>
                    <w:t> </w:t>
                  </w:r>
                  <w:r>
                    <w:rPr>
                      <w:w w:val="115"/>
                      <w:sz w:val="20"/>
                    </w:rPr>
                    <w:t>Church.</w:t>
                    <w:tab/>
                  </w:r>
                  <w:r>
                    <w:rPr>
                      <w:i/>
                      <w:w w:val="115"/>
                      <w:sz w:val="20"/>
                    </w:rPr>
                    <w:t>Proposer:</w:t>
                  </w:r>
                  <w:r>
                    <w:rPr>
                      <w:i/>
                      <w:spacing w:val="-28"/>
                      <w:w w:val="115"/>
                      <w:sz w:val="20"/>
                    </w:rPr>
                    <w:t> </w:t>
                  </w:r>
                  <w:r>
                    <w:rPr>
                      <w:i/>
                      <w:w w:val="115"/>
                      <w:sz w:val="20"/>
                    </w:rPr>
                    <w:t>Lis</w:t>
                  </w:r>
                  <w:r>
                    <w:rPr>
                      <w:i/>
                      <w:spacing w:val="-29"/>
                      <w:w w:val="115"/>
                      <w:sz w:val="20"/>
                    </w:rPr>
                    <w:t> </w:t>
                  </w:r>
                  <w:r>
                    <w:rPr>
                      <w:i/>
                      <w:w w:val="115"/>
                      <w:sz w:val="20"/>
                    </w:rPr>
                    <w:t>Mullen</w:t>
                    <w:tab/>
                    <w:t>Seconder:</w:t>
                  </w:r>
                  <w:r>
                    <w:rPr>
                      <w:i/>
                      <w:spacing w:val="-21"/>
                      <w:w w:val="115"/>
                      <w:sz w:val="20"/>
                    </w:rPr>
                    <w:t> </w:t>
                  </w:r>
                  <w:r>
                    <w:rPr>
                      <w:i/>
                      <w:w w:val="115"/>
                      <w:sz w:val="20"/>
                    </w:rPr>
                    <w:t>Ron</w:t>
                  </w:r>
                  <w:r>
                    <w:rPr>
                      <w:i/>
                      <w:spacing w:val="-22"/>
                      <w:w w:val="115"/>
                      <w:sz w:val="20"/>
                    </w:rPr>
                    <w:t> </w:t>
                  </w:r>
                  <w:r>
                    <w:rPr>
                      <w:i/>
                      <w:w w:val="115"/>
                      <w:sz w:val="20"/>
                    </w:rPr>
                    <w:t>Forster</w:t>
                  </w:r>
                </w:p>
              </w:txbxContent>
            </v:textbox>
            <v:stroke dashstyle="solid"/>
            <w10:wrap type="topAndBottom"/>
          </v:shape>
        </w:pict>
      </w:r>
    </w:p>
    <w:p>
      <w:pPr>
        <w:pStyle w:val="BodyText"/>
        <w:rPr>
          <w:rFonts w:ascii="Stone Sans II ITC Std X Bd"/>
          <w:b/>
        </w:rPr>
      </w:pPr>
    </w:p>
    <w:p>
      <w:pPr>
        <w:pStyle w:val="BodyText"/>
        <w:spacing w:before="7"/>
        <w:rPr>
          <w:rFonts w:ascii="Stone Sans II ITC Std X Bd"/>
          <w:b/>
          <w:sz w:val="18"/>
        </w:rPr>
      </w:pPr>
      <w:r>
        <w:rPr/>
        <w:pict>
          <v:shape style="position:absolute;margin-left:56.209pt;margin-top:15.007pt;width:465.85pt;height:87.05pt;mso-position-horizontal-relative:page;mso-position-vertical-relative:paragraph;z-index:-251078656;mso-wrap-distance-left:0;mso-wrap-distance-right:0" type="#_x0000_t202" filled="false" stroked="true" strokeweight="1pt" strokecolor="#000000">
            <v:textbox inset="0,0,0,0">
              <w:txbxContent>
                <w:p>
                  <w:pPr>
                    <w:spacing w:before="94"/>
                    <w:ind w:left="254" w:right="0" w:firstLine="0"/>
                    <w:jc w:val="left"/>
                    <w:rPr>
                      <w:rFonts w:ascii="Stone Sans II ITC Std Bk"/>
                      <w:b/>
                      <w:sz w:val="36"/>
                    </w:rPr>
                  </w:pPr>
                  <w:r>
                    <w:rPr>
                      <w:rFonts w:ascii="Stone Sans II ITC Std Lt"/>
                      <w:b w:val="0"/>
                      <w:color w:val="7B4290"/>
                      <w:w w:val="110"/>
                      <w:sz w:val="29"/>
                    </w:rPr>
                    <w:t>Resolution </w:t>
                  </w:r>
                  <w:r>
                    <w:rPr>
                      <w:rFonts w:ascii="Stone Sans II ITC Std Bk"/>
                      <w:b/>
                      <w:color w:val="7B4290"/>
                      <w:w w:val="110"/>
                      <w:sz w:val="36"/>
                    </w:rPr>
                    <w:t>5</w:t>
                  </w:r>
                </w:p>
                <w:p>
                  <w:pPr>
                    <w:spacing w:before="59"/>
                    <w:ind w:left="254" w:right="0" w:firstLine="0"/>
                    <w:jc w:val="left"/>
                    <w:rPr>
                      <w:rFonts w:ascii="Stone Sans II ITC Std Bk"/>
                      <w:b/>
                      <w:sz w:val="25"/>
                    </w:rPr>
                  </w:pPr>
                  <w:r>
                    <w:rPr>
                      <w:rFonts w:ascii="Stone Sans II ITC Std Bk"/>
                      <w:b/>
                      <w:w w:val="110"/>
                      <w:sz w:val="25"/>
                    </w:rPr>
                    <w:t>Mediacity Church (an Oasis/URC partnership)</w:t>
                  </w:r>
                </w:p>
                <w:p>
                  <w:pPr>
                    <w:pStyle w:val="BodyText"/>
                    <w:tabs>
                      <w:tab w:pos="4574" w:val="left" w:leader="none"/>
                      <w:tab w:pos="6734" w:val="left" w:leader="none"/>
                    </w:tabs>
                    <w:spacing w:line="235" w:lineRule="auto" w:before="82"/>
                    <w:ind w:left="254" w:right="1699"/>
                    <w:rPr>
                      <w:i/>
                    </w:rPr>
                  </w:pPr>
                  <w:r>
                    <w:rPr>
                      <w:w w:val="120"/>
                    </w:rPr>
                    <w:t>General Assembly receives Mediacity Church as a mission project of the United</w:t>
                  </w:r>
                  <w:r>
                    <w:rPr>
                      <w:spacing w:val="8"/>
                      <w:w w:val="120"/>
                    </w:rPr>
                    <w:t> </w:t>
                  </w:r>
                  <w:r>
                    <w:rPr>
                      <w:w w:val="120"/>
                    </w:rPr>
                    <w:t>Reformed</w:t>
                  </w:r>
                  <w:r>
                    <w:rPr>
                      <w:spacing w:val="9"/>
                      <w:w w:val="120"/>
                    </w:rPr>
                    <w:t> </w:t>
                  </w:r>
                  <w:r>
                    <w:rPr>
                      <w:w w:val="120"/>
                    </w:rPr>
                    <w:t>Church.</w:t>
                    <w:tab/>
                  </w:r>
                  <w:r>
                    <w:rPr>
                      <w:i/>
                      <w:w w:val="115"/>
                    </w:rPr>
                    <w:t>Proposer:</w:t>
                    <w:tab/>
                  </w:r>
                  <w:r>
                    <w:rPr>
                      <w:i/>
                      <w:spacing w:val="-4"/>
                      <w:w w:val="110"/>
                    </w:rPr>
                    <w:t>Seconder:</w:t>
                  </w:r>
                </w:p>
              </w:txbxContent>
            </v:textbox>
            <v:stroke dashstyle="solid"/>
            <w10:wrap type="topAndBottom"/>
          </v:shape>
        </w:pict>
      </w:r>
    </w:p>
    <w:p>
      <w:pPr>
        <w:spacing w:after="0"/>
        <w:rPr>
          <w:rFonts w:ascii="Stone Sans II ITC Std X Bd"/>
          <w:sz w:val="18"/>
        </w:rPr>
        <w:sectPr>
          <w:headerReference w:type="even" r:id="rId576"/>
          <w:footerReference w:type="even" r:id="rId577"/>
          <w:footerReference w:type="default" r:id="rId578"/>
          <w:pgSz w:w="11910" w:h="16840"/>
          <w:pgMar w:header="0" w:footer="647" w:top="0" w:bottom="840" w:left="0" w:right="0"/>
        </w:sectPr>
      </w:pPr>
    </w:p>
    <w:p>
      <w:pPr>
        <w:spacing w:before="94"/>
        <w:ind w:left="0" w:right="1245" w:firstLine="0"/>
        <w:jc w:val="right"/>
        <w:rPr>
          <w:sz w:val="26"/>
        </w:rPr>
      </w:pPr>
      <w:r>
        <w:rPr/>
        <w:pict>
          <v:group style="position:absolute;margin-left:81.221001pt;margin-top:.000015pt;width:514.1pt;height:841.9pt;mso-position-horizontal-relative:page;mso-position-vertical-relative:page;z-index:-267025408" coordorigin="1624,0" coordsize="10282,16838">
            <v:shape style="position:absolute;left:10984;top:0;width:922;height:16838" type="#_x0000_t75" stroked="false">
              <v:imagedata r:id="rId575" o:title=""/>
            </v:shape>
            <v:shape style="position:absolute;left:1634;top:6010;width:9317;height:9239" coordorigin="1634,6011" coordsize="9317,9239" path="m1634,7870l10951,7870,10951,6011,1634,6011,1634,7870xm1634,12124l10951,12124,10951,8429,1634,8429,1634,12124xm1634,15249l10951,15249,10951,12737,1634,12737,1634,15249xe" filled="false" stroked="true" strokeweight="1pt" strokecolor="#000000">
              <v:path arrowok="t"/>
              <v:stroke dashstyle="solid"/>
            </v:shape>
            <w10:wrap type="none"/>
          </v:group>
        </w:pict>
      </w:r>
      <w:r>
        <w:rPr/>
        <w:pict>
          <v:shape style="position:absolute;margin-left:81.721001pt;margin-top:184.499008pt;width:465.85pt;height:93pt;mso-position-horizontal-relative:page;mso-position-vertical-relative:page;z-index:252252160" type="#_x0000_t202" filled="false" stroked="true" strokeweight="1pt" strokecolor="#000000">
            <v:textbox inset="0,0,0,0">
              <w:txbxContent>
                <w:p>
                  <w:pPr>
                    <w:spacing w:before="190"/>
                    <w:ind w:left="339" w:right="0" w:firstLine="0"/>
                    <w:jc w:val="left"/>
                    <w:rPr>
                      <w:rFonts w:ascii="Stone Sans II ITC Std Bk"/>
                      <w:b/>
                      <w:sz w:val="36"/>
                    </w:rPr>
                  </w:pPr>
                  <w:r>
                    <w:rPr>
                      <w:rFonts w:ascii="Stone Sans II ITC Std Lt"/>
                      <w:b w:val="0"/>
                      <w:color w:val="7B4290"/>
                      <w:w w:val="110"/>
                      <w:sz w:val="29"/>
                    </w:rPr>
                    <w:t>Resolution </w:t>
                  </w:r>
                  <w:r>
                    <w:rPr>
                      <w:rFonts w:ascii="Stone Sans II ITC Std Bk"/>
                      <w:b/>
                      <w:color w:val="7B4290"/>
                      <w:w w:val="110"/>
                      <w:sz w:val="36"/>
                    </w:rPr>
                    <w:t>7</w:t>
                  </w:r>
                </w:p>
                <w:p>
                  <w:pPr>
                    <w:spacing w:before="58"/>
                    <w:ind w:left="339" w:right="0" w:firstLine="0"/>
                    <w:jc w:val="left"/>
                    <w:rPr>
                      <w:rFonts w:ascii="Stone Sans II ITC Std Bk"/>
                      <w:b/>
                      <w:sz w:val="25"/>
                    </w:rPr>
                  </w:pPr>
                  <w:r>
                    <w:rPr>
                      <w:rFonts w:ascii="Stone Sans II ITC Std Bk"/>
                      <w:b/>
                      <w:w w:val="110"/>
                      <w:sz w:val="25"/>
                    </w:rPr>
                    <w:t>Church changes</w:t>
                  </w:r>
                </w:p>
                <w:p>
                  <w:pPr>
                    <w:pStyle w:val="BodyText"/>
                    <w:spacing w:line="235" w:lineRule="auto" w:before="83"/>
                    <w:ind w:left="339" w:right="438"/>
                  </w:pPr>
                  <w:r>
                    <w:rPr>
                      <w:w w:val="120"/>
                    </w:rPr>
                    <w:t>General Assembly receives notice of the closure of the local churches listed on pages 207 to 214 and gives thanks to God for their worship, witness and service.</w:t>
                  </w:r>
                </w:p>
              </w:txbxContent>
            </v:textbox>
            <v:stroke dashstyle="solid"/>
            <w10:wrap type="none"/>
          </v:shape>
        </w:pict>
      </w:r>
      <w:r>
        <w:rPr/>
        <w:pict>
          <v:shape style="position:absolute;margin-left:81.721001pt;margin-top:41.633945pt;width:465.85pt;height:93pt;mso-position-horizontal-relative:page;mso-position-vertical-relative:paragraph;z-index:252253184" type="#_x0000_t202" filled="false" stroked="true" strokeweight="1pt" strokecolor="#000000">
            <v:textbox inset="0,0,0,0">
              <w:txbxContent>
                <w:p>
                  <w:pPr>
                    <w:spacing w:before="169"/>
                    <w:ind w:left="339" w:right="0" w:firstLine="0"/>
                    <w:jc w:val="left"/>
                    <w:rPr>
                      <w:rFonts w:ascii="Stone Sans II ITC Std Bk"/>
                      <w:b/>
                      <w:sz w:val="36"/>
                    </w:rPr>
                  </w:pPr>
                  <w:r>
                    <w:rPr>
                      <w:rFonts w:ascii="Stone Sans II ITC Std Lt"/>
                      <w:b w:val="0"/>
                      <w:color w:val="7B4290"/>
                      <w:w w:val="110"/>
                      <w:sz w:val="29"/>
                    </w:rPr>
                    <w:t>Resolution </w:t>
                  </w:r>
                  <w:r>
                    <w:rPr>
                      <w:rFonts w:ascii="Stone Sans II ITC Std Bk"/>
                      <w:b/>
                      <w:color w:val="7B4290"/>
                      <w:w w:val="110"/>
                      <w:sz w:val="36"/>
                    </w:rPr>
                    <w:t>6</w:t>
                  </w:r>
                </w:p>
                <w:p>
                  <w:pPr>
                    <w:spacing w:before="58"/>
                    <w:ind w:left="339" w:right="0" w:firstLine="0"/>
                    <w:jc w:val="left"/>
                    <w:rPr>
                      <w:rFonts w:ascii="Stone Sans II ITC Std Bk"/>
                      <w:b/>
                      <w:sz w:val="25"/>
                    </w:rPr>
                  </w:pPr>
                  <w:r>
                    <w:rPr>
                      <w:rFonts w:ascii="Stone Sans II ITC Std Bk"/>
                      <w:b/>
                      <w:w w:val="110"/>
                      <w:sz w:val="25"/>
                    </w:rPr>
                    <w:t>Metropolitan Church Manchester</w:t>
                  </w:r>
                </w:p>
                <w:p>
                  <w:pPr>
                    <w:pStyle w:val="BodyText"/>
                    <w:tabs>
                      <w:tab w:pos="4659" w:val="left" w:leader="none"/>
                      <w:tab w:pos="6819" w:val="left" w:leader="none"/>
                    </w:tabs>
                    <w:spacing w:line="235" w:lineRule="auto" w:before="83"/>
                    <w:ind w:left="339" w:right="748"/>
                    <w:rPr>
                      <w:i/>
                    </w:rPr>
                  </w:pPr>
                  <w:r>
                    <w:rPr>
                      <w:w w:val="120"/>
                    </w:rPr>
                    <w:t>General Assembly receives Metropolitan Church Manchester as a mission project of the United</w:t>
                  </w:r>
                  <w:r>
                    <w:rPr>
                      <w:spacing w:val="13"/>
                      <w:w w:val="120"/>
                    </w:rPr>
                    <w:t> </w:t>
                  </w:r>
                  <w:r>
                    <w:rPr>
                      <w:w w:val="120"/>
                    </w:rPr>
                    <w:t>Reformed</w:t>
                  </w:r>
                  <w:r>
                    <w:rPr>
                      <w:spacing w:val="7"/>
                      <w:w w:val="120"/>
                    </w:rPr>
                    <w:t> </w:t>
                  </w:r>
                  <w:r>
                    <w:rPr>
                      <w:w w:val="120"/>
                    </w:rPr>
                    <w:t>Church.</w:t>
                    <w:tab/>
                  </w:r>
                  <w:r>
                    <w:rPr>
                      <w:i/>
                      <w:w w:val="115"/>
                    </w:rPr>
                    <w:t>Proposer:</w:t>
                    <w:tab/>
                  </w:r>
                  <w:r>
                    <w:rPr>
                      <w:i/>
                      <w:w w:val="120"/>
                    </w:rPr>
                    <w:t>Seconder:</w:t>
                  </w:r>
                </w:p>
              </w:txbxContent>
            </v:textbox>
            <v:stroke dashstyle="solid"/>
            <w10:wrap type="none"/>
          </v:shape>
        </w:pict>
      </w:r>
      <w:r>
        <w:rPr/>
        <w:pict>
          <v:shape style="position:absolute;margin-left:554.141174pt;margin-top:21.993946pt;width:25.9pt;height:170.3pt;mso-position-horizontal-relative:page;mso-position-vertical-relative:paragraph;z-index:252254208" type="#_x0000_t202" filled="false" stroked="false">
            <v:textbox inset="0,0,0,0" style="layout-flow:vertical">
              <w:txbxContent>
                <w:p>
                  <w:pPr>
                    <w:spacing w:before="27"/>
                    <w:ind w:left="20" w:right="0" w:firstLine="0"/>
                    <w:jc w:val="left"/>
                    <w:rPr>
                      <w:sz w:val="39"/>
                    </w:rPr>
                  </w:pPr>
                  <w:r>
                    <w:rPr>
                      <w:color w:val="FFFFFF"/>
                      <w:w w:val="120"/>
                      <w:sz w:val="39"/>
                    </w:rPr>
                    <w:t>Resolutions 6-10</w:t>
                  </w:r>
                </w:p>
              </w:txbxContent>
            </v:textbox>
            <w10:wrap type="none"/>
          </v:shape>
        </w:pict>
      </w:r>
      <w:r>
        <w:rPr>
          <w:color w:val="7EAABF"/>
          <w:w w:val="110"/>
          <w:sz w:val="26"/>
        </w:rPr>
        <w:t>Resolutions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7"/>
        <w:rPr>
          <w:sz w:val="19"/>
        </w:rPr>
      </w:pPr>
      <w:r>
        <w:rPr/>
        <w:pict>
          <v:shape style="position:absolute;margin-left:99.212601pt;margin-top:20.399734pt;width:158.9pt;height:42.65pt;mso-position-horizontal-relative:page;mso-position-vertical-relative:paragraph;z-index:-251075584;mso-wrap-distance-left:0;mso-wrap-distance-right:0" type="#_x0000_t202" filled="false" stroked="false">
            <v:textbox inset="0,0,0,0">
              <w:txbxContent>
                <w:p>
                  <w:pPr>
                    <w:spacing w:line="477" w:lineRule="exact" w:before="0"/>
                    <w:ind w:left="0" w:right="0" w:firstLine="0"/>
                    <w:jc w:val="left"/>
                    <w:rPr>
                      <w:rFonts w:ascii="Stone Sans II ITC Std Bk"/>
                      <w:b/>
                      <w:sz w:val="36"/>
                    </w:rPr>
                  </w:pPr>
                  <w:r>
                    <w:rPr>
                      <w:rFonts w:ascii="Stone Sans II ITC Std Lt"/>
                      <w:b w:val="0"/>
                      <w:color w:val="7B4290"/>
                      <w:w w:val="110"/>
                      <w:sz w:val="29"/>
                    </w:rPr>
                    <w:t>Resolution </w:t>
                  </w:r>
                  <w:r>
                    <w:rPr>
                      <w:rFonts w:ascii="Stone Sans II ITC Std Bk"/>
                      <w:b/>
                      <w:color w:val="7B4290"/>
                      <w:w w:val="110"/>
                      <w:sz w:val="36"/>
                    </w:rPr>
                    <w:t>8</w:t>
                  </w:r>
                </w:p>
                <w:p>
                  <w:pPr>
                    <w:spacing w:line="317" w:lineRule="exact" w:before="58"/>
                    <w:ind w:left="0" w:right="0" w:firstLine="0"/>
                    <w:jc w:val="left"/>
                    <w:rPr>
                      <w:rFonts w:ascii="Stone Sans II ITC Std Bk"/>
                      <w:b/>
                      <w:sz w:val="25"/>
                    </w:rPr>
                  </w:pPr>
                  <w:r>
                    <w:rPr>
                      <w:rFonts w:ascii="Stone Sans II ITC Std Bk"/>
                      <w:b/>
                      <w:w w:val="110"/>
                      <w:sz w:val="25"/>
                    </w:rPr>
                    <w:t>General Assembly 2016</w:t>
                  </w:r>
                </w:p>
              </w:txbxContent>
            </v:textbox>
            <w10:wrap type="topAndBottom"/>
          </v:shape>
        </w:pict>
      </w:r>
      <w:r>
        <w:rPr/>
        <w:pict>
          <v:shape style="position:absolute;margin-left:499.776001pt;margin-top:13.173934pt;width:34.1pt;height:10.95pt;mso-position-horizontal-relative:page;mso-position-vertical-relative:paragraph;z-index:-251074560;mso-wrap-distance-left:0;mso-wrap-distance-right:0" type="#_x0000_t202" filled="false" stroked="false">
            <v:textbox inset="0,0,0,0">
              <w:txbxContent>
                <w:p>
                  <w:pPr>
                    <w:spacing w:line="217" w:lineRule="exact" w:before="1"/>
                    <w:ind w:left="0" w:right="0" w:firstLine="0"/>
                    <w:jc w:val="left"/>
                    <w:rPr>
                      <w:sz w:val="18"/>
                    </w:rPr>
                  </w:pPr>
                  <w:r>
                    <w:rPr>
                      <w:color w:val="7EAABF"/>
                      <w:w w:val="115"/>
                      <w:sz w:val="18"/>
                    </w:rPr>
                    <w:t>page 82</w:t>
                  </w:r>
                </w:p>
              </w:txbxContent>
            </v:textbox>
            <w10:wrap type="topAndBottom"/>
          </v:shape>
        </w:pict>
      </w:r>
      <w:r>
        <w:rPr/>
        <w:pict>
          <v:shape style="position:absolute;margin-left:99.212601pt;margin-top:68.008438pt;width:404.45pt;height:24pt;mso-position-horizontal-relative:page;mso-position-vertical-relative:paragraph;z-index:-251073536;mso-wrap-distance-left:0;mso-wrap-distance-right:0" type="#_x0000_t202" filled="false" stroked="false">
            <v:textbox inset="0,0,0,0">
              <w:txbxContent>
                <w:p>
                  <w:pPr>
                    <w:pStyle w:val="BodyText"/>
                    <w:spacing w:line="235" w:lineRule="auto" w:before="3"/>
                  </w:pPr>
                  <w:r>
                    <w:rPr>
                      <w:w w:val="120"/>
                    </w:rPr>
                    <w:t>Assembly resolves to meet in Southport from 8 to 11 July 2016 (Friday to Monday) or at such time and place as may be determined.</w:t>
                  </w:r>
                </w:p>
              </w:txbxContent>
            </v:textbox>
            <w10:wrap type="topAndBottom"/>
          </v:shape>
        </w:pict>
      </w:r>
    </w:p>
    <w:p>
      <w:pPr>
        <w:pStyle w:val="BodyText"/>
        <w:rPr>
          <w:sz w:val="5"/>
        </w:rPr>
      </w:pPr>
    </w:p>
    <w:p>
      <w:pPr>
        <w:pStyle w:val="BodyText"/>
      </w:pPr>
    </w:p>
    <w:p>
      <w:pPr>
        <w:pStyle w:val="BodyText"/>
      </w:pPr>
    </w:p>
    <w:p>
      <w:pPr>
        <w:pStyle w:val="BodyText"/>
        <w:spacing w:before="8"/>
        <w:rPr>
          <w:sz w:val="29"/>
        </w:rPr>
      </w:pPr>
      <w:r>
        <w:rPr/>
        <w:pict>
          <v:shape style="position:absolute;margin-left:99.212601pt;margin-top:20.236338pt;width:357.2pt;height:42.65pt;mso-position-horizontal-relative:page;mso-position-vertical-relative:paragraph;z-index:-251072512;mso-wrap-distance-left:0;mso-wrap-distance-right:0" type="#_x0000_t202" filled="false" stroked="false">
            <v:textbox inset="0,0,0,0">
              <w:txbxContent>
                <w:p>
                  <w:pPr>
                    <w:spacing w:line="477" w:lineRule="exact" w:before="0"/>
                    <w:ind w:left="0" w:right="0" w:firstLine="0"/>
                    <w:jc w:val="left"/>
                    <w:rPr>
                      <w:rFonts w:ascii="Stone Sans II ITC Std Bk"/>
                      <w:b/>
                      <w:sz w:val="36"/>
                    </w:rPr>
                  </w:pPr>
                  <w:r>
                    <w:rPr>
                      <w:rFonts w:ascii="Stone Sans II ITC Std Lt"/>
                      <w:b w:val="0"/>
                      <w:color w:val="7B4290"/>
                      <w:w w:val="110"/>
                      <w:sz w:val="29"/>
                    </w:rPr>
                    <w:t>Resolution </w:t>
                  </w:r>
                  <w:r>
                    <w:rPr>
                      <w:rFonts w:ascii="Stone Sans II ITC Std Bk"/>
                      <w:b/>
                      <w:color w:val="7B4290"/>
                      <w:w w:val="110"/>
                      <w:sz w:val="36"/>
                    </w:rPr>
                    <w:t>9</w:t>
                  </w:r>
                </w:p>
                <w:p>
                  <w:pPr>
                    <w:spacing w:line="317" w:lineRule="exact" w:before="58"/>
                    <w:ind w:left="0" w:right="0" w:firstLine="0"/>
                    <w:jc w:val="left"/>
                    <w:rPr>
                      <w:rFonts w:ascii="Stone Sans II ITC Std Bk" w:hAnsi="Stone Sans II ITC Std Bk"/>
                      <w:b/>
                      <w:sz w:val="25"/>
                    </w:rPr>
                  </w:pPr>
                  <w:r>
                    <w:rPr>
                      <w:rFonts w:ascii="Stone Sans II ITC Std Bk" w:hAnsi="Stone Sans II ITC Std Bk"/>
                      <w:b/>
                      <w:w w:val="110"/>
                      <w:sz w:val="25"/>
                    </w:rPr>
                    <w:t>Children’s and youth work committee: Mental health</w:t>
                  </w:r>
                </w:p>
              </w:txbxContent>
            </v:textbox>
            <w10:wrap type="topAndBottom"/>
          </v:shape>
        </w:pict>
      </w:r>
      <w:r>
        <w:rPr/>
        <w:pict>
          <v:shape style="position:absolute;margin-left:499.951508pt;margin-top:19.321537pt;width:33.75pt;height:10.95pt;mso-position-horizontal-relative:page;mso-position-vertical-relative:paragraph;z-index:-251071488;mso-wrap-distance-left:0;mso-wrap-distance-right:0" type="#_x0000_t202" filled="false" stroked="false">
            <v:textbox inset="0,0,0,0">
              <w:txbxContent>
                <w:p>
                  <w:pPr>
                    <w:spacing w:line="217" w:lineRule="exact" w:before="1"/>
                    <w:ind w:left="0" w:right="0" w:firstLine="0"/>
                    <w:jc w:val="left"/>
                    <w:rPr>
                      <w:sz w:val="18"/>
                    </w:rPr>
                  </w:pPr>
                  <w:r>
                    <w:rPr>
                      <w:color w:val="7EAABF"/>
                      <w:w w:val="115"/>
                      <w:sz w:val="18"/>
                    </w:rPr>
                    <w:t>page 83</w:t>
                  </w:r>
                </w:p>
              </w:txbxContent>
            </v:textbox>
            <w10:wrap type="topAndBottom"/>
          </v:shape>
        </w:pict>
      </w:r>
      <w:r>
        <w:rPr/>
        <w:pict>
          <v:shape style="position:absolute;margin-left:99.212601pt;margin-top:67.844940pt;width:416.6pt;height:60pt;mso-position-horizontal-relative:page;mso-position-vertical-relative:paragraph;z-index:-251070464;mso-wrap-distance-left:0;mso-wrap-distance-right:0" type="#_x0000_t202" filled="false" stroked="false">
            <v:textbox inset="0,0,0,0">
              <w:txbxContent>
                <w:p>
                  <w:pPr>
                    <w:pStyle w:val="BodyText"/>
                    <w:tabs>
                      <w:tab w:pos="680" w:val="left" w:leader="none"/>
                    </w:tabs>
                    <w:spacing w:line="235" w:lineRule="auto" w:before="3"/>
                    <w:ind w:left="680" w:right="18" w:hanging="681"/>
                  </w:pPr>
                  <w:r>
                    <w:rPr>
                      <w:spacing w:val="-7"/>
                      <w:w w:val="120"/>
                    </w:rPr>
                    <w:t>a)</w:t>
                    <w:tab/>
                  </w:r>
                  <w:r>
                    <w:rPr>
                      <w:w w:val="120"/>
                    </w:rPr>
                    <w:t>General Assembly commits the United Reformed Church to raising awareness of mental ill health issues and challenging the stigma of mental ill health, and asks the education and learning committee to ensure the adequate provision of training for those responsible for pastoral care, including ministers, in appropriate responses to mental health</w:t>
                  </w:r>
                  <w:r>
                    <w:rPr>
                      <w:spacing w:val="7"/>
                      <w:w w:val="120"/>
                    </w:rPr>
                    <w:t> </w:t>
                  </w:r>
                  <w:r>
                    <w:rPr>
                      <w:w w:val="120"/>
                    </w:rPr>
                    <w:t>issues.</w:t>
                  </w:r>
                </w:p>
              </w:txbxContent>
            </v:textbox>
            <w10:wrap type="topAndBottom"/>
          </v:shape>
        </w:pict>
      </w:r>
      <w:r>
        <w:rPr/>
        <w:pict>
          <v:shape style="position:absolute;margin-left:99.212601pt;margin-top:139.84494pt;width:11.4pt;height:12pt;mso-position-horizontal-relative:page;mso-position-vertical-relative:paragraph;z-index:-251069440;mso-wrap-distance-left:0;mso-wrap-distance-right:0" type="#_x0000_t202" filled="false" stroked="false">
            <v:textbox inset="0,0,0,0">
              <w:txbxContent>
                <w:p>
                  <w:pPr>
                    <w:pStyle w:val="BodyText"/>
                    <w:spacing w:line="240" w:lineRule="exact"/>
                  </w:pPr>
                  <w:r>
                    <w:rPr>
                      <w:w w:val="135"/>
                    </w:rPr>
                    <w:t>b)</w:t>
                  </w:r>
                </w:p>
              </w:txbxContent>
            </v:textbox>
            <w10:wrap type="topAndBottom"/>
          </v:shape>
        </w:pict>
      </w:r>
      <w:r>
        <w:rPr/>
        <w:pict>
          <v:shape style="position:absolute;margin-left:133.224594pt;margin-top:139.84494pt;width:399.05pt;height:48pt;mso-position-horizontal-relative:page;mso-position-vertical-relative:paragraph;z-index:-251068416;mso-wrap-distance-left:0;mso-wrap-distance-right:0" type="#_x0000_t202" filled="false" stroked="false">
            <v:textbox inset="0,0,0,0">
              <w:txbxContent>
                <w:p>
                  <w:pPr>
                    <w:pStyle w:val="BodyText"/>
                    <w:spacing w:line="235" w:lineRule="auto" w:before="3"/>
                    <w:ind w:hanging="1"/>
                  </w:pPr>
                  <w:r>
                    <w:rPr>
                      <w:w w:val="120"/>
                    </w:rPr>
                    <w:t>Assembly calls on synods and local churches to follow the lead of the National Synod of Scotland by committing themselves to work towards ending the stigma of mental ill health and to make links with agencies that provide support and training appropriate to their specific contexts and localities.</w:t>
                  </w:r>
                </w:p>
              </w:txbxContent>
            </v:textbox>
            <w10:wrap type="topAndBottom"/>
          </v:shape>
        </w:pict>
      </w:r>
    </w:p>
    <w:p>
      <w:pPr>
        <w:pStyle w:val="BodyText"/>
        <w:rPr>
          <w:sz w:val="5"/>
        </w:rPr>
      </w:pPr>
    </w:p>
    <w:p>
      <w:pPr>
        <w:pStyle w:val="BodyText"/>
        <w:spacing w:before="5"/>
        <w:rPr>
          <w:sz w:val="16"/>
        </w:rPr>
      </w:pPr>
    </w:p>
    <w:p>
      <w:pPr>
        <w:pStyle w:val="BodyText"/>
      </w:pPr>
    </w:p>
    <w:p>
      <w:pPr>
        <w:pStyle w:val="BodyText"/>
      </w:pPr>
    </w:p>
    <w:p>
      <w:pPr>
        <w:pStyle w:val="BodyText"/>
        <w:spacing w:before="8"/>
        <w:rPr>
          <w:sz w:val="29"/>
        </w:rPr>
      </w:pPr>
      <w:r>
        <w:rPr/>
        <w:pict>
          <v:shape style="position:absolute;margin-left:99.212601pt;margin-top:20.236338pt;width:397.3pt;height:111.65pt;mso-position-horizontal-relative:page;mso-position-vertical-relative:paragraph;z-index:-251067392;mso-wrap-distance-left:0;mso-wrap-distance-right:0" type="#_x0000_t202" filled="false" stroked="false">
            <v:textbox inset="0,0,0,0">
              <w:txbxContent>
                <w:p>
                  <w:pPr>
                    <w:spacing w:line="477" w:lineRule="exact" w:before="0"/>
                    <w:ind w:left="0" w:right="0" w:firstLine="0"/>
                    <w:jc w:val="left"/>
                    <w:rPr>
                      <w:rFonts w:ascii="Stone Sans II ITC Std Bk"/>
                      <w:b/>
                      <w:sz w:val="36"/>
                    </w:rPr>
                  </w:pPr>
                  <w:r>
                    <w:rPr>
                      <w:rFonts w:ascii="Stone Sans II ITC Std Lt"/>
                      <w:b w:val="0"/>
                      <w:color w:val="7B4290"/>
                      <w:w w:val="110"/>
                      <w:sz w:val="29"/>
                    </w:rPr>
                    <w:t>Resolution </w:t>
                  </w:r>
                  <w:r>
                    <w:rPr>
                      <w:rFonts w:ascii="Stone Sans II ITC Std Bk"/>
                      <w:b/>
                      <w:color w:val="7B4290"/>
                      <w:w w:val="110"/>
                      <w:sz w:val="36"/>
                    </w:rPr>
                    <w:t>10</w:t>
                  </w:r>
                </w:p>
                <w:p>
                  <w:pPr>
                    <w:spacing w:line="228" w:lineRule="auto" w:before="71"/>
                    <w:ind w:left="0" w:right="45" w:firstLine="0"/>
                    <w:jc w:val="left"/>
                    <w:rPr>
                      <w:rFonts w:ascii="Stone Sans II ITC Std Bk"/>
                      <w:b/>
                      <w:sz w:val="25"/>
                    </w:rPr>
                  </w:pPr>
                  <w:r>
                    <w:rPr>
                      <w:rFonts w:ascii="Stone Sans II ITC Std Bk"/>
                      <w:b/>
                      <w:w w:val="110"/>
                      <w:sz w:val="25"/>
                    </w:rPr>
                    <w:t>Education and learning committee: Ministerial green shoots fund</w:t>
                  </w:r>
                </w:p>
                <w:p>
                  <w:pPr>
                    <w:pStyle w:val="BodyText"/>
                    <w:spacing w:line="235" w:lineRule="auto" w:before="85"/>
                    <w:ind w:right="45"/>
                  </w:pPr>
                  <w:r>
                    <w:rPr>
                      <w:w w:val="120"/>
                    </w:rPr>
                    <w:t>General Assembly endorses the development of a ministerial green shoots fund for education for ministry phase 1 (EM1) students according to the provisions outlined on pages 92 to 94. This will be applicable to new students starting EM1 in September 2015.</w:t>
                  </w:r>
                </w:p>
              </w:txbxContent>
            </v:textbox>
            <w10:wrap type="topAndBottom"/>
          </v:shape>
        </w:pict>
      </w:r>
      <w:r>
        <w:rPr/>
        <w:pict>
          <v:shape style="position:absolute;margin-left:499.9776pt;margin-top:19.337337pt;width:33.7pt;height:10.95pt;mso-position-horizontal-relative:page;mso-position-vertical-relative:paragraph;z-index:-251066368;mso-wrap-distance-left:0;mso-wrap-distance-right:0" type="#_x0000_t202" filled="false" stroked="false">
            <v:textbox inset="0,0,0,0">
              <w:txbxContent>
                <w:p>
                  <w:pPr>
                    <w:spacing w:line="217" w:lineRule="exact" w:before="1"/>
                    <w:ind w:left="0" w:right="0" w:firstLine="0"/>
                    <w:jc w:val="left"/>
                    <w:rPr>
                      <w:sz w:val="18"/>
                    </w:rPr>
                  </w:pPr>
                  <w:r>
                    <w:rPr>
                      <w:color w:val="7EAABF"/>
                      <w:w w:val="115"/>
                      <w:sz w:val="18"/>
                    </w:rPr>
                    <w:t>page 91</w:t>
                  </w:r>
                </w:p>
              </w:txbxContent>
            </v:textbox>
            <w10:wrap type="topAndBottom"/>
          </v:shape>
        </w:pict>
      </w:r>
    </w:p>
    <w:p>
      <w:pPr>
        <w:spacing w:after="0"/>
        <w:rPr>
          <w:sz w:val="29"/>
        </w:rPr>
        <w:sectPr>
          <w:headerReference w:type="default" r:id="rId580"/>
          <w:pgSz w:w="11910" w:h="16840"/>
          <w:pgMar w:header="0" w:footer="647" w:top="520" w:bottom="840" w:left="0" w:right="0"/>
        </w:sectPr>
      </w:pPr>
    </w:p>
    <w:p>
      <w:pPr>
        <w:pStyle w:val="BodyText"/>
      </w:pPr>
      <w:r>
        <w:rPr/>
        <w:drawing>
          <wp:anchor distT="0" distB="0" distL="0" distR="0" allowOverlap="1" layoutInCell="1" locked="0" behindDoc="0" simplePos="0" relativeHeight="252271616">
            <wp:simplePos x="0" y="0"/>
            <wp:positionH relativeFrom="page">
              <wp:posOffset>0</wp:posOffset>
            </wp:positionH>
            <wp:positionV relativeFrom="page">
              <wp:posOffset>0</wp:posOffset>
            </wp:positionV>
            <wp:extent cx="594067" cy="10692003"/>
            <wp:effectExtent l="0" t="0" r="0" b="0"/>
            <wp:wrapNone/>
            <wp:docPr id="451" name="image90.png"/>
            <wp:cNvGraphicFramePr>
              <a:graphicFrameLocks noChangeAspect="1"/>
            </wp:cNvGraphicFramePr>
            <a:graphic>
              <a:graphicData uri="http://schemas.openxmlformats.org/drawingml/2006/picture">
                <pic:pic>
                  <pic:nvPicPr>
                    <pic:cNvPr id="452" name="image90.png"/>
                    <pic:cNvPicPr/>
                  </pic:nvPicPr>
                  <pic:blipFill>
                    <a:blip r:embed="rId579"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spacing w:before="106"/>
        <w:ind w:left="1247" w:right="0" w:firstLine="0"/>
        <w:jc w:val="left"/>
        <w:rPr>
          <w:sz w:val="26"/>
        </w:rPr>
      </w:pPr>
      <w:r>
        <w:rPr/>
        <w:pict>
          <v:shape style="position:absolute;margin-left:20.519100pt;margin-top:22.593945pt;width:25.9pt;height:183.25pt;mso-position-horizontal-relative:page;mso-position-vertical-relative:paragraph;z-index:252272640" type="#_x0000_t202" filled="false" stroked="false">
            <v:textbox inset="0,0,0,0" style="layout-flow:vertical">
              <w:txbxContent>
                <w:p>
                  <w:pPr>
                    <w:spacing w:before="27"/>
                    <w:ind w:left="20" w:right="0" w:firstLine="0"/>
                    <w:jc w:val="left"/>
                    <w:rPr>
                      <w:sz w:val="39"/>
                    </w:rPr>
                  </w:pPr>
                  <w:r>
                    <w:rPr>
                      <w:color w:val="FFFFFF"/>
                      <w:w w:val="120"/>
                      <w:sz w:val="39"/>
                    </w:rPr>
                    <w:t>Resolutions 11-12</w:t>
                  </w:r>
                </w:p>
              </w:txbxContent>
            </v:textbox>
            <w10:wrap type="none"/>
          </v:shape>
        </w:pict>
      </w:r>
      <w:r>
        <w:rPr>
          <w:color w:val="7EAABF"/>
          <w:w w:val="115"/>
          <w:sz w:val="26"/>
        </w:rPr>
        <w:t>Resolutions</w:t>
      </w:r>
    </w:p>
    <w:p>
      <w:pPr>
        <w:pStyle w:val="BodyText"/>
      </w:pPr>
    </w:p>
    <w:p>
      <w:pPr>
        <w:pStyle w:val="BodyText"/>
        <w:spacing w:before="2"/>
        <w:rPr>
          <w:sz w:val="15"/>
        </w:rPr>
      </w:pPr>
      <w:r>
        <w:rPr/>
        <w:pict>
          <v:group style="position:absolute;margin-left:55.709pt;margin-top:11.226414pt;width:466.85pt;height:202.15pt;mso-position-horizontal-relative:page;mso-position-vertical-relative:paragraph;z-index:-251056128;mso-wrap-distance-left:0;mso-wrap-distance-right:0" coordorigin="1114,225" coordsize="9337,4043">
            <v:rect style="position:absolute;left:1124;top:234;width:9317;height:4023" filled="false" stroked="true" strokeweight="1pt" strokecolor="#000000">
              <v:stroke dashstyle="solid"/>
            </v:rect>
            <v:shape style="position:absolute;left:2055;top:3077;width:7695;height:962" type="#_x0000_t202" filled="false" stroked="false">
              <v:textbox inset="0,0,0,0">
                <w:txbxContent>
                  <w:p>
                    <w:pPr>
                      <w:spacing w:line="235" w:lineRule="auto" w:before="5"/>
                      <w:ind w:left="0" w:right="-7" w:firstLine="0"/>
                      <w:jc w:val="left"/>
                      <w:rPr>
                        <w:sz w:val="20"/>
                      </w:rPr>
                    </w:pPr>
                    <w:r>
                      <w:rPr>
                        <w:w w:val="120"/>
                        <w:sz w:val="20"/>
                      </w:rPr>
                      <w:t>The General Assembly commends the paper </w:t>
                    </w:r>
                    <w:r>
                      <w:rPr>
                        <w:i/>
                        <w:w w:val="120"/>
                        <w:sz w:val="20"/>
                      </w:rPr>
                      <w:t>What is the Spirit saying to the </w:t>
                    </w:r>
                    <w:r>
                      <w:rPr>
                        <w:i/>
                        <w:w w:val="120"/>
                        <w:sz w:val="20"/>
                      </w:rPr>
                      <w:t>Churches? Affirming the United Reformed Church’s future </w:t>
                    </w:r>
                    <w:r>
                      <w:rPr>
                        <w:w w:val="120"/>
                        <w:sz w:val="20"/>
                      </w:rPr>
                      <w:t>for further study and reflection. Assembly invites people and councils at each level of the Church to feed back comments to the faith and order committee by July 2015.</w:t>
                    </w:r>
                  </w:p>
                </w:txbxContent>
              </v:textbox>
              <w10:wrap type="none"/>
            </v:shape>
            <v:shape style="position:absolute;left:1374;top:3079;width:228;height:240" type="#_x0000_t202" filled="false" stroked="false">
              <v:textbox inset="0,0,0,0">
                <w:txbxContent>
                  <w:p>
                    <w:pPr>
                      <w:spacing w:line="240" w:lineRule="exact" w:before="0"/>
                      <w:ind w:left="0" w:right="0" w:firstLine="0"/>
                      <w:jc w:val="left"/>
                      <w:rPr>
                        <w:sz w:val="20"/>
                      </w:rPr>
                    </w:pPr>
                    <w:r>
                      <w:rPr>
                        <w:w w:val="135"/>
                        <w:sz w:val="20"/>
                      </w:rPr>
                      <w:t>b)</w:t>
                    </w:r>
                  </w:p>
                </w:txbxContent>
              </v:textbox>
              <w10:wrap type="none"/>
            </v:shape>
            <v:shape style="position:absolute;left:1374;top:1639;width:8626;height:1200" type="#_x0000_t202" filled="false" stroked="false">
              <v:textbox inset="0,0,0,0">
                <w:txbxContent>
                  <w:p>
                    <w:pPr>
                      <w:tabs>
                        <w:tab w:pos="680" w:val="left" w:leader="none"/>
                      </w:tabs>
                      <w:spacing w:line="235" w:lineRule="auto" w:before="3"/>
                      <w:ind w:left="680" w:right="18" w:hanging="681"/>
                      <w:jc w:val="left"/>
                      <w:rPr>
                        <w:sz w:val="20"/>
                      </w:rPr>
                    </w:pPr>
                    <w:r>
                      <w:rPr>
                        <w:spacing w:val="-7"/>
                        <w:w w:val="120"/>
                        <w:sz w:val="20"/>
                      </w:rPr>
                      <w:t>a)</w:t>
                      <w:tab/>
                    </w:r>
                    <w:r>
                      <w:rPr>
                        <w:w w:val="120"/>
                        <w:sz w:val="20"/>
                      </w:rPr>
                      <w:t>General Assembly, affirming the United Reformed </w:t>
                    </w:r>
                    <w:r>
                      <w:rPr>
                        <w:spacing w:val="-3"/>
                        <w:w w:val="120"/>
                        <w:sz w:val="20"/>
                      </w:rPr>
                      <w:t>Church’s </w:t>
                    </w:r>
                    <w:r>
                      <w:rPr>
                        <w:w w:val="120"/>
                        <w:sz w:val="20"/>
                      </w:rPr>
                      <w:t>identity as both United and Reformed, gives thanks to God for the particular </w:t>
                    </w:r>
                    <w:r>
                      <w:rPr>
                        <w:spacing w:val="2"/>
                        <w:w w:val="120"/>
                        <w:sz w:val="20"/>
                      </w:rPr>
                      <w:t>gifts </w:t>
                    </w:r>
                    <w:r>
                      <w:rPr>
                        <w:w w:val="120"/>
                        <w:sz w:val="20"/>
                      </w:rPr>
                      <w:t>of these two threads in the </w:t>
                    </w:r>
                    <w:r>
                      <w:rPr>
                        <w:spacing w:val="-3"/>
                        <w:w w:val="120"/>
                        <w:sz w:val="20"/>
                      </w:rPr>
                      <w:t>Church’s </w:t>
                    </w:r>
                    <w:r>
                      <w:rPr>
                        <w:w w:val="120"/>
                        <w:sz w:val="20"/>
                      </w:rPr>
                      <w:t>life, prays for the discernment of the Holy Spirit in the renewal of each, and commits the United Reformed Church to continue with the prophetic calling to unity in both the Church and the</w:t>
                    </w:r>
                    <w:r>
                      <w:rPr>
                        <w:spacing w:val="43"/>
                        <w:w w:val="120"/>
                        <w:sz w:val="20"/>
                      </w:rPr>
                      <w:t> </w:t>
                    </w:r>
                    <w:r>
                      <w:rPr>
                        <w:w w:val="120"/>
                        <w:sz w:val="20"/>
                      </w:rPr>
                      <w:t>world.</w:t>
                    </w:r>
                  </w:p>
                </w:txbxContent>
              </v:textbox>
              <w10:wrap type="none"/>
            </v:shape>
            <v:shape style="position:absolute;left:9504;top:319;width:777;height:219" type="#_x0000_t202" filled="false" stroked="false">
              <v:textbox inset="0,0,0,0">
                <w:txbxContent>
                  <w:p>
                    <w:pPr>
                      <w:spacing w:line="217" w:lineRule="exact" w:before="1"/>
                      <w:ind w:left="0" w:right="0" w:firstLine="0"/>
                      <w:jc w:val="left"/>
                      <w:rPr>
                        <w:sz w:val="18"/>
                      </w:rPr>
                    </w:pPr>
                    <w:r>
                      <w:rPr>
                        <w:color w:val="7EAABF"/>
                        <w:w w:val="115"/>
                        <w:sz w:val="18"/>
                      </w:rPr>
                      <w:t>page 102</w:t>
                    </w:r>
                  </w:p>
                </w:txbxContent>
              </v:textbox>
              <w10:wrap type="none"/>
            </v:shape>
            <v:shape style="position:absolute;left:1374;top:366;width:7996;height:1173" type="#_x0000_t202" filled="false" stroked="false">
              <v:textbox inset="0,0,0,0">
                <w:txbxContent>
                  <w:p>
                    <w:pPr>
                      <w:spacing w:line="477" w:lineRule="exact" w:before="0"/>
                      <w:ind w:left="0" w:right="0" w:firstLine="0"/>
                      <w:jc w:val="left"/>
                      <w:rPr>
                        <w:rFonts w:ascii="Stone Sans II ITC Std Bk"/>
                        <w:b/>
                        <w:sz w:val="36"/>
                      </w:rPr>
                    </w:pPr>
                    <w:r>
                      <w:rPr>
                        <w:rFonts w:ascii="Stone Sans II ITC Std Lt"/>
                        <w:b w:val="0"/>
                        <w:color w:val="7B4290"/>
                        <w:spacing w:val="-3"/>
                        <w:w w:val="110"/>
                        <w:sz w:val="29"/>
                      </w:rPr>
                      <w:t>Resolution</w:t>
                    </w:r>
                    <w:r>
                      <w:rPr>
                        <w:rFonts w:ascii="Stone Sans II ITC Std Lt"/>
                        <w:b w:val="0"/>
                        <w:color w:val="7B4290"/>
                        <w:spacing w:val="31"/>
                        <w:w w:val="110"/>
                        <w:sz w:val="29"/>
                      </w:rPr>
                      <w:t> </w:t>
                    </w:r>
                    <w:r>
                      <w:rPr>
                        <w:rFonts w:ascii="Stone Sans II ITC Std Bk"/>
                        <w:b/>
                        <w:color w:val="7B4290"/>
                        <w:spacing w:val="-46"/>
                        <w:w w:val="110"/>
                        <w:sz w:val="36"/>
                      </w:rPr>
                      <w:t>11</w:t>
                    </w:r>
                  </w:p>
                  <w:p>
                    <w:pPr>
                      <w:spacing w:line="228" w:lineRule="auto" w:before="71"/>
                      <w:ind w:left="0" w:right="0" w:firstLine="0"/>
                      <w:jc w:val="left"/>
                      <w:rPr>
                        <w:rFonts w:ascii="Stone Sans II ITC Std Bk" w:hAnsi="Stone Sans II ITC Std Bk"/>
                        <w:b/>
                        <w:sz w:val="25"/>
                      </w:rPr>
                    </w:pPr>
                    <w:r>
                      <w:rPr>
                        <w:rFonts w:ascii="Stone Sans II ITC Std Bk" w:hAnsi="Stone Sans II ITC Std Bk"/>
                        <w:b/>
                        <w:spacing w:val="-3"/>
                        <w:w w:val="110"/>
                        <w:sz w:val="25"/>
                      </w:rPr>
                      <w:t>Faith </w:t>
                    </w:r>
                    <w:r>
                      <w:rPr>
                        <w:rFonts w:ascii="Stone Sans II ITC Std Bk" w:hAnsi="Stone Sans II ITC Std Bk"/>
                        <w:b/>
                        <w:w w:val="110"/>
                        <w:sz w:val="25"/>
                      </w:rPr>
                      <w:t>and order committee: Affirming the United Reformed </w:t>
                    </w:r>
                    <w:r>
                      <w:rPr>
                        <w:rFonts w:ascii="Stone Sans II ITC Std Bk" w:hAnsi="Stone Sans II ITC Std Bk"/>
                        <w:b/>
                        <w:spacing w:val="-5"/>
                        <w:w w:val="110"/>
                        <w:sz w:val="25"/>
                      </w:rPr>
                      <w:t>Church’s</w:t>
                    </w:r>
                    <w:r>
                      <w:rPr>
                        <w:rFonts w:ascii="Stone Sans II ITC Std Bk" w:hAnsi="Stone Sans II ITC Std Bk"/>
                        <w:b/>
                        <w:w w:val="110"/>
                        <w:sz w:val="25"/>
                      </w:rPr>
                      <w:t> future</w:t>
                    </w:r>
                  </w:p>
                </w:txbxContent>
              </v:textbox>
              <w10:wrap type="none"/>
            </v:shape>
            <w10:wrap type="topAndBottom"/>
          </v:group>
        </w:pict>
      </w:r>
    </w:p>
    <w:p>
      <w:pPr>
        <w:pStyle w:val="BodyText"/>
      </w:pPr>
    </w:p>
    <w:p>
      <w:pPr>
        <w:pStyle w:val="BodyText"/>
        <w:spacing w:before="5"/>
        <w:rPr>
          <w:sz w:val="19"/>
        </w:rPr>
      </w:pPr>
      <w:r>
        <w:rPr/>
        <w:pict>
          <v:group style="position:absolute;margin-left:55.709pt;margin-top:13.827969pt;width:466.85pt;height:304.45pt;mso-position-horizontal-relative:page;mso-position-vertical-relative:paragraph;z-index:-251045888;mso-wrap-distance-left:0;mso-wrap-distance-right:0" coordorigin="1114,277" coordsize="9337,6089">
            <v:rect style="position:absolute;left:1124;top:286;width:9317;height:6069" filled="false" stroked="true" strokeweight="1pt" strokecolor="#000000">
              <v:stroke dashstyle="solid"/>
            </v:rect>
            <v:shape style="position:absolute;left:1374;top:5679;width:8092;height:480" type="#_x0000_t202" filled="false" stroked="false">
              <v:textbox inset="0,0,0,0">
                <w:txbxContent>
                  <w:p>
                    <w:pPr>
                      <w:spacing w:line="235" w:lineRule="auto" w:before="3"/>
                      <w:ind w:left="0" w:right="0" w:firstLine="0"/>
                      <w:jc w:val="left"/>
                      <w:rPr>
                        <w:sz w:val="20"/>
                      </w:rPr>
                    </w:pPr>
                    <w:r>
                      <w:rPr>
                        <w:w w:val="120"/>
                        <w:sz w:val="20"/>
                      </w:rPr>
                      <w:t>the Church at all levels and invites comments to be fed back to the faith and order committee by July 2015.</w:t>
                    </w:r>
                  </w:p>
                </w:txbxContent>
              </v:textbox>
              <w10:wrap type="none"/>
            </v:shape>
            <v:shape style="position:absolute;left:2055;top:5439;width:7317;height:240" type="#_x0000_t202" filled="false" stroked="false">
              <v:textbox inset="0,0,0,0">
                <w:txbxContent>
                  <w:p>
                    <w:pPr>
                      <w:spacing w:line="240" w:lineRule="exact" w:before="0"/>
                      <w:ind w:left="0" w:right="0" w:firstLine="0"/>
                      <w:jc w:val="left"/>
                      <w:rPr>
                        <w:sz w:val="20"/>
                      </w:rPr>
                    </w:pPr>
                    <w:r>
                      <w:rPr>
                        <w:w w:val="120"/>
                        <w:sz w:val="20"/>
                      </w:rPr>
                      <w:t>General Assembly invites further reflection on this paper in the councils of</w:t>
                    </w:r>
                  </w:p>
                </w:txbxContent>
              </v:textbox>
              <w10:wrap type="none"/>
            </v:shape>
            <v:shape style="position:absolute;left:1374;top:5439;width:207;height:240" type="#_x0000_t202" filled="false" stroked="false">
              <v:textbox inset="0,0,0,0">
                <w:txbxContent>
                  <w:p>
                    <w:pPr>
                      <w:spacing w:line="240" w:lineRule="exact" w:before="0"/>
                      <w:ind w:left="0" w:right="0" w:firstLine="0"/>
                      <w:jc w:val="left"/>
                      <w:rPr>
                        <w:sz w:val="20"/>
                      </w:rPr>
                    </w:pPr>
                    <w:r>
                      <w:rPr>
                        <w:w w:val="125"/>
                        <w:sz w:val="20"/>
                      </w:rPr>
                      <w:t>3.</w:t>
                    </w:r>
                  </w:p>
                </w:txbxContent>
              </v:textbox>
              <w10:wrap type="none"/>
            </v:shape>
            <v:shape style="position:absolute;left:1374;top:2559;width:8528;height:2640" type="#_x0000_t202" filled="false" stroked="false">
              <v:textbox inset="0,0,0,0">
                <w:txbxContent>
                  <w:p>
                    <w:pPr>
                      <w:spacing w:line="235" w:lineRule="auto" w:before="3"/>
                      <w:ind w:left="0" w:right="0" w:firstLine="0"/>
                      <w:jc w:val="left"/>
                      <w:rPr>
                        <w:sz w:val="20"/>
                      </w:rPr>
                    </w:pPr>
                    <w:r>
                      <w:rPr>
                        <w:w w:val="120"/>
                        <w:sz w:val="20"/>
                      </w:rPr>
                      <w:t>Reformed Church, General Assembly commissions the faith and order committee, in consultation with other committees as appropriate, to undertake the following work:</w:t>
                    </w:r>
                  </w:p>
                  <w:p>
                    <w:pPr>
                      <w:numPr>
                        <w:ilvl w:val="0"/>
                        <w:numId w:val="119"/>
                      </w:numPr>
                      <w:tabs>
                        <w:tab w:pos="680" w:val="left" w:leader="none"/>
                        <w:tab w:pos="681" w:val="left" w:leader="none"/>
                      </w:tabs>
                      <w:spacing w:line="235" w:lineRule="auto" w:before="2"/>
                      <w:ind w:left="680" w:right="18" w:hanging="681"/>
                      <w:jc w:val="left"/>
                      <w:rPr>
                        <w:sz w:val="20"/>
                      </w:rPr>
                    </w:pPr>
                    <w:r>
                      <w:rPr>
                        <w:w w:val="120"/>
                        <w:sz w:val="20"/>
                      </w:rPr>
                      <w:t>to produce resources for study which emphasise the theological understanding that undergirds</w:t>
                    </w:r>
                    <w:r>
                      <w:rPr>
                        <w:spacing w:val="4"/>
                        <w:w w:val="120"/>
                        <w:sz w:val="20"/>
                      </w:rPr>
                      <w:t> </w:t>
                    </w:r>
                    <w:r>
                      <w:rPr>
                        <w:w w:val="120"/>
                        <w:sz w:val="20"/>
                      </w:rPr>
                      <w:t>conciliarity,</w:t>
                    </w:r>
                  </w:p>
                  <w:p>
                    <w:pPr>
                      <w:numPr>
                        <w:ilvl w:val="0"/>
                        <w:numId w:val="119"/>
                      </w:numPr>
                      <w:tabs>
                        <w:tab w:pos="680" w:val="left" w:leader="none"/>
                        <w:tab w:pos="681" w:val="left" w:leader="none"/>
                      </w:tabs>
                      <w:spacing w:line="235" w:lineRule="auto" w:before="1"/>
                      <w:ind w:left="680" w:right="1013" w:hanging="681"/>
                      <w:jc w:val="left"/>
                      <w:rPr>
                        <w:sz w:val="20"/>
                      </w:rPr>
                    </w:pPr>
                    <w:r>
                      <w:rPr>
                        <w:w w:val="120"/>
                        <w:sz w:val="20"/>
                      </w:rPr>
                      <w:t>to suggest resources to enable meetings to be more engaged in their discernment of the mind of Christ in the power of the Holy</w:t>
                    </w:r>
                    <w:r>
                      <w:rPr>
                        <w:spacing w:val="50"/>
                        <w:w w:val="120"/>
                        <w:sz w:val="20"/>
                      </w:rPr>
                      <w:t> </w:t>
                    </w:r>
                    <w:r>
                      <w:rPr>
                        <w:w w:val="120"/>
                        <w:sz w:val="20"/>
                      </w:rPr>
                      <w:t>Spirit,</w:t>
                    </w:r>
                  </w:p>
                  <w:p>
                    <w:pPr>
                      <w:numPr>
                        <w:ilvl w:val="0"/>
                        <w:numId w:val="119"/>
                      </w:numPr>
                      <w:tabs>
                        <w:tab w:pos="680" w:val="left" w:leader="none"/>
                        <w:tab w:pos="681" w:val="left" w:leader="none"/>
                      </w:tabs>
                      <w:spacing w:line="235" w:lineRule="auto" w:before="2"/>
                      <w:ind w:left="680" w:right="487" w:hanging="681"/>
                      <w:jc w:val="left"/>
                      <w:rPr>
                        <w:sz w:val="20"/>
                      </w:rPr>
                    </w:pPr>
                    <w:r>
                      <w:rPr>
                        <w:w w:val="120"/>
                        <w:sz w:val="20"/>
                      </w:rPr>
                      <w:t>to offer reflections on the nature of church membership and ways in which it has evolved and is</w:t>
                    </w:r>
                    <w:r>
                      <w:rPr>
                        <w:spacing w:val="11"/>
                        <w:w w:val="120"/>
                        <w:sz w:val="20"/>
                      </w:rPr>
                      <w:t> </w:t>
                    </w:r>
                    <w:r>
                      <w:rPr>
                        <w:w w:val="120"/>
                        <w:sz w:val="20"/>
                      </w:rPr>
                      <w:t>evolving,</w:t>
                    </w:r>
                  </w:p>
                  <w:p>
                    <w:pPr>
                      <w:numPr>
                        <w:ilvl w:val="0"/>
                        <w:numId w:val="119"/>
                      </w:numPr>
                      <w:tabs>
                        <w:tab w:pos="681" w:val="left" w:leader="none"/>
                      </w:tabs>
                      <w:spacing w:line="235" w:lineRule="auto" w:before="1"/>
                      <w:ind w:left="680" w:right="552" w:hanging="681"/>
                      <w:jc w:val="both"/>
                      <w:rPr>
                        <w:sz w:val="20"/>
                      </w:rPr>
                    </w:pPr>
                    <w:r>
                      <w:rPr>
                        <w:w w:val="120"/>
                        <w:sz w:val="20"/>
                      </w:rPr>
                      <w:t>to encourage the United Reformed Church through such media as </w:t>
                    </w:r>
                    <w:r>
                      <w:rPr>
                        <w:i/>
                        <w:w w:val="120"/>
                        <w:sz w:val="20"/>
                      </w:rPr>
                      <w:t>Reform</w:t>
                    </w:r>
                    <w:r>
                      <w:rPr>
                        <w:w w:val="120"/>
                        <w:sz w:val="20"/>
                      </w:rPr>
                      <w:t>, the United Reformed Church website, and the United Reformed Facebook page to publish stories of creative ways in which churches</w:t>
                    </w:r>
                    <w:r>
                      <w:rPr>
                        <w:spacing w:val="26"/>
                        <w:w w:val="120"/>
                        <w:sz w:val="20"/>
                      </w:rPr>
                      <w:t> </w:t>
                    </w:r>
                    <w:r>
                      <w:rPr>
                        <w:w w:val="120"/>
                        <w:sz w:val="20"/>
                      </w:rPr>
                      <w:t>meet.</w:t>
                    </w:r>
                  </w:p>
                </w:txbxContent>
              </v:textbox>
              <w10:wrap type="none"/>
            </v:shape>
            <v:shape style="position:absolute;left:2055;top:2319;width:7845;height:240" type="#_x0000_t202" filled="false" stroked="false">
              <v:textbox inset="0,0,0,0">
                <w:txbxContent>
                  <w:p>
                    <w:pPr>
                      <w:spacing w:line="240" w:lineRule="exact" w:before="0"/>
                      <w:ind w:left="0" w:right="0" w:firstLine="0"/>
                      <w:jc w:val="left"/>
                      <w:rPr>
                        <w:sz w:val="20"/>
                      </w:rPr>
                    </w:pPr>
                    <w:r>
                      <w:rPr>
                        <w:w w:val="115"/>
                        <w:sz w:val="20"/>
                      </w:rPr>
                      <w:t>In order that this affirmation may become a source of renewal across the United</w:t>
                    </w:r>
                  </w:p>
                </w:txbxContent>
              </v:textbox>
              <w10:wrap type="none"/>
            </v:shape>
            <v:shape style="position:absolute;left:1374;top:2319;width:209;height:240" type="#_x0000_t202" filled="false" stroked="false">
              <v:textbox inset="0,0,0,0">
                <w:txbxContent>
                  <w:p>
                    <w:pPr>
                      <w:spacing w:line="240" w:lineRule="exact" w:before="0"/>
                      <w:ind w:left="0" w:right="0" w:firstLine="0"/>
                      <w:jc w:val="left"/>
                      <w:rPr>
                        <w:sz w:val="20"/>
                      </w:rPr>
                    </w:pPr>
                    <w:r>
                      <w:rPr>
                        <w:w w:val="125"/>
                        <w:sz w:val="20"/>
                      </w:rPr>
                      <w:t>2.</w:t>
                    </w:r>
                  </w:p>
                </w:txbxContent>
              </v:textbox>
              <w10:wrap type="none"/>
            </v:shape>
            <v:shape style="position:absolute;left:1374;top:1359;width:8515;height:720" type="#_x0000_t202" filled="false" stroked="false">
              <v:textbox inset="0,0,0,0">
                <w:txbxContent>
                  <w:p>
                    <w:pPr>
                      <w:tabs>
                        <w:tab w:pos="680" w:val="left" w:leader="none"/>
                      </w:tabs>
                      <w:spacing w:line="235" w:lineRule="auto" w:before="3"/>
                      <w:ind w:left="0" w:right="18" w:firstLine="0"/>
                      <w:jc w:val="left"/>
                      <w:rPr>
                        <w:sz w:val="20"/>
                      </w:rPr>
                    </w:pPr>
                    <w:r>
                      <w:rPr>
                        <w:spacing w:val="-7"/>
                        <w:w w:val="120"/>
                        <w:sz w:val="20"/>
                      </w:rPr>
                      <w:t>1.</w:t>
                      <w:tab/>
                    </w:r>
                    <w:r>
                      <w:rPr>
                        <w:w w:val="120"/>
                        <w:sz w:val="20"/>
                      </w:rPr>
                      <w:t>General Assembly affirms conciliarity, and in particular the role of the church meeting, as one of the </w:t>
                    </w:r>
                    <w:r>
                      <w:rPr>
                        <w:spacing w:val="2"/>
                        <w:w w:val="120"/>
                        <w:sz w:val="20"/>
                      </w:rPr>
                      <w:t>gifts </w:t>
                    </w:r>
                    <w:r>
                      <w:rPr>
                        <w:w w:val="120"/>
                        <w:sz w:val="20"/>
                      </w:rPr>
                      <w:t>of the United Reformed Church, both to the wider Church and to the society in which this Church is</w:t>
                    </w:r>
                    <w:r>
                      <w:rPr>
                        <w:spacing w:val="20"/>
                        <w:w w:val="120"/>
                        <w:sz w:val="20"/>
                      </w:rPr>
                      <w:t> </w:t>
                    </w:r>
                    <w:r>
                      <w:rPr>
                        <w:w w:val="120"/>
                        <w:sz w:val="20"/>
                      </w:rPr>
                      <w:t>set.</w:t>
                    </w:r>
                  </w:p>
                </w:txbxContent>
              </v:textbox>
              <w10:wrap type="none"/>
            </v:shape>
            <v:shape style="position:absolute;left:9527;top:371;width:738;height:219" type="#_x0000_t202" filled="false" stroked="false">
              <v:textbox inset="0,0,0,0">
                <w:txbxContent>
                  <w:p>
                    <w:pPr>
                      <w:spacing w:line="217" w:lineRule="exact" w:before="1"/>
                      <w:ind w:left="0" w:right="0" w:firstLine="0"/>
                      <w:jc w:val="left"/>
                      <w:rPr>
                        <w:sz w:val="18"/>
                      </w:rPr>
                    </w:pPr>
                    <w:r>
                      <w:rPr>
                        <w:color w:val="7EAABF"/>
                        <w:w w:val="115"/>
                        <w:sz w:val="18"/>
                      </w:rPr>
                      <w:t>page </w:t>
                    </w:r>
                    <w:r>
                      <w:rPr>
                        <w:color w:val="7EAABF"/>
                        <w:spacing w:val="-17"/>
                        <w:w w:val="115"/>
                        <w:sz w:val="18"/>
                      </w:rPr>
                      <w:t>111</w:t>
                    </w:r>
                  </w:p>
                </w:txbxContent>
              </v:textbox>
              <w10:wrap type="none"/>
            </v:shape>
            <v:shape style="position:absolute;left:1374;top:407;width:5330;height:853" type="#_x0000_t202" filled="false" stroked="false">
              <v:textbox inset="0,0,0,0">
                <w:txbxContent>
                  <w:p>
                    <w:pPr>
                      <w:spacing w:line="477" w:lineRule="exact" w:before="0"/>
                      <w:ind w:left="0" w:right="0" w:firstLine="0"/>
                      <w:jc w:val="left"/>
                      <w:rPr>
                        <w:rFonts w:ascii="Stone Sans II ITC Std Bk"/>
                        <w:b/>
                        <w:sz w:val="36"/>
                      </w:rPr>
                    </w:pPr>
                    <w:r>
                      <w:rPr>
                        <w:rFonts w:ascii="Stone Sans II ITC Std Lt"/>
                        <w:b w:val="0"/>
                        <w:color w:val="7B4290"/>
                        <w:spacing w:val="-3"/>
                        <w:w w:val="110"/>
                        <w:sz w:val="29"/>
                      </w:rPr>
                      <w:t>Resolution </w:t>
                    </w:r>
                    <w:r>
                      <w:rPr>
                        <w:rFonts w:ascii="Stone Sans II ITC Std Bk"/>
                        <w:b/>
                        <w:color w:val="7B4290"/>
                        <w:spacing w:val="-36"/>
                        <w:w w:val="110"/>
                        <w:sz w:val="36"/>
                      </w:rPr>
                      <w:t>12</w:t>
                    </w:r>
                  </w:p>
                  <w:p>
                    <w:pPr>
                      <w:spacing w:line="317" w:lineRule="exact" w:before="58"/>
                      <w:ind w:left="0" w:right="0" w:firstLine="0"/>
                      <w:jc w:val="left"/>
                      <w:rPr>
                        <w:rFonts w:ascii="Stone Sans II ITC Std Bk"/>
                        <w:b/>
                        <w:sz w:val="25"/>
                      </w:rPr>
                    </w:pPr>
                    <w:r>
                      <w:rPr>
                        <w:rFonts w:ascii="Stone Sans II ITC Std Bk"/>
                        <w:b/>
                        <w:w w:val="110"/>
                        <w:sz w:val="25"/>
                      </w:rPr>
                      <w:t>Faith and order committee: Conciliarity</w:t>
                    </w:r>
                  </w:p>
                </w:txbxContent>
              </v:textbox>
              <w10:wrap type="none"/>
            </v:shape>
            <w10:wrap type="topAndBottom"/>
          </v:group>
        </w:pict>
      </w:r>
    </w:p>
    <w:p>
      <w:pPr>
        <w:spacing w:after="0"/>
        <w:rPr>
          <w:sz w:val="19"/>
        </w:rPr>
        <w:sectPr>
          <w:headerReference w:type="even" r:id="rId581"/>
          <w:footerReference w:type="even" r:id="rId582"/>
          <w:footerReference w:type="default" r:id="rId583"/>
          <w:pgSz w:w="11910" w:h="16840"/>
          <w:pgMar w:header="0" w:footer="647" w:top="0" w:bottom="840" w:left="0" w:right="0"/>
          <w:pgNumType w:start="232"/>
        </w:sectPr>
      </w:pPr>
    </w:p>
    <w:p>
      <w:pPr>
        <w:spacing w:before="94"/>
        <w:ind w:left="0" w:right="1245" w:firstLine="0"/>
        <w:jc w:val="right"/>
        <w:rPr>
          <w:sz w:val="26"/>
        </w:rPr>
      </w:pPr>
      <w:r>
        <w:rPr/>
        <w:pict>
          <v:shape style="position:absolute;margin-left:554.141174pt;margin-top:21.993946pt;width:25.9pt;height:183.25pt;mso-position-horizontal-relative:page;mso-position-vertical-relative:paragraph;z-index:252279808" type="#_x0000_t202" filled="false" stroked="false">
            <v:textbox inset="0,0,0,0" style="layout-flow:vertical">
              <w:txbxContent>
                <w:p>
                  <w:pPr>
                    <w:spacing w:before="27"/>
                    <w:ind w:left="20" w:right="0" w:firstLine="0"/>
                    <w:jc w:val="left"/>
                    <w:rPr>
                      <w:sz w:val="39"/>
                    </w:rPr>
                  </w:pPr>
                  <w:r>
                    <w:rPr>
                      <w:color w:val="FFFFFF"/>
                      <w:w w:val="120"/>
                      <w:sz w:val="39"/>
                    </w:rPr>
                    <w:t>Resolutions 13-15</w:t>
                  </w:r>
                </w:p>
              </w:txbxContent>
            </v:textbox>
            <w10:wrap type="none"/>
          </v:shape>
        </w:pict>
      </w:r>
      <w:r>
        <w:rPr>
          <w:color w:val="7EAABF"/>
          <w:w w:val="110"/>
          <w:sz w:val="26"/>
        </w:rPr>
        <w:t>Resolutions</w:t>
      </w:r>
    </w:p>
    <w:p>
      <w:pPr>
        <w:pStyle w:val="BodyText"/>
      </w:pPr>
    </w:p>
    <w:p>
      <w:pPr>
        <w:pStyle w:val="BodyText"/>
        <w:spacing w:before="11"/>
        <w:rPr>
          <w:sz w:val="17"/>
        </w:rPr>
      </w:pPr>
    </w:p>
    <w:p>
      <w:pPr>
        <w:spacing w:after="0"/>
        <w:rPr>
          <w:sz w:val="17"/>
        </w:rPr>
        <w:sectPr>
          <w:headerReference w:type="default" r:id="rId584"/>
          <w:pgSz w:w="11910" w:h="16840"/>
          <w:pgMar w:header="0" w:footer="647" w:top="520" w:bottom="840" w:left="0" w:right="0"/>
        </w:sectPr>
      </w:pPr>
    </w:p>
    <w:p>
      <w:pPr>
        <w:spacing w:before="138"/>
        <w:ind w:left="1984" w:right="0" w:firstLine="0"/>
        <w:jc w:val="left"/>
        <w:rPr>
          <w:rFonts w:ascii="Stone Sans II ITC Std Bk"/>
          <w:b/>
          <w:sz w:val="36"/>
        </w:rPr>
      </w:pPr>
      <w:r>
        <w:rPr>
          <w:rFonts w:ascii="Stone Sans II ITC Std Lt"/>
          <w:b w:val="0"/>
          <w:color w:val="7B4290"/>
          <w:spacing w:val="-3"/>
          <w:w w:val="110"/>
          <w:sz w:val="29"/>
        </w:rPr>
        <w:t>Resolution </w:t>
      </w:r>
      <w:r>
        <w:rPr>
          <w:rFonts w:ascii="Stone Sans II ITC Std Bk"/>
          <w:b/>
          <w:color w:val="7B4290"/>
          <w:spacing w:val="-38"/>
          <w:w w:val="110"/>
          <w:sz w:val="36"/>
        </w:rPr>
        <w:t>13</w:t>
      </w:r>
    </w:p>
    <w:p>
      <w:pPr>
        <w:spacing w:before="58"/>
        <w:ind w:left="1984" w:right="0" w:firstLine="0"/>
        <w:jc w:val="left"/>
        <w:rPr>
          <w:rFonts w:ascii="Stone Sans II ITC Std Bk"/>
          <w:b/>
          <w:sz w:val="25"/>
        </w:rPr>
      </w:pPr>
      <w:r>
        <w:rPr>
          <w:rFonts w:ascii="Stone Sans II ITC Std Bk"/>
          <w:b/>
          <w:w w:val="110"/>
          <w:sz w:val="25"/>
        </w:rPr>
        <w:t>Faith and order committee: Ordained local ministry</w:t>
      </w:r>
    </w:p>
    <w:p>
      <w:pPr>
        <w:spacing w:before="102"/>
        <w:ind w:left="933" w:right="0" w:firstLine="0"/>
        <w:jc w:val="left"/>
        <w:rPr>
          <w:sz w:val="18"/>
        </w:rPr>
      </w:pPr>
      <w:r>
        <w:rPr/>
        <w:br w:type="column"/>
      </w:r>
      <w:r>
        <w:rPr>
          <w:color w:val="7EAABF"/>
          <w:w w:val="115"/>
          <w:sz w:val="18"/>
        </w:rPr>
        <w:t>page 120</w:t>
      </w:r>
    </w:p>
    <w:p>
      <w:pPr>
        <w:spacing w:after="0"/>
        <w:jc w:val="left"/>
        <w:rPr>
          <w:sz w:val="18"/>
        </w:rPr>
        <w:sectPr>
          <w:type w:val="continuous"/>
          <w:pgSz w:w="11910" w:h="16840"/>
          <w:pgMar w:top="680" w:bottom="280" w:left="0" w:right="0"/>
          <w:cols w:num="2" w:equalWidth="0">
            <w:col w:w="8929" w:space="40"/>
            <w:col w:w="2941"/>
          </w:cols>
        </w:sectPr>
      </w:pPr>
    </w:p>
    <w:p>
      <w:pPr>
        <w:pStyle w:val="ListParagraph"/>
        <w:numPr>
          <w:ilvl w:val="1"/>
          <w:numId w:val="118"/>
        </w:numPr>
        <w:tabs>
          <w:tab w:pos="2664" w:val="left" w:leader="none"/>
          <w:tab w:pos="2665" w:val="left" w:leader="none"/>
        </w:tabs>
        <w:spacing w:line="235" w:lineRule="auto" w:before="83" w:after="0"/>
        <w:ind w:left="1984" w:right="1648" w:firstLine="0"/>
        <w:jc w:val="left"/>
        <w:rPr>
          <w:sz w:val="20"/>
        </w:rPr>
      </w:pPr>
      <w:r>
        <w:rPr/>
        <w:pict>
          <v:group style="position:absolute;margin-left:81.221001pt;margin-top:.000015pt;width:514.1pt;height:841.9pt;mso-position-horizontal-relative:page;mso-position-vertical-relative:page;z-index:-266997760" coordorigin="1624,0" coordsize="10282,16838">
            <v:shape style="position:absolute;left:10984;top:0;width:922;height:16838" type="#_x0000_t75" stroked="false">
              <v:imagedata r:id="rId575" o:title=""/>
            </v:shape>
            <v:shape style="position:absolute;left:1634;top:1427;width:9317;height:12454" coordorigin="1634,1427" coordsize="9317,12454" path="m1634,8239l10951,8239,10951,1427,1634,1427,1634,8239xm1634,10621l10951,10621,10951,8762,1634,8762,1634,10621xm1634,13881l10951,13881,10951,11122,1634,11122,1634,13881xe" filled="false" stroked="true" strokeweight="1pt" strokecolor="#000000">
              <v:path arrowok="t"/>
              <v:stroke dashstyle="solid"/>
            </v:shape>
            <w10:wrap type="none"/>
          </v:group>
        </w:pict>
      </w:r>
      <w:r>
        <w:rPr>
          <w:w w:val="120"/>
          <w:sz w:val="20"/>
        </w:rPr>
        <w:t>General Assembly, affirming the existing </w:t>
      </w:r>
      <w:r>
        <w:rPr>
          <w:spacing w:val="2"/>
          <w:w w:val="120"/>
          <w:sz w:val="20"/>
        </w:rPr>
        <w:t>gift </w:t>
      </w:r>
      <w:r>
        <w:rPr>
          <w:w w:val="120"/>
          <w:sz w:val="20"/>
        </w:rPr>
        <w:t>of elders and the diversity of </w:t>
      </w:r>
      <w:r>
        <w:rPr>
          <w:spacing w:val="2"/>
          <w:w w:val="120"/>
          <w:sz w:val="20"/>
        </w:rPr>
        <w:t>gifts </w:t>
      </w:r>
      <w:r>
        <w:rPr>
          <w:w w:val="120"/>
          <w:sz w:val="20"/>
        </w:rPr>
        <w:t>within each elders meeting as </w:t>
      </w:r>
      <w:r>
        <w:rPr>
          <w:spacing w:val="2"/>
          <w:w w:val="120"/>
          <w:sz w:val="20"/>
        </w:rPr>
        <w:t>part </w:t>
      </w:r>
      <w:r>
        <w:rPr>
          <w:w w:val="120"/>
          <w:sz w:val="20"/>
        </w:rPr>
        <w:t>of the United Reformed </w:t>
      </w:r>
      <w:r>
        <w:rPr>
          <w:spacing w:val="-3"/>
          <w:w w:val="120"/>
          <w:sz w:val="20"/>
        </w:rPr>
        <w:t>Church’s </w:t>
      </w:r>
      <w:r>
        <w:rPr>
          <w:w w:val="120"/>
          <w:sz w:val="20"/>
        </w:rPr>
        <w:t>distinctive contribution to the Church universal, wishes to reinvigorate the role of elders and welcomes current work to that</w:t>
      </w:r>
      <w:r>
        <w:rPr>
          <w:spacing w:val="9"/>
          <w:w w:val="120"/>
          <w:sz w:val="20"/>
        </w:rPr>
        <w:t> </w:t>
      </w:r>
      <w:r>
        <w:rPr>
          <w:w w:val="120"/>
          <w:sz w:val="20"/>
        </w:rPr>
        <w:t>end.</w:t>
      </w:r>
    </w:p>
    <w:p>
      <w:pPr>
        <w:pStyle w:val="BodyText"/>
        <w:spacing w:before="10"/>
        <w:rPr>
          <w:sz w:val="19"/>
        </w:rPr>
      </w:pPr>
    </w:p>
    <w:p>
      <w:pPr>
        <w:pStyle w:val="ListParagraph"/>
        <w:numPr>
          <w:ilvl w:val="1"/>
          <w:numId w:val="118"/>
        </w:numPr>
        <w:tabs>
          <w:tab w:pos="2664" w:val="left" w:leader="none"/>
          <w:tab w:pos="2665" w:val="left" w:leader="none"/>
        </w:tabs>
        <w:spacing w:line="235" w:lineRule="auto" w:before="1" w:after="0"/>
        <w:ind w:left="1984" w:right="1509" w:firstLine="0"/>
        <w:jc w:val="left"/>
        <w:rPr>
          <w:sz w:val="20"/>
        </w:rPr>
      </w:pPr>
      <w:r>
        <w:rPr>
          <w:w w:val="120"/>
          <w:sz w:val="20"/>
        </w:rPr>
        <w:t>General Assembly directs the faith and order committee to set up a task group incorporating expertise from other committees of the United Reformed Church to explore the possibility of authorising ‘celebrant elders’ to preside at the sacraments. </w:t>
      </w:r>
      <w:r>
        <w:rPr>
          <w:spacing w:val="-7"/>
          <w:w w:val="120"/>
          <w:sz w:val="20"/>
        </w:rPr>
        <w:t>To </w:t>
      </w:r>
      <w:r>
        <w:rPr>
          <w:w w:val="120"/>
          <w:sz w:val="20"/>
        </w:rPr>
        <w:t>that end, General Assembly asks for work to be done in the following</w:t>
      </w:r>
      <w:r>
        <w:rPr>
          <w:spacing w:val="41"/>
          <w:w w:val="120"/>
          <w:sz w:val="20"/>
        </w:rPr>
        <w:t> </w:t>
      </w:r>
      <w:r>
        <w:rPr>
          <w:w w:val="120"/>
          <w:sz w:val="20"/>
        </w:rPr>
        <w:t>areas:</w:t>
      </w:r>
    </w:p>
    <w:p>
      <w:pPr>
        <w:pStyle w:val="ListParagraph"/>
        <w:numPr>
          <w:ilvl w:val="0"/>
          <w:numId w:val="120"/>
        </w:numPr>
        <w:tabs>
          <w:tab w:pos="2664" w:val="left" w:leader="none"/>
          <w:tab w:pos="2665" w:val="left" w:leader="none"/>
        </w:tabs>
        <w:spacing w:line="235" w:lineRule="auto" w:before="3" w:after="0"/>
        <w:ind w:left="2664" w:right="1507" w:hanging="681"/>
        <w:jc w:val="left"/>
        <w:rPr>
          <w:sz w:val="20"/>
        </w:rPr>
      </w:pPr>
      <w:r>
        <w:rPr>
          <w:w w:val="120"/>
          <w:sz w:val="20"/>
        </w:rPr>
        <w:t>the nature of ordination within the United Reformed Church, both of ministers of Word and sacrament and of</w:t>
      </w:r>
      <w:r>
        <w:rPr>
          <w:spacing w:val="10"/>
          <w:w w:val="120"/>
          <w:sz w:val="20"/>
        </w:rPr>
        <w:t> </w:t>
      </w:r>
      <w:r>
        <w:rPr>
          <w:w w:val="120"/>
          <w:sz w:val="20"/>
        </w:rPr>
        <w:t>elders;</w:t>
      </w:r>
    </w:p>
    <w:p>
      <w:pPr>
        <w:pStyle w:val="ListParagraph"/>
        <w:numPr>
          <w:ilvl w:val="0"/>
          <w:numId w:val="120"/>
        </w:numPr>
        <w:tabs>
          <w:tab w:pos="2664" w:val="left" w:leader="none"/>
          <w:tab w:pos="2665" w:val="left" w:leader="none"/>
        </w:tabs>
        <w:spacing w:line="235" w:lineRule="auto" w:before="1" w:after="0"/>
        <w:ind w:left="2664" w:right="1795" w:hanging="681"/>
        <w:jc w:val="left"/>
        <w:rPr>
          <w:sz w:val="20"/>
        </w:rPr>
      </w:pPr>
      <w:r>
        <w:rPr>
          <w:w w:val="120"/>
          <w:sz w:val="20"/>
        </w:rPr>
        <w:t>how within the understandings of the various traditions which make up our Church the sacrament of holy communion is linked to</w:t>
      </w:r>
      <w:r>
        <w:rPr>
          <w:spacing w:val="26"/>
          <w:w w:val="120"/>
          <w:sz w:val="20"/>
        </w:rPr>
        <w:t> </w:t>
      </w:r>
      <w:r>
        <w:rPr>
          <w:w w:val="120"/>
          <w:sz w:val="20"/>
        </w:rPr>
        <w:t>ordination;</w:t>
      </w:r>
    </w:p>
    <w:p>
      <w:pPr>
        <w:pStyle w:val="ListParagraph"/>
        <w:numPr>
          <w:ilvl w:val="0"/>
          <w:numId w:val="120"/>
        </w:numPr>
        <w:tabs>
          <w:tab w:pos="2664" w:val="left" w:leader="none"/>
          <w:tab w:pos="2665" w:val="left" w:leader="none"/>
        </w:tabs>
        <w:spacing w:line="235" w:lineRule="auto" w:before="2" w:after="0"/>
        <w:ind w:left="2664" w:right="1438" w:hanging="681"/>
        <w:jc w:val="left"/>
        <w:rPr>
          <w:sz w:val="20"/>
        </w:rPr>
      </w:pPr>
      <w:r>
        <w:rPr>
          <w:w w:val="120"/>
          <w:sz w:val="20"/>
        </w:rPr>
        <w:t>the suggested future relationships of ‘celebrant elders’ to local church leaders, lay preachers, ministers of Word and sacrament, synods and General</w:t>
      </w:r>
      <w:r>
        <w:rPr>
          <w:spacing w:val="17"/>
          <w:w w:val="120"/>
          <w:sz w:val="20"/>
        </w:rPr>
        <w:t> </w:t>
      </w:r>
      <w:r>
        <w:rPr>
          <w:w w:val="120"/>
          <w:sz w:val="20"/>
        </w:rPr>
        <w:t>Assembly;</w:t>
      </w:r>
    </w:p>
    <w:p>
      <w:pPr>
        <w:pStyle w:val="ListParagraph"/>
        <w:numPr>
          <w:ilvl w:val="0"/>
          <w:numId w:val="120"/>
        </w:numPr>
        <w:tabs>
          <w:tab w:pos="2664" w:val="left" w:leader="none"/>
          <w:tab w:pos="2665" w:val="left" w:leader="none"/>
        </w:tabs>
        <w:spacing w:line="235" w:lineRule="auto" w:before="1" w:after="0"/>
        <w:ind w:left="2664" w:right="1935" w:hanging="681"/>
        <w:jc w:val="left"/>
        <w:rPr>
          <w:sz w:val="20"/>
        </w:rPr>
      </w:pPr>
      <w:r>
        <w:rPr>
          <w:w w:val="120"/>
          <w:sz w:val="20"/>
        </w:rPr>
        <w:t>the nature and financing of the requisite training to support such elders in their</w:t>
      </w:r>
      <w:r>
        <w:rPr>
          <w:spacing w:val="2"/>
          <w:w w:val="120"/>
          <w:sz w:val="20"/>
        </w:rPr>
        <w:t> </w:t>
      </w:r>
      <w:r>
        <w:rPr>
          <w:w w:val="120"/>
          <w:sz w:val="20"/>
        </w:rPr>
        <w:t>calling;</w:t>
      </w:r>
    </w:p>
    <w:p>
      <w:pPr>
        <w:pStyle w:val="ListParagraph"/>
        <w:numPr>
          <w:ilvl w:val="0"/>
          <w:numId w:val="120"/>
        </w:numPr>
        <w:tabs>
          <w:tab w:pos="2664" w:val="left" w:leader="none"/>
          <w:tab w:pos="2665" w:val="left" w:leader="none"/>
        </w:tabs>
        <w:spacing w:line="235" w:lineRule="auto" w:before="2" w:after="0"/>
        <w:ind w:left="2664" w:right="2367" w:hanging="681"/>
        <w:jc w:val="left"/>
        <w:rPr>
          <w:sz w:val="20"/>
        </w:rPr>
      </w:pPr>
      <w:r>
        <w:rPr>
          <w:w w:val="120"/>
          <w:sz w:val="20"/>
        </w:rPr>
        <w:t>the accountability of such elders and the question of who would be responsible</w:t>
      </w:r>
      <w:r>
        <w:rPr>
          <w:spacing w:val="13"/>
          <w:w w:val="120"/>
          <w:sz w:val="20"/>
        </w:rPr>
        <w:t> </w:t>
      </w:r>
      <w:r>
        <w:rPr>
          <w:w w:val="120"/>
          <w:sz w:val="20"/>
        </w:rPr>
        <w:t>for</w:t>
      </w:r>
      <w:r>
        <w:rPr>
          <w:spacing w:val="14"/>
          <w:w w:val="120"/>
          <w:sz w:val="20"/>
        </w:rPr>
        <w:t> </w:t>
      </w:r>
      <w:r>
        <w:rPr>
          <w:w w:val="120"/>
          <w:sz w:val="20"/>
        </w:rPr>
        <w:t>discerning,</w:t>
      </w:r>
      <w:r>
        <w:rPr>
          <w:spacing w:val="13"/>
          <w:w w:val="120"/>
          <w:sz w:val="20"/>
        </w:rPr>
        <w:t> </w:t>
      </w:r>
      <w:r>
        <w:rPr>
          <w:w w:val="120"/>
          <w:sz w:val="20"/>
        </w:rPr>
        <w:t>authorising</w:t>
      </w:r>
      <w:r>
        <w:rPr>
          <w:spacing w:val="14"/>
          <w:w w:val="120"/>
          <w:sz w:val="20"/>
        </w:rPr>
        <w:t> </w:t>
      </w:r>
      <w:r>
        <w:rPr>
          <w:w w:val="120"/>
          <w:sz w:val="20"/>
        </w:rPr>
        <w:t>and</w:t>
      </w:r>
      <w:r>
        <w:rPr>
          <w:spacing w:val="14"/>
          <w:w w:val="120"/>
          <w:sz w:val="20"/>
        </w:rPr>
        <w:t> </w:t>
      </w:r>
      <w:r>
        <w:rPr>
          <w:w w:val="120"/>
          <w:sz w:val="20"/>
        </w:rPr>
        <w:t>supporting</w:t>
      </w:r>
      <w:r>
        <w:rPr>
          <w:spacing w:val="13"/>
          <w:w w:val="120"/>
          <w:sz w:val="20"/>
        </w:rPr>
        <w:t> </w:t>
      </w:r>
      <w:r>
        <w:rPr>
          <w:w w:val="120"/>
          <w:sz w:val="20"/>
        </w:rPr>
        <w:t>their</w:t>
      </w:r>
      <w:r>
        <w:rPr>
          <w:spacing w:val="14"/>
          <w:w w:val="120"/>
          <w:sz w:val="20"/>
        </w:rPr>
        <w:t> </w:t>
      </w:r>
      <w:r>
        <w:rPr>
          <w:w w:val="120"/>
          <w:sz w:val="20"/>
        </w:rPr>
        <w:t>vocation;</w:t>
      </w:r>
    </w:p>
    <w:p>
      <w:pPr>
        <w:pStyle w:val="ListParagraph"/>
        <w:numPr>
          <w:ilvl w:val="0"/>
          <w:numId w:val="120"/>
        </w:numPr>
        <w:tabs>
          <w:tab w:pos="2664" w:val="left" w:leader="none"/>
          <w:tab w:pos="2665" w:val="left" w:leader="none"/>
        </w:tabs>
        <w:spacing w:line="242" w:lineRule="exact" w:before="0" w:after="0"/>
        <w:ind w:left="2664" w:right="0" w:hanging="681"/>
        <w:jc w:val="left"/>
        <w:rPr>
          <w:sz w:val="20"/>
        </w:rPr>
      </w:pPr>
      <w:r>
        <w:rPr>
          <w:w w:val="120"/>
          <w:sz w:val="20"/>
        </w:rPr>
        <w:t>the place of such elders in local ecumenical</w:t>
      </w:r>
      <w:r>
        <w:rPr>
          <w:spacing w:val="18"/>
          <w:w w:val="120"/>
          <w:sz w:val="20"/>
        </w:rPr>
        <w:t> </w:t>
      </w:r>
      <w:r>
        <w:rPr>
          <w:w w:val="120"/>
          <w:sz w:val="20"/>
        </w:rPr>
        <w:t>partnerships.</w:t>
      </w:r>
    </w:p>
    <w:p>
      <w:pPr>
        <w:pStyle w:val="BodyText"/>
        <w:spacing w:before="7"/>
        <w:rPr>
          <w:sz w:val="19"/>
        </w:rPr>
      </w:pPr>
    </w:p>
    <w:p>
      <w:pPr>
        <w:pStyle w:val="BodyText"/>
        <w:spacing w:line="235" w:lineRule="auto"/>
        <w:ind w:left="1984" w:right="2167"/>
      </w:pPr>
      <w:r>
        <w:rPr>
          <w:w w:val="120"/>
        </w:rPr>
        <w:t>General Assembly instructs that the progress of such work be reported to General Assembly in 2016.</w:t>
      </w:r>
    </w:p>
    <w:p>
      <w:pPr>
        <w:pStyle w:val="BodyText"/>
      </w:pPr>
    </w:p>
    <w:p>
      <w:pPr>
        <w:pStyle w:val="BodyText"/>
      </w:pPr>
    </w:p>
    <w:p>
      <w:pPr>
        <w:pStyle w:val="BodyText"/>
        <w:spacing w:before="7"/>
        <w:rPr>
          <w:sz w:val="24"/>
        </w:rPr>
      </w:pPr>
      <w:r>
        <w:rPr/>
        <w:pict>
          <v:shape style="position:absolute;margin-left:99.212601pt;margin-top:20.907396pt;width:375.85pt;height:71.650pt;mso-position-horizontal-relative:page;mso-position-vertical-relative:paragraph;z-index:-251042816;mso-wrap-distance-left:0;mso-wrap-distance-right:0" type="#_x0000_t202" filled="false" stroked="false">
            <v:textbox inset="0,0,0,0">
              <w:txbxContent>
                <w:p>
                  <w:pPr>
                    <w:spacing w:line="477" w:lineRule="exact" w:before="0"/>
                    <w:ind w:left="0" w:right="0" w:firstLine="0"/>
                    <w:jc w:val="left"/>
                    <w:rPr>
                      <w:rFonts w:ascii="Stone Sans II ITC Std Bk"/>
                      <w:b/>
                      <w:sz w:val="36"/>
                    </w:rPr>
                  </w:pPr>
                  <w:r>
                    <w:rPr>
                      <w:rFonts w:ascii="Stone Sans II ITC Std Lt"/>
                      <w:b w:val="0"/>
                      <w:color w:val="7B4290"/>
                      <w:spacing w:val="-3"/>
                      <w:w w:val="110"/>
                      <w:sz w:val="29"/>
                    </w:rPr>
                    <w:t>Resolution </w:t>
                  </w:r>
                  <w:r>
                    <w:rPr>
                      <w:rFonts w:ascii="Stone Sans II ITC Std Bk"/>
                      <w:b/>
                      <w:color w:val="7B4290"/>
                      <w:spacing w:val="-32"/>
                      <w:w w:val="110"/>
                      <w:sz w:val="36"/>
                    </w:rPr>
                    <w:t>14</w:t>
                  </w:r>
                </w:p>
                <w:p>
                  <w:pPr>
                    <w:spacing w:before="58"/>
                    <w:ind w:left="0" w:right="0" w:firstLine="0"/>
                    <w:jc w:val="left"/>
                    <w:rPr>
                      <w:rFonts w:ascii="Stone Sans II ITC Std Bk"/>
                      <w:b/>
                      <w:sz w:val="25"/>
                    </w:rPr>
                  </w:pPr>
                  <w:r>
                    <w:rPr>
                      <w:rFonts w:ascii="Stone Sans II ITC Std Bk"/>
                      <w:b/>
                      <w:w w:val="110"/>
                      <w:sz w:val="25"/>
                    </w:rPr>
                    <w:t>Finance committee</w:t>
                  </w:r>
                </w:p>
                <w:p>
                  <w:pPr>
                    <w:pStyle w:val="BodyText"/>
                    <w:spacing w:line="235" w:lineRule="auto" w:before="83"/>
                    <w:ind w:right="8"/>
                  </w:pPr>
                  <w:r>
                    <w:rPr>
                      <w:w w:val="120"/>
                    </w:rPr>
                    <w:t>General Assembly notes the trustees’ report and financial statements for the year ended 31 December 2013.</w:t>
                  </w:r>
                </w:p>
              </w:txbxContent>
            </v:textbox>
            <w10:wrap type="topAndBottom"/>
          </v:shape>
        </w:pict>
      </w:r>
      <w:r>
        <w:rPr/>
        <w:pict>
          <v:shape style="position:absolute;margin-left:495.226593pt;margin-top:16.239397pt;width:38.7pt;height:10.95pt;mso-position-horizontal-relative:page;mso-position-vertical-relative:paragraph;z-index:-251041792;mso-wrap-distance-left:0;mso-wrap-distance-right:0" type="#_x0000_t202" filled="false" stroked="false">
            <v:textbox inset="0,0,0,0">
              <w:txbxContent>
                <w:p>
                  <w:pPr>
                    <w:spacing w:line="217" w:lineRule="exact" w:before="1"/>
                    <w:ind w:left="0" w:right="0" w:firstLine="0"/>
                    <w:jc w:val="left"/>
                    <w:rPr>
                      <w:sz w:val="18"/>
                    </w:rPr>
                  </w:pPr>
                  <w:r>
                    <w:rPr>
                      <w:color w:val="7EAABF"/>
                      <w:w w:val="115"/>
                      <w:sz w:val="18"/>
                    </w:rPr>
                    <w:t>page 128</w:t>
                  </w:r>
                </w:p>
              </w:txbxContent>
            </v:textbox>
            <w10:wrap type="topAndBottom"/>
          </v:shape>
        </w:pict>
      </w:r>
    </w:p>
    <w:p>
      <w:pPr>
        <w:pStyle w:val="BodyText"/>
      </w:pPr>
    </w:p>
    <w:p>
      <w:pPr>
        <w:pStyle w:val="BodyText"/>
      </w:pPr>
    </w:p>
    <w:p>
      <w:pPr>
        <w:pStyle w:val="BodyText"/>
        <w:spacing w:before="4"/>
        <w:rPr>
          <w:sz w:val="26"/>
        </w:rPr>
      </w:pPr>
      <w:r>
        <w:rPr/>
        <w:pict>
          <v:shape style="position:absolute;margin-left:99.212601pt;margin-top:20.236338pt;width:375.25pt;height:42.65pt;mso-position-horizontal-relative:page;mso-position-vertical-relative:paragraph;z-index:-251040768;mso-wrap-distance-left:0;mso-wrap-distance-right:0" type="#_x0000_t202" filled="false" stroked="false">
            <v:textbox inset="0,0,0,0">
              <w:txbxContent>
                <w:p>
                  <w:pPr>
                    <w:spacing w:line="477" w:lineRule="exact" w:before="0"/>
                    <w:ind w:left="0" w:right="0" w:firstLine="0"/>
                    <w:jc w:val="left"/>
                    <w:rPr>
                      <w:rFonts w:ascii="Stone Sans II ITC Std Bk"/>
                      <w:b/>
                      <w:sz w:val="36"/>
                    </w:rPr>
                  </w:pPr>
                  <w:r>
                    <w:rPr>
                      <w:rFonts w:ascii="Stone Sans II ITC Std Lt"/>
                      <w:b w:val="0"/>
                      <w:color w:val="7B4290"/>
                      <w:spacing w:val="-3"/>
                      <w:w w:val="110"/>
                      <w:sz w:val="29"/>
                    </w:rPr>
                    <w:t>Resolution </w:t>
                  </w:r>
                  <w:r>
                    <w:rPr>
                      <w:rFonts w:ascii="Stone Sans II ITC Std Bk"/>
                      <w:b/>
                      <w:color w:val="7B4290"/>
                      <w:spacing w:val="-35"/>
                      <w:w w:val="110"/>
                      <w:sz w:val="36"/>
                    </w:rPr>
                    <w:t>15</w:t>
                  </w:r>
                </w:p>
                <w:p>
                  <w:pPr>
                    <w:spacing w:line="317" w:lineRule="exact" w:before="58"/>
                    <w:ind w:left="0" w:right="0" w:firstLine="0"/>
                    <w:jc w:val="left"/>
                    <w:rPr>
                      <w:rFonts w:ascii="Stone Sans II ITC Std Bk"/>
                      <w:b/>
                      <w:sz w:val="25"/>
                    </w:rPr>
                  </w:pPr>
                  <w:r>
                    <w:rPr>
                      <w:rFonts w:ascii="Stone Sans II ITC Std Bk"/>
                      <w:b/>
                      <w:w w:val="110"/>
                      <w:sz w:val="25"/>
                    </w:rPr>
                    <w:t>Equalities committee: Inclusive and expansive language</w:t>
                  </w:r>
                </w:p>
              </w:txbxContent>
            </v:textbox>
            <w10:wrap type="topAndBottom"/>
          </v:shape>
        </w:pict>
      </w:r>
      <w:r>
        <w:rPr/>
        <w:pict>
          <v:shape style="position:absolute;margin-left:503.914398pt;margin-top:17.274237pt;width:34.3pt;height:10.95pt;mso-position-horizontal-relative:page;mso-position-vertical-relative:paragraph;z-index:-251039744;mso-wrap-distance-left:0;mso-wrap-distance-right:0" type="#_x0000_t202" filled="false" stroked="false">
            <v:textbox inset="0,0,0,0">
              <w:txbxContent>
                <w:p>
                  <w:pPr>
                    <w:spacing w:line="217" w:lineRule="exact" w:before="1"/>
                    <w:ind w:left="0" w:right="0" w:firstLine="0"/>
                    <w:jc w:val="left"/>
                    <w:rPr>
                      <w:sz w:val="18"/>
                    </w:rPr>
                  </w:pPr>
                  <w:r>
                    <w:rPr>
                      <w:color w:val="7EAABF"/>
                      <w:w w:val="115"/>
                      <w:sz w:val="18"/>
                    </w:rPr>
                    <w:t>page 99</w:t>
                  </w:r>
                </w:p>
              </w:txbxContent>
            </v:textbox>
            <w10:wrap type="topAndBottom"/>
          </v:shape>
        </w:pict>
      </w:r>
      <w:r>
        <w:rPr/>
        <w:pict>
          <v:shape style="position:absolute;margin-left:99.212601pt;margin-top:67.845039pt;width:419.75pt;height:72pt;mso-position-horizontal-relative:page;mso-position-vertical-relative:paragraph;z-index:-251038720;mso-wrap-distance-left:0;mso-wrap-distance-right:0" type="#_x0000_t202" filled="false" stroked="false">
            <v:textbox inset="0,0,0,0">
              <w:txbxContent>
                <w:p>
                  <w:pPr>
                    <w:pStyle w:val="BodyText"/>
                    <w:spacing w:line="235" w:lineRule="auto" w:before="3"/>
                  </w:pPr>
                  <w:r>
                    <w:rPr>
                      <w:w w:val="120"/>
                    </w:rPr>
                    <w:t>General Assembly affirms the commitment made in 1984 to use inclusive language in all publications. It now seeks to build on that commitment by encouraging all those who lead and participate in worship, all those who train worship leaders, including resource centres for learning and lay preachers conferences, children’s and youth leaders, local churches and synods, to explore and give intentional consideration to their use of inclusive and expansive language in worship.</w:t>
                  </w:r>
                </w:p>
              </w:txbxContent>
            </v:textbox>
            <w10:wrap type="topAndBottom"/>
          </v:shape>
        </w:pict>
      </w:r>
    </w:p>
    <w:p>
      <w:pPr>
        <w:pStyle w:val="BodyText"/>
        <w:rPr>
          <w:sz w:val="5"/>
        </w:rPr>
      </w:pPr>
    </w:p>
    <w:p>
      <w:pPr>
        <w:spacing w:after="0"/>
        <w:rPr>
          <w:sz w:val="5"/>
        </w:rPr>
        <w:sectPr>
          <w:type w:val="continuous"/>
          <w:pgSz w:w="11910" w:h="16840"/>
          <w:pgMar w:top="680" w:bottom="280" w:left="0" w:right="0"/>
        </w:sectPr>
      </w:pPr>
    </w:p>
    <w:p>
      <w:pPr>
        <w:pStyle w:val="BodyText"/>
      </w:pPr>
    </w:p>
    <w:p>
      <w:pPr>
        <w:pStyle w:val="BodyText"/>
        <w:spacing w:before="7"/>
        <w:rPr>
          <w:sz w:val="21"/>
        </w:rPr>
      </w:pPr>
    </w:p>
    <w:p>
      <w:pPr>
        <w:spacing w:before="106"/>
        <w:ind w:left="1247" w:right="0" w:firstLine="0"/>
        <w:jc w:val="left"/>
        <w:rPr>
          <w:sz w:val="26"/>
        </w:rPr>
      </w:pPr>
      <w:r>
        <w:rPr/>
        <w:pict>
          <v:group style="position:absolute;margin-left:55.709pt;margin-top:31.811945pt;width:466.85pt;height:89.45pt;mso-position-horizontal-relative:page;mso-position-vertical-relative:paragraph;z-index:252284928" coordorigin="1114,636" coordsize="9337,1789">
            <v:rect style="position:absolute;left:1124;top:646;width:9317;height:1769" filled="false" stroked="true" strokeweight="1.0pt" strokecolor="#000000">
              <v:stroke dashstyle="solid"/>
            </v:rect>
            <v:shape style="position:absolute;left:1374;top:1759;width:8258;height:480" type="#_x0000_t202" filled="false" stroked="false">
              <v:textbox inset="0,0,0,0">
                <w:txbxContent>
                  <w:p>
                    <w:pPr>
                      <w:spacing w:line="235" w:lineRule="auto" w:before="3"/>
                      <w:ind w:left="0" w:right="0" w:firstLine="0"/>
                      <w:jc w:val="left"/>
                      <w:rPr>
                        <w:sz w:val="20"/>
                      </w:rPr>
                    </w:pPr>
                    <w:r>
                      <w:rPr>
                        <w:w w:val="120"/>
                        <w:sz w:val="20"/>
                      </w:rPr>
                      <w:t>General Assembly welcomes the resource pack on foodbanks produced by the joint public issues team and commends it for study and use by all churches.</w:t>
                    </w:r>
                  </w:p>
                </w:txbxContent>
              </v:textbox>
              <w10:wrap type="none"/>
            </v:shape>
            <v:shape style="position:absolute;left:9173;top:759;width:769;height:219" type="#_x0000_t202" filled="false" stroked="false">
              <v:textbox inset="0,0,0,0">
                <w:txbxContent>
                  <w:p>
                    <w:pPr>
                      <w:spacing w:line="217" w:lineRule="exact" w:before="1"/>
                      <w:ind w:left="0" w:right="0" w:firstLine="0"/>
                      <w:jc w:val="left"/>
                      <w:rPr>
                        <w:sz w:val="18"/>
                      </w:rPr>
                    </w:pPr>
                    <w:r>
                      <w:rPr>
                        <w:color w:val="7EAABF"/>
                        <w:w w:val="115"/>
                        <w:sz w:val="18"/>
                      </w:rPr>
                      <w:t>page </w:t>
                    </w:r>
                    <w:r>
                      <w:rPr>
                        <w:color w:val="7EAABF"/>
                        <w:spacing w:val="-7"/>
                        <w:w w:val="115"/>
                        <w:sz w:val="18"/>
                      </w:rPr>
                      <w:t>132</w:t>
                    </w:r>
                  </w:p>
                </w:txbxContent>
              </v:textbox>
              <w10:wrap type="none"/>
            </v:shape>
            <v:shape style="position:absolute;left:1374;top:806;width:4223;height:853" type="#_x0000_t202" filled="false" stroked="false">
              <v:textbox inset="0,0,0,0">
                <w:txbxContent>
                  <w:p>
                    <w:pPr>
                      <w:spacing w:line="477" w:lineRule="exact" w:before="0"/>
                      <w:ind w:left="0" w:right="0" w:firstLine="0"/>
                      <w:jc w:val="left"/>
                      <w:rPr>
                        <w:rFonts w:ascii="Stone Sans II ITC Std Bk"/>
                        <w:b/>
                        <w:sz w:val="36"/>
                      </w:rPr>
                    </w:pPr>
                    <w:r>
                      <w:rPr>
                        <w:rFonts w:ascii="Stone Sans II ITC Std Lt"/>
                        <w:b w:val="0"/>
                        <w:color w:val="7B4290"/>
                        <w:w w:val="110"/>
                        <w:sz w:val="29"/>
                      </w:rPr>
                      <w:t>Resolution </w:t>
                    </w:r>
                    <w:r>
                      <w:rPr>
                        <w:rFonts w:ascii="Stone Sans II ITC Std Bk"/>
                        <w:b/>
                        <w:color w:val="7B4290"/>
                        <w:w w:val="110"/>
                        <w:sz w:val="36"/>
                      </w:rPr>
                      <w:t>16</w:t>
                    </w:r>
                  </w:p>
                  <w:p>
                    <w:pPr>
                      <w:spacing w:line="317" w:lineRule="exact" w:before="58"/>
                      <w:ind w:left="0" w:right="0" w:firstLine="0"/>
                      <w:jc w:val="left"/>
                      <w:rPr>
                        <w:rFonts w:ascii="Stone Sans II ITC Std Bk"/>
                        <w:b/>
                        <w:sz w:val="25"/>
                      </w:rPr>
                    </w:pPr>
                    <w:r>
                      <w:rPr>
                        <w:rFonts w:ascii="Stone Sans II ITC Std Bk"/>
                        <w:b/>
                        <w:w w:val="110"/>
                        <w:sz w:val="25"/>
                      </w:rPr>
                      <w:t>Mission Committee: Foodbanks</w:t>
                    </w:r>
                  </w:p>
                </w:txbxContent>
              </v:textbox>
              <w10:wrap type="none"/>
            </v:shape>
            <w10:wrap type="none"/>
          </v:group>
        </w:pict>
      </w:r>
      <w:r>
        <w:rPr/>
        <w:pict>
          <v:shape style="position:absolute;margin-left:20.519100pt;margin-top:22.593945pt;width:25.9pt;height:183.25pt;mso-position-horizontal-relative:page;mso-position-vertical-relative:paragraph;z-index:252291072" type="#_x0000_t202" filled="false" stroked="false">
            <v:textbox inset="0,0,0,0" style="layout-flow:vertical">
              <w:txbxContent>
                <w:p>
                  <w:pPr>
                    <w:spacing w:before="27"/>
                    <w:ind w:left="20" w:right="0" w:firstLine="0"/>
                    <w:jc w:val="left"/>
                    <w:rPr>
                      <w:sz w:val="39"/>
                    </w:rPr>
                  </w:pPr>
                  <w:r>
                    <w:rPr>
                      <w:color w:val="FFFFFF"/>
                      <w:w w:val="120"/>
                      <w:sz w:val="39"/>
                    </w:rPr>
                    <w:t>Resolutions 16-18</w:t>
                  </w:r>
                </w:p>
              </w:txbxContent>
            </v:textbox>
            <w10:wrap type="none"/>
          </v:shape>
        </w:pict>
      </w:r>
      <w:r>
        <w:rPr>
          <w:color w:val="7EAABF"/>
          <w:w w:val="115"/>
          <w:sz w:val="26"/>
        </w:rPr>
        <w:t>Resolutions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1"/>
        <w:rPr>
          <w:sz w:val="27"/>
        </w:rPr>
      </w:pPr>
    </w:p>
    <w:p>
      <w:pPr>
        <w:spacing w:after="0"/>
        <w:rPr>
          <w:sz w:val="27"/>
        </w:rPr>
        <w:sectPr>
          <w:headerReference w:type="even" r:id="rId585"/>
          <w:footerReference w:type="even" r:id="rId586"/>
          <w:footerReference w:type="default" r:id="rId587"/>
          <w:pgSz w:w="11910" w:h="16840"/>
          <w:pgMar w:header="0" w:footer="647" w:top="0" w:bottom="840" w:left="0" w:right="0"/>
          <w:pgNumType w:start="234"/>
        </w:sectPr>
      </w:pPr>
    </w:p>
    <w:p>
      <w:pPr>
        <w:spacing w:before="99"/>
        <w:ind w:left="1374" w:right="0" w:firstLine="0"/>
        <w:jc w:val="left"/>
        <w:rPr>
          <w:rFonts w:ascii="Stone Sans II ITC Std Bk"/>
          <w:b/>
          <w:sz w:val="36"/>
        </w:rPr>
      </w:pPr>
      <w:r>
        <w:rPr/>
        <w:pict>
          <v:rect style="position:absolute;margin-left:56.209pt;margin-top:-.256993pt;width:465.849pt;height:503.984pt;mso-position-horizontal-relative:page;mso-position-vertical-relative:paragraph;z-index:-266990592" filled="false" stroked="true" strokeweight="1pt" strokecolor="#000000">
            <v:stroke dashstyle="solid"/>
            <w10:wrap type="none"/>
          </v:rect>
        </w:pict>
      </w:r>
      <w:r>
        <w:rPr/>
        <w:pict>
          <v:group style="position:absolute;margin-left:55.709pt;margin-top:-114.147995pt;width:466.85pt;height:89.45pt;mso-position-horizontal-relative:page;mso-position-vertical-relative:paragraph;z-index:252290048" coordorigin="1114,-2283" coordsize="9337,1789">
            <v:rect style="position:absolute;left:1124;top:-2273;width:9317;height:1769" filled="false" stroked="true" strokeweight="1.0pt" strokecolor="#000000">
              <v:stroke dashstyle="solid"/>
            </v:rect>
            <v:shape style="position:absolute;left:1374;top:-1160;width:7917;height:481" type="#_x0000_t202" filled="false" stroked="false">
              <v:textbox inset="0,0,0,0">
                <w:txbxContent>
                  <w:p>
                    <w:pPr>
                      <w:spacing w:line="235" w:lineRule="auto" w:before="3"/>
                      <w:ind w:left="0" w:right="0" w:firstLine="0"/>
                      <w:jc w:val="left"/>
                      <w:rPr>
                        <w:sz w:val="20"/>
                      </w:rPr>
                    </w:pPr>
                    <w:r>
                      <w:rPr>
                        <w:w w:val="120"/>
                        <w:sz w:val="20"/>
                      </w:rPr>
                      <w:t>General Assembly confirms the list of Assembly-appointed posts and the various affiliation requirements as outlined on pages 36 to 37 of the </w:t>
                    </w:r>
                    <w:r>
                      <w:rPr>
                        <w:i/>
                        <w:w w:val="120"/>
                        <w:sz w:val="20"/>
                      </w:rPr>
                      <w:t>Book of Reports</w:t>
                    </w:r>
                    <w:r>
                      <w:rPr>
                        <w:w w:val="120"/>
                        <w:sz w:val="20"/>
                      </w:rPr>
                      <w:t>.</w:t>
                    </w:r>
                  </w:p>
                </w:txbxContent>
              </v:textbox>
              <w10:wrap type="none"/>
            </v:shape>
            <v:shape style="position:absolute;left:9260;top:-2189;width:677;height:219" type="#_x0000_t202" filled="false" stroked="false">
              <v:textbox inset="0,0,0,0">
                <w:txbxContent>
                  <w:p>
                    <w:pPr>
                      <w:spacing w:line="217" w:lineRule="exact" w:before="1"/>
                      <w:ind w:left="0" w:right="0" w:firstLine="0"/>
                      <w:jc w:val="left"/>
                      <w:rPr>
                        <w:sz w:val="18"/>
                      </w:rPr>
                    </w:pPr>
                    <w:r>
                      <w:rPr>
                        <w:color w:val="7EAABF"/>
                        <w:w w:val="115"/>
                        <w:sz w:val="18"/>
                      </w:rPr>
                      <w:t>page 35</w:t>
                    </w:r>
                  </w:p>
                </w:txbxContent>
              </v:textbox>
              <w10:wrap type="none"/>
            </v:shape>
            <v:shape style="position:absolute;left:1374;top:-2112;width:5811;height:853" type="#_x0000_t202" filled="false" stroked="false">
              <v:textbox inset="0,0,0,0">
                <w:txbxContent>
                  <w:p>
                    <w:pPr>
                      <w:spacing w:line="477" w:lineRule="exact" w:before="0"/>
                      <w:ind w:left="0" w:right="0" w:firstLine="0"/>
                      <w:jc w:val="left"/>
                      <w:rPr>
                        <w:rFonts w:ascii="Stone Sans II ITC Std Bk"/>
                        <w:b/>
                        <w:sz w:val="36"/>
                      </w:rPr>
                    </w:pPr>
                    <w:r>
                      <w:rPr>
                        <w:rFonts w:ascii="Stone Sans II ITC Std Lt"/>
                        <w:b w:val="0"/>
                        <w:color w:val="7B4290"/>
                        <w:spacing w:val="-3"/>
                        <w:w w:val="110"/>
                        <w:sz w:val="29"/>
                      </w:rPr>
                      <w:t>Resolution </w:t>
                    </w:r>
                    <w:r>
                      <w:rPr>
                        <w:rFonts w:ascii="Stone Sans II ITC Std Bk"/>
                        <w:b/>
                        <w:color w:val="7B4290"/>
                        <w:spacing w:val="-44"/>
                        <w:w w:val="110"/>
                        <w:sz w:val="36"/>
                      </w:rPr>
                      <w:t>17</w:t>
                    </w:r>
                  </w:p>
                  <w:p>
                    <w:pPr>
                      <w:spacing w:line="317" w:lineRule="exact" w:before="58"/>
                      <w:ind w:left="0" w:right="0" w:firstLine="0"/>
                      <w:jc w:val="left"/>
                      <w:rPr>
                        <w:rFonts w:ascii="Stone Sans II ITC Std Bk"/>
                        <w:b/>
                        <w:sz w:val="25"/>
                      </w:rPr>
                    </w:pPr>
                    <w:r>
                      <w:rPr>
                        <w:rFonts w:ascii="Stone Sans II ITC Std Bk"/>
                        <w:b/>
                        <w:w w:val="110"/>
                        <w:sz w:val="25"/>
                      </w:rPr>
                      <w:t>Mission Council: Assembly-appointed posts</w:t>
                    </w:r>
                  </w:p>
                </w:txbxContent>
              </v:textbox>
              <w10:wrap type="none"/>
            </v:shape>
            <w10:wrap type="none"/>
          </v:group>
        </w:pict>
      </w:r>
      <w:r>
        <w:rPr>
          <w:rFonts w:ascii="Stone Sans II ITC Std Lt"/>
          <w:b w:val="0"/>
          <w:color w:val="7B4290"/>
          <w:w w:val="110"/>
          <w:sz w:val="29"/>
        </w:rPr>
        <w:t>Resolution </w:t>
      </w:r>
      <w:r>
        <w:rPr>
          <w:rFonts w:ascii="Stone Sans II ITC Std Bk"/>
          <w:b/>
          <w:color w:val="7B4290"/>
          <w:w w:val="110"/>
          <w:sz w:val="36"/>
        </w:rPr>
        <w:t>18</w:t>
      </w:r>
    </w:p>
    <w:p>
      <w:pPr>
        <w:pStyle w:val="Heading6"/>
        <w:spacing w:before="59"/>
        <w:ind w:left="1374"/>
      </w:pPr>
      <w:r>
        <w:rPr>
          <w:w w:val="110"/>
        </w:rPr>
        <w:t>Mission </w:t>
      </w:r>
      <w:r>
        <w:rPr>
          <w:spacing w:val="-3"/>
          <w:w w:val="110"/>
        </w:rPr>
        <w:t>Council: </w:t>
      </w:r>
      <w:r>
        <w:rPr>
          <w:w w:val="110"/>
        </w:rPr>
        <w:t>Changes </w:t>
      </w:r>
      <w:r>
        <w:rPr>
          <w:spacing w:val="-3"/>
          <w:w w:val="110"/>
        </w:rPr>
        <w:t>to </w:t>
      </w:r>
      <w:r>
        <w:rPr>
          <w:w w:val="110"/>
        </w:rPr>
        <w:t>the</w:t>
      </w:r>
      <w:r>
        <w:rPr>
          <w:spacing w:val="59"/>
          <w:w w:val="110"/>
        </w:rPr>
        <w:t> </w:t>
      </w:r>
      <w:r>
        <w:rPr>
          <w:w w:val="110"/>
        </w:rPr>
        <w:t>Structure</w:t>
      </w:r>
    </w:p>
    <w:p>
      <w:pPr>
        <w:spacing w:before="102"/>
        <w:ind w:left="1354" w:right="1965" w:firstLine="0"/>
        <w:jc w:val="center"/>
        <w:rPr>
          <w:sz w:val="18"/>
        </w:rPr>
      </w:pPr>
      <w:r>
        <w:rPr/>
        <w:br w:type="column"/>
      </w:r>
      <w:r>
        <w:rPr>
          <w:color w:val="7EAABF"/>
          <w:w w:val="115"/>
          <w:sz w:val="18"/>
        </w:rPr>
        <w:t>page 49</w:t>
      </w:r>
    </w:p>
    <w:p>
      <w:pPr>
        <w:spacing w:after="0"/>
        <w:jc w:val="center"/>
        <w:rPr>
          <w:sz w:val="18"/>
        </w:rPr>
        <w:sectPr>
          <w:type w:val="continuous"/>
          <w:pgSz w:w="11910" w:h="16840"/>
          <w:pgMar w:top="680" w:bottom="280" w:left="0" w:right="0"/>
          <w:cols w:num="2" w:equalWidth="0">
            <w:col w:w="7030" w:space="856"/>
            <w:col w:w="4024"/>
          </w:cols>
        </w:sectPr>
      </w:pPr>
    </w:p>
    <w:p>
      <w:pPr>
        <w:pStyle w:val="BodyText"/>
        <w:spacing w:line="235" w:lineRule="auto" w:before="82"/>
        <w:ind w:left="1374" w:right="2004"/>
      </w:pPr>
      <w:r>
        <w:rPr/>
        <w:drawing>
          <wp:anchor distT="0" distB="0" distL="0" distR="0" allowOverlap="1" layoutInCell="1" locked="0" behindDoc="0" simplePos="0" relativeHeight="252280832">
            <wp:simplePos x="0" y="0"/>
            <wp:positionH relativeFrom="page">
              <wp:posOffset>0</wp:posOffset>
            </wp:positionH>
            <wp:positionV relativeFrom="page">
              <wp:posOffset>0</wp:posOffset>
            </wp:positionV>
            <wp:extent cx="594067" cy="10692003"/>
            <wp:effectExtent l="0" t="0" r="0" b="0"/>
            <wp:wrapNone/>
            <wp:docPr id="453" name="image90.png"/>
            <wp:cNvGraphicFramePr>
              <a:graphicFrameLocks noChangeAspect="1"/>
            </wp:cNvGraphicFramePr>
            <a:graphic>
              <a:graphicData uri="http://schemas.openxmlformats.org/drawingml/2006/picture">
                <pic:pic>
                  <pic:nvPicPr>
                    <pic:cNvPr id="454" name="image90.png"/>
                    <pic:cNvPicPr/>
                  </pic:nvPicPr>
                  <pic:blipFill>
                    <a:blip r:embed="rId579" cstate="print"/>
                    <a:stretch>
                      <a:fillRect/>
                    </a:stretch>
                  </pic:blipFill>
                  <pic:spPr>
                    <a:xfrm>
                      <a:off x="0" y="0"/>
                      <a:ext cx="594067" cy="10692003"/>
                    </a:xfrm>
                    <a:prstGeom prst="rect">
                      <a:avLst/>
                    </a:prstGeom>
                  </pic:spPr>
                </pic:pic>
              </a:graphicData>
            </a:graphic>
          </wp:anchor>
        </w:drawing>
      </w:r>
      <w:r>
        <w:rPr>
          <w:w w:val="120"/>
        </w:rPr>
        <w:t>General Assembly resolves to ratify the resolution of Mission Council to amend the Structure of the United Reformed Church as follows:</w:t>
      </w:r>
    </w:p>
    <w:p>
      <w:pPr>
        <w:pStyle w:val="BodyText"/>
        <w:spacing w:before="7"/>
        <w:rPr>
          <w:sz w:val="19"/>
        </w:rPr>
      </w:pPr>
    </w:p>
    <w:p>
      <w:pPr>
        <w:pStyle w:val="BodyText"/>
        <w:spacing w:line="223" w:lineRule="auto" w:before="1"/>
        <w:ind w:left="1374" w:right="2004"/>
      </w:pPr>
      <w:r>
        <w:rPr>
          <w:w w:val="120"/>
        </w:rPr>
        <w:t>Insert</w:t>
      </w:r>
      <w:r>
        <w:rPr>
          <w:spacing w:val="-15"/>
          <w:w w:val="120"/>
        </w:rPr>
        <w:t> </w:t>
      </w:r>
      <w:r>
        <w:rPr>
          <w:w w:val="120"/>
        </w:rPr>
        <w:t>the</w:t>
      </w:r>
      <w:r>
        <w:rPr>
          <w:spacing w:val="-14"/>
          <w:w w:val="120"/>
        </w:rPr>
        <w:t> </w:t>
      </w:r>
      <w:r>
        <w:rPr>
          <w:w w:val="120"/>
        </w:rPr>
        <w:t>following</w:t>
      </w:r>
      <w:r>
        <w:rPr>
          <w:spacing w:val="-14"/>
          <w:w w:val="120"/>
        </w:rPr>
        <w:t> </w:t>
      </w:r>
      <w:r>
        <w:rPr>
          <w:w w:val="120"/>
        </w:rPr>
        <w:t>immediately</w:t>
      </w:r>
      <w:r>
        <w:rPr>
          <w:spacing w:val="-14"/>
          <w:w w:val="120"/>
        </w:rPr>
        <w:t> </w:t>
      </w:r>
      <w:r>
        <w:rPr>
          <w:w w:val="120"/>
        </w:rPr>
        <w:t>after</w:t>
      </w:r>
      <w:r>
        <w:rPr>
          <w:spacing w:val="-14"/>
          <w:w w:val="120"/>
        </w:rPr>
        <w:t> </w:t>
      </w:r>
      <w:r>
        <w:rPr>
          <w:rFonts w:ascii="Stone Sans II ITC Std Bk"/>
          <w:b/>
          <w:spacing w:val="-4"/>
          <w:w w:val="120"/>
        </w:rPr>
        <w:t>2.(6)(A)(xxiii)</w:t>
      </w:r>
      <w:r>
        <w:rPr>
          <w:rFonts w:ascii="Stone Sans II ITC Std Bk"/>
          <w:b/>
          <w:spacing w:val="-22"/>
          <w:w w:val="120"/>
        </w:rPr>
        <w:t> </w:t>
      </w:r>
      <w:r>
        <w:rPr>
          <w:w w:val="120"/>
        </w:rPr>
        <w:t>so</w:t>
      </w:r>
      <w:r>
        <w:rPr>
          <w:spacing w:val="-14"/>
          <w:w w:val="120"/>
        </w:rPr>
        <w:t> </w:t>
      </w:r>
      <w:r>
        <w:rPr>
          <w:w w:val="120"/>
        </w:rPr>
        <w:t>as</w:t>
      </w:r>
      <w:r>
        <w:rPr>
          <w:spacing w:val="-15"/>
          <w:w w:val="120"/>
        </w:rPr>
        <w:t> </w:t>
      </w:r>
      <w:r>
        <w:rPr>
          <w:w w:val="120"/>
        </w:rPr>
        <w:t>to</w:t>
      </w:r>
      <w:r>
        <w:rPr>
          <w:spacing w:val="-14"/>
          <w:w w:val="120"/>
        </w:rPr>
        <w:t> </w:t>
      </w:r>
      <w:r>
        <w:rPr>
          <w:w w:val="120"/>
        </w:rPr>
        <w:t>become</w:t>
      </w:r>
      <w:r>
        <w:rPr>
          <w:spacing w:val="-14"/>
          <w:w w:val="120"/>
        </w:rPr>
        <w:t> </w:t>
      </w:r>
      <w:r>
        <w:rPr>
          <w:rFonts w:ascii="Stone Sans II ITC Std Bk"/>
          <w:b/>
          <w:spacing w:val="-3"/>
          <w:w w:val="120"/>
        </w:rPr>
        <w:t>(xxiv)</w:t>
      </w:r>
      <w:r>
        <w:rPr>
          <w:rFonts w:ascii="Stone Sans II ITC Std Bk"/>
          <w:b/>
          <w:spacing w:val="-22"/>
          <w:w w:val="120"/>
        </w:rPr>
        <w:t> </w:t>
      </w:r>
      <w:r>
        <w:rPr>
          <w:w w:val="120"/>
        </w:rPr>
        <w:t>and renumber the later functions</w:t>
      </w:r>
      <w:r>
        <w:rPr>
          <w:spacing w:val="8"/>
          <w:w w:val="120"/>
        </w:rPr>
        <w:t> </w:t>
      </w:r>
      <w:r>
        <w:rPr>
          <w:w w:val="120"/>
        </w:rPr>
        <w:t>accordingly.</w:t>
      </w:r>
    </w:p>
    <w:p>
      <w:pPr>
        <w:pStyle w:val="BodyText"/>
        <w:spacing w:before="5"/>
      </w:pPr>
    </w:p>
    <w:p>
      <w:pPr>
        <w:pStyle w:val="Heading9"/>
        <w:spacing w:line="213" w:lineRule="auto"/>
        <w:ind w:left="1374" w:right="1683" w:firstLine="0"/>
        <w:rPr>
          <w:rFonts w:ascii="Calibri" w:hAnsi="Calibri"/>
          <w:b w:val="0"/>
        </w:rPr>
      </w:pPr>
      <w:r>
        <w:rPr>
          <w:rFonts w:ascii="Calibri" w:hAnsi="Calibri"/>
          <w:b w:val="0"/>
          <w:spacing w:val="-4"/>
          <w:w w:val="110"/>
        </w:rPr>
        <w:t>“</w:t>
      </w:r>
      <w:r>
        <w:rPr>
          <w:spacing w:val="-4"/>
          <w:w w:val="110"/>
        </w:rPr>
        <w:t>(xxiv) </w:t>
      </w:r>
      <w:r>
        <w:rPr>
          <w:w w:val="110"/>
        </w:rPr>
        <w:t>to ensure that, where an Assembly Commission or an Appeals Commission following a Hearing under the Disciplinary Process contained in Section O of the Manual or a Review Commission or an Appeals Review Commission following a Hearing under the Incapacity Procedure contained in Section P of the Manual appends guidance to its decision to delete the name of the minister or Church Related Community Worker from the respective Roll, any such guidance is brought fully to the attention of those responsible for exercising oversight of the minister or Church Related Community Worker and any others who might in the future be identified as being proper and appropriate persons to receive such</w:t>
      </w:r>
      <w:r>
        <w:rPr>
          <w:spacing w:val="22"/>
          <w:w w:val="110"/>
        </w:rPr>
        <w:t> </w:t>
      </w:r>
      <w:r>
        <w:rPr>
          <w:w w:val="110"/>
        </w:rPr>
        <w:t>information;</w:t>
      </w:r>
      <w:r>
        <w:rPr>
          <w:rFonts w:ascii="Calibri" w:hAnsi="Calibri"/>
          <w:b w:val="0"/>
          <w:w w:val="110"/>
        </w:rPr>
        <w:t>”</w:t>
      </w:r>
    </w:p>
    <w:p>
      <w:pPr>
        <w:pStyle w:val="BodyText"/>
        <w:spacing w:before="4"/>
        <w:rPr>
          <w:sz w:val="18"/>
        </w:rPr>
      </w:pPr>
    </w:p>
    <w:p>
      <w:pPr>
        <w:pStyle w:val="BodyText"/>
        <w:spacing w:line="236" w:lineRule="exact" w:before="1"/>
        <w:ind w:left="1374"/>
      </w:pPr>
      <w:r>
        <w:rPr>
          <w:w w:val="120"/>
        </w:rPr>
        <w:t>Remove references to the deputy general secretary as follows:</w:t>
      </w:r>
    </w:p>
    <w:p>
      <w:pPr>
        <w:pStyle w:val="Heading9"/>
        <w:spacing w:line="213" w:lineRule="auto" w:before="14"/>
        <w:ind w:left="1374" w:right="1419" w:firstLine="0"/>
        <w:rPr>
          <w:rFonts w:ascii="Calibri" w:hAnsi="Calibri"/>
          <w:b w:val="0"/>
        </w:rPr>
      </w:pPr>
      <w:r>
        <w:rPr>
          <w:w w:val="110"/>
        </w:rPr>
        <w:t>2.(6)(A)(xxiii) </w:t>
      </w:r>
      <w:r>
        <w:rPr>
          <w:rFonts w:ascii="Calibri" w:hAnsi="Calibri"/>
          <w:b w:val="0"/>
          <w:w w:val="110"/>
        </w:rPr>
        <w:t>delete the words “</w:t>
      </w:r>
      <w:r>
        <w:rPr>
          <w:w w:val="110"/>
        </w:rPr>
        <w:t>, the Deputy General Secretary” replace the words “(acting through the Deputy General Secretary or his/her duly appointed deputy)” with “(acting through the General Assembly Representative or his/her duly appointed deputy)</w:t>
      </w:r>
      <w:r>
        <w:rPr>
          <w:rFonts w:ascii="Calibri" w:hAnsi="Calibri"/>
          <w:b w:val="0"/>
          <w:w w:val="110"/>
        </w:rPr>
        <w:t>”</w:t>
      </w:r>
    </w:p>
    <w:p>
      <w:pPr>
        <w:spacing w:line="255" w:lineRule="exact" w:before="215"/>
        <w:ind w:left="1374" w:right="0" w:firstLine="0"/>
        <w:jc w:val="left"/>
        <w:rPr>
          <w:rFonts w:ascii="Stone Sans II ITC Std Bk"/>
          <w:b/>
          <w:sz w:val="20"/>
        </w:rPr>
      </w:pPr>
      <w:r>
        <w:rPr>
          <w:rFonts w:ascii="Stone Sans II ITC Std Bk"/>
          <w:b/>
          <w:w w:val="110"/>
          <w:sz w:val="20"/>
        </w:rPr>
        <w:t>6.5</w:t>
      </w:r>
    </w:p>
    <w:p>
      <w:pPr>
        <w:spacing w:line="213" w:lineRule="auto" w:before="7"/>
        <w:ind w:left="1374" w:right="2004" w:firstLine="0"/>
        <w:jc w:val="left"/>
        <w:rPr>
          <w:sz w:val="20"/>
        </w:rPr>
      </w:pPr>
      <w:r>
        <w:rPr>
          <w:w w:val="115"/>
          <w:sz w:val="20"/>
        </w:rPr>
        <w:t>Replace the words “</w:t>
      </w:r>
      <w:r>
        <w:rPr>
          <w:rFonts w:ascii="Stone Sans II ITC Std Bk" w:hAnsi="Stone Sans II ITC Std Bk"/>
          <w:b/>
          <w:w w:val="115"/>
          <w:sz w:val="20"/>
        </w:rPr>
        <w:t>Deputy General Secretary</w:t>
      </w:r>
      <w:r>
        <w:rPr>
          <w:w w:val="115"/>
          <w:sz w:val="20"/>
        </w:rPr>
        <w:t>” with the words “</w:t>
      </w:r>
      <w:r>
        <w:rPr>
          <w:rFonts w:ascii="Stone Sans II ITC Std Bk" w:hAnsi="Stone Sans II ITC Std Bk"/>
          <w:b/>
          <w:w w:val="115"/>
          <w:sz w:val="20"/>
        </w:rPr>
        <w:t>General Assembly Representative</w:t>
      </w:r>
      <w:r>
        <w:rPr>
          <w:w w:val="115"/>
          <w:sz w:val="20"/>
        </w:rPr>
        <w:t>”.</w:t>
      </w:r>
    </w:p>
    <w:p>
      <w:pPr>
        <w:pStyle w:val="BodyText"/>
        <w:spacing w:before="9"/>
        <w:rPr>
          <w:sz w:val="18"/>
        </w:rPr>
      </w:pPr>
    </w:p>
    <w:p>
      <w:pPr>
        <w:pStyle w:val="BodyText"/>
        <w:ind w:left="1374"/>
      </w:pPr>
      <w:r>
        <w:rPr>
          <w:w w:val="120"/>
        </w:rPr>
        <w:t>Remove an inappropriate reference to Section O:</w:t>
      </w:r>
    </w:p>
    <w:p>
      <w:pPr>
        <w:pStyle w:val="BodyText"/>
        <w:spacing w:before="1"/>
      </w:pPr>
    </w:p>
    <w:p>
      <w:pPr>
        <w:spacing w:line="213" w:lineRule="auto" w:before="1"/>
        <w:ind w:left="1374" w:right="2004" w:firstLine="0"/>
        <w:jc w:val="left"/>
        <w:rPr>
          <w:sz w:val="20"/>
        </w:rPr>
      </w:pPr>
      <w:r>
        <w:rPr>
          <w:rFonts w:ascii="Stone Sans II ITC Std Bk" w:hAnsi="Stone Sans II ITC Std Bk"/>
          <w:b/>
          <w:w w:val="115"/>
          <w:sz w:val="20"/>
        </w:rPr>
        <w:t>2.(4) </w:t>
      </w:r>
      <w:r>
        <w:rPr>
          <w:w w:val="115"/>
          <w:sz w:val="20"/>
        </w:rPr>
        <w:t>In the sixth bullet point following the words “</w:t>
      </w:r>
      <w:r>
        <w:rPr>
          <w:rFonts w:ascii="Stone Sans II ITC Std Bk" w:hAnsi="Stone Sans II ITC Std Bk"/>
          <w:b/>
          <w:w w:val="115"/>
          <w:sz w:val="20"/>
        </w:rPr>
        <w:t>The moderator shall</w:t>
      </w:r>
      <w:r>
        <w:rPr>
          <w:w w:val="115"/>
          <w:sz w:val="20"/>
        </w:rPr>
        <w:t>” replace the words “</w:t>
      </w:r>
      <w:r>
        <w:rPr>
          <w:rFonts w:ascii="Stone Sans II ITC Std Bk" w:hAnsi="Stone Sans II ITC Std Bk"/>
          <w:b/>
          <w:w w:val="115"/>
          <w:sz w:val="20"/>
        </w:rPr>
        <w:t>Section O</w:t>
      </w:r>
      <w:r>
        <w:rPr>
          <w:w w:val="115"/>
          <w:sz w:val="20"/>
        </w:rPr>
        <w:t>” with “</w:t>
      </w:r>
      <w:r>
        <w:rPr>
          <w:rFonts w:ascii="Stone Sans II ITC Std Bk" w:hAnsi="Stone Sans II ITC Std Bk"/>
          <w:b/>
          <w:w w:val="115"/>
          <w:sz w:val="20"/>
        </w:rPr>
        <w:t>Disciplinary</w:t>
      </w:r>
      <w:r>
        <w:rPr>
          <w:w w:val="115"/>
          <w:sz w:val="20"/>
        </w:rPr>
        <w:t>”</w:t>
      </w:r>
    </w:p>
    <w:p>
      <w:pPr>
        <w:pStyle w:val="BodyText"/>
        <w:spacing w:before="8"/>
        <w:rPr>
          <w:sz w:val="17"/>
        </w:rPr>
      </w:pPr>
    </w:p>
    <w:p>
      <w:pPr>
        <w:spacing w:before="0"/>
        <w:ind w:left="1374" w:right="0" w:firstLine="0"/>
        <w:jc w:val="left"/>
        <w:rPr>
          <w:sz w:val="20"/>
        </w:rPr>
      </w:pPr>
      <w:r>
        <w:rPr>
          <w:w w:val="115"/>
          <w:sz w:val="20"/>
        </w:rPr>
        <w:t>Remove inaccurate references to </w:t>
      </w:r>
      <w:r>
        <w:rPr>
          <w:rFonts w:ascii="Stone Sans II ITC Std Bk"/>
          <w:b/>
          <w:w w:val="115"/>
          <w:sz w:val="20"/>
        </w:rPr>
        <w:t>paragraph (B)</w:t>
      </w:r>
      <w:r>
        <w:rPr>
          <w:w w:val="115"/>
          <w:sz w:val="20"/>
        </w:rPr>
        <w:t>:</w:t>
      </w:r>
    </w:p>
    <w:p>
      <w:pPr>
        <w:pStyle w:val="Heading9"/>
        <w:spacing w:line="255" w:lineRule="exact" w:before="210"/>
        <w:ind w:left="1374" w:firstLine="0"/>
      </w:pPr>
      <w:r>
        <w:rPr>
          <w:w w:val="110"/>
        </w:rPr>
        <w:t>2.(4)(A), 2.(5)(A) and 2.(6)(A)</w:t>
      </w:r>
    </w:p>
    <w:p>
      <w:pPr>
        <w:spacing w:line="240" w:lineRule="exact" w:before="0"/>
        <w:ind w:left="1374" w:right="0" w:firstLine="0"/>
        <w:jc w:val="left"/>
        <w:rPr>
          <w:rFonts w:ascii="Stone Sans II ITC Std Bk" w:hAnsi="Stone Sans II ITC Std Bk"/>
          <w:b/>
          <w:sz w:val="20"/>
        </w:rPr>
      </w:pPr>
      <w:r>
        <w:rPr>
          <w:w w:val="110"/>
          <w:sz w:val="20"/>
        </w:rPr>
        <w:t>In each case replace the words “</w:t>
      </w:r>
      <w:r>
        <w:rPr>
          <w:rFonts w:ascii="Stone Sans II ITC Std Bk" w:hAnsi="Stone Sans II ITC Std Bk"/>
          <w:b/>
          <w:w w:val="110"/>
          <w:sz w:val="20"/>
        </w:rPr>
        <w:t>(subject to the restriction referred to in Paragraph</w:t>
      </w:r>
    </w:p>
    <w:p>
      <w:pPr>
        <w:spacing w:line="240" w:lineRule="exact" w:before="0"/>
        <w:ind w:left="1374" w:right="0" w:firstLine="0"/>
        <w:jc w:val="left"/>
        <w:rPr>
          <w:rFonts w:ascii="Stone Sans II ITC Std Bk" w:hAnsi="Stone Sans II ITC Std Bk"/>
          <w:b/>
          <w:sz w:val="20"/>
        </w:rPr>
      </w:pPr>
      <w:r>
        <w:rPr>
          <w:rFonts w:ascii="Stone Sans II ITC Std Bk" w:hAnsi="Stone Sans II ITC Std Bk"/>
          <w:b/>
          <w:w w:val="110"/>
          <w:sz w:val="20"/>
        </w:rPr>
        <w:t>(B) below)</w:t>
      </w:r>
      <w:r>
        <w:rPr>
          <w:w w:val="110"/>
          <w:sz w:val="20"/>
        </w:rPr>
        <w:t>” with the words “</w:t>
      </w:r>
      <w:r>
        <w:rPr>
          <w:rFonts w:ascii="Stone Sans II ITC Std Bk" w:hAnsi="Stone Sans II ITC Std Bk"/>
          <w:b/>
          <w:w w:val="110"/>
          <w:sz w:val="20"/>
        </w:rPr>
        <w:t>(subject to the restriction referred to in Paragraph</w:t>
      </w:r>
    </w:p>
    <w:p>
      <w:pPr>
        <w:pStyle w:val="Heading9"/>
        <w:numPr>
          <w:ilvl w:val="1"/>
          <w:numId w:val="121"/>
        </w:numPr>
        <w:tabs>
          <w:tab w:pos="1756" w:val="left" w:leader="none"/>
        </w:tabs>
        <w:spacing w:line="255" w:lineRule="exact" w:before="0" w:after="0"/>
        <w:ind w:left="1755" w:right="0" w:hanging="382"/>
        <w:jc w:val="left"/>
        <w:rPr>
          <w:rFonts w:ascii="Calibri" w:hAnsi="Calibri"/>
          <w:b w:val="0"/>
        </w:rPr>
      </w:pPr>
      <w:r>
        <w:rPr>
          <w:spacing w:val="-3"/>
          <w:w w:val="115"/>
        </w:rPr>
        <w:t>below)</w:t>
      </w:r>
      <w:r>
        <w:rPr>
          <w:rFonts w:ascii="Calibri" w:hAnsi="Calibri"/>
          <w:b w:val="0"/>
          <w:spacing w:val="-3"/>
          <w:w w:val="115"/>
        </w:rPr>
        <w:t>”</w:t>
      </w:r>
    </w:p>
    <w:p>
      <w:pPr>
        <w:spacing w:after="0" w:line="255" w:lineRule="exact"/>
        <w:jc w:val="left"/>
        <w:rPr>
          <w:rFonts w:ascii="Calibri" w:hAnsi="Calibri"/>
        </w:rPr>
        <w:sectPr>
          <w:type w:val="continuous"/>
          <w:pgSz w:w="11910" w:h="16840"/>
          <w:pgMar w:top="680" w:bottom="280" w:left="0" w:right="0"/>
        </w:sectPr>
      </w:pPr>
    </w:p>
    <w:p>
      <w:pPr>
        <w:spacing w:before="94"/>
        <w:ind w:left="0" w:right="1245" w:firstLine="0"/>
        <w:jc w:val="right"/>
        <w:rPr>
          <w:sz w:val="26"/>
        </w:rPr>
      </w:pPr>
      <w:r>
        <w:rPr/>
        <w:pict>
          <v:shape style="position:absolute;margin-left:554.141174pt;margin-top:21.993946pt;width:25.9pt;height:140.65pt;mso-position-horizontal-relative:page;mso-position-vertical-relative:paragraph;z-index:252293120" type="#_x0000_t202" filled="false" stroked="false">
            <v:textbox inset="0,0,0,0" style="layout-flow:vertical">
              <w:txbxContent>
                <w:p>
                  <w:pPr>
                    <w:spacing w:before="27"/>
                    <w:ind w:left="20" w:right="0" w:firstLine="0"/>
                    <w:jc w:val="left"/>
                    <w:rPr>
                      <w:sz w:val="39"/>
                    </w:rPr>
                  </w:pPr>
                  <w:r>
                    <w:rPr>
                      <w:color w:val="FFFFFF"/>
                      <w:spacing w:val="9"/>
                      <w:w w:val="125"/>
                      <w:sz w:val="39"/>
                    </w:rPr>
                    <w:t>Resolution</w:t>
                  </w:r>
                  <w:r>
                    <w:rPr>
                      <w:color w:val="FFFFFF"/>
                      <w:spacing w:val="-46"/>
                      <w:w w:val="125"/>
                      <w:sz w:val="39"/>
                    </w:rPr>
                    <w:t> </w:t>
                  </w:r>
                  <w:r>
                    <w:rPr>
                      <w:color w:val="FFFFFF"/>
                      <w:spacing w:val="11"/>
                      <w:w w:val="125"/>
                      <w:sz w:val="39"/>
                    </w:rPr>
                    <w:t>19</w:t>
                  </w:r>
                </w:p>
              </w:txbxContent>
            </v:textbox>
            <w10:wrap type="none"/>
          </v:shape>
        </w:pict>
      </w:r>
      <w:r>
        <w:rPr>
          <w:color w:val="7EAABF"/>
          <w:w w:val="110"/>
          <w:sz w:val="26"/>
        </w:rPr>
        <w:t>Resolutions</w:t>
      </w:r>
    </w:p>
    <w:p>
      <w:pPr>
        <w:pStyle w:val="BodyText"/>
        <w:spacing w:before="4"/>
        <w:rPr>
          <w:sz w:val="19"/>
        </w:rPr>
      </w:pPr>
    </w:p>
    <w:p>
      <w:pPr>
        <w:spacing w:after="0"/>
        <w:rPr>
          <w:sz w:val="19"/>
        </w:rPr>
        <w:sectPr>
          <w:headerReference w:type="default" r:id="rId588"/>
          <w:pgSz w:w="11910" w:h="16840"/>
          <w:pgMar w:header="0" w:footer="480" w:top="520" w:bottom="680" w:left="0" w:right="0"/>
        </w:sectPr>
      </w:pPr>
    </w:p>
    <w:p>
      <w:pPr>
        <w:spacing w:before="152"/>
        <w:ind w:left="1984" w:right="0" w:firstLine="0"/>
        <w:jc w:val="left"/>
        <w:rPr>
          <w:rFonts w:ascii="Stone Sans II ITC Std Bk"/>
          <w:b/>
          <w:sz w:val="36"/>
        </w:rPr>
      </w:pPr>
      <w:r>
        <w:rPr>
          <w:rFonts w:ascii="Stone Sans II ITC Std Lt"/>
          <w:b w:val="0"/>
          <w:color w:val="7B4290"/>
          <w:w w:val="110"/>
          <w:sz w:val="29"/>
        </w:rPr>
        <w:t>Resolution </w:t>
      </w:r>
      <w:r>
        <w:rPr>
          <w:rFonts w:ascii="Stone Sans II ITC Std Bk"/>
          <w:b/>
          <w:color w:val="7B4290"/>
          <w:w w:val="110"/>
          <w:sz w:val="36"/>
        </w:rPr>
        <w:t>19</w:t>
      </w:r>
    </w:p>
    <w:p>
      <w:pPr>
        <w:spacing w:before="58"/>
        <w:ind w:left="1984" w:right="0" w:firstLine="0"/>
        <w:jc w:val="left"/>
        <w:rPr>
          <w:rFonts w:ascii="Stone Sans II ITC Std Bk"/>
          <w:b/>
          <w:sz w:val="25"/>
        </w:rPr>
      </w:pPr>
      <w:r>
        <w:rPr>
          <w:rFonts w:ascii="Stone Sans II ITC Std Bk"/>
          <w:b/>
          <w:w w:val="110"/>
          <w:sz w:val="25"/>
        </w:rPr>
        <w:t>Mission Council: Membership of governance bodies</w:t>
      </w:r>
    </w:p>
    <w:p>
      <w:pPr>
        <w:spacing w:before="101"/>
        <w:ind w:left="1051" w:right="1227" w:firstLine="0"/>
        <w:jc w:val="center"/>
        <w:rPr>
          <w:sz w:val="18"/>
        </w:rPr>
      </w:pPr>
      <w:r>
        <w:rPr/>
        <w:br w:type="column"/>
      </w:r>
      <w:r>
        <w:rPr>
          <w:color w:val="7EAABF"/>
          <w:w w:val="115"/>
          <w:sz w:val="18"/>
        </w:rPr>
        <w:t>page 51</w:t>
      </w:r>
    </w:p>
    <w:p>
      <w:pPr>
        <w:spacing w:after="0"/>
        <w:jc w:val="center"/>
        <w:rPr>
          <w:sz w:val="18"/>
        </w:rPr>
        <w:sectPr>
          <w:type w:val="continuous"/>
          <w:pgSz w:w="11910" w:h="16840"/>
          <w:pgMar w:top="680" w:bottom="280" w:left="0" w:right="0"/>
          <w:cols w:num="2" w:equalWidth="0">
            <w:col w:w="8886" w:space="40"/>
            <w:col w:w="2984"/>
          </w:cols>
        </w:sectPr>
      </w:pPr>
    </w:p>
    <w:p>
      <w:pPr>
        <w:pStyle w:val="ListParagraph"/>
        <w:numPr>
          <w:ilvl w:val="2"/>
          <w:numId w:val="121"/>
        </w:numPr>
        <w:tabs>
          <w:tab w:pos="2664" w:val="left" w:leader="none"/>
          <w:tab w:pos="2665" w:val="left" w:leader="none"/>
        </w:tabs>
        <w:spacing w:line="235" w:lineRule="auto" w:before="83" w:after="0"/>
        <w:ind w:left="1984" w:right="1529" w:firstLine="0"/>
        <w:jc w:val="left"/>
        <w:rPr>
          <w:sz w:val="20"/>
        </w:rPr>
      </w:pPr>
      <w:r>
        <w:rPr/>
        <w:pict>
          <v:group style="position:absolute;margin-left:60.236pt;margin-top:.000015pt;width:535.050pt;height:841.9pt;mso-position-horizontal-relative:page;mso-position-vertical-relative:page;z-index:-266984448" coordorigin="1205,0" coordsize="10701,16838">
            <v:shape style="position:absolute;left:10984;top:0;width:922;height:16838" type="#_x0000_t75" stroked="false">
              <v:imagedata r:id="rId575" o:title=""/>
            </v:shape>
            <v:rect style="position:absolute;left:1635;top:1200;width:9317;height:14654" filled="false" stroked="true" strokeweight="1pt" strokecolor="#000000">
              <v:stroke dashstyle="solid"/>
            </v:rect>
            <v:rect style="position:absolute;left:1204;top:15774;width:9766;height:180" filled="true" fillcolor="#ffffff" stroked="false">
              <v:fill type="solid"/>
            </v:rect>
            <w10:wrap type="none"/>
          </v:group>
        </w:pict>
      </w:r>
      <w:r>
        <w:rPr>
          <w:w w:val="120"/>
          <w:sz w:val="20"/>
        </w:rPr>
        <w:t>General Assembly agrees that with effect from the General Assembly of </w:t>
      </w:r>
      <w:r>
        <w:rPr>
          <w:spacing w:val="-7"/>
          <w:w w:val="120"/>
          <w:sz w:val="20"/>
        </w:rPr>
        <w:t>2016 </w:t>
      </w:r>
      <w:r>
        <w:rPr>
          <w:w w:val="120"/>
          <w:sz w:val="20"/>
        </w:rPr>
        <w:t>there shall no longer be six additional representatives of the Synod of Scotland under category</w:t>
      </w:r>
      <w:r>
        <w:rPr>
          <w:spacing w:val="2"/>
          <w:w w:val="120"/>
          <w:sz w:val="20"/>
        </w:rPr>
        <w:t> </w:t>
      </w:r>
      <w:r>
        <w:rPr>
          <w:spacing w:val="-6"/>
          <w:w w:val="120"/>
          <w:sz w:val="20"/>
        </w:rPr>
        <w:t>2.(6)(h).</w:t>
      </w:r>
    </w:p>
    <w:p>
      <w:pPr>
        <w:pStyle w:val="BodyText"/>
        <w:spacing w:before="10"/>
        <w:rPr>
          <w:sz w:val="19"/>
        </w:rPr>
      </w:pPr>
    </w:p>
    <w:p>
      <w:pPr>
        <w:pStyle w:val="ListParagraph"/>
        <w:numPr>
          <w:ilvl w:val="2"/>
          <w:numId w:val="121"/>
        </w:numPr>
        <w:tabs>
          <w:tab w:pos="2664" w:val="left" w:leader="none"/>
          <w:tab w:pos="2665" w:val="left" w:leader="none"/>
        </w:tabs>
        <w:spacing w:line="235" w:lineRule="auto" w:before="0" w:after="0"/>
        <w:ind w:left="1984" w:right="1428" w:firstLine="0"/>
        <w:jc w:val="left"/>
        <w:rPr>
          <w:sz w:val="20"/>
        </w:rPr>
      </w:pPr>
      <w:r>
        <w:rPr>
          <w:w w:val="120"/>
          <w:sz w:val="20"/>
        </w:rPr>
        <w:t>General Assembly agrees to make the following changes to the Structure of the United Reformed</w:t>
      </w:r>
      <w:r>
        <w:rPr>
          <w:spacing w:val="4"/>
          <w:w w:val="120"/>
          <w:sz w:val="20"/>
        </w:rPr>
        <w:t> </w:t>
      </w:r>
      <w:r>
        <w:rPr>
          <w:w w:val="120"/>
          <w:sz w:val="20"/>
        </w:rPr>
        <w:t>Church:</w:t>
      </w:r>
    </w:p>
    <w:p>
      <w:pPr>
        <w:pStyle w:val="BodyText"/>
        <w:spacing w:before="5"/>
        <w:rPr>
          <w:sz w:val="18"/>
        </w:rPr>
      </w:pPr>
    </w:p>
    <w:p>
      <w:pPr>
        <w:pStyle w:val="Heading9"/>
        <w:spacing w:line="240" w:lineRule="auto"/>
        <w:ind w:left="1984" w:firstLine="0"/>
      </w:pPr>
      <w:r>
        <w:rPr>
          <w:w w:val="110"/>
        </w:rPr>
        <w:t>Paragraph 2.(6)</w:t>
      </w:r>
    </w:p>
    <w:p>
      <w:pPr>
        <w:pStyle w:val="BodyText"/>
        <w:spacing w:before="2"/>
        <w:rPr>
          <w:rFonts w:ascii="Stone Sans II ITC Std Bk"/>
          <w:b/>
          <w:sz w:val="17"/>
        </w:rPr>
      </w:pPr>
    </w:p>
    <w:p>
      <w:pPr>
        <w:spacing w:line="213" w:lineRule="auto" w:before="1"/>
        <w:ind w:left="1984" w:right="1352" w:firstLine="0"/>
        <w:jc w:val="left"/>
        <w:rPr>
          <w:sz w:val="20"/>
        </w:rPr>
      </w:pPr>
      <w:r>
        <w:rPr>
          <w:w w:val="110"/>
          <w:sz w:val="20"/>
        </w:rPr>
        <w:t>Amend the first sentence to read: “</w:t>
      </w:r>
      <w:r>
        <w:rPr>
          <w:rFonts w:ascii="Stone Sans II ITC Std Bk" w:hAnsi="Stone Sans II ITC Std Bk"/>
          <w:b/>
          <w:w w:val="110"/>
          <w:sz w:val="20"/>
        </w:rPr>
        <w:t>The General Assembly which shall embody the unity of the United Reformed Church and act as the central organ of its life and the final authority, under the Word of God and the promised guidance of the Holy Spirit, in all matters of doctrine and order and in all other concerns of its common life shall consist of members of the United Reformed Church (save for those in categories (g), (l), (m) and (n)) as follows:</w:t>
      </w:r>
      <w:r>
        <w:rPr>
          <w:w w:val="110"/>
          <w:sz w:val="20"/>
        </w:rPr>
        <w:t>”</w:t>
      </w:r>
    </w:p>
    <w:p>
      <w:pPr>
        <w:pStyle w:val="BodyText"/>
        <w:spacing w:before="3"/>
        <w:rPr>
          <w:sz w:val="19"/>
        </w:rPr>
      </w:pPr>
    </w:p>
    <w:p>
      <w:pPr>
        <w:spacing w:line="213" w:lineRule="auto" w:before="1"/>
        <w:ind w:left="1984" w:right="1519" w:firstLine="0"/>
        <w:jc w:val="left"/>
        <w:rPr>
          <w:sz w:val="20"/>
        </w:rPr>
      </w:pPr>
      <w:r>
        <w:rPr>
          <w:w w:val="110"/>
          <w:sz w:val="20"/>
        </w:rPr>
        <w:t>Amend category </w:t>
      </w:r>
      <w:r>
        <w:rPr>
          <w:spacing w:val="-7"/>
          <w:w w:val="110"/>
          <w:sz w:val="20"/>
        </w:rPr>
        <w:t>(d) </w:t>
      </w:r>
      <w:r>
        <w:rPr>
          <w:w w:val="110"/>
          <w:sz w:val="20"/>
        </w:rPr>
        <w:t>by the deletion of the words: </w:t>
      </w:r>
      <w:r>
        <w:rPr>
          <w:spacing w:val="-10"/>
          <w:w w:val="110"/>
          <w:sz w:val="20"/>
        </w:rPr>
        <w:t>“</w:t>
      </w:r>
      <w:r>
        <w:rPr>
          <w:rFonts w:ascii="Stone Sans II ITC Std Bk" w:hAnsi="Stone Sans II ITC Std Bk"/>
          <w:b/>
          <w:spacing w:val="-10"/>
          <w:w w:val="110"/>
          <w:sz w:val="20"/>
        </w:rPr>
        <w:t>, </w:t>
      </w:r>
      <w:r>
        <w:rPr>
          <w:rFonts w:ascii="Stone Sans II ITC Std Bk" w:hAnsi="Stone Sans II ITC Std Bk"/>
          <w:b/>
          <w:w w:val="110"/>
          <w:sz w:val="20"/>
        </w:rPr>
        <w:t>a committee convener  or otherwise entitled to membership of the Assembly,</w:t>
      </w:r>
      <w:r>
        <w:rPr>
          <w:w w:val="110"/>
          <w:sz w:val="20"/>
        </w:rPr>
        <w:t>” so  that  it  reads:  “</w:t>
      </w:r>
      <w:r>
        <w:rPr>
          <w:rFonts w:ascii="Stone Sans II ITC Std Bk" w:hAnsi="Stone Sans II ITC Std Bk"/>
          <w:b/>
          <w:w w:val="110"/>
          <w:sz w:val="20"/>
        </w:rPr>
        <w:t>Where the moderator of synod is an officer of the Assembly the synod concerned shall appoint a substitute as its</w:t>
      </w:r>
      <w:r>
        <w:rPr>
          <w:rFonts w:ascii="Stone Sans II ITC Std Bk" w:hAnsi="Stone Sans II ITC Std Bk"/>
          <w:b/>
          <w:spacing w:val="-2"/>
          <w:w w:val="110"/>
          <w:sz w:val="20"/>
        </w:rPr>
        <w:t> </w:t>
      </w:r>
      <w:r>
        <w:rPr>
          <w:rFonts w:ascii="Stone Sans II ITC Std Bk" w:hAnsi="Stone Sans II ITC Std Bk"/>
          <w:b/>
          <w:w w:val="110"/>
          <w:sz w:val="20"/>
        </w:rPr>
        <w:t>representative</w:t>
      </w:r>
      <w:r>
        <w:rPr>
          <w:w w:val="110"/>
          <w:sz w:val="20"/>
        </w:rPr>
        <w:t>”.</w:t>
      </w:r>
    </w:p>
    <w:p>
      <w:pPr>
        <w:pStyle w:val="BodyText"/>
        <w:spacing w:before="5"/>
        <w:rPr>
          <w:sz w:val="19"/>
        </w:rPr>
      </w:pPr>
    </w:p>
    <w:p>
      <w:pPr>
        <w:spacing w:line="213" w:lineRule="auto" w:before="0"/>
        <w:ind w:left="1984" w:right="1820" w:firstLine="0"/>
        <w:jc w:val="left"/>
        <w:rPr>
          <w:sz w:val="20"/>
        </w:rPr>
      </w:pPr>
      <w:r>
        <w:rPr>
          <w:w w:val="115"/>
          <w:sz w:val="20"/>
        </w:rPr>
        <w:t>Amend category (f) by the deletion of the words: “</w:t>
      </w:r>
      <w:r>
        <w:rPr>
          <w:rFonts w:ascii="Stone Sans II ITC Std Bk" w:hAnsi="Stone Sans II ITC Std Bk"/>
          <w:b/>
          <w:w w:val="115"/>
          <w:sz w:val="20"/>
        </w:rPr>
        <w:t>being members of the United Reformed Church,</w:t>
      </w:r>
      <w:r>
        <w:rPr>
          <w:w w:val="115"/>
          <w:sz w:val="20"/>
        </w:rPr>
        <w:t>” (twice).</w:t>
      </w:r>
    </w:p>
    <w:p>
      <w:pPr>
        <w:pStyle w:val="BodyText"/>
        <w:spacing w:before="7"/>
        <w:rPr>
          <w:sz w:val="19"/>
        </w:rPr>
      </w:pPr>
    </w:p>
    <w:p>
      <w:pPr>
        <w:spacing w:line="213" w:lineRule="auto" w:before="0"/>
        <w:ind w:left="1984" w:right="1414" w:firstLine="0"/>
        <w:jc w:val="left"/>
        <w:rPr>
          <w:sz w:val="20"/>
        </w:rPr>
      </w:pPr>
      <w:r>
        <w:rPr>
          <w:w w:val="115"/>
          <w:sz w:val="20"/>
        </w:rPr>
        <w:t>Amend category (j) by the addition of the words: “</w:t>
      </w:r>
      <w:r>
        <w:rPr>
          <w:rFonts w:ascii="Stone Sans II ITC Std Bk" w:hAnsi="Stone Sans II ITC Std Bk"/>
          <w:b/>
          <w:w w:val="115"/>
          <w:sz w:val="20"/>
        </w:rPr>
        <w:t>former chairmen and presidents of the Congregational Union of Scotland,</w:t>
      </w:r>
      <w:r>
        <w:rPr>
          <w:w w:val="115"/>
          <w:sz w:val="20"/>
        </w:rPr>
        <w:t>” before the words: “provided that” and delete the words “</w:t>
      </w:r>
      <w:r>
        <w:rPr>
          <w:rFonts w:ascii="Stone Sans II ITC Std Bk" w:hAnsi="Stone Sans II ITC Std Bk"/>
          <w:b/>
          <w:w w:val="115"/>
          <w:sz w:val="20"/>
        </w:rPr>
        <w:t>such former officers are members of the United Reformed Church and</w:t>
      </w:r>
      <w:r>
        <w:rPr>
          <w:rFonts w:ascii="Stone Sans II ITC Std Bk" w:hAnsi="Stone Sans II ITC Std Bk"/>
          <w:b/>
          <w:spacing w:val="-7"/>
          <w:w w:val="115"/>
          <w:sz w:val="20"/>
        </w:rPr>
        <w:t> </w:t>
      </w:r>
      <w:r>
        <w:rPr>
          <w:rFonts w:ascii="Stone Sans II ITC Std Bk" w:hAnsi="Stone Sans II ITC Std Bk"/>
          <w:b/>
          <w:w w:val="115"/>
          <w:sz w:val="20"/>
        </w:rPr>
        <w:t>that</w:t>
      </w:r>
      <w:r>
        <w:rPr>
          <w:w w:val="115"/>
          <w:sz w:val="20"/>
        </w:rPr>
        <w:t>”</w:t>
      </w:r>
    </w:p>
    <w:p>
      <w:pPr>
        <w:pStyle w:val="BodyText"/>
        <w:spacing w:before="5"/>
        <w:rPr>
          <w:sz w:val="19"/>
        </w:rPr>
      </w:pPr>
    </w:p>
    <w:p>
      <w:pPr>
        <w:spacing w:line="213" w:lineRule="auto" w:before="0"/>
        <w:ind w:left="1984" w:right="1352" w:firstLine="0"/>
        <w:jc w:val="left"/>
        <w:rPr>
          <w:sz w:val="20"/>
        </w:rPr>
      </w:pPr>
      <w:r>
        <w:rPr>
          <w:w w:val="115"/>
          <w:sz w:val="20"/>
        </w:rPr>
        <w:t>Amend category (k) by the deletion of the words: “</w:t>
      </w:r>
      <w:r>
        <w:rPr>
          <w:rFonts w:ascii="Stone Sans II ITC Std Bk" w:hAnsi="Stone Sans II ITC Std Bk"/>
          <w:b/>
          <w:w w:val="115"/>
          <w:sz w:val="20"/>
        </w:rPr>
        <w:t>, being members of the United Reformed Church,</w:t>
      </w:r>
      <w:r>
        <w:rPr>
          <w:w w:val="115"/>
          <w:sz w:val="20"/>
        </w:rPr>
        <w:t>”</w:t>
      </w:r>
    </w:p>
    <w:p>
      <w:pPr>
        <w:pStyle w:val="BodyText"/>
        <w:spacing w:before="1"/>
        <w:rPr>
          <w:sz w:val="19"/>
        </w:rPr>
      </w:pPr>
    </w:p>
    <w:p>
      <w:pPr>
        <w:pStyle w:val="ListParagraph"/>
        <w:numPr>
          <w:ilvl w:val="2"/>
          <w:numId w:val="121"/>
        </w:numPr>
        <w:tabs>
          <w:tab w:pos="2664" w:val="left" w:leader="none"/>
          <w:tab w:pos="2665" w:val="left" w:leader="none"/>
        </w:tabs>
        <w:spacing w:line="235" w:lineRule="auto" w:before="0" w:after="0"/>
        <w:ind w:left="1984" w:right="1262" w:firstLine="0"/>
        <w:jc w:val="left"/>
        <w:rPr>
          <w:sz w:val="20"/>
        </w:rPr>
      </w:pPr>
      <w:r>
        <w:rPr>
          <w:w w:val="120"/>
          <w:sz w:val="20"/>
        </w:rPr>
        <w:t>General Assembly agrees to appoint the deputy general secretary administration and resources, the deputy general secretary discipleship and the deputy general secretary mission as members of Assembly under category</w:t>
      </w:r>
      <w:r>
        <w:rPr>
          <w:spacing w:val="33"/>
          <w:w w:val="120"/>
          <w:sz w:val="20"/>
        </w:rPr>
        <w:t> </w:t>
      </w:r>
      <w:r>
        <w:rPr>
          <w:spacing w:val="-8"/>
          <w:w w:val="120"/>
          <w:sz w:val="20"/>
        </w:rPr>
        <w:t>2.(6)(n).</w:t>
      </w:r>
    </w:p>
    <w:p>
      <w:pPr>
        <w:pStyle w:val="BodyText"/>
        <w:spacing w:before="10"/>
        <w:rPr>
          <w:sz w:val="19"/>
        </w:rPr>
      </w:pPr>
    </w:p>
    <w:p>
      <w:pPr>
        <w:pStyle w:val="ListParagraph"/>
        <w:numPr>
          <w:ilvl w:val="2"/>
          <w:numId w:val="121"/>
        </w:numPr>
        <w:tabs>
          <w:tab w:pos="2665" w:val="left" w:leader="none"/>
        </w:tabs>
        <w:spacing w:line="235" w:lineRule="auto" w:before="0" w:after="0"/>
        <w:ind w:left="1984" w:right="1719" w:firstLine="0"/>
        <w:jc w:val="both"/>
        <w:rPr>
          <w:sz w:val="20"/>
        </w:rPr>
      </w:pPr>
      <w:r>
        <w:rPr>
          <w:w w:val="120"/>
          <w:sz w:val="20"/>
        </w:rPr>
        <w:t>General Assembly agrees that the deputy treasurer shall be a member of the United Reformed Church, and further agrees that the deputy treasurer for the time being</w:t>
      </w:r>
      <w:r>
        <w:rPr>
          <w:spacing w:val="8"/>
          <w:w w:val="120"/>
          <w:sz w:val="20"/>
        </w:rPr>
        <w:t> </w:t>
      </w:r>
      <w:r>
        <w:rPr>
          <w:w w:val="120"/>
          <w:sz w:val="20"/>
        </w:rPr>
        <w:t>shall</w:t>
      </w:r>
      <w:r>
        <w:rPr>
          <w:spacing w:val="8"/>
          <w:w w:val="120"/>
          <w:sz w:val="20"/>
        </w:rPr>
        <w:t> </w:t>
      </w:r>
      <w:r>
        <w:rPr>
          <w:w w:val="120"/>
          <w:sz w:val="20"/>
        </w:rPr>
        <w:t>be</w:t>
      </w:r>
      <w:r>
        <w:rPr>
          <w:spacing w:val="8"/>
          <w:w w:val="120"/>
          <w:sz w:val="20"/>
        </w:rPr>
        <w:t> </w:t>
      </w:r>
      <w:r>
        <w:rPr>
          <w:w w:val="120"/>
          <w:sz w:val="20"/>
        </w:rPr>
        <w:t>appointed</w:t>
      </w:r>
      <w:r>
        <w:rPr>
          <w:spacing w:val="9"/>
          <w:w w:val="120"/>
          <w:sz w:val="20"/>
        </w:rPr>
        <w:t> </w:t>
      </w:r>
      <w:r>
        <w:rPr>
          <w:w w:val="120"/>
          <w:sz w:val="20"/>
        </w:rPr>
        <w:t>as</w:t>
      </w:r>
      <w:r>
        <w:rPr>
          <w:spacing w:val="8"/>
          <w:w w:val="120"/>
          <w:sz w:val="20"/>
        </w:rPr>
        <w:t> </w:t>
      </w:r>
      <w:r>
        <w:rPr>
          <w:w w:val="120"/>
          <w:sz w:val="20"/>
        </w:rPr>
        <w:t>a</w:t>
      </w:r>
      <w:r>
        <w:rPr>
          <w:spacing w:val="8"/>
          <w:w w:val="120"/>
          <w:sz w:val="20"/>
        </w:rPr>
        <w:t> </w:t>
      </w:r>
      <w:r>
        <w:rPr>
          <w:w w:val="120"/>
          <w:sz w:val="20"/>
        </w:rPr>
        <w:t>member</w:t>
      </w:r>
      <w:r>
        <w:rPr>
          <w:spacing w:val="9"/>
          <w:w w:val="120"/>
          <w:sz w:val="20"/>
        </w:rPr>
        <w:t> </w:t>
      </w:r>
      <w:r>
        <w:rPr>
          <w:w w:val="120"/>
          <w:sz w:val="20"/>
        </w:rPr>
        <w:t>of</w:t>
      </w:r>
      <w:r>
        <w:rPr>
          <w:spacing w:val="8"/>
          <w:w w:val="120"/>
          <w:sz w:val="20"/>
        </w:rPr>
        <w:t> </w:t>
      </w:r>
      <w:r>
        <w:rPr>
          <w:w w:val="120"/>
          <w:sz w:val="20"/>
        </w:rPr>
        <w:t>Assembly</w:t>
      </w:r>
      <w:r>
        <w:rPr>
          <w:spacing w:val="8"/>
          <w:w w:val="120"/>
          <w:sz w:val="20"/>
        </w:rPr>
        <w:t> </w:t>
      </w:r>
      <w:r>
        <w:rPr>
          <w:w w:val="120"/>
          <w:sz w:val="20"/>
        </w:rPr>
        <w:t>under</w:t>
      </w:r>
      <w:r>
        <w:rPr>
          <w:spacing w:val="9"/>
          <w:w w:val="120"/>
          <w:sz w:val="20"/>
        </w:rPr>
        <w:t> </w:t>
      </w:r>
      <w:r>
        <w:rPr>
          <w:w w:val="120"/>
          <w:sz w:val="20"/>
        </w:rPr>
        <w:t>category</w:t>
      </w:r>
      <w:r>
        <w:rPr>
          <w:spacing w:val="8"/>
          <w:w w:val="120"/>
          <w:sz w:val="20"/>
        </w:rPr>
        <w:t> </w:t>
      </w:r>
      <w:r>
        <w:rPr>
          <w:spacing w:val="-6"/>
          <w:w w:val="120"/>
          <w:sz w:val="20"/>
        </w:rPr>
        <w:t>2.(6)(h).</w:t>
      </w:r>
    </w:p>
    <w:p>
      <w:pPr>
        <w:pStyle w:val="BodyText"/>
        <w:spacing w:before="8"/>
      </w:pPr>
    </w:p>
    <w:p>
      <w:pPr>
        <w:pStyle w:val="ListParagraph"/>
        <w:numPr>
          <w:ilvl w:val="2"/>
          <w:numId w:val="121"/>
        </w:numPr>
        <w:tabs>
          <w:tab w:pos="2664" w:val="left" w:leader="none"/>
          <w:tab w:pos="2665" w:val="left" w:leader="none"/>
        </w:tabs>
        <w:spacing w:line="223" w:lineRule="auto" w:before="0" w:after="0"/>
        <w:ind w:left="1984" w:right="1600" w:firstLine="0"/>
        <w:jc w:val="left"/>
        <w:rPr>
          <w:sz w:val="20"/>
        </w:rPr>
      </w:pPr>
      <w:r>
        <w:rPr>
          <w:w w:val="115"/>
          <w:sz w:val="20"/>
        </w:rPr>
        <w:t>General Assembly agrees to make  the  following  change  to  the  Structure  of the United Reformed Church: Amend category </w:t>
      </w:r>
      <w:r>
        <w:rPr>
          <w:spacing w:val="-9"/>
          <w:w w:val="115"/>
          <w:sz w:val="20"/>
        </w:rPr>
        <w:t>2.(4)(a) </w:t>
      </w:r>
      <w:r>
        <w:rPr>
          <w:w w:val="115"/>
          <w:sz w:val="20"/>
        </w:rPr>
        <w:t>by the addition of the words: “</w:t>
      </w:r>
      <w:r>
        <w:rPr>
          <w:rFonts w:ascii="Stone Sans II ITC Std Bk" w:hAnsi="Stone Sans II ITC Std Bk"/>
          <w:b/>
          <w:w w:val="115"/>
          <w:sz w:val="20"/>
        </w:rPr>
        <w:t>and Assembly appointed ministers who are members of a local church in that</w:t>
      </w:r>
      <w:r>
        <w:rPr>
          <w:rFonts w:ascii="Stone Sans II ITC Std Bk" w:hAnsi="Stone Sans II ITC Std Bk"/>
          <w:b/>
          <w:spacing w:val="-4"/>
          <w:w w:val="115"/>
          <w:sz w:val="20"/>
        </w:rPr>
        <w:t> </w:t>
      </w:r>
      <w:r>
        <w:rPr>
          <w:rFonts w:ascii="Stone Sans II ITC Std Bk" w:hAnsi="Stone Sans II ITC Std Bk"/>
          <w:b/>
          <w:w w:val="115"/>
          <w:sz w:val="20"/>
        </w:rPr>
        <w:t>synod</w:t>
      </w:r>
      <w:r>
        <w:rPr>
          <w:w w:val="115"/>
          <w:sz w:val="20"/>
        </w:rPr>
        <w:t>”.</w:t>
      </w:r>
    </w:p>
    <w:p>
      <w:pPr>
        <w:pStyle w:val="BodyText"/>
        <w:spacing w:before="10"/>
        <w:rPr>
          <w:sz w:val="18"/>
        </w:rPr>
      </w:pPr>
    </w:p>
    <w:p>
      <w:pPr>
        <w:pStyle w:val="ListParagraph"/>
        <w:numPr>
          <w:ilvl w:val="2"/>
          <w:numId w:val="121"/>
        </w:numPr>
        <w:tabs>
          <w:tab w:pos="2664" w:val="left" w:leader="none"/>
          <w:tab w:pos="2665" w:val="left" w:leader="none"/>
        </w:tabs>
        <w:spacing w:line="242" w:lineRule="exact" w:before="0" w:after="0"/>
        <w:ind w:left="2664" w:right="0" w:hanging="681"/>
        <w:jc w:val="left"/>
        <w:rPr>
          <w:sz w:val="20"/>
        </w:rPr>
      </w:pPr>
      <w:r>
        <w:rPr>
          <w:w w:val="120"/>
          <w:sz w:val="20"/>
        </w:rPr>
        <w:t>General Assembly agrees that the membership of Mission Council shall</w:t>
      </w:r>
      <w:r>
        <w:rPr>
          <w:spacing w:val="24"/>
          <w:w w:val="120"/>
          <w:sz w:val="20"/>
        </w:rPr>
        <w:t> </w:t>
      </w:r>
      <w:r>
        <w:rPr>
          <w:w w:val="120"/>
          <w:sz w:val="20"/>
        </w:rPr>
        <w:t>be:</w:t>
      </w:r>
    </w:p>
    <w:p>
      <w:pPr>
        <w:pStyle w:val="ListParagraph"/>
        <w:numPr>
          <w:ilvl w:val="3"/>
          <w:numId w:val="121"/>
        </w:numPr>
        <w:tabs>
          <w:tab w:pos="3458" w:val="left" w:leader="none"/>
          <w:tab w:pos="3459" w:val="left" w:leader="none"/>
        </w:tabs>
        <w:spacing w:line="240" w:lineRule="exact" w:before="0" w:after="0"/>
        <w:ind w:left="3458" w:right="0" w:hanging="795"/>
        <w:jc w:val="left"/>
        <w:rPr>
          <w:sz w:val="20"/>
        </w:rPr>
      </w:pPr>
      <w:r>
        <w:rPr>
          <w:w w:val="115"/>
          <w:sz w:val="20"/>
        </w:rPr>
        <w:t>Moderators of</w:t>
      </w:r>
      <w:r>
        <w:rPr>
          <w:spacing w:val="9"/>
          <w:w w:val="115"/>
          <w:sz w:val="20"/>
        </w:rPr>
        <w:t> </w:t>
      </w:r>
      <w:r>
        <w:rPr>
          <w:w w:val="115"/>
          <w:sz w:val="20"/>
        </w:rPr>
        <w:t>Assembly</w:t>
      </w:r>
    </w:p>
    <w:p>
      <w:pPr>
        <w:pStyle w:val="ListParagraph"/>
        <w:numPr>
          <w:ilvl w:val="3"/>
          <w:numId w:val="121"/>
        </w:numPr>
        <w:tabs>
          <w:tab w:pos="3458" w:val="left" w:leader="none"/>
          <w:tab w:pos="3459" w:val="left" w:leader="none"/>
        </w:tabs>
        <w:spacing w:line="240" w:lineRule="exact" w:before="0" w:after="0"/>
        <w:ind w:left="3458" w:right="0" w:hanging="795"/>
        <w:jc w:val="left"/>
        <w:rPr>
          <w:sz w:val="20"/>
        </w:rPr>
      </w:pPr>
      <w:r>
        <w:rPr>
          <w:w w:val="120"/>
          <w:sz w:val="20"/>
        </w:rPr>
        <w:t>Moderators-elect</w:t>
      </w:r>
    </w:p>
    <w:p>
      <w:pPr>
        <w:pStyle w:val="ListParagraph"/>
        <w:numPr>
          <w:ilvl w:val="3"/>
          <w:numId w:val="121"/>
        </w:numPr>
        <w:tabs>
          <w:tab w:pos="3458" w:val="left" w:leader="none"/>
          <w:tab w:pos="3459" w:val="left" w:leader="none"/>
        </w:tabs>
        <w:spacing w:line="240" w:lineRule="exact" w:before="0" w:after="0"/>
        <w:ind w:left="3458" w:right="0" w:hanging="795"/>
        <w:jc w:val="left"/>
        <w:rPr>
          <w:sz w:val="20"/>
        </w:rPr>
      </w:pPr>
      <w:r>
        <w:rPr>
          <w:w w:val="120"/>
          <w:sz w:val="20"/>
        </w:rPr>
        <w:t>Immediate past</w:t>
      </w:r>
      <w:r>
        <w:rPr>
          <w:spacing w:val="3"/>
          <w:w w:val="120"/>
          <w:sz w:val="20"/>
        </w:rPr>
        <w:t> </w:t>
      </w:r>
      <w:r>
        <w:rPr>
          <w:w w:val="120"/>
          <w:sz w:val="20"/>
        </w:rPr>
        <w:t>moderators</w:t>
      </w:r>
    </w:p>
    <w:p>
      <w:pPr>
        <w:pStyle w:val="ListParagraph"/>
        <w:numPr>
          <w:ilvl w:val="3"/>
          <w:numId w:val="121"/>
        </w:numPr>
        <w:tabs>
          <w:tab w:pos="3458" w:val="left" w:leader="none"/>
          <w:tab w:pos="3459" w:val="left" w:leader="none"/>
        </w:tabs>
        <w:spacing w:line="240" w:lineRule="exact" w:before="0" w:after="0"/>
        <w:ind w:left="3458" w:right="0" w:hanging="795"/>
        <w:jc w:val="left"/>
        <w:rPr>
          <w:sz w:val="20"/>
        </w:rPr>
      </w:pPr>
      <w:r>
        <w:rPr>
          <w:w w:val="120"/>
          <w:sz w:val="20"/>
        </w:rPr>
        <w:t>General</w:t>
      </w:r>
      <w:r>
        <w:rPr>
          <w:spacing w:val="1"/>
          <w:w w:val="120"/>
          <w:sz w:val="20"/>
        </w:rPr>
        <w:t> </w:t>
      </w:r>
      <w:r>
        <w:rPr>
          <w:w w:val="120"/>
          <w:sz w:val="20"/>
        </w:rPr>
        <w:t>secretary</w:t>
      </w:r>
    </w:p>
    <w:p>
      <w:pPr>
        <w:pStyle w:val="ListParagraph"/>
        <w:numPr>
          <w:ilvl w:val="3"/>
          <w:numId w:val="121"/>
        </w:numPr>
        <w:tabs>
          <w:tab w:pos="3458" w:val="left" w:leader="none"/>
          <w:tab w:pos="3459" w:val="left" w:leader="none"/>
        </w:tabs>
        <w:spacing w:line="240" w:lineRule="exact" w:before="0" w:after="0"/>
        <w:ind w:left="3458" w:right="0" w:hanging="795"/>
        <w:jc w:val="left"/>
        <w:rPr>
          <w:sz w:val="20"/>
        </w:rPr>
      </w:pPr>
      <w:r>
        <w:rPr>
          <w:w w:val="120"/>
          <w:sz w:val="20"/>
        </w:rPr>
        <w:t>Deputy general</w:t>
      </w:r>
      <w:r>
        <w:rPr>
          <w:spacing w:val="4"/>
          <w:w w:val="120"/>
          <w:sz w:val="20"/>
        </w:rPr>
        <w:t> </w:t>
      </w:r>
      <w:r>
        <w:rPr>
          <w:w w:val="120"/>
          <w:sz w:val="20"/>
        </w:rPr>
        <w:t>secretaries</w:t>
      </w:r>
    </w:p>
    <w:p>
      <w:pPr>
        <w:pStyle w:val="ListParagraph"/>
        <w:numPr>
          <w:ilvl w:val="3"/>
          <w:numId w:val="121"/>
        </w:numPr>
        <w:tabs>
          <w:tab w:pos="3458" w:val="left" w:leader="none"/>
          <w:tab w:pos="3459" w:val="left" w:leader="none"/>
        </w:tabs>
        <w:spacing w:line="240" w:lineRule="exact" w:before="0" w:after="0"/>
        <w:ind w:left="3458" w:right="0" w:hanging="795"/>
        <w:jc w:val="left"/>
        <w:rPr>
          <w:sz w:val="20"/>
        </w:rPr>
      </w:pPr>
      <w:r>
        <w:rPr>
          <w:w w:val="120"/>
          <w:sz w:val="20"/>
        </w:rPr>
        <w:t>Clerk</w:t>
      </w:r>
    </w:p>
    <w:p>
      <w:pPr>
        <w:pStyle w:val="ListParagraph"/>
        <w:numPr>
          <w:ilvl w:val="3"/>
          <w:numId w:val="121"/>
        </w:numPr>
        <w:tabs>
          <w:tab w:pos="3458" w:val="left" w:leader="none"/>
          <w:tab w:pos="3459" w:val="left" w:leader="none"/>
        </w:tabs>
        <w:spacing w:line="240" w:lineRule="exact" w:before="0" w:after="0"/>
        <w:ind w:left="3458" w:right="0" w:hanging="795"/>
        <w:jc w:val="left"/>
        <w:rPr>
          <w:sz w:val="20"/>
        </w:rPr>
      </w:pPr>
      <w:r>
        <w:rPr>
          <w:w w:val="115"/>
          <w:sz w:val="20"/>
        </w:rPr>
        <w:t>Treasurer</w:t>
      </w:r>
    </w:p>
    <w:p>
      <w:pPr>
        <w:pStyle w:val="ListParagraph"/>
        <w:numPr>
          <w:ilvl w:val="3"/>
          <w:numId w:val="121"/>
        </w:numPr>
        <w:tabs>
          <w:tab w:pos="3458" w:val="left" w:leader="none"/>
          <w:tab w:pos="3459" w:val="left" w:leader="none"/>
        </w:tabs>
        <w:spacing w:line="240" w:lineRule="exact" w:before="0" w:after="0"/>
        <w:ind w:left="3458" w:right="0" w:hanging="795"/>
        <w:jc w:val="left"/>
        <w:rPr>
          <w:sz w:val="20"/>
        </w:rPr>
      </w:pPr>
      <w:r>
        <w:rPr>
          <w:w w:val="120"/>
          <w:sz w:val="20"/>
        </w:rPr>
        <w:t>Deputy</w:t>
      </w:r>
      <w:r>
        <w:rPr>
          <w:spacing w:val="1"/>
          <w:w w:val="120"/>
          <w:sz w:val="20"/>
        </w:rPr>
        <w:t> </w:t>
      </w:r>
      <w:r>
        <w:rPr>
          <w:w w:val="120"/>
          <w:sz w:val="20"/>
        </w:rPr>
        <w:t>treasurer</w:t>
      </w:r>
    </w:p>
    <w:p>
      <w:pPr>
        <w:pStyle w:val="ListParagraph"/>
        <w:numPr>
          <w:ilvl w:val="3"/>
          <w:numId w:val="121"/>
        </w:numPr>
        <w:tabs>
          <w:tab w:pos="3458" w:val="left" w:leader="none"/>
          <w:tab w:pos="3459" w:val="left" w:leader="none"/>
        </w:tabs>
        <w:spacing w:line="240" w:lineRule="exact" w:before="0" w:after="0"/>
        <w:ind w:left="3458" w:right="0" w:hanging="795"/>
        <w:jc w:val="left"/>
        <w:rPr>
          <w:sz w:val="20"/>
        </w:rPr>
      </w:pPr>
      <w:r>
        <w:rPr>
          <w:w w:val="120"/>
          <w:sz w:val="20"/>
        </w:rPr>
        <w:t>Conveners of all Assembly standing</w:t>
      </w:r>
      <w:r>
        <w:rPr>
          <w:spacing w:val="11"/>
          <w:w w:val="120"/>
          <w:sz w:val="20"/>
        </w:rPr>
        <w:t> </w:t>
      </w:r>
      <w:r>
        <w:rPr>
          <w:w w:val="120"/>
          <w:sz w:val="20"/>
        </w:rPr>
        <w:t>committees</w:t>
      </w:r>
    </w:p>
    <w:p>
      <w:pPr>
        <w:pStyle w:val="ListParagraph"/>
        <w:numPr>
          <w:ilvl w:val="3"/>
          <w:numId w:val="121"/>
        </w:numPr>
        <w:tabs>
          <w:tab w:pos="3458" w:val="left" w:leader="none"/>
          <w:tab w:pos="3459" w:val="left" w:leader="none"/>
        </w:tabs>
        <w:spacing w:line="242" w:lineRule="exact" w:before="0" w:after="0"/>
        <w:ind w:left="3458" w:right="0" w:hanging="795"/>
        <w:jc w:val="left"/>
        <w:rPr>
          <w:sz w:val="20"/>
        </w:rPr>
      </w:pPr>
      <w:r>
        <w:rPr>
          <w:w w:val="120"/>
          <w:sz w:val="20"/>
        </w:rPr>
        <w:t>Synod</w:t>
      </w:r>
      <w:r>
        <w:rPr>
          <w:spacing w:val="2"/>
          <w:w w:val="120"/>
          <w:sz w:val="20"/>
        </w:rPr>
        <w:t> </w:t>
      </w:r>
      <w:r>
        <w:rPr>
          <w:w w:val="120"/>
          <w:sz w:val="20"/>
        </w:rPr>
        <w:t>moderators</w:t>
      </w:r>
    </w:p>
    <w:p>
      <w:pPr>
        <w:spacing w:after="0" w:line="242" w:lineRule="exact"/>
        <w:jc w:val="left"/>
        <w:rPr>
          <w:sz w:val="20"/>
        </w:rPr>
        <w:sectPr>
          <w:type w:val="continuous"/>
          <w:pgSz w:w="11910" w:h="16840"/>
          <w:pgMar w:top="680" w:bottom="280" w:left="0" w:right="0"/>
        </w:sectPr>
      </w:pPr>
    </w:p>
    <w:p>
      <w:pPr>
        <w:pStyle w:val="BodyText"/>
      </w:pPr>
      <w:r>
        <w:rPr/>
        <w:drawing>
          <wp:anchor distT="0" distB="0" distL="0" distR="0" allowOverlap="1" layoutInCell="1" locked="0" behindDoc="0" simplePos="0" relativeHeight="252311552">
            <wp:simplePos x="0" y="0"/>
            <wp:positionH relativeFrom="page">
              <wp:posOffset>0</wp:posOffset>
            </wp:positionH>
            <wp:positionV relativeFrom="page">
              <wp:posOffset>0</wp:posOffset>
            </wp:positionV>
            <wp:extent cx="594067" cy="10692003"/>
            <wp:effectExtent l="0" t="0" r="0" b="0"/>
            <wp:wrapNone/>
            <wp:docPr id="455" name="image90.png"/>
            <wp:cNvGraphicFramePr>
              <a:graphicFrameLocks noChangeAspect="1"/>
            </wp:cNvGraphicFramePr>
            <a:graphic>
              <a:graphicData uri="http://schemas.openxmlformats.org/drawingml/2006/picture">
                <pic:pic>
                  <pic:nvPicPr>
                    <pic:cNvPr id="456" name="image90.png"/>
                    <pic:cNvPicPr/>
                  </pic:nvPicPr>
                  <pic:blipFill>
                    <a:blip r:embed="rId579"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pStyle w:val="Heading5"/>
      </w:pPr>
      <w:r>
        <w:rPr/>
        <w:pict>
          <v:group style="position:absolute;margin-left:53.583pt;margin-top:22.171946pt;width:488.3pt;height:309.4pt;mso-position-horizontal-relative:page;mso-position-vertical-relative:paragraph;z-index:-266966016" coordorigin="1072,443" coordsize="9766,6188">
            <v:rect style="position:absolute;left:1124;top:543;width:9317;height:6079" filled="false" stroked="true" strokeweight="1pt" strokecolor="#000000">
              <v:stroke dashstyle="solid"/>
            </v:rect>
            <v:rect style="position:absolute;left:1071;top:443;width:9766;height:180" filled="true" fillcolor="#ffffff" stroked="false">
              <v:fill type="solid"/>
            </v:rect>
            <w10:wrap type="none"/>
          </v:group>
        </w:pict>
      </w:r>
      <w:r>
        <w:rPr>
          <w:color w:val="7EAABF"/>
          <w:w w:val="115"/>
        </w:rPr>
        <w:t>Resolutions</w:t>
      </w:r>
    </w:p>
    <w:p>
      <w:pPr>
        <w:pStyle w:val="ListParagraph"/>
        <w:numPr>
          <w:ilvl w:val="3"/>
          <w:numId w:val="121"/>
        </w:numPr>
        <w:tabs>
          <w:tab w:pos="2848" w:val="left" w:leader="none"/>
          <w:tab w:pos="2849" w:val="left" w:leader="none"/>
        </w:tabs>
        <w:spacing w:line="242" w:lineRule="exact" w:before="218" w:after="0"/>
        <w:ind w:left="2848" w:right="0" w:hanging="794"/>
        <w:jc w:val="left"/>
        <w:rPr>
          <w:sz w:val="20"/>
        </w:rPr>
      </w:pPr>
      <w:r>
        <w:rPr/>
        <w:pict>
          <v:shape style="position:absolute;margin-left:20.519100pt;margin-top:19.012506pt;width:25.9pt;height:183.25pt;mso-position-horizontal-relative:page;mso-position-vertical-relative:paragraph;z-index:252312576" type="#_x0000_t202" filled="false" stroked="false">
            <v:textbox inset="0,0,0,0" style="layout-flow:vertical">
              <w:txbxContent>
                <w:p>
                  <w:pPr>
                    <w:spacing w:before="27"/>
                    <w:ind w:left="20" w:right="0" w:firstLine="0"/>
                    <w:jc w:val="left"/>
                    <w:rPr>
                      <w:sz w:val="39"/>
                    </w:rPr>
                  </w:pPr>
                  <w:r>
                    <w:rPr>
                      <w:color w:val="FFFFFF"/>
                      <w:w w:val="120"/>
                      <w:sz w:val="39"/>
                    </w:rPr>
                    <w:t>Resolutions 19-21</w:t>
                  </w:r>
                </w:p>
              </w:txbxContent>
            </v:textbox>
            <w10:wrap type="none"/>
          </v:shape>
        </w:pict>
      </w:r>
      <w:r>
        <w:rPr>
          <w:w w:val="120"/>
          <w:sz w:val="20"/>
        </w:rPr>
        <w:t>Three further representatives of each</w:t>
      </w:r>
      <w:r>
        <w:rPr>
          <w:spacing w:val="8"/>
          <w:w w:val="120"/>
          <w:sz w:val="20"/>
        </w:rPr>
        <w:t> </w:t>
      </w:r>
      <w:r>
        <w:rPr>
          <w:w w:val="120"/>
          <w:sz w:val="20"/>
        </w:rPr>
        <w:t>synod</w:t>
      </w:r>
    </w:p>
    <w:p>
      <w:pPr>
        <w:pStyle w:val="ListParagraph"/>
        <w:numPr>
          <w:ilvl w:val="3"/>
          <w:numId w:val="121"/>
        </w:numPr>
        <w:tabs>
          <w:tab w:pos="2848" w:val="left" w:leader="none"/>
          <w:tab w:pos="2849" w:val="left" w:leader="none"/>
        </w:tabs>
        <w:spacing w:line="240" w:lineRule="exact" w:before="0" w:after="0"/>
        <w:ind w:left="2848" w:right="0" w:hanging="794"/>
        <w:jc w:val="left"/>
        <w:rPr>
          <w:sz w:val="20"/>
        </w:rPr>
      </w:pPr>
      <w:r>
        <w:rPr>
          <w:w w:val="120"/>
          <w:sz w:val="20"/>
        </w:rPr>
        <w:t>Three representatives of FURY (including the FURY</w:t>
      </w:r>
      <w:r>
        <w:rPr>
          <w:spacing w:val="14"/>
          <w:w w:val="120"/>
          <w:sz w:val="20"/>
        </w:rPr>
        <w:t> </w:t>
      </w:r>
      <w:r>
        <w:rPr>
          <w:w w:val="120"/>
          <w:sz w:val="20"/>
        </w:rPr>
        <w:t>moderator)</w:t>
      </w:r>
    </w:p>
    <w:p>
      <w:pPr>
        <w:pStyle w:val="ListParagraph"/>
        <w:numPr>
          <w:ilvl w:val="3"/>
          <w:numId w:val="121"/>
        </w:numPr>
        <w:tabs>
          <w:tab w:pos="2848" w:val="left" w:leader="none"/>
          <w:tab w:pos="2849" w:val="left" w:leader="none"/>
        </w:tabs>
        <w:spacing w:line="242" w:lineRule="exact" w:before="0" w:after="0"/>
        <w:ind w:left="2848" w:right="0" w:hanging="794"/>
        <w:jc w:val="left"/>
        <w:rPr>
          <w:sz w:val="20"/>
        </w:rPr>
      </w:pPr>
      <w:r>
        <w:rPr>
          <w:w w:val="120"/>
          <w:sz w:val="20"/>
        </w:rPr>
        <w:t>Chair of the United Reformed Church</w:t>
      </w:r>
      <w:r>
        <w:rPr>
          <w:spacing w:val="12"/>
          <w:w w:val="120"/>
          <w:sz w:val="20"/>
        </w:rPr>
        <w:t> </w:t>
      </w:r>
      <w:r>
        <w:rPr>
          <w:w w:val="120"/>
          <w:sz w:val="20"/>
        </w:rPr>
        <w:t>Trust</w:t>
      </w:r>
    </w:p>
    <w:p>
      <w:pPr>
        <w:pStyle w:val="BodyText"/>
        <w:spacing w:before="7"/>
        <w:rPr>
          <w:sz w:val="19"/>
        </w:rPr>
      </w:pPr>
    </w:p>
    <w:p>
      <w:pPr>
        <w:pStyle w:val="BodyText"/>
        <w:spacing w:line="235" w:lineRule="auto"/>
        <w:ind w:left="1374" w:right="1820"/>
      </w:pPr>
      <w:r>
        <w:rPr>
          <w:w w:val="120"/>
        </w:rPr>
        <w:t>With the exception of those in category 5 (the deputy general secretaries) all the above shall be members of the United Reformed Church.</w:t>
      </w:r>
    </w:p>
    <w:p>
      <w:pPr>
        <w:pStyle w:val="BodyText"/>
        <w:spacing w:before="10"/>
        <w:rPr>
          <w:sz w:val="19"/>
        </w:rPr>
      </w:pPr>
    </w:p>
    <w:p>
      <w:pPr>
        <w:pStyle w:val="BodyText"/>
        <w:spacing w:line="235" w:lineRule="auto"/>
        <w:ind w:left="1374" w:right="1701"/>
      </w:pPr>
      <w:r>
        <w:rPr>
          <w:w w:val="120"/>
        </w:rPr>
        <w:t>The legal adviser and the convener of the law and polity advisory group shall be in attendance with the right to speak at all times, but not to use consensus cards or to vote.</w:t>
      </w:r>
    </w:p>
    <w:p>
      <w:pPr>
        <w:pStyle w:val="BodyText"/>
        <w:spacing w:before="9"/>
        <w:rPr>
          <w:sz w:val="19"/>
        </w:rPr>
      </w:pPr>
    </w:p>
    <w:p>
      <w:pPr>
        <w:pStyle w:val="BodyText"/>
        <w:spacing w:line="235" w:lineRule="auto" w:before="1"/>
        <w:ind w:left="1374" w:right="1352"/>
      </w:pPr>
      <w:r>
        <w:rPr>
          <w:w w:val="120"/>
        </w:rPr>
        <w:t>Staff secretaries shall be in attendance with the right to speak (except during the decision stage of the consensus process) but not to use consensus cards or to vote.</w:t>
      </w:r>
    </w:p>
    <w:p>
      <w:pPr>
        <w:pStyle w:val="BodyText"/>
        <w:spacing w:before="9"/>
        <w:rPr>
          <w:sz w:val="19"/>
        </w:rPr>
      </w:pPr>
    </w:p>
    <w:p>
      <w:pPr>
        <w:pStyle w:val="BodyText"/>
        <w:spacing w:line="235" w:lineRule="auto"/>
        <w:ind w:left="1374" w:right="1820"/>
      </w:pPr>
      <w:r>
        <w:rPr>
          <w:w w:val="120"/>
        </w:rPr>
        <w:t>Up to two ecumenical representatives may attend with the right to speak (except during the decision stage of the consensus process) but not to use consensus cards or to vote.</w:t>
      </w:r>
    </w:p>
    <w:p>
      <w:pPr>
        <w:pStyle w:val="BodyText"/>
        <w:spacing w:before="10"/>
        <w:rPr>
          <w:sz w:val="19"/>
        </w:rPr>
      </w:pPr>
    </w:p>
    <w:p>
      <w:pPr>
        <w:pStyle w:val="BodyText"/>
        <w:spacing w:line="235" w:lineRule="auto"/>
        <w:ind w:left="1374" w:right="1820"/>
      </w:pPr>
      <w:r>
        <w:rPr>
          <w:w w:val="120"/>
        </w:rPr>
        <w:t>Also present shall be the moderators’ chaplains, the minute secretary, the consensus adviser (pending separate decision) and other staff members as agreed by committee conveners and the general secretary. These may participate in group sessions, and may speak during plenary sessions with the consent of the moderator.</w:t>
      </w:r>
    </w:p>
    <w:p>
      <w:pPr>
        <w:pStyle w:val="BodyText"/>
        <w:spacing w:before="11"/>
        <w:rPr>
          <w:sz w:val="19"/>
        </w:rPr>
      </w:pPr>
    </w:p>
    <w:p>
      <w:pPr>
        <w:pStyle w:val="BodyText"/>
        <w:spacing w:line="235" w:lineRule="auto"/>
        <w:ind w:left="1374" w:right="1820"/>
      </w:pPr>
      <w:r>
        <w:rPr>
          <w:w w:val="120"/>
        </w:rPr>
        <w:t>From time to time there may be visitors and/or observers present by prior arrangement with the general secretary. They shall not have the right to speak or participate in any way during plenary or group sessions, unless with the explicit consent of the moderator.</w:t>
      </w:r>
    </w:p>
    <w:p>
      <w:pPr>
        <w:pStyle w:val="BodyText"/>
      </w:pPr>
    </w:p>
    <w:p>
      <w:pPr>
        <w:pStyle w:val="BodyText"/>
      </w:pPr>
    </w:p>
    <w:p>
      <w:pPr>
        <w:pStyle w:val="BodyText"/>
        <w:spacing w:before="2"/>
        <w:rPr>
          <w:sz w:val="16"/>
        </w:rPr>
      </w:pPr>
      <w:r>
        <w:rPr/>
        <w:pict>
          <v:group style="position:absolute;margin-left:54.709pt;margin-top:11.850914pt;width:466.85pt;height:89.45pt;mso-position-horizontal-relative:page;mso-position-vertical-relative:paragraph;z-index:-251020288;mso-wrap-distance-left:0;mso-wrap-distance-right:0" coordorigin="1094,237" coordsize="9337,1789">
            <v:rect style="position:absolute;left:1104;top:247;width:9317;height:1769" filled="false" stroked="true" strokeweight="1.0pt" strokecolor="#000000">
              <v:stroke dashstyle="solid"/>
            </v:rect>
            <v:shape style="position:absolute;left:9576;top:329;width:686;height:219" type="#_x0000_t202" filled="false" stroked="false">
              <v:textbox inset="0,0,0,0">
                <w:txbxContent>
                  <w:p>
                    <w:pPr>
                      <w:spacing w:line="217" w:lineRule="exact" w:before="1"/>
                      <w:ind w:left="0" w:right="0" w:firstLine="0"/>
                      <w:jc w:val="left"/>
                      <w:rPr>
                        <w:sz w:val="18"/>
                      </w:rPr>
                    </w:pPr>
                    <w:r>
                      <w:rPr>
                        <w:color w:val="7EAABF"/>
                        <w:w w:val="115"/>
                        <w:sz w:val="18"/>
                      </w:rPr>
                      <w:t>page 34</w:t>
                    </w:r>
                  </w:p>
                </w:txbxContent>
              </v:textbox>
              <w10:wrap type="none"/>
            </v:shape>
            <v:shape style="position:absolute;left:1374;top:298;width:8126;height:1433" type="#_x0000_t202" filled="false" stroked="false">
              <v:textbox inset="0,0,0,0">
                <w:txbxContent>
                  <w:p>
                    <w:pPr>
                      <w:spacing w:line="477" w:lineRule="exact" w:before="0"/>
                      <w:ind w:left="0" w:right="0" w:firstLine="0"/>
                      <w:jc w:val="left"/>
                      <w:rPr>
                        <w:rFonts w:ascii="Stone Sans II ITC Std Bk"/>
                        <w:b/>
                        <w:sz w:val="36"/>
                      </w:rPr>
                    </w:pPr>
                    <w:r>
                      <w:rPr>
                        <w:rFonts w:ascii="Stone Sans II ITC Std Lt"/>
                        <w:b w:val="0"/>
                        <w:color w:val="7B4290"/>
                        <w:w w:val="110"/>
                        <w:sz w:val="29"/>
                      </w:rPr>
                      <w:t>Resolution </w:t>
                    </w:r>
                    <w:r>
                      <w:rPr>
                        <w:rFonts w:ascii="Stone Sans II ITC Std Bk"/>
                        <w:b/>
                        <w:color w:val="7B4290"/>
                        <w:w w:val="110"/>
                        <w:sz w:val="36"/>
                      </w:rPr>
                      <w:t>20</w:t>
                    </w:r>
                  </w:p>
                  <w:p>
                    <w:pPr>
                      <w:spacing w:before="58"/>
                      <w:ind w:left="0" w:right="0" w:firstLine="0"/>
                      <w:jc w:val="left"/>
                      <w:rPr>
                        <w:rFonts w:ascii="Stone Sans II ITC Std Bk"/>
                        <w:b/>
                        <w:sz w:val="25"/>
                      </w:rPr>
                    </w:pPr>
                    <w:r>
                      <w:rPr>
                        <w:rFonts w:ascii="Stone Sans II ITC Std Bk"/>
                        <w:b/>
                        <w:w w:val="110"/>
                        <w:sz w:val="25"/>
                      </w:rPr>
                      <w:t>Mission Council: Membership of Mission Council</w:t>
                    </w:r>
                  </w:p>
                  <w:p>
                    <w:pPr>
                      <w:spacing w:line="235" w:lineRule="auto" w:before="83"/>
                      <w:ind w:left="0" w:right="0" w:firstLine="0"/>
                      <w:jc w:val="left"/>
                      <w:rPr>
                        <w:sz w:val="20"/>
                      </w:rPr>
                    </w:pPr>
                    <w:r>
                      <w:rPr>
                        <w:w w:val="120"/>
                        <w:sz w:val="20"/>
                      </w:rPr>
                      <w:t>General Assembly resolves that the convener of the pastoral reference and welfare committee shall be a member of Mission Council.</w:t>
                    </w:r>
                  </w:p>
                </w:txbxContent>
              </v:textbox>
              <w10:wrap type="none"/>
            </v:shape>
            <w10:wrap type="topAndBottom"/>
          </v:group>
        </w:pict>
      </w:r>
      <w:r>
        <w:rPr/>
        <w:pict>
          <v:group style="position:absolute;margin-left:55.709pt;margin-top:119.569916pt;width:467.8pt;height:298.5pt;mso-position-horizontal-relative:page;mso-position-vertical-relative:paragraph;z-index:-251006976;mso-wrap-distance-left:0;mso-wrap-distance-right:0" coordorigin="1114,2391" coordsize="9356,5970">
            <v:rect style="position:absolute;left:1124;top:2401;width:9317;height:5950" filled="false" stroked="true" strokeweight="1pt" strokecolor="#000000">
              <v:stroke dashstyle="solid"/>
            </v:rect>
            <v:shape style="position:absolute;left:1374;top:7298;width:8793;height:960" type="#_x0000_t202" filled="false" stroked="false">
              <v:textbox inset="0,0,0,0">
                <w:txbxContent>
                  <w:p>
                    <w:pPr>
                      <w:spacing w:line="235" w:lineRule="auto" w:before="3"/>
                      <w:ind w:left="0" w:right="0" w:firstLine="0"/>
                      <w:jc w:val="left"/>
                      <w:rPr>
                        <w:sz w:val="20"/>
                      </w:rPr>
                    </w:pPr>
                    <w:r>
                      <w:rPr>
                        <w:w w:val="120"/>
                        <w:sz w:val="20"/>
                      </w:rPr>
                      <w:t>of 1981, the Assembly delegates any further exercise that may be necessary of its powers under s.18(1) and s.10(1) respectively (including any amendment of the provision now made) to Mission Council. This is in substitution for the delegation made to the executive committee by the Uniting Assembly of 1972.</w:t>
                    </w:r>
                  </w:p>
                </w:txbxContent>
              </v:textbox>
              <w10:wrap type="none"/>
            </v:shape>
            <v:shape style="position:absolute;left:2055;top:7058;width:8392;height:240" type="#_x0000_t202" filled="false" stroked="false">
              <v:textbox inset="0,0,0,0">
                <w:txbxContent>
                  <w:p>
                    <w:pPr>
                      <w:spacing w:line="240" w:lineRule="exact" w:before="0"/>
                      <w:ind w:left="0" w:right="0" w:firstLine="0"/>
                      <w:jc w:val="left"/>
                      <w:rPr>
                        <w:sz w:val="20"/>
                      </w:rPr>
                    </w:pPr>
                    <w:r>
                      <w:rPr>
                        <w:w w:val="120"/>
                        <w:sz w:val="20"/>
                      </w:rPr>
                      <w:t>In exercise of the power conferred by s.18(2) of the Act of 1972 and s.10(2) of the Act</w:t>
                    </w:r>
                  </w:p>
                </w:txbxContent>
              </v:textbox>
              <w10:wrap type="none"/>
            </v:shape>
            <v:shape style="position:absolute;left:1374;top:7058;width:226;height:240" type="#_x0000_t202" filled="false" stroked="false">
              <v:textbox inset="0,0,0,0">
                <w:txbxContent>
                  <w:p>
                    <w:pPr>
                      <w:spacing w:line="240" w:lineRule="exact" w:before="0"/>
                      <w:ind w:left="0" w:right="0" w:firstLine="0"/>
                      <w:jc w:val="left"/>
                      <w:rPr>
                        <w:sz w:val="20"/>
                      </w:rPr>
                    </w:pPr>
                    <w:r>
                      <w:rPr>
                        <w:w w:val="135"/>
                        <w:sz w:val="20"/>
                      </w:rPr>
                      <w:t>4)</w:t>
                    </w:r>
                  </w:p>
                </w:txbxContent>
              </v:textbox>
              <w10:wrap type="none"/>
            </v:shape>
            <v:shape style="position:absolute;left:1374;top:6338;width:8916;height:480" type="#_x0000_t202" filled="false" stroked="false">
              <v:textbox inset="0,0,0,0">
                <w:txbxContent>
                  <w:p>
                    <w:pPr>
                      <w:spacing w:line="235" w:lineRule="auto" w:before="3"/>
                      <w:ind w:left="0" w:right="79" w:firstLine="0"/>
                      <w:jc w:val="left"/>
                      <w:rPr>
                        <w:sz w:val="20"/>
                      </w:rPr>
                    </w:pPr>
                    <w:r>
                      <w:rPr>
                        <w:w w:val="120"/>
                        <w:sz w:val="20"/>
                      </w:rPr>
                      <w:t>relation to </w:t>
                    </w:r>
                    <w:r>
                      <w:rPr>
                        <w:spacing w:val="2"/>
                        <w:w w:val="120"/>
                        <w:sz w:val="20"/>
                      </w:rPr>
                      <w:t>property </w:t>
                    </w:r>
                    <w:r>
                      <w:rPr>
                        <w:w w:val="120"/>
                        <w:sz w:val="20"/>
                      </w:rPr>
                      <w:t>governed by s. </w:t>
                    </w:r>
                    <w:r>
                      <w:rPr>
                        <w:spacing w:val="-6"/>
                        <w:w w:val="120"/>
                        <w:sz w:val="20"/>
                      </w:rPr>
                      <w:t>8(2) </w:t>
                    </w:r>
                    <w:r>
                      <w:rPr>
                        <w:w w:val="120"/>
                        <w:sz w:val="20"/>
                      </w:rPr>
                      <w:t>of and Schedule 2 to the Act of </w:t>
                    </w:r>
                    <w:r>
                      <w:rPr>
                        <w:spacing w:val="-7"/>
                        <w:w w:val="120"/>
                        <w:sz w:val="20"/>
                      </w:rPr>
                      <w:t>1972, </w:t>
                    </w:r>
                    <w:r>
                      <w:rPr>
                        <w:w w:val="120"/>
                        <w:sz w:val="20"/>
                      </w:rPr>
                      <w:t>or by s. </w:t>
                    </w:r>
                    <w:r>
                      <w:rPr>
                        <w:spacing w:val="-6"/>
                        <w:w w:val="120"/>
                        <w:sz w:val="20"/>
                      </w:rPr>
                      <w:t>6(2)  </w:t>
                    </w:r>
                    <w:r>
                      <w:rPr>
                        <w:w w:val="120"/>
                        <w:sz w:val="20"/>
                      </w:rPr>
                      <w:t>of and Schedule 2 to the Act of </w:t>
                    </w:r>
                    <w:r>
                      <w:rPr>
                        <w:spacing w:val="-8"/>
                        <w:w w:val="120"/>
                        <w:sz w:val="20"/>
                      </w:rPr>
                      <w:t>1981, </w:t>
                    </w:r>
                    <w:r>
                      <w:rPr>
                        <w:w w:val="120"/>
                        <w:sz w:val="20"/>
                      </w:rPr>
                      <w:t>or to </w:t>
                    </w:r>
                    <w:r>
                      <w:rPr>
                        <w:spacing w:val="2"/>
                        <w:w w:val="120"/>
                        <w:sz w:val="20"/>
                      </w:rPr>
                      <w:t>property </w:t>
                    </w:r>
                    <w:r>
                      <w:rPr>
                        <w:w w:val="120"/>
                        <w:sz w:val="20"/>
                      </w:rPr>
                      <w:t>in</w:t>
                    </w:r>
                    <w:r>
                      <w:rPr>
                        <w:spacing w:val="45"/>
                        <w:w w:val="120"/>
                        <w:sz w:val="20"/>
                      </w:rPr>
                      <w:t> </w:t>
                    </w:r>
                    <w:r>
                      <w:rPr>
                        <w:w w:val="120"/>
                        <w:sz w:val="20"/>
                      </w:rPr>
                      <w:t>Scotland.</w:t>
                    </w:r>
                  </w:p>
                </w:txbxContent>
              </v:textbox>
              <w10:wrap type="none"/>
            </v:shape>
            <v:shape style="position:absolute;left:2055;top:6098;width:7933;height:240" type="#_x0000_t202" filled="false" stroked="false">
              <v:textbox inset="0,0,0,0">
                <w:txbxContent>
                  <w:p>
                    <w:pPr>
                      <w:spacing w:line="240" w:lineRule="exact" w:before="0"/>
                      <w:ind w:left="0" w:right="0" w:firstLine="0"/>
                      <w:jc w:val="left"/>
                      <w:rPr>
                        <w:sz w:val="20"/>
                      </w:rPr>
                    </w:pPr>
                    <w:r>
                      <w:rPr>
                        <w:w w:val="120"/>
                        <w:sz w:val="20"/>
                      </w:rPr>
                      <w:t>For the avoidance of doubt, this appointment does not affect trusts or powers in</w:t>
                    </w:r>
                  </w:p>
                </w:txbxContent>
              </v:textbox>
              <w10:wrap type="none"/>
            </v:shape>
            <v:shape style="position:absolute;left:1374;top:6098;width:221;height:240" type="#_x0000_t202" filled="false" stroked="false">
              <v:textbox inset="0,0,0,0">
                <w:txbxContent>
                  <w:p>
                    <w:pPr>
                      <w:spacing w:line="240" w:lineRule="exact" w:before="0"/>
                      <w:ind w:left="0" w:right="0" w:firstLine="0"/>
                      <w:jc w:val="left"/>
                      <w:rPr>
                        <w:sz w:val="20"/>
                      </w:rPr>
                    </w:pPr>
                    <w:r>
                      <w:rPr>
                        <w:w w:val="135"/>
                        <w:sz w:val="20"/>
                      </w:rPr>
                      <w:t>3)</w:t>
                    </w:r>
                  </w:p>
                </w:txbxContent>
              </v:textbox>
              <w10:wrap type="none"/>
            </v:shape>
            <v:shape style="position:absolute;left:1374;top:5378;width:8957;height:480" type="#_x0000_t202" filled="false" stroked="false">
              <v:textbox inset="0,0,0,0">
                <w:txbxContent>
                  <w:p>
                    <w:pPr>
                      <w:spacing w:line="235" w:lineRule="auto" w:before="3"/>
                      <w:ind w:left="0" w:right="0" w:firstLine="0"/>
                      <w:jc w:val="left"/>
                      <w:rPr>
                        <w:sz w:val="20"/>
                      </w:rPr>
                    </w:pPr>
                    <w:r>
                      <w:rPr>
                        <w:w w:val="120"/>
                        <w:sz w:val="20"/>
                      </w:rPr>
                      <w:t>with due regard to any recommendations of the elders’ meeting or of other councils of the United Reformed Church exercising oversight over the local church concerned.</w:t>
                    </w:r>
                  </w:p>
                </w:txbxContent>
              </v:textbox>
              <w10:wrap type="none"/>
            </v:shape>
            <v:shape style="position:absolute;left:2055;top:5138;width:8174;height:240" type="#_x0000_t202" filled="false" stroked="false">
              <v:textbox inset="0,0,0,0">
                <w:txbxContent>
                  <w:p>
                    <w:pPr>
                      <w:spacing w:line="240" w:lineRule="exact" w:before="0"/>
                      <w:ind w:left="0" w:right="0" w:firstLine="0"/>
                      <w:jc w:val="left"/>
                      <w:rPr>
                        <w:sz w:val="20"/>
                      </w:rPr>
                    </w:pPr>
                    <w:r>
                      <w:rPr>
                        <w:w w:val="120"/>
                        <w:sz w:val="20"/>
                      </w:rPr>
                      <w:t>In exercising any power vested in it by this resolution, a church meeting should act</w:t>
                    </w:r>
                  </w:p>
                </w:txbxContent>
              </v:textbox>
              <w10:wrap type="none"/>
            </v:shape>
            <v:shape style="position:absolute;left:1374;top:5138;width:225;height:240" type="#_x0000_t202" filled="false" stroked="false">
              <v:textbox inset="0,0,0,0">
                <w:txbxContent>
                  <w:p>
                    <w:pPr>
                      <w:spacing w:line="240" w:lineRule="exact" w:before="0"/>
                      <w:ind w:left="0" w:right="0" w:firstLine="0"/>
                      <w:jc w:val="left"/>
                      <w:rPr>
                        <w:sz w:val="20"/>
                      </w:rPr>
                    </w:pPr>
                    <w:r>
                      <w:rPr>
                        <w:w w:val="135"/>
                        <w:sz w:val="20"/>
                      </w:rPr>
                      <w:t>2)</w:t>
                    </w:r>
                  </w:p>
                </w:txbxContent>
              </v:textbox>
              <w10:wrap type="none"/>
            </v:shape>
            <v:shape style="position:absolute;left:1374;top:3458;width:9096;height:1440" type="#_x0000_t202" filled="false" stroked="false">
              <v:textbox inset="0,0,0,0">
                <w:txbxContent>
                  <w:p>
                    <w:pPr>
                      <w:tabs>
                        <w:tab w:pos="680" w:val="left" w:leader="none"/>
                      </w:tabs>
                      <w:spacing w:line="235" w:lineRule="auto" w:before="3"/>
                      <w:ind w:left="0" w:right="18" w:firstLine="0"/>
                      <w:jc w:val="left"/>
                      <w:rPr>
                        <w:sz w:val="20"/>
                      </w:rPr>
                    </w:pPr>
                    <w:r>
                      <w:rPr>
                        <w:spacing w:val="-11"/>
                        <w:w w:val="120"/>
                        <w:sz w:val="20"/>
                      </w:rPr>
                      <w:t>1)</w:t>
                      <w:tab/>
                    </w:r>
                    <w:r>
                      <w:rPr>
                        <w:w w:val="120"/>
                        <w:sz w:val="20"/>
                      </w:rPr>
                      <w:t>The General </w:t>
                    </w:r>
                    <w:r>
                      <w:rPr>
                        <w:spacing w:val="-3"/>
                        <w:w w:val="120"/>
                        <w:sz w:val="20"/>
                      </w:rPr>
                      <w:t>Assembly, </w:t>
                    </w:r>
                    <w:r>
                      <w:rPr>
                        <w:w w:val="120"/>
                        <w:sz w:val="20"/>
                      </w:rPr>
                      <w:t>in </w:t>
                    </w:r>
                    <w:r>
                      <w:rPr>
                        <w:spacing w:val="-3"/>
                        <w:w w:val="120"/>
                        <w:sz w:val="20"/>
                      </w:rPr>
                      <w:t>exercise </w:t>
                    </w:r>
                    <w:r>
                      <w:rPr>
                        <w:w w:val="120"/>
                        <w:sz w:val="20"/>
                      </w:rPr>
                      <w:t>of the powers conferred by </w:t>
                    </w:r>
                    <w:r>
                      <w:rPr>
                        <w:spacing w:val="-11"/>
                        <w:w w:val="120"/>
                        <w:sz w:val="20"/>
                      </w:rPr>
                      <w:t>s.18(1) </w:t>
                    </w:r>
                    <w:r>
                      <w:rPr>
                        <w:w w:val="120"/>
                        <w:sz w:val="20"/>
                      </w:rPr>
                      <w:t>of the </w:t>
                    </w:r>
                    <w:r>
                      <w:rPr>
                        <w:spacing w:val="-3"/>
                        <w:w w:val="120"/>
                        <w:sz w:val="20"/>
                      </w:rPr>
                      <w:t>United </w:t>
                    </w:r>
                    <w:r>
                      <w:rPr>
                        <w:w w:val="120"/>
                        <w:sz w:val="20"/>
                      </w:rPr>
                      <w:t>Reformed </w:t>
                    </w:r>
                    <w:r>
                      <w:rPr>
                        <w:spacing w:val="-3"/>
                        <w:w w:val="120"/>
                        <w:sz w:val="20"/>
                      </w:rPr>
                      <w:t>Church </w:t>
                    </w:r>
                    <w:r>
                      <w:rPr>
                        <w:w w:val="120"/>
                        <w:sz w:val="20"/>
                      </w:rPr>
                      <w:t>Act </w:t>
                    </w:r>
                    <w:r>
                      <w:rPr>
                        <w:spacing w:val="-9"/>
                        <w:w w:val="120"/>
                        <w:sz w:val="20"/>
                      </w:rPr>
                      <w:t>1972 </w:t>
                    </w:r>
                    <w:r>
                      <w:rPr>
                        <w:w w:val="120"/>
                        <w:sz w:val="20"/>
                      </w:rPr>
                      <w:t>and </w:t>
                    </w:r>
                    <w:r>
                      <w:rPr>
                        <w:spacing w:val="-10"/>
                        <w:w w:val="120"/>
                        <w:sz w:val="20"/>
                      </w:rPr>
                      <w:t>s.10(1) </w:t>
                    </w:r>
                    <w:r>
                      <w:rPr>
                        <w:w w:val="120"/>
                        <w:sz w:val="20"/>
                      </w:rPr>
                      <w:t>of the </w:t>
                    </w:r>
                    <w:r>
                      <w:rPr>
                        <w:spacing w:val="-3"/>
                        <w:w w:val="120"/>
                        <w:sz w:val="20"/>
                      </w:rPr>
                      <w:t>United </w:t>
                    </w:r>
                    <w:r>
                      <w:rPr>
                        <w:w w:val="120"/>
                        <w:sz w:val="20"/>
                      </w:rPr>
                      <w:t>Reformed </w:t>
                    </w:r>
                    <w:r>
                      <w:rPr>
                        <w:spacing w:val="-3"/>
                        <w:w w:val="120"/>
                        <w:sz w:val="20"/>
                      </w:rPr>
                      <w:t>Church </w:t>
                    </w:r>
                    <w:r>
                      <w:rPr>
                        <w:w w:val="120"/>
                        <w:sz w:val="20"/>
                      </w:rPr>
                      <w:t>Act </w:t>
                    </w:r>
                    <w:r>
                      <w:rPr>
                        <w:spacing w:val="-10"/>
                        <w:w w:val="120"/>
                        <w:sz w:val="20"/>
                      </w:rPr>
                      <w:t>1981, </w:t>
                    </w:r>
                    <w:r>
                      <w:rPr>
                        <w:w w:val="120"/>
                        <w:sz w:val="20"/>
                      </w:rPr>
                      <w:t>appoints </w:t>
                    </w:r>
                    <w:r>
                      <w:rPr>
                        <w:spacing w:val="-3"/>
                        <w:w w:val="120"/>
                        <w:sz w:val="20"/>
                      </w:rPr>
                      <w:t>until </w:t>
                    </w:r>
                    <w:r>
                      <w:rPr>
                        <w:w w:val="120"/>
                        <w:sz w:val="20"/>
                      </w:rPr>
                      <w:t>further </w:t>
                    </w:r>
                    <w:r>
                      <w:rPr>
                        <w:spacing w:val="-3"/>
                        <w:w w:val="120"/>
                        <w:sz w:val="20"/>
                      </w:rPr>
                      <w:t>notice </w:t>
                    </w:r>
                    <w:r>
                      <w:rPr>
                        <w:w w:val="120"/>
                        <w:sz w:val="20"/>
                      </w:rPr>
                      <w:t>the </w:t>
                    </w:r>
                    <w:r>
                      <w:rPr>
                        <w:spacing w:val="-3"/>
                        <w:w w:val="120"/>
                        <w:sz w:val="20"/>
                      </w:rPr>
                      <w:t>councils </w:t>
                    </w:r>
                    <w:r>
                      <w:rPr>
                        <w:w w:val="120"/>
                        <w:sz w:val="20"/>
                      </w:rPr>
                      <w:t>and other </w:t>
                    </w:r>
                    <w:r>
                      <w:rPr>
                        <w:spacing w:val="-2"/>
                        <w:w w:val="120"/>
                        <w:sz w:val="20"/>
                      </w:rPr>
                      <w:t>organs </w:t>
                    </w:r>
                    <w:r>
                      <w:rPr>
                        <w:w w:val="120"/>
                        <w:sz w:val="20"/>
                      </w:rPr>
                      <w:t>of the </w:t>
                    </w:r>
                    <w:r>
                      <w:rPr>
                        <w:spacing w:val="-3"/>
                        <w:w w:val="120"/>
                        <w:sz w:val="20"/>
                      </w:rPr>
                      <w:t>Church indicated </w:t>
                    </w:r>
                    <w:r>
                      <w:rPr>
                        <w:w w:val="120"/>
                        <w:sz w:val="20"/>
                      </w:rPr>
                      <w:t>in column 2 on page </w:t>
                    </w:r>
                    <w:r>
                      <w:rPr>
                        <w:spacing w:val="-4"/>
                        <w:w w:val="120"/>
                        <w:sz w:val="20"/>
                      </w:rPr>
                      <w:t>45 </w:t>
                    </w:r>
                    <w:r>
                      <w:rPr>
                        <w:spacing w:val="-3"/>
                        <w:w w:val="120"/>
                        <w:sz w:val="20"/>
                      </w:rPr>
                      <w:t>to exercise any </w:t>
                    </w:r>
                    <w:r>
                      <w:rPr>
                        <w:w w:val="120"/>
                        <w:sz w:val="20"/>
                      </w:rPr>
                      <w:t>powers with respect </w:t>
                    </w:r>
                    <w:r>
                      <w:rPr>
                        <w:spacing w:val="-3"/>
                        <w:w w:val="120"/>
                        <w:sz w:val="20"/>
                      </w:rPr>
                      <w:t>to </w:t>
                    </w:r>
                    <w:r>
                      <w:rPr>
                        <w:w w:val="120"/>
                        <w:sz w:val="20"/>
                      </w:rPr>
                      <w:t>trusts and </w:t>
                    </w:r>
                    <w:r>
                      <w:rPr>
                        <w:spacing w:val="-3"/>
                        <w:w w:val="120"/>
                        <w:sz w:val="20"/>
                      </w:rPr>
                      <w:t>any </w:t>
                    </w:r>
                    <w:r>
                      <w:rPr>
                        <w:w w:val="120"/>
                        <w:sz w:val="20"/>
                      </w:rPr>
                      <w:t>powers of </w:t>
                    </w:r>
                    <w:r>
                      <w:rPr>
                        <w:spacing w:val="-3"/>
                        <w:w w:val="120"/>
                        <w:sz w:val="20"/>
                      </w:rPr>
                      <w:t>nomination </w:t>
                    </w:r>
                    <w:r>
                      <w:rPr>
                        <w:spacing w:val="-2"/>
                        <w:w w:val="120"/>
                        <w:sz w:val="20"/>
                      </w:rPr>
                      <w:t>vested </w:t>
                    </w:r>
                    <w:r>
                      <w:rPr>
                        <w:w w:val="120"/>
                        <w:sz w:val="20"/>
                      </w:rPr>
                      <w:t>prior </w:t>
                    </w:r>
                    <w:r>
                      <w:rPr>
                        <w:spacing w:val="-3"/>
                        <w:w w:val="120"/>
                        <w:sz w:val="20"/>
                      </w:rPr>
                      <w:t>to </w:t>
                    </w:r>
                    <w:r>
                      <w:rPr>
                        <w:w w:val="120"/>
                        <w:sz w:val="20"/>
                      </w:rPr>
                      <w:t>5 October</w:t>
                    </w:r>
                    <w:r>
                      <w:rPr>
                        <w:spacing w:val="-5"/>
                        <w:w w:val="120"/>
                        <w:sz w:val="20"/>
                      </w:rPr>
                      <w:t> </w:t>
                    </w:r>
                    <w:r>
                      <w:rPr>
                        <w:spacing w:val="-9"/>
                        <w:w w:val="120"/>
                        <w:sz w:val="20"/>
                      </w:rPr>
                      <w:t>1972</w:t>
                    </w:r>
                    <w:r>
                      <w:rPr>
                        <w:spacing w:val="-5"/>
                        <w:w w:val="120"/>
                        <w:sz w:val="20"/>
                      </w:rPr>
                      <w:t> </w:t>
                    </w:r>
                    <w:r>
                      <w:rPr>
                        <w:spacing w:val="-9"/>
                        <w:w w:val="120"/>
                        <w:sz w:val="20"/>
                      </w:rPr>
                      <w:t>(or,</w:t>
                    </w:r>
                    <w:r>
                      <w:rPr>
                        <w:spacing w:val="-5"/>
                        <w:w w:val="120"/>
                        <w:sz w:val="20"/>
                      </w:rPr>
                      <w:t> </w:t>
                    </w:r>
                    <w:r>
                      <w:rPr>
                        <w:w w:val="120"/>
                        <w:sz w:val="20"/>
                      </w:rPr>
                      <w:t>as</w:t>
                    </w:r>
                    <w:r>
                      <w:rPr>
                        <w:spacing w:val="-5"/>
                        <w:w w:val="120"/>
                        <w:sz w:val="20"/>
                      </w:rPr>
                      <w:t> </w:t>
                    </w:r>
                    <w:r>
                      <w:rPr>
                        <w:w w:val="120"/>
                        <w:sz w:val="20"/>
                      </w:rPr>
                      <w:t>the</w:t>
                    </w:r>
                    <w:r>
                      <w:rPr>
                        <w:spacing w:val="-5"/>
                        <w:w w:val="120"/>
                        <w:sz w:val="20"/>
                      </w:rPr>
                      <w:t> </w:t>
                    </w:r>
                    <w:r>
                      <w:rPr>
                        <w:w w:val="120"/>
                        <w:sz w:val="20"/>
                      </w:rPr>
                      <w:t>case</w:t>
                    </w:r>
                    <w:r>
                      <w:rPr>
                        <w:spacing w:val="-5"/>
                        <w:w w:val="120"/>
                        <w:sz w:val="20"/>
                      </w:rPr>
                      <w:t> </w:t>
                    </w:r>
                    <w:r>
                      <w:rPr>
                        <w:spacing w:val="-3"/>
                        <w:w w:val="120"/>
                        <w:sz w:val="20"/>
                      </w:rPr>
                      <w:t>may</w:t>
                    </w:r>
                    <w:r>
                      <w:rPr>
                        <w:spacing w:val="-5"/>
                        <w:w w:val="120"/>
                        <w:sz w:val="20"/>
                      </w:rPr>
                      <w:t> </w:t>
                    </w:r>
                    <w:r>
                      <w:rPr>
                        <w:w w:val="120"/>
                        <w:sz w:val="20"/>
                      </w:rPr>
                      <w:t>be,</w:t>
                    </w:r>
                    <w:r>
                      <w:rPr>
                        <w:spacing w:val="-5"/>
                        <w:w w:val="120"/>
                        <w:sz w:val="20"/>
                      </w:rPr>
                      <w:t> </w:t>
                    </w:r>
                    <w:r>
                      <w:rPr>
                        <w:w w:val="120"/>
                        <w:sz w:val="20"/>
                      </w:rPr>
                      <w:t>prior</w:t>
                    </w:r>
                    <w:r>
                      <w:rPr>
                        <w:spacing w:val="-5"/>
                        <w:w w:val="120"/>
                        <w:sz w:val="20"/>
                      </w:rPr>
                      <w:t> </w:t>
                    </w:r>
                    <w:r>
                      <w:rPr>
                        <w:spacing w:val="-3"/>
                        <w:w w:val="120"/>
                        <w:sz w:val="20"/>
                      </w:rPr>
                      <w:t>to</w:t>
                    </w:r>
                    <w:r>
                      <w:rPr>
                        <w:spacing w:val="-5"/>
                        <w:w w:val="120"/>
                        <w:sz w:val="20"/>
                      </w:rPr>
                      <w:t> </w:t>
                    </w:r>
                    <w:r>
                      <w:rPr>
                        <w:spacing w:val="-4"/>
                        <w:w w:val="120"/>
                        <w:sz w:val="20"/>
                      </w:rPr>
                      <w:t>26</w:t>
                    </w:r>
                    <w:r>
                      <w:rPr>
                        <w:spacing w:val="-5"/>
                        <w:w w:val="120"/>
                        <w:sz w:val="20"/>
                      </w:rPr>
                      <w:t> </w:t>
                    </w:r>
                    <w:r>
                      <w:rPr>
                        <w:w w:val="120"/>
                        <w:sz w:val="20"/>
                      </w:rPr>
                      <w:t>September</w:t>
                    </w:r>
                    <w:r>
                      <w:rPr>
                        <w:spacing w:val="-5"/>
                        <w:w w:val="120"/>
                        <w:sz w:val="20"/>
                      </w:rPr>
                      <w:t> </w:t>
                    </w:r>
                    <w:r>
                      <w:rPr>
                        <w:spacing w:val="-11"/>
                        <w:w w:val="120"/>
                        <w:sz w:val="20"/>
                      </w:rPr>
                      <w:t>1981)</w:t>
                    </w:r>
                    <w:r>
                      <w:rPr>
                        <w:spacing w:val="-5"/>
                        <w:w w:val="120"/>
                        <w:sz w:val="20"/>
                      </w:rPr>
                      <w:t> </w:t>
                    </w:r>
                    <w:r>
                      <w:rPr>
                        <w:w w:val="120"/>
                        <w:sz w:val="20"/>
                      </w:rPr>
                      <w:t>in</w:t>
                    </w:r>
                    <w:r>
                      <w:rPr>
                        <w:spacing w:val="-5"/>
                        <w:w w:val="120"/>
                        <w:sz w:val="20"/>
                      </w:rPr>
                      <w:t> </w:t>
                    </w:r>
                    <w:r>
                      <w:rPr>
                        <w:w w:val="120"/>
                        <w:sz w:val="20"/>
                      </w:rPr>
                      <w:t>the</w:t>
                    </w:r>
                    <w:r>
                      <w:rPr>
                        <w:spacing w:val="-5"/>
                        <w:w w:val="120"/>
                        <w:sz w:val="20"/>
                      </w:rPr>
                      <w:t> </w:t>
                    </w:r>
                    <w:r>
                      <w:rPr>
                        <w:w w:val="120"/>
                        <w:sz w:val="20"/>
                      </w:rPr>
                      <w:t>members,</w:t>
                    </w:r>
                    <w:r>
                      <w:rPr>
                        <w:spacing w:val="-4"/>
                        <w:w w:val="120"/>
                        <w:sz w:val="20"/>
                      </w:rPr>
                      <w:t> </w:t>
                    </w:r>
                    <w:r>
                      <w:rPr>
                        <w:w w:val="120"/>
                        <w:sz w:val="20"/>
                      </w:rPr>
                      <w:t>courts</w:t>
                    </w:r>
                    <w:r>
                      <w:rPr>
                        <w:spacing w:val="-5"/>
                        <w:w w:val="120"/>
                        <w:sz w:val="20"/>
                      </w:rPr>
                      <w:t> </w:t>
                    </w:r>
                    <w:r>
                      <w:rPr>
                        <w:w w:val="120"/>
                        <w:sz w:val="20"/>
                      </w:rPr>
                      <w:t>and other </w:t>
                    </w:r>
                    <w:r>
                      <w:rPr>
                        <w:spacing w:val="-2"/>
                        <w:w w:val="120"/>
                        <w:sz w:val="20"/>
                      </w:rPr>
                      <w:t>organs </w:t>
                    </w:r>
                    <w:r>
                      <w:rPr>
                        <w:w w:val="120"/>
                        <w:sz w:val="20"/>
                      </w:rPr>
                      <w:t>of </w:t>
                    </w:r>
                    <w:r>
                      <w:rPr>
                        <w:spacing w:val="-3"/>
                        <w:w w:val="120"/>
                        <w:sz w:val="20"/>
                      </w:rPr>
                      <w:t>dissolved associations indicated </w:t>
                    </w:r>
                    <w:r>
                      <w:rPr>
                        <w:w w:val="120"/>
                        <w:sz w:val="20"/>
                      </w:rPr>
                      <w:t>in column 1 on page</w:t>
                    </w:r>
                    <w:r>
                      <w:rPr>
                        <w:spacing w:val="5"/>
                        <w:w w:val="120"/>
                        <w:sz w:val="20"/>
                      </w:rPr>
                      <w:t> </w:t>
                    </w:r>
                    <w:r>
                      <w:rPr>
                        <w:spacing w:val="-5"/>
                        <w:w w:val="120"/>
                        <w:sz w:val="20"/>
                      </w:rPr>
                      <w:t>45.</w:t>
                    </w:r>
                  </w:p>
                </w:txbxContent>
              </v:textbox>
              <w10:wrap type="none"/>
            </v:shape>
            <v:shape style="position:absolute;left:9574;top:2491;width:688;height:219" type="#_x0000_t202" filled="false" stroked="false">
              <v:textbox inset="0,0,0,0">
                <w:txbxContent>
                  <w:p>
                    <w:pPr>
                      <w:spacing w:line="217" w:lineRule="exact" w:before="1"/>
                      <w:ind w:left="0" w:right="0" w:firstLine="0"/>
                      <w:jc w:val="left"/>
                      <w:rPr>
                        <w:sz w:val="18"/>
                      </w:rPr>
                    </w:pPr>
                    <w:r>
                      <w:rPr>
                        <w:color w:val="7EAABF"/>
                        <w:w w:val="115"/>
                        <w:sz w:val="18"/>
                      </w:rPr>
                      <w:t>page 44</w:t>
                    </w:r>
                  </w:p>
                </w:txbxContent>
              </v:textbox>
              <w10:wrap type="none"/>
            </v:shape>
            <v:shape style="position:absolute;left:1374;top:2538;width:5843;height:853" type="#_x0000_t202" filled="false" stroked="false">
              <v:textbox inset="0,0,0,0">
                <w:txbxContent>
                  <w:p>
                    <w:pPr>
                      <w:spacing w:line="477" w:lineRule="exact" w:before="0"/>
                      <w:ind w:left="0" w:right="0" w:firstLine="0"/>
                      <w:jc w:val="left"/>
                      <w:rPr>
                        <w:rFonts w:ascii="Stone Sans II ITC Std Bk"/>
                        <w:b/>
                        <w:sz w:val="36"/>
                      </w:rPr>
                    </w:pPr>
                    <w:r>
                      <w:rPr>
                        <w:rFonts w:ascii="Stone Sans II ITC Std Lt"/>
                        <w:b w:val="0"/>
                        <w:color w:val="7B4290"/>
                        <w:w w:val="110"/>
                        <w:sz w:val="29"/>
                      </w:rPr>
                      <w:t>Resolution </w:t>
                    </w:r>
                    <w:r>
                      <w:rPr>
                        <w:rFonts w:ascii="Stone Sans II ITC Std Bk"/>
                        <w:b/>
                        <w:color w:val="7B4290"/>
                        <w:w w:val="110"/>
                        <w:sz w:val="36"/>
                      </w:rPr>
                      <w:t>21</w:t>
                    </w:r>
                  </w:p>
                  <w:p>
                    <w:pPr>
                      <w:spacing w:line="317" w:lineRule="exact" w:before="58"/>
                      <w:ind w:left="0" w:right="0" w:firstLine="0"/>
                      <w:jc w:val="left"/>
                      <w:rPr>
                        <w:rFonts w:ascii="Stone Sans II ITC Std Bk"/>
                        <w:b/>
                        <w:sz w:val="25"/>
                      </w:rPr>
                    </w:pPr>
                    <w:r>
                      <w:rPr>
                        <w:rFonts w:ascii="Stone Sans II ITC Std Bk"/>
                        <w:b/>
                        <w:w w:val="110"/>
                        <w:sz w:val="25"/>
                      </w:rPr>
                      <w:t>Mission Council: Powers in pre-union trusts</w:t>
                    </w:r>
                  </w:p>
                </w:txbxContent>
              </v:textbox>
              <w10:wrap type="none"/>
            </v:shape>
            <w10:wrap type="topAndBottom"/>
          </v:group>
        </w:pict>
      </w:r>
    </w:p>
    <w:p>
      <w:pPr>
        <w:pStyle w:val="BodyText"/>
        <w:spacing w:before="4"/>
        <w:rPr>
          <w:sz w:val="24"/>
        </w:rPr>
      </w:pPr>
    </w:p>
    <w:p>
      <w:pPr>
        <w:spacing w:after="0"/>
        <w:rPr>
          <w:sz w:val="24"/>
        </w:rPr>
        <w:sectPr>
          <w:headerReference w:type="even" r:id="rId589"/>
          <w:footerReference w:type="even" r:id="rId590"/>
          <w:footerReference w:type="default" r:id="rId591"/>
          <w:pgSz w:w="11910" w:h="16840"/>
          <w:pgMar w:header="0" w:footer="647" w:top="0" w:bottom="840" w:left="0" w:right="0"/>
          <w:pgNumType w:start="236"/>
        </w:sectPr>
      </w:pPr>
    </w:p>
    <w:p>
      <w:pPr>
        <w:pStyle w:val="Heading5"/>
        <w:spacing w:before="94"/>
        <w:ind w:left="0" w:right="1245"/>
        <w:jc w:val="right"/>
      </w:pPr>
      <w:r>
        <w:rPr/>
        <w:pict>
          <v:group style="position:absolute;margin-left:81.221001pt;margin-top:.000015pt;width:514.1pt;height:841.9pt;mso-position-horizontal-relative:page;mso-position-vertical-relative:page;z-index:-266945536" coordorigin="1624,0" coordsize="10282,16838">
            <v:shape style="position:absolute;left:10984;top:0;width:922;height:16838" type="#_x0000_t75" stroked="false">
              <v:imagedata r:id="rId575" o:title=""/>
            </v:shape>
            <v:shape style="position:absolute;left:1634;top:1389;width:9327;height:14037" coordorigin="1634,1390" coordsize="9327,14037" path="m1634,9792l10951,9792,10951,6303,1634,6303,1634,9792xm1634,12209l10951,12209,10951,10349,1634,10349,1634,12209xm1634,15426l10951,15426,10951,12667,1634,12667,1634,15426xm1644,3419l10961,3419,10961,1390,1644,1390,1644,3419xm1644,5825l10961,5825,10961,3965,1644,3965,1644,5825xe" filled="false" stroked="true" strokeweight="1pt" strokecolor="#000000">
              <v:path arrowok="t"/>
              <v:stroke dashstyle="solid"/>
            </v:shape>
            <w10:wrap type="none"/>
          </v:group>
        </w:pict>
      </w:r>
      <w:r>
        <w:rPr/>
        <w:pict>
          <v:shape style="position:absolute;margin-left:499.797607pt;margin-top:202.504715pt;width:34.050pt;height:10.95pt;mso-position-horizontal-relative:page;mso-position-vertical-relative:page;z-index:252332032" type="#_x0000_t202" filled="false" stroked="false">
            <v:textbox inset="0,0,0,0">
              <w:txbxContent>
                <w:p>
                  <w:pPr>
                    <w:spacing w:line="217" w:lineRule="exact" w:before="1"/>
                    <w:ind w:left="0" w:right="0" w:firstLine="0"/>
                    <w:jc w:val="left"/>
                    <w:rPr>
                      <w:sz w:val="18"/>
                    </w:rPr>
                  </w:pPr>
                  <w:r>
                    <w:rPr>
                      <w:color w:val="7EAABF"/>
                      <w:w w:val="115"/>
                      <w:sz w:val="18"/>
                    </w:rPr>
                    <w:t>page 58</w:t>
                  </w:r>
                </w:p>
              </w:txbxContent>
            </v:textbox>
            <w10:wrap type="none"/>
          </v:shape>
        </w:pict>
      </w:r>
      <w:r>
        <w:rPr/>
        <w:pict>
          <v:shape style="position:absolute;margin-left:99.212601pt;margin-top:206.991608pt;width:358.5pt;height:71.650pt;mso-position-horizontal-relative:page;mso-position-vertical-relative:page;z-index:252333056" type="#_x0000_t202" filled="false" stroked="false">
            <v:textbox inset="0,0,0,0">
              <w:txbxContent>
                <w:p>
                  <w:pPr>
                    <w:spacing w:line="477" w:lineRule="exact" w:before="0"/>
                    <w:ind w:left="0" w:right="0" w:firstLine="0"/>
                    <w:jc w:val="left"/>
                    <w:rPr>
                      <w:rFonts w:ascii="Stone Sans II ITC Std Bk"/>
                      <w:b/>
                      <w:sz w:val="36"/>
                    </w:rPr>
                  </w:pPr>
                  <w:r>
                    <w:rPr>
                      <w:rFonts w:ascii="Stone Sans II ITC Std Lt"/>
                      <w:b w:val="0"/>
                      <w:color w:val="7B4290"/>
                      <w:w w:val="110"/>
                      <w:sz w:val="29"/>
                    </w:rPr>
                    <w:t>Resolution </w:t>
                  </w:r>
                  <w:r>
                    <w:rPr>
                      <w:rFonts w:ascii="Stone Sans II ITC Std Bk"/>
                      <w:b/>
                      <w:color w:val="7B4290"/>
                      <w:w w:val="110"/>
                      <w:sz w:val="36"/>
                    </w:rPr>
                    <w:t>23</w:t>
                  </w:r>
                </w:p>
                <w:p>
                  <w:pPr>
                    <w:spacing w:before="58"/>
                    <w:ind w:left="0" w:right="0" w:firstLine="0"/>
                    <w:jc w:val="left"/>
                    <w:rPr>
                      <w:rFonts w:ascii="Stone Sans II ITC Std Bk"/>
                      <w:b/>
                      <w:sz w:val="25"/>
                    </w:rPr>
                  </w:pPr>
                  <w:r>
                    <w:rPr>
                      <w:rFonts w:ascii="Stone Sans II ITC Std Bk"/>
                      <w:b/>
                      <w:w w:val="110"/>
                      <w:sz w:val="25"/>
                    </w:rPr>
                    <w:t>Mission Council: Changes to standing orders</w:t>
                  </w:r>
                </w:p>
                <w:p>
                  <w:pPr>
                    <w:pStyle w:val="BodyText"/>
                    <w:spacing w:line="235" w:lineRule="auto" w:before="83"/>
                  </w:pPr>
                  <w:r>
                    <w:rPr>
                      <w:w w:val="120"/>
                    </w:rPr>
                    <w:t>General Assembly agrees the changes to the standing orders as listed on pages 60 to 69.</w:t>
                  </w:r>
                </w:p>
              </w:txbxContent>
            </v:textbox>
            <w10:wrap type="none"/>
          </v:shape>
        </w:pict>
      </w:r>
      <w:r>
        <w:rPr/>
        <w:pict>
          <v:shape style="position:absolute;margin-left:554.141174pt;margin-top:21.993946pt;width:25.9pt;height:183.25pt;mso-position-horizontal-relative:page;mso-position-vertical-relative:paragraph;z-index:252334080" type="#_x0000_t202" filled="false" stroked="false">
            <v:textbox inset="0,0,0,0" style="layout-flow:vertical">
              <w:txbxContent>
                <w:p>
                  <w:pPr>
                    <w:spacing w:before="27"/>
                    <w:ind w:left="20" w:right="0" w:firstLine="0"/>
                    <w:jc w:val="left"/>
                    <w:rPr>
                      <w:sz w:val="39"/>
                    </w:rPr>
                  </w:pPr>
                  <w:r>
                    <w:rPr>
                      <w:color w:val="FFFFFF"/>
                      <w:w w:val="120"/>
                      <w:sz w:val="39"/>
                    </w:rPr>
                    <w:t>Resolutions 22-26</w:t>
                  </w:r>
                </w:p>
              </w:txbxContent>
            </v:textbox>
            <w10:wrap type="none"/>
          </v:shape>
        </w:pict>
      </w:r>
      <w:r>
        <w:rPr>
          <w:color w:val="7EAABF"/>
          <w:w w:val="110"/>
        </w:rPr>
        <w:t>Resolutions</w:t>
      </w:r>
    </w:p>
    <w:p>
      <w:pPr>
        <w:pStyle w:val="BodyText"/>
      </w:pPr>
    </w:p>
    <w:p>
      <w:pPr>
        <w:pStyle w:val="BodyText"/>
        <w:rPr>
          <w:sz w:val="21"/>
        </w:rPr>
      </w:pPr>
      <w:r>
        <w:rPr/>
        <w:pict>
          <v:shape style="position:absolute;margin-left:99.212601pt;margin-top:18.317528pt;width:398.45pt;height:83.65pt;mso-position-horizontal-relative:page;mso-position-vertical-relative:paragraph;z-index:-251002880;mso-wrap-distance-left:0;mso-wrap-distance-right:0" type="#_x0000_t202" filled="false" stroked="false">
            <v:textbox inset="0,0,0,0">
              <w:txbxContent>
                <w:p>
                  <w:pPr>
                    <w:spacing w:line="477" w:lineRule="exact" w:before="0"/>
                    <w:ind w:left="0" w:right="0" w:firstLine="0"/>
                    <w:jc w:val="left"/>
                    <w:rPr>
                      <w:rFonts w:ascii="Stone Sans II ITC Std Bk"/>
                      <w:b/>
                      <w:sz w:val="36"/>
                    </w:rPr>
                  </w:pPr>
                  <w:r>
                    <w:rPr>
                      <w:rFonts w:ascii="Stone Sans II ITC Std Lt"/>
                      <w:b w:val="0"/>
                      <w:color w:val="7B4290"/>
                      <w:w w:val="110"/>
                      <w:sz w:val="29"/>
                    </w:rPr>
                    <w:t>Resolution </w:t>
                  </w:r>
                  <w:r>
                    <w:rPr>
                      <w:rFonts w:ascii="Stone Sans II ITC Std Bk"/>
                      <w:b/>
                      <w:color w:val="7B4290"/>
                      <w:w w:val="110"/>
                      <w:sz w:val="36"/>
                    </w:rPr>
                    <w:t>22</w:t>
                  </w:r>
                </w:p>
                <w:p>
                  <w:pPr>
                    <w:spacing w:before="58"/>
                    <w:ind w:left="0" w:right="0" w:firstLine="0"/>
                    <w:jc w:val="left"/>
                    <w:rPr>
                      <w:rFonts w:ascii="Stone Sans II ITC Std Bk"/>
                      <w:b/>
                      <w:sz w:val="25"/>
                    </w:rPr>
                  </w:pPr>
                  <w:r>
                    <w:rPr>
                      <w:rFonts w:ascii="Stone Sans II ITC Std Bk"/>
                      <w:b/>
                      <w:w w:val="110"/>
                      <w:sz w:val="25"/>
                    </w:rPr>
                    <w:t>Mission Council: Role of the synod moderator</w:t>
                  </w:r>
                </w:p>
                <w:p>
                  <w:pPr>
                    <w:pStyle w:val="BodyText"/>
                    <w:spacing w:line="235" w:lineRule="auto" w:before="83"/>
                  </w:pPr>
                  <w:r>
                    <w:rPr>
                      <w:w w:val="120"/>
                    </w:rPr>
                    <w:t>General Assembly approves the role description for the synod moderator set out on pages 41 to 43 of the </w:t>
                  </w:r>
                  <w:r>
                    <w:rPr>
                      <w:i/>
                      <w:w w:val="120"/>
                    </w:rPr>
                    <w:t>Book of Reports </w:t>
                  </w:r>
                  <w:r>
                    <w:rPr>
                      <w:w w:val="120"/>
                    </w:rPr>
                    <w:t>as a model for future synod moderator appointment groups.</w:t>
                  </w:r>
                </w:p>
              </w:txbxContent>
            </v:textbox>
            <w10:wrap type="topAndBottom"/>
          </v:shape>
        </w:pict>
      </w:r>
      <w:r>
        <w:rPr/>
        <w:pict>
          <v:shape style="position:absolute;margin-left:499.7229pt;margin-top:14.048429pt;width:34.2pt;height:10.95pt;mso-position-horizontal-relative:page;mso-position-vertical-relative:paragraph;z-index:-251001856;mso-wrap-distance-left:0;mso-wrap-distance-right:0" type="#_x0000_t202" filled="false" stroked="false">
            <v:textbox inset="0,0,0,0">
              <w:txbxContent>
                <w:p>
                  <w:pPr>
                    <w:spacing w:line="217" w:lineRule="exact" w:before="1"/>
                    <w:ind w:left="0" w:right="0" w:firstLine="0"/>
                    <w:jc w:val="left"/>
                    <w:rPr>
                      <w:sz w:val="18"/>
                    </w:rPr>
                  </w:pPr>
                  <w:r>
                    <w:rPr>
                      <w:color w:val="7EAABF"/>
                      <w:w w:val="115"/>
                      <w:sz w:val="18"/>
                    </w:rPr>
                    <w:t>page 38</w:t>
                  </w:r>
                </w:p>
              </w:txbxContent>
            </v:textbox>
            <w10:wrap type="topAndBottom"/>
          </v:shape>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4"/>
        <w:rPr>
          <w:sz w:val="15"/>
        </w:rPr>
      </w:pPr>
      <w:r>
        <w:rPr/>
        <w:pict>
          <v:shape style="position:absolute;margin-left:99.212601pt;margin-top:15.173925pt;width:163.95pt;height:42.65pt;mso-position-horizontal-relative:page;mso-position-vertical-relative:paragraph;z-index:-251000832;mso-wrap-distance-left:0;mso-wrap-distance-right:0" type="#_x0000_t202" filled="false" stroked="false">
            <v:textbox inset="0,0,0,0">
              <w:txbxContent>
                <w:p>
                  <w:pPr>
                    <w:spacing w:line="477" w:lineRule="exact" w:before="0"/>
                    <w:ind w:left="0" w:right="0" w:firstLine="0"/>
                    <w:jc w:val="left"/>
                    <w:rPr>
                      <w:rFonts w:ascii="Stone Sans II ITC Std Bk"/>
                      <w:b/>
                      <w:sz w:val="36"/>
                    </w:rPr>
                  </w:pPr>
                  <w:r>
                    <w:rPr>
                      <w:rFonts w:ascii="Stone Sans II ITC Std Lt"/>
                      <w:b w:val="0"/>
                      <w:color w:val="7B4290"/>
                      <w:w w:val="110"/>
                      <w:sz w:val="29"/>
                    </w:rPr>
                    <w:t>Resolution </w:t>
                  </w:r>
                  <w:r>
                    <w:rPr>
                      <w:rFonts w:ascii="Stone Sans II ITC Std Bk"/>
                      <w:b/>
                      <w:color w:val="7B4290"/>
                      <w:w w:val="110"/>
                      <w:sz w:val="36"/>
                    </w:rPr>
                    <w:t>24</w:t>
                  </w:r>
                </w:p>
                <w:p>
                  <w:pPr>
                    <w:spacing w:line="317" w:lineRule="exact" w:before="58"/>
                    <w:ind w:left="0" w:right="0" w:firstLine="0"/>
                    <w:jc w:val="left"/>
                    <w:rPr>
                      <w:rFonts w:ascii="Stone Sans II ITC Std Bk"/>
                      <w:b/>
                      <w:sz w:val="25"/>
                    </w:rPr>
                  </w:pPr>
                  <w:r>
                    <w:rPr>
                      <w:rFonts w:ascii="Stone Sans II ITC Std Bk"/>
                      <w:b/>
                      <w:w w:val="110"/>
                      <w:sz w:val="25"/>
                    </w:rPr>
                    <w:t>Nominations committee</w:t>
                  </w:r>
                </w:p>
              </w:txbxContent>
            </v:textbox>
            <w10:wrap type="topAndBottom"/>
          </v:shape>
        </w:pict>
      </w:r>
      <w:r>
        <w:rPr/>
        <w:pict>
          <v:shape style="position:absolute;margin-left:495.787292pt;margin-top:10.558325pt;width:38.15pt;height:10.95pt;mso-position-horizontal-relative:page;mso-position-vertical-relative:paragraph;z-index:-250999808;mso-wrap-distance-left:0;mso-wrap-distance-right:0" type="#_x0000_t202" filled="false" stroked="false">
            <v:textbox inset="0,0,0,0">
              <w:txbxContent>
                <w:p>
                  <w:pPr>
                    <w:spacing w:line="217" w:lineRule="exact" w:before="1"/>
                    <w:ind w:left="0" w:right="0" w:firstLine="0"/>
                    <w:jc w:val="left"/>
                    <w:rPr>
                      <w:sz w:val="18"/>
                    </w:rPr>
                  </w:pPr>
                  <w:r>
                    <w:rPr>
                      <w:color w:val="7EAABF"/>
                      <w:w w:val="115"/>
                      <w:sz w:val="18"/>
                    </w:rPr>
                    <w:t>page </w:t>
                  </w:r>
                  <w:r>
                    <w:rPr>
                      <w:color w:val="7EAABF"/>
                      <w:spacing w:val="-9"/>
                      <w:w w:val="115"/>
                      <w:sz w:val="18"/>
                    </w:rPr>
                    <w:t>137</w:t>
                  </w:r>
                </w:p>
              </w:txbxContent>
            </v:textbox>
            <w10:wrap type="topAndBottom"/>
          </v:shape>
        </w:pict>
      </w:r>
      <w:r>
        <w:rPr/>
        <w:pict>
          <v:shape style="position:absolute;margin-left:99.212601pt;margin-top:62.782627pt;width:430.65pt;height:36pt;mso-position-horizontal-relative:page;mso-position-vertical-relative:paragraph;z-index:-250998784;mso-wrap-distance-left:0;mso-wrap-distance-right:0" type="#_x0000_t202" filled="false" stroked="false">
            <v:textbox inset="0,0,0,0">
              <w:txbxContent>
                <w:p>
                  <w:pPr>
                    <w:pStyle w:val="BodyText"/>
                    <w:tabs>
                      <w:tab w:pos="680" w:val="left" w:leader="none"/>
                    </w:tabs>
                    <w:spacing w:line="235" w:lineRule="auto" w:before="3"/>
                    <w:ind w:right="18"/>
                  </w:pPr>
                  <w:r>
                    <w:rPr>
                      <w:spacing w:val="-7"/>
                      <w:w w:val="120"/>
                    </w:rPr>
                    <w:t>a)</w:t>
                    <w:tab/>
                  </w:r>
                  <w:r>
                    <w:rPr>
                      <w:w w:val="120"/>
                    </w:rPr>
                    <w:t>General Assembly appoints committees and representatives of the Church as set out on pages </w:t>
                  </w:r>
                  <w:r>
                    <w:rPr>
                      <w:spacing w:val="-8"/>
                      <w:w w:val="120"/>
                    </w:rPr>
                    <w:t>138-152 </w:t>
                  </w:r>
                  <w:r>
                    <w:rPr>
                      <w:w w:val="120"/>
                    </w:rPr>
                    <w:t>of the </w:t>
                  </w:r>
                  <w:r>
                    <w:rPr>
                      <w:i/>
                      <w:w w:val="120"/>
                    </w:rPr>
                    <w:t>Book of Reports</w:t>
                  </w:r>
                  <w:r>
                    <w:rPr>
                      <w:w w:val="120"/>
                    </w:rPr>
                    <w:t>, subject to the additions and corrections contained in the Supplementary </w:t>
                  </w:r>
                  <w:r>
                    <w:rPr>
                      <w:spacing w:val="2"/>
                      <w:w w:val="120"/>
                    </w:rPr>
                    <w:t>Report </w:t>
                  </w:r>
                  <w:r>
                    <w:rPr>
                      <w:w w:val="120"/>
                    </w:rPr>
                    <w:t>to</w:t>
                  </w:r>
                  <w:r>
                    <w:rPr>
                      <w:spacing w:val="11"/>
                      <w:w w:val="120"/>
                    </w:rPr>
                    <w:t> </w:t>
                  </w:r>
                  <w:r>
                    <w:rPr>
                      <w:w w:val="120"/>
                    </w:rPr>
                    <w:t>Assembly.</w:t>
                  </w:r>
                </w:p>
              </w:txbxContent>
            </v:textbox>
            <w10:wrap type="topAndBottom"/>
          </v:shape>
        </w:pict>
      </w:r>
      <w:r>
        <w:rPr/>
        <w:pict>
          <v:shape style="position:absolute;margin-left:99.212601pt;margin-top:110.782623pt;width:11.4pt;height:12pt;mso-position-horizontal-relative:page;mso-position-vertical-relative:paragraph;z-index:-250997760;mso-wrap-distance-left:0;mso-wrap-distance-right:0" type="#_x0000_t202" filled="false" stroked="false">
            <v:textbox inset="0,0,0,0">
              <w:txbxContent>
                <w:p>
                  <w:pPr>
                    <w:pStyle w:val="BodyText"/>
                    <w:spacing w:line="240" w:lineRule="exact"/>
                  </w:pPr>
                  <w:r>
                    <w:rPr>
                      <w:w w:val="135"/>
                    </w:rPr>
                    <w:t>b)</w:t>
                  </w:r>
                </w:p>
              </w:txbxContent>
            </v:textbox>
            <w10:wrap type="topAndBottom"/>
          </v:shape>
        </w:pict>
      </w:r>
      <w:r>
        <w:rPr/>
        <w:pict>
          <v:shape style="position:absolute;margin-left:133.224594pt;margin-top:110.782623pt;width:381.4pt;height:12pt;mso-position-horizontal-relative:page;mso-position-vertical-relative:paragraph;z-index:-250996736;mso-wrap-distance-left:0;mso-wrap-distance-right:0" type="#_x0000_t202" filled="false" stroked="false">
            <v:textbox inset="0,0,0,0">
              <w:txbxContent>
                <w:p>
                  <w:pPr>
                    <w:pStyle w:val="BodyText"/>
                    <w:spacing w:line="240" w:lineRule="exact"/>
                  </w:pPr>
                  <w:r>
                    <w:rPr>
                      <w:w w:val="120"/>
                    </w:rPr>
                    <w:t>General Assembly re-appoints the Revd Paul Whittle to serve as moderator of</w:t>
                  </w:r>
                </w:p>
              </w:txbxContent>
            </v:textbox>
            <w10:wrap type="topAndBottom"/>
          </v:shape>
        </w:pict>
      </w:r>
    </w:p>
    <w:p>
      <w:pPr>
        <w:pStyle w:val="BodyText"/>
        <w:rPr>
          <w:sz w:val="5"/>
        </w:rPr>
      </w:pPr>
    </w:p>
    <w:p>
      <w:pPr>
        <w:pStyle w:val="BodyText"/>
        <w:spacing w:before="5"/>
        <w:rPr>
          <w:sz w:val="16"/>
        </w:rPr>
      </w:pPr>
    </w:p>
    <w:p>
      <w:pPr>
        <w:pStyle w:val="BodyText"/>
        <w:spacing w:line="239" w:lineRule="exact"/>
        <w:ind w:left="1984"/>
      </w:pPr>
      <w:r>
        <w:rPr>
          <w:position w:val="-4"/>
        </w:rPr>
        <w:pict>
          <v:shape style="width:198.45pt;height:12pt;mso-position-horizontal-relative:char;mso-position-vertical-relative:line" type="#_x0000_t202" filled="false" stroked="false">
            <w10:anchorlock/>
            <v:textbox inset="0,0,0,0">
              <w:txbxContent>
                <w:p>
                  <w:pPr>
                    <w:pStyle w:val="BodyText"/>
                    <w:spacing w:line="240" w:lineRule="exact"/>
                  </w:pPr>
                  <w:r>
                    <w:rPr>
                      <w:w w:val="120"/>
                    </w:rPr>
                    <w:t>the Eastern Synod until 31 August 2020.</w:t>
                  </w:r>
                </w:p>
              </w:txbxContent>
            </v:textbox>
          </v:shape>
        </w:pict>
      </w:r>
      <w:r>
        <w:rPr>
          <w:position w:val="-4"/>
        </w:rPr>
      </w:r>
    </w:p>
    <w:p>
      <w:pPr>
        <w:pStyle w:val="BodyText"/>
        <w:spacing w:before="6"/>
        <w:rPr>
          <w:sz w:val="16"/>
        </w:rPr>
      </w:pPr>
      <w:r>
        <w:rPr/>
        <w:pict>
          <v:shape style="position:absolute;margin-left:99.212601pt;margin-top:11.301201pt;width:10.2pt;height:12pt;mso-position-horizontal-relative:page;mso-position-vertical-relative:paragraph;z-index:-250994688;mso-wrap-distance-left:0;mso-wrap-distance-right:0" type="#_x0000_t202" filled="false" stroked="false">
            <v:textbox inset="0,0,0,0">
              <w:txbxContent>
                <w:p>
                  <w:pPr>
                    <w:pStyle w:val="BodyText"/>
                    <w:spacing w:line="240" w:lineRule="exact"/>
                  </w:pPr>
                  <w:r>
                    <w:rPr>
                      <w:w w:val="135"/>
                    </w:rPr>
                    <w:t>c)</w:t>
                  </w:r>
                </w:p>
              </w:txbxContent>
            </v:textbox>
            <w10:wrap type="topAndBottom"/>
          </v:shape>
        </w:pict>
      </w:r>
      <w:r>
        <w:rPr/>
        <w:pict>
          <v:shape style="position:absolute;margin-left:133.224594pt;margin-top:11.301201pt;width:388.5pt;height:12pt;mso-position-horizontal-relative:page;mso-position-vertical-relative:paragraph;z-index:-250993664;mso-wrap-distance-left:0;mso-wrap-distance-right:0" type="#_x0000_t202" filled="false" stroked="false">
            <v:textbox inset="0,0,0,0">
              <w:txbxContent>
                <w:p>
                  <w:pPr>
                    <w:pStyle w:val="BodyText"/>
                    <w:spacing w:line="240" w:lineRule="exact"/>
                  </w:pPr>
                  <w:r>
                    <w:rPr>
                      <w:w w:val="120"/>
                    </w:rPr>
                    <w:t>General Assembly re-appoints the Revd Kevin Watson to serve as moderator of</w:t>
                  </w:r>
                </w:p>
              </w:txbxContent>
            </v:textbox>
            <w10:wrap type="topAndBottom"/>
          </v:shape>
        </w:pict>
      </w:r>
    </w:p>
    <w:p>
      <w:pPr>
        <w:pStyle w:val="BodyText"/>
        <w:spacing w:line="239" w:lineRule="exact"/>
        <w:ind w:left="1984"/>
      </w:pPr>
      <w:r>
        <w:rPr>
          <w:position w:val="-4"/>
        </w:rPr>
        <w:pict>
          <v:shape style="width:193.3pt;height:12pt;mso-position-horizontal-relative:char;mso-position-vertical-relative:line" type="#_x0000_t202" filled="false" stroked="false">
            <w10:anchorlock/>
            <v:textbox inset="0,0,0,0">
              <w:txbxContent>
                <w:p>
                  <w:pPr>
                    <w:pStyle w:val="BodyText"/>
                    <w:spacing w:line="240" w:lineRule="exact"/>
                  </w:pPr>
                  <w:r>
                    <w:rPr>
                      <w:w w:val="120"/>
                    </w:rPr>
                    <w:t>the Yorkshire Synod until 31 May 2020.</w:t>
                  </w:r>
                </w:p>
              </w:txbxContent>
            </v:textbox>
          </v:shape>
        </w:pict>
      </w:r>
      <w:r>
        <w:rPr>
          <w:position w:val="-4"/>
        </w:rPr>
      </w:r>
    </w:p>
    <w:p>
      <w:pPr>
        <w:pStyle w:val="BodyText"/>
      </w:pPr>
    </w:p>
    <w:p>
      <w:pPr>
        <w:pStyle w:val="BodyText"/>
      </w:pPr>
    </w:p>
    <w:p>
      <w:pPr>
        <w:pStyle w:val="BodyText"/>
        <w:spacing w:before="10"/>
        <w:rPr>
          <w:sz w:val="25"/>
        </w:rPr>
      </w:pPr>
      <w:r>
        <w:rPr/>
        <w:pict>
          <v:shape style="position:absolute;margin-left:99.212601pt;margin-top:20.286337pt;width:119.65pt;height:42.65pt;mso-position-horizontal-relative:page;mso-position-vertical-relative:paragraph;z-index:-250991616;mso-wrap-distance-left:0;mso-wrap-distance-right:0" type="#_x0000_t202" filled="false" stroked="false">
            <v:textbox inset="0,0,0,0">
              <w:txbxContent>
                <w:p>
                  <w:pPr>
                    <w:spacing w:line="477" w:lineRule="exact" w:before="0"/>
                    <w:ind w:left="0" w:right="0" w:firstLine="0"/>
                    <w:jc w:val="left"/>
                    <w:rPr>
                      <w:rFonts w:ascii="Stone Sans II ITC Std Bk"/>
                      <w:b/>
                      <w:sz w:val="36"/>
                    </w:rPr>
                  </w:pPr>
                  <w:r>
                    <w:rPr>
                      <w:rFonts w:ascii="Stone Sans II ITC Std Lt"/>
                      <w:b w:val="0"/>
                      <w:color w:val="7B4290"/>
                      <w:w w:val="110"/>
                      <w:sz w:val="29"/>
                    </w:rPr>
                    <w:t>Resolution </w:t>
                  </w:r>
                  <w:r>
                    <w:rPr>
                      <w:rFonts w:ascii="Stone Sans II ITC Std Bk"/>
                      <w:b/>
                      <w:color w:val="7B4290"/>
                      <w:w w:val="110"/>
                      <w:sz w:val="36"/>
                    </w:rPr>
                    <w:t>25</w:t>
                  </w:r>
                </w:p>
                <w:p>
                  <w:pPr>
                    <w:spacing w:line="317" w:lineRule="exact" w:before="58"/>
                    <w:ind w:left="0" w:right="0" w:firstLine="0"/>
                    <w:jc w:val="left"/>
                    <w:rPr>
                      <w:rFonts w:ascii="Stone Sans II ITC Std Bk"/>
                      <w:b/>
                      <w:sz w:val="25"/>
                    </w:rPr>
                  </w:pPr>
                  <w:r>
                    <w:rPr>
                      <w:rFonts w:ascii="Stone Sans II ITC Std Bk"/>
                      <w:b/>
                      <w:w w:val="110"/>
                      <w:sz w:val="25"/>
                    </w:rPr>
                    <w:t>General secretary</w:t>
                  </w:r>
                </w:p>
              </w:txbxContent>
            </v:textbox>
            <w10:wrap type="topAndBottom"/>
          </v:shape>
        </w:pict>
      </w:r>
      <w:r>
        <w:rPr/>
        <w:pict>
          <v:shape style="position:absolute;margin-left:495.153687pt;margin-top:16.972637pt;width:38.8pt;height:10.95pt;mso-position-horizontal-relative:page;mso-position-vertical-relative:paragraph;z-index:-250990592;mso-wrap-distance-left:0;mso-wrap-distance-right:0" type="#_x0000_t202" filled="false" stroked="false">
            <v:textbox inset="0,0,0,0">
              <w:txbxContent>
                <w:p>
                  <w:pPr>
                    <w:spacing w:line="217" w:lineRule="exact" w:before="1"/>
                    <w:ind w:left="0" w:right="0" w:firstLine="0"/>
                    <w:jc w:val="left"/>
                    <w:rPr>
                      <w:sz w:val="18"/>
                    </w:rPr>
                  </w:pPr>
                  <w:r>
                    <w:rPr>
                      <w:color w:val="7EAABF"/>
                      <w:w w:val="115"/>
                      <w:sz w:val="18"/>
                    </w:rPr>
                    <w:t>page 129</w:t>
                  </w:r>
                </w:p>
              </w:txbxContent>
            </v:textbox>
            <w10:wrap type="topAndBottom"/>
          </v:shape>
        </w:pict>
      </w:r>
      <w:r>
        <w:rPr/>
        <w:pict>
          <v:shape style="position:absolute;margin-left:99.212601pt;margin-top:67.894936pt;width:415.85pt;height:24pt;mso-position-horizontal-relative:page;mso-position-vertical-relative:paragraph;z-index:-250989568;mso-wrap-distance-left:0;mso-wrap-distance-right:0" type="#_x0000_t202" filled="false" stroked="false">
            <v:textbox inset="0,0,0,0">
              <w:txbxContent>
                <w:p>
                  <w:pPr>
                    <w:pStyle w:val="BodyText"/>
                    <w:spacing w:line="235" w:lineRule="auto" w:before="3"/>
                  </w:pPr>
                  <w:r>
                    <w:rPr>
                      <w:w w:val="120"/>
                    </w:rPr>
                    <w:t>General Assembly appoints the Revd John Proctor to serve as general secretary from 6th July 2014 until 30th June 2021.</w:t>
                  </w:r>
                </w:p>
              </w:txbxContent>
            </v:textbox>
            <w10:wrap type="topAndBottom"/>
          </v:shape>
        </w:pict>
      </w:r>
    </w:p>
    <w:p>
      <w:pPr>
        <w:pStyle w:val="BodyText"/>
        <w:rPr>
          <w:sz w:val="5"/>
        </w:rPr>
      </w:pPr>
    </w:p>
    <w:p>
      <w:pPr>
        <w:pStyle w:val="BodyText"/>
      </w:pPr>
    </w:p>
    <w:p>
      <w:pPr>
        <w:pStyle w:val="BodyText"/>
      </w:pPr>
    </w:p>
    <w:p>
      <w:pPr>
        <w:pStyle w:val="BodyText"/>
        <w:spacing w:before="11"/>
        <w:rPr>
          <w:sz w:val="23"/>
        </w:rPr>
      </w:pPr>
      <w:r>
        <w:rPr/>
        <w:pict>
          <v:shape style="position:absolute;margin-left:99.212601pt;margin-top:20.236338pt;width:382.3pt;height:75.650pt;mso-position-horizontal-relative:page;mso-position-vertical-relative:paragraph;z-index:-250988544;mso-wrap-distance-left:0;mso-wrap-distance-right:0" type="#_x0000_t202" filled="false" stroked="false">
            <v:textbox inset="0,0,0,0">
              <w:txbxContent>
                <w:p>
                  <w:pPr>
                    <w:spacing w:line="477" w:lineRule="exact" w:before="0"/>
                    <w:ind w:left="0" w:right="0" w:firstLine="0"/>
                    <w:jc w:val="left"/>
                    <w:rPr>
                      <w:rFonts w:ascii="Stone Sans II ITC Std Bk"/>
                      <w:b/>
                      <w:sz w:val="36"/>
                    </w:rPr>
                  </w:pPr>
                  <w:r>
                    <w:rPr>
                      <w:rFonts w:ascii="Stone Sans II ITC Std Lt"/>
                      <w:b w:val="0"/>
                      <w:color w:val="7B4290"/>
                      <w:w w:val="110"/>
                      <w:sz w:val="29"/>
                    </w:rPr>
                    <w:t>Resolution </w:t>
                  </w:r>
                  <w:r>
                    <w:rPr>
                      <w:rFonts w:ascii="Stone Sans II ITC Std Bk"/>
                      <w:b/>
                      <w:color w:val="7B4290"/>
                      <w:w w:val="110"/>
                      <w:sz w:val="36"/>
                    </w:rPr>
                    <w:t>26</w:t>
                  </w:r>
                </w:p>
                <w:p>
                  <w:pPr>
                    <w:spacing w:line="228" w:lineRule="auto" w:before="71"/>
                    <w:ind w:left="0" w:right="0" w:firstLine="0"/>
                    <w:jc w:val="left"/>
                    <w:rPr>
                      <w:rFonts w:ascii="Stone Sans II ITC Std Bk"/>
                      <w:b/>
                      <w:sz w:val="25"/>
                    </w:rPr>
                  </w:pPr>
                  <w:r>
                    <w:rPr>
                      <w:rFonts w:ascii="Stone Sans II ITC Std Bk"/>
                      <w:b/>
                      <w:w w:val="110"/>
                      <w:sz w:val="25"/>
                    </w:rPr>
                    <w:t>National Synod of Scotland: Scottish independence referendum 2014</w:t>
                  </w:r>
                </w:p>
                <w:p>
                  <w:pPr>
                    <w:pStyle w:val="BodyText"/>
                    <w:spacing w:line="240" w:lineRule="exact" w:before="82"/>
                  </w:pPr>
                  <w:r>
                    <w:rPr>
                      <w:w w:val="120"/>
                    </w:rPr>
                    <w:t>General Assembly calls the United Reformed Church to pray for the people of</w:t>
                  </w:r>
                </w:p>
              </w:txbxContent>
            </v:textbox>
            <w10:wrap type="topAndBottom"/>
          </v:shape>
        </w:pict>
      </w:r>
      <w:r>
        <w:rPr/>
        <w:pict>
          <v:shape style="position:absolute;margin-left:500.140503pt;margin-top:15.793938pt;width:33.35pt;height:10.95pt;mso-position-horizontal-relative:page;mso-position-vertical-relative:paragraph;z-index:-250987520;mso-wrap-distance-left:0;mso-wrap-distance-right:0" type="#_x0000_t202" filled="false" stroked="false">
            <v:textbox inset="0,0,0,0">
              <w:txbxContent>
                <w:p>
                  <w:pPr>
                    <w:spacing w:line="217" w:lineRule="exact" w:before="1"/>
                    <w:ind w:left="0" w:right="0" w:firstLine="0"/>
                    <w:jc w:val="left"/>
                    <w:rPr>
                      <w:sz w:val="18"/>
                    </w:rPr>
                  </w:pPr>
                  <w:r>
                    <w:rPr>
                      <w:color w:val="7EAABF"/>
                      <w:w w:val="115"/>
                      <w:sz w:val="18"/>
                    </w:rPr>
                    <w:t>page 76</w:t>
                  </w:r>
                </w:p>
              </w:txbxContent>
            </v:textbox>
            <w10:wrap type="topAndBottom"/>
          </v:shape>
        </w:pict>
      </w:r>
    </w:p>
    <w:p>
      <w:pPr>
        <w:pStyle w:val="BodyText"/>
        <w:ind w:left="1984"/>
      </w:pPr>
      <w:r>
        <w:rPr/>
        <w:pict>
          <v:shape style="width:412.9pt;height:36pt;mso-position-horizontal-relative:char;mso-position-vertical-relative:line" type="#_x0000_t202" filled="false" stroked="false">
            <w10:anchorlock/>
            <v:textbox inset="0,0,0,0">
              <w:txbxContent>
                <w:p>
                  <w:pPr>
                    <w:pStyle w:val="BodyText"/>
                    <w:spacing w:line="235" w:lineRule="auto" w:before="3"/>
                  </w:pPr>
                  <w:r>
                    <w:rPr>
                      <w:w w:val="120"/>
                    </w:rPr>
                    <w:t>Scotland before, during and following the independence referendum to be held on 18 September 2014. These prayers should be for all, regardless of conviction, recognising how important the peoples of these islands are to each other.</w:t>
                  </w:r>
                </w:p>
              </w:txbxContent>
            </v:textbox>
          </v:shape>
        </w:pict>
      </w:r>
      <w:r>
        <w:rPr/>
      </w:r>
    </w:p>
    <w:p>
      <w:pPr>
        <w:spacing w:after="0"/>
        <w:sectPr>
          <w:headerReference w:type="default" r:id="rId592"/>
          <w:pgSz w:w="11910" w:h="16840"/>
          <w:pgMar w:header="0" w:footer="647" w:top="520" w:bottom="840" w:left="0" w:right="0"/>
        </w:sectPr>
      </w:pPr>
    </w:p>
    <w:p>
      <w:pPr>
        <w:pStyle w:val="BodyText"/>
      </w:pPr>
      <w:r>
        <w:rPr/>
        <w:drawing>
          <wp:anchor distT="0" distB="0" distL="0" distR="0" allowOverlap="1" layoutInCell="1" locked="0" behindDoc="0" simplePos="0" relativeHeight="252335104">
            <wp:simplePos x="0" y="0"/>
            <wp:positionH relativeFrom="page">
              <wp:posOffset>0</wp:posOffset>
            </wp:positionH>
            <wp:positionV relativeFrom="page">
              <wp:posOffset>0</wp:posOffset>
            </wp:positionV>
            <wp:extent cx="594067" cy="10692003"/>
            <wp:effectExtent l="0" t="0" r="0" b="0"/>
            <wp:wrapNone/>
            <wp:docPr id="457" name="image90.png"/>
            <wp:cNvGraphicFramePr>
              <a:graphicFrameLocks noChangeAspect="1"/>
            </wp:cNvGraphicFramePr>
            <a:graphic>
              <a:graphicData uri="http://schemas.openxmlformats.org/drawingml/2006/picture">
                <pic:pic>
                  <pic:nvPicPr>
                    <pic:cNvPr id="458" name="image90.png"/>
                    <pic:cNvPicPr/>
                  </pic:nvPicPr>
                  <pic:blipFill>
                    <a:blip r:embed="rId579" cstate="print"/>
                    <a:stretch>
                      <a:fillRect/>
                    </a:stretch>
                  </pic:blipFill>
                  <pic:spPr>
                    <a:xfrm>
                      <a:off x="0" y="0"/>
                      <a:ext cx="594067" cy="10692003"/>
                    </a:xfrm>
                    <a:prstGeom prst="rect">
                      <a:avLst/>
                    </a:prstGeom>
                  </pic:spPr>
                </pic:pic>
              </a:graphicData>
            </a:graphic>
          </wp:anchor>
        </w:drawing>
      </w:r>
      <w:r>
        <w:rPr/>
        <w:pict>
          <v:group style="position:absolute;margin-left:55.709pt;margin-top:192.757019pt;width:466.85pt;height:89.45pt;mso-position-horizontal-relative:page;mso-position-vertical-relative:page;z-index:252342272" coordorigin="1114,3855" coordsize="9337,1789">
            <v:rect style="position:absolute;left:1124;top:3865;width:9317;height:1769" filled="false" stroked="true" strokeweight="1.0pt" strokecolor="#000000">
              <v:stroke dashstyle="solid"/>
            </v:rect>
            <v:shape style="position:absolute;left:1374;top:4544;width:8457;height:893" type="#_x0000_t202" filled="false" stroked="false">
              <v:textbox inset="0,0,0,0">
                <w:txbxContent>
                  <w:p>
                    <w:pPr>
                      <w:spacing w:line="333" w:lineRule="exact" w:before="0"/>
                      <w:ind w:left="0" w:right="0" w:firstLine="0"/>
                      <w:jc w:val="left"/>
                      <w:rPr>
                        <w:rFonts w:ascii="Stone Sans II ITC Std Bk"/>
                        <w:b/>
                        <w:sz w:val="25"/>
                      </w:rPr>
                    </w:pPr>
                    <w:r>
                      <w:rPr>
                        <w:rFonts w:ascii="Stone Sans II ITC Std Bk"/>
                        <w:b/>
                        <w:w w:val="110"/>
                        <w:sz w:val="25"/>
                      </w:rPr>
                      <w:t>South Western Synod: Giving to the ministry and mission fund</w:t>
                    </w:r>
                  </w:p>
                  <w:p>
                    <w:pPr>
                      <w:spacing w:line="235" w:lineRule="auto" w:before="82"/>
                      <w:ind w:left="0" w:right="0" w:firstLine="0"/>
                      <w:jc w:val="left"/>
                      <w:rPr>
                        <w:sz w:val="20"/>
                      </w:rPr>
                    </w:pPr>
                    <w:r>
                      <w:rPr>
                        <w:w w:val="120"/>
                        <w:sz w:val="20"/>
                      </w:rPr>
                      <w:t>General Assembly challenges all local churches to increase their giving to the ministry and mission fund by at least 1% per annum.</w:t>
                    </w:r>
                  </w:p>
                </w:txbxContent>
              </v:textbox>
              <w10:wrap type="none"/>
            </v:shape>
            <v:shape style="position:absolute;left:9599;top:3949;width:681;height:219" type="#_x0000_t202" filled="false" stroked="false">
              <v:textbox inset="0,0,0,0">
                <w:txbxContent>
                  <w:p>
                    <w:pPr>
                      <w:spacing w:line="217" w:lineRule="exact" w:before="1"/>
                      <w:ind w:left="0" w:right="0" w:firstLine="0"/>
                      <w:jc w:val="left"/>
                      <w:rPr>
                        <w:sz w:val="18"/>
                      </w:rPr>
                    </w:pPr>
                    <w:r>
                      <w:rPr>
                        <w:color w:val="7EAABF"/>
                        <w:w w:val="115"/>
                        <w:sz w:val="18"/>
                      </w:rPr>
                      <w:t>page 77</w:t>
                    </w:r>
                  </w:p>
                </w:txbxContent>
              </v:textbox>
              <w10:wrap type="none"/>
            </v:shape>
            <v:shape style="position:absolute;left:1374;top:4004;width:2034;height:446" type="#_x0000_t202" filled="false" stroked="false">
              <v:textbox inset="0,0,0,0">
                <w:txbxContent>
                  <w:p>
                    <w:pPr>
                      <w:spacing w:line="446" w:lineRule="exact" w:before="0"/>
                      <w:ind w:left="0" w:right="0" w:firstLine="0"/>
                      <w:jc w:val="left"/>
                      <w:rPr>
                        <w:rFonts w:ascii="Stone Sans II ITC Std Bk"/>
                        <w:b/>
                        <w:sz w:val="36"/>
                      </w:rPr>
                    </w:pPr>
                    <w:r>
                      <w:rPr>
                        <w:rFonts w:ascii="Stone Sans II ITC Std Lt"/>
                        <w:b w:val="0"/>
                        <w:color w:val="7B4290"/>
                        <w:w w:val="110"/>
                        <w:sz w:val="29"/>
                      </w:rPr>
                      <w:t>Resolution </w:t>
                    </w:r>
                    <w:r>
                      <w:rPr>
                        <w:rFonts w:ascii="Stone Sans II ITC Std Bk"/>
                        <w:b/>
                        <w:color w:val="7B4290"/>
                        <w:w w:val="110"/>
                        <w:sz w:val="36"/>
                      </w:rPr>
                      <w:t>28</w:t>
                    </w:r>
                  </w:p>
                </w:txbxContent>
              </v:textbox>
              <w10:wrap type="none"/>
            </v:shape>
            <w10:wrap type="none"/>
          </v:group>
        </w:pict>
      </w:r>
    </w:p>
    <w:p>
      <w:pPr>
        <w:pStyle w:val="BodyText"/>
        <w:spacing w:before="7"/>
        <w:rPr>
          <w:sz w:val="21"/>
        </w:rPr>
      </w:pPr>
    </w:p>
    <w:p>
      <w:pPr>
        <w:spacing w:before="106"/>
        <w:ind w:left="1247" w:right="0" w:firstLine="0"/>
        <w:jc w:val="left"/>
        <w:rPr>
          <w:sz w:val="26"/>
        </w:rPr>
      </w:pPr>
      <w:r>
        <w:rPr/>
        <w:pict>
          <v:group style="position:absolute;margin-left:55.709pt;margin-top:30.398945pt;width:466.85pt;height:107.9pt;mso-position-horizontal-relative:page;mso-position-vertical-relative:paragraph;z-index:252338176" coordorigin="1114,608" coordsize="9337,2158">
            <v:rect style="position:absolute;left:1124;top:617;width:9317;height:2138" filled="false" stroked="true" strokeweight="1pt" strokecolor="#000000">
              <v:stroke dashstyle="solid"/>
            </v:rect>
            <v:shape style="position:absolute;left:9599;top:702;width:681;height:219" type="#_x0000_t202" filled="false" stroked="false">
              <v:textbox inset="0,0,0,0">
                <w:txbxContent>
                  <w:p>
                    <w:pPr>
                      <w:spacing w:line="217" w:lineRule="exact" w:before="1"/>
                      <w:ind w:left="0" w:right="0" w:firstLine="0"/>
                      <w:jc w:val="left"/>
                      <w:rPr>
                        <w:sz w:val="18"/>
                      </w:rPr>
                    </w:pPr>
                    <w:r>
                      <w:rPr>
                        <w:color w:val="7EAABF"/>
                        <w:w w:val="115"/>
                        <w:sz w:val="18"/>
                      </w:rPr>
                      <w:t>page 78</w:t>
                    </w:r>
                  </w:p>
                </w:txbxContent>
              </v:textbox>
              <w10:wrap type="none"/>
            </v:shape>
            <v:shape style="position:absolute;left:1374;top:658;width:8159;height:1913" type="#_x0000_t202" filled="false" stroked="false">
              <v:textbox inset="0,0,0,0">
                <w:txbxContent>
                  <w:p>
                    <w:pPr>
                      <w:spacing w:line="477" w:lineRule="exact" w:before="0"/>
                      <w:ind w:left="0" w:right="0" w:firstLine="0"/>
                      <w:jc w:val="left"/>
                      <w:rPr>
                        <w:rFonts w:ascii="Stone Sans II ITC Std Bk"/>
                        <w:b/>
                        <w:sz w:val="36"/>
                      </w:rPr>
                    </w:pPr>
                    <w:r>
                      <w:rPr>
                        <w:rFonts w:ascii="Stone Sans II ITC Std Lt"/>
                        <w:b w:val="0"/>
                        <w:color w:val="7B4290"/>
                        <w:w w:val="110"/>
                        <w:sz w:val="29"/>
                      </w:rPr>
                      <w:t>Resolution </w:t>
                    </w:r>
                    <w:r>
                      <w:rPr>
                        <w:rFonts w:ascii="Stone Sans II ITC Std Bk"/>
                        <w:b/>
                        <w:color w:val="7B4290"/>
                        <w:w w:val="110"/>
                        <w:sz w:val="36"/>
                      </w:rPr>
                      <w:t>27</w:t>
                    </w:r>
                  </w:p>
                  <w:p>
                    <w:pPr>
                      <w:spacing w:before="58"/>
                      <w:ind w:left="0" w:right="0" w:firstLine="0"/>
                      <w:jc w:val="left"/>
                      <w:rPr>
                        <w:rFonts w:ascii="Stone Sans II ITC Std Bk"/>
                        <w:b/>
                        <w:sz w:val="25"/>
                      </w:rPr>
                    </w:pPr>
                    <w:r>
                      <w:rPr>
                        <w:rFonts w:ascii="Stone Sans II ITC Std Bk"/>
                        <w:b/>
                        <w:w w:val="110"/>
                        <w:sz w:val="25"/>
                      </w:rPr>
                      <w:t>West Midlands </w:t>
                    </w:r>
                    <w:r>
                      <w:rPr>
                        <w:rFonts w:ascii="Stone Sans II ITC Std Bk"/>
                        <w:b/>
                        <w:spacing w:val="-3"/>
                        <w:w w:val="110"/>
                        <w:sz w:val="25"/>
                      </w:rPr>
                      <w:t>Synod: </w:t>
                    </w:r>
                    <w:r>
                      <w:rPr>
                        <w:rFonts w:ascii="Stone Sans II ITC Std Bk"/>
                        <w:b/>
                        <w:w w:val="110"/>
                        <w:sz w:val="25"/>
                      </w:rPr>
                      <w:t>Non-stipendiary ministry age</w:t>
                    </w:r>
                    <w:r>
                      <w:rPr>
                        <w:rFonts w:ascii="Stone Sans II ITC Std Bk"/>
                        <w:b/>
                        <w:spacing w:val="51"/>
                        <w:w w:val="110"/>
                        <w:sz w:val="25"/>
                      </w:rPr>
                      <w:t> </w:t>
                    </w:r>
                    <w:r>
                      <w:rPr>
                        <w:rFonts w:ascii="Stone Sans II ITC Std Bk"/>
                        <w:b/>
                        <w:w w:val="110"/>
                        <w:sz w:val="25"/>
                      </w:rPr>
                      <w:t>limit</w:t>
                    </w:r>
                  </w:p>
                  <w:p>
                    <w:pPr>
                      <w:spacing w:line="235" w:lineRule="auto" w:before="83"/>
                      <w:ind w:left="0" w:right="21" w:firstLine="0"/>
                      <w:jc w:val="left"/>
                      <w:rPr>
                        <w:sz w:val="20"/>
                      </w:rPr>
                    </w:pPr>
                    <w:r>
                      <w:rPr>
                        <w:w w:val="120"/>
                        <w:sz w:val="20"/>
                      </w:rPr>
                      <w:t>Recognising that people are working longer in many occupations and that UK legislation has changed in recent years to enable people to work without fear of age discrimination; the General Assembly resolves to remove the age related entry qualifications with regard to non-stipendiary</w:t>
                    </w:r>
                    <w:r>
                      <w:rPr>
                        <w:spacing w:val="12"/>
                        <w:w w:val="120"/>
                        <w:sz w:val="20"/>
                      </w:rPr>
                      <w:t> </w:t>
                    </w:r>
                    <w:r>
                      <w:rPr>
                        <w:w w:val="120"/>
                        <w:sz w:val="20"/>
                      </w:rPr>
                      <w:t>ministry.</w:t>
                    </w:r>
                  </w:p>
                </w:txbxContent>
              </v:textbox>
              <w10:wrap type="none"/>
            </v:shape>
            <w10:wrap type="none"/>
          </v:group>
        </w:pict>
      </w:r>
      <w:r>
        <w:rPr/>
        <w:pict>
          <v:shape style="position:absolute;margin-left:19.519100pt;margin-top:22.593945pt;width:25.9pt;height:183.25pt;mso-position-horizontal-relative:page;mso-position-vertical-relative:paragraph;z-index:252343296" type="#_x0000_t202" filled="false" stroked="false">
            <v:textbox inset="0,0,0,0" style="layout-flow:vertical">
              <w:txbxContent>
                <w:p>
                  <w:pPr>
                    <w:spacing w:before="27"/>
                    <w:ind w:left="20" w:right="0" w:firstLine="0"/>
                    <w:jc w:val="left"/>
                    <w:rPr>
                      <w:sz w:val="39"/>
                    </w:rPr>
                  </w:pPr>
                  <w:r>
                    <w:rPr>
                      <w:color w:val="FFFFFF"/>
                      <w:w w:val="120"/>
                      <w:sz w:val="39"/>
                    </w:rPr>
                    <w:t>Resolutions 27-28</w:t>
                  </w:r>
                </w:p>
              </w:txbxContent>
            </v:textbox>
            <w10:wrap type="none"/>
          </v:shape>
        </w:pict>
      </w:r>
      <w:r>
        <w:rPr>
          <w:color w:val="7EAABF"/>
          <w:w w:val="115"/>
          <w:sz w:val="26"/>
        </w:rPr>
        <w:t>Resolutions</w:t>
      </w:r>
    </w:p>
    <w:p>
      <w:pPr>
        <w:spacing w:after="0"/>
        <w:jc w:val="left"/>
        <w:rPr>
          <w:sz w:val="26"/>
        </w:rPr>
        <w:sectPr>
          <w:headerReference w:type="even" r:id="rId593"/>
          <w:footerReference w:type="even" r:id="rId594"/>
          <w:footerReference w:type="default" r:id="rId595"/>
          <w:pgSz w:w="11910" w:h="16840"/>
          <w:pgMar w:header="0" w:footer="647" w:top="0" w:bottom="840" w:left="0" w:right="0"/>
          <w:pgNumType w:start="238"/>
        </w:sectPr>
      </w:pPr>
    </w:p>
    <w:p>
      <w:pPr>
        <w:pStyle w:val="BodyText"/>
        <w:spacing w:before="4"/>
        <w:rPr>
          <w:sz w:val="16"/>
        </w:rPr>
      </w:pPr>
      <w:r>
        <w:rPr/>
        <w:drawing>
          <wp:anchor distT="0" distB="0" distL="0" distR="0" allowOverlap="1" layoutInCell="1" locked="0" behindDoc="0" simplePos="0" relativeHeight="252344320">
            <wp:simplePos x="0" y="0"/>
            <wp:positionH relativeFrom="page">
              <wp:posOffset>6974928</wp:posOffset>
            </wp:positionH>
            <wp:positionV relativeFrom="page">
              <wp:posOffset>0</wp:posOffset>
            </wp:positionV>
            <wp:extent cx="585063" cy="10692003"/>
            <wp:effectExtent l="0" t="0" r="0" b="0"/>
            <wp:wrapNone/>
            <wp:docPr id="459" name="image89.png"/>
            <wp:cNvGraphicFramePr>
              <a:graphicFrameLocks noChangeAspect="1"/>
            </wp:cNvGraphicFramePr>
            <a:graphic>
              <a:graphicData uri="http://schemas.openxmlformats.org/drawingml/2006/picture">
                <pic:pic>
                  <pic:nvPicPr>
                    <pic:cNvPr id="460" name="image89.png"/>
                    <pic:cNvPicPr/>
                  </pic:nvPicPr>
                  <pic:blipFill>
                    <a:blip r:embed="rId575" cstate="print"/>
                    <a:stretch>
                      <a:fillRect/>
                    </a:stretch>
                  </pic:blipFill>
                  <pic:spPr>
                    <a:xfrm>
                      <a:off x="0" y="0"/>
                      <a:ext cx="585063" cy="10692003"/>
                    </a:xfrm>
                    <a:prstGeom prst="rect">
                      <a:avLst/>
                    </a:prstGeom>
                  </pic:spPr>
                </pic:pic>
              </a:graphicData>
            </a:graphic>
          </wp:anchor>
        </w:drawing>
      </w:r>
    </w:p>
    <w:p>
      <w:pPr>
        <w:spacing w:after="0"/>
        <w:rPr>
          <w:sz w:val="16"/>
        </w:rPr>
        <w:sectPr>
          <w:headerReference w:type="default" r:id="rId596"/>
          <w:pgSz w:w="11910" w:h="16840"/>
          <w:pgMar w:header="0" w:footer="567" w:top="0" w:bottom="760" w:left="0" w:right="0"/>
        </w:sectPr>
      </w:pPr>
    </w:p>
    <w:p>
      <w:pPr>
        <w:pStyle w:val="BodyText"/>
        <w:spacing w:before="4"/>
        <w:rPr>
          <w:sz w:val="16"/>
        </w:rPr>
      </w:pPr>
      <w:r>
        <w:rPr/>
        <w:drawing>
          <wp:anchor distT="0" distB="0" distL="0" distR="0" allowOverlap="1" layoutInCell="1" locked="0" behindDoc="0" simplePos="0" relativeHeight="252345344">
            <wp:simplePos x="0" y="0"/>
            <wp:positionH relativeFrom="page">
              <wp:posOffset>0</wp:posOffset>
            </wp:positionH>
            <wp:positionV relativeFrom="page">
              <wp:posOffset>0</wp:posOffset>
            </wp:positionV>
            <wp:extent cx="594067" cy="10692003"/>
            <wp:effectExtent l="0" t="0" r="0" b="0"/>
            <wp:wrapNone/>
            <wp:docPr id="461" name="image90.png"/>
            <wp:cNvGraphicFramePr>
              <a:graphicFrameLocks noChangeAspect="1"/>
            </wp:cNvGraphicFramePr>
            <a:graphic>
              <a:graphicData uri="http://schemas.openxmlformats.org/drawingml/2006/picture">
                <pic:pic>
                  <pic:nvPicPr>
                    <pic:cNvPr id="462" name="image90.png"/>
                    <pic:cNvPicPr/>
                  </pic:nvPicPr>
                  <pic:blipFill>
                    <a:blip r:embed="rId579" cstate="print"/>
                    <a:stretch>
                      <a:fillRect/>
                    </a:stretch>
                  </pic:blipFill>
                  <pic:spPr>
                    <a:xfrm>
                      <a:off x="0" y="0"/>
                      <a:ext cx="594067" cy="10692003"/>
                    </a:xfrm>
                    <a:prstGeom prst="rect">
                      <a:avLst/>
                    </a:prstGeom>
                  </pic:spPr>
                </pic:pic>
              </a:graphicData>
            </a:graphic>
          </wp:anchor>
        </w:drawing>
      </w:r>
    </w:p>
    <w:sectPr>
      <w:headerReference w:type="even" r:id="rId597"/>
      <w:footerReference w:type="even" r:id="rId598"/>
      <w:pgSz w:w="11910" w:h="16840"/>
      <w:pgMar w:header="0" w:footer="567" w:top="0" w:bottom="76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alibri">
    <w:altName w:val="Calibri"/>
    <w:charset w:val="0"/>
    <w:family w:val="swiss"/>
    <w:pitch w:val="variable"/>
  </w:font>
  <w:font w:name="Stone Sans II ITC Std X Bd">
    <w:altName w:val="Stone Sans II ITC Std X Bd"/>
    <w:charset w:val="0"/>
    <w:family w:val="swiss"/>
    <w:pitch w:val="variable"/>
  </w:font>
  <w:font w:name="Stone Sans II ITC Std Bk">
    <w:altName w:val="Stone Sans II ITC Std Bk"/>
    <w:charset w:val="0"/>
    <w:family w:val="swiss"/>
    <w:pitch w:val="variable"/>
  </w:font>
  <w:font w:name="Symbol">
    <w:altName w:val="Symbol"/>
    <w:charset w:val="2"/>
    <w:family w:val="roman"/>
    <w:pitch w:val="variable"/>
  </w:font>
  <w:font w:name="Stone Sans II ITC Std Sm">
    <w:altName w:val="Stone Sans II ITC Std Sm"/>
    <w:charset w:val="0"/>
    <w:family w:val="swiss"/>
    <w:pitch w:val="variable"/>
  </w:font>
  <w:font w:name="Stone Sans II ITC Std Lt">
    <w:altName w:val="Stone Sans II ITC Std Lt"/>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7615232"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10</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539398pt;margin-top:798.53833pt;width:311.4pt;height:17.45pt;mso-position-horizontal-relative:page;mso-position-vertical-relative:page;z-index:-267606016"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15</w:t>
                </w:r>
                <w:r>
                  <w:rPr/>
                  <w:fldChar w:fldCharType="end"/>
                </w:r>
              </w:p>
            </w:txbxContent>
          </v:textbox>
          <w10:wrap type="none"/>
        </v:shape>
      </w:pict>
    </w:r>
  </w:p>
</w:ftr>
</file>

<file path=word/footer10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518976"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105</w:t>
                </w:r>
                <w:r>
                  <w:rPr/>
                  <w:fldChar w:fldCharType="end"/>
                </w:r>
              </w:p>
            </w:txbxContent>
          </v:textbox>
          <w10:wrap type="none"/>
        </v:shape>
      </w:pict>
    </w:r>
  </w:p>
</w:ftr>
</file>

<file path=word/footer10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517952"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106</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0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516928"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107</w:t>
                </w:r>
                <w:r>
                  <w:rPr/>
                  <w:fldChar w:fldCharType="end"/>
                </w:r>
              </w:p>
            </w:txbxContent>
          </v:textbox>
          <w10:wrap type="none"/>
        </v:shape>
      </w:pict>
    </w:r>
  </w:p>
</w:ftr>
</file>

<file path=word/footer10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515904"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108</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0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514880"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109</w:t>
                </w:r>
                <w:r>
                  <w:rPr/>
                  <w:fldChar w:fldCharType="end"/>
                </w:r>
              </w:p>
            </w:txbxContent>
          </v:textbox>
          <w10:wrap type="none"/>
        </v:shape>
      </w:pict>
    </w:r>
  </w:p>
</w:ftr>
</file>

<file path=word/footer10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1.362202pt;margin-top:798.53833pt;width:317.4pt;height:17.45pt;mso-position-horizontal-relative:page;mso-position-vertical-relative:page;z-index:-267513856" type="#_x0000_t202" filled="false" stroked="false">
          <v:textbox inset="0,0,0,0">
            <w:txbxContent>
              <w:p>
                <w:pPr>
                  <w:spacing w:before="16"/>
                  <w:ind w:left="20" w:right="0" w:firstLine="0"/>
                  <w:jc w:val="left"/>
                  <w:rPr>
                    <w:sz w:val="23"/>
                  </w:rPr>
                </w:pPr>
                <w:r>
                  <w:rPr>
                    <w:rFonts w:ascii="Stone Sans II ITC Std X Bd" w:hAnsi="Stone Sans II ITC Std X Bd"/>
                    <w:b/>
                    <w:w w:val="110"/>
                    <w:sz w:val="24"/>
                  </w:rPr>
                  <w:t>110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0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0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511808"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112</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0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510784"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113</w:t>
                </w:r>
                <w:r>
                  <w:rPr/>
                  <w:fldChar w:fldCharType="end"/>
                </w:r>
              </w:p>
            </w:txbxContent>
          </v:textbox>
          <w10:wrap type="none"/>
        </v:shape>
      </w:pict>
    </w:r>
  </w:p>
</w:ftr>
</file>

<file path=word/footer10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509760"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114</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7604992"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16</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508736"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115</w:t>
                </w:r>
                <w:r>
                  <w:rPr/>
                  <w:fldChar w:fldCharType="end"/>
                </w:r>
              </w:p>
            </w:txbxContent>
          </v:textbox>
          <w10:wrap type="none"/>
        </v:shape>
      </w:pict>
    </w:r>
  </w:p>
</w:ftr>
</file>

<file path=word/footer1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507712"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116</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506688"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117</w:t>
                </w:r>
                <w:r>
                  <w:rPr/>
                  <w:fldChar w:fldCharType="end"/>
                </w:r>
              </w:p>
            </w:txbxContent>
          </v:textbox>
          <w10:wrap type="none"/>
        </v:shape>
      </w:pict>
    </w:r>
  </w:p>
</w:ftr>
</file>

<file path=word/footer1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505664"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118</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504640"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119</w:t>
                </w:r>
                <w:r>
                  <w:rPr/>
                  <w:fldChar w:fldCharType="end"/>
                </w:r>
              </w:p>
            </w:txbxContent>
          </v:textbox>
          <w10:wrap type="none"/>
        </v:shape>
      </w:pict>
    </w:r>
  </w:p>
</w:ftr>
</file>

<file path=word/footer1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7.4pt;height:17.45pt;mso-position-horizontal-relative:page;mso-position-vertical-relative:page;z-index:-267502592"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rFonts w:ascii="Stone Sans II ITC Std X Bd" w:hAnsi="Stone Sans II ITC Std X Bd"/>
                    <w:b/>
                    <w:w w:val="110"/>
                    <w:sz w:val="24"/>
                  </w:rPr>
                  <w:t>121</w:t>
                </w:r>
              </w:p>
            </w:txbxContent>
          </v:textbox>
          <w10:wrap type="none"/>
        </v:shape>
      </w:pict>
    </w:r>
  </w:p>
</w:ftr>
</file>

<file path=word/footer1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501568" type="#_x0000_t202" filled="false" stroked="false">
          <v:textbox inset="0,0,0,0">
            <w:txbxContent>
              <w:p>
                <w:pPr>
                  <w:spacing w:before="16"/>
                  <w:ind w:left="60" w:right="0" w:firstLine="0"/>
                  <w:jc w:val="left"/>
                  <w:rPr>
                    <w:sz w:val="23"/>
                  </w:rPr>
                </w:pPr>
                <w:r>
                  <w:rPr>
                    <w:rFonts w:ascii="Stone Sans II ITC Std X Bd" w:hAnsi="Stone Sans II ITC Std X Bd"/>
                    <w:b/>
                    <w:w w:val="110"/>
                    <w:sz w:val="24"/>
                  </w:rPr>
                  <w:t>122</w:t>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500544"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123</w:t>
                </w:r>
                <w:r>
                  <w:rPr/>
                  <w:fldChar w:fldCharType="end"/>
                </w:r>
              </w:p>
            </w:txbxContent>
          </v:textbox>
          <w10:wrap type="none"/>
        </v:shape>
      </w:pict>
    </w:r>
  </w:p>
</w:ftr>
</file>

<file path=word/footer1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499520"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124</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539398pt;margin-top:798.53833pt;width:311.4pt;height:17.45pt;mso-position-horizontal-relative:page;mso-position-vertical-relative:page;z-index:-267603968"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17</w:t>
                </w:r>
                <w:r>
                  <w:rPr/>
                  <w:fldChar w:fldCharType="end"/>
                </w:r>
              </w:p>
            </w:txbxContent>
          </v:textbox>
          <w10:wrap type="none"/>
        </v:shape>
      </w:pict>
    </w:r>
  </w:p>
</w:ftr>
</file>

<file path=word/footer1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498496"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125</w:t>
                </w:r>
                <w:r>
                  <w:rPr/>
                  <w:fldChar w:fldCharType="end"/>
                </w:r>
              </w:p>
            </w:txbxContent>
          </v:textbox>
          <w10:wrap type="none"/>
        </v:shape>
      </w:pict>
    </w:r>
  </w:p>
</w:ftr>
</file>

<file path=word/footer1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497472"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126</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496448"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127</w:t>
                </w:r>
                <w:r>
                  <w:rPr/>
                  <w:fldChar w:fldCharType="end"/>
                </w:r>
              </w:p>
            </w:txbxContent>
          </v:textbox>
          <w10:wrap type="none"/>
        </v:shape>
      </w:pict>
    </w:r>
  </w:p>
</w:ftr>
</file>

<file path=word/footer1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492352"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131</w:t>
                </w:r>
                <w:r>
                  <w:rPr/>
                  <w:fldChar w:fldCharType="end"/>
                </w:r>
              </w:p>
            </w:txbxContent>
          </v:textbox>
          <w10:wrap type="none"/>
        </v:shape>
      </w:pict>
    </w:r>
  </w:p>
</w:ftr>
</file>

<file path=word/footer1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490304"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133</w:t>
                </w:r>
                <w:r>
                  <w:rPr/>
                  <w:fldChar w:fldCharType="end"/>
                </w:r>
              </w:p>
            </w:txbxContent>
          </v:textbox>
          <w10:wrap type="none"/>
        </v:shape>
      </w:pict>
    </w:r>
  </w:p>
</w:ftr>
</file>

<file path=word/footer1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489280"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134</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7602944"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18</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488256"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135</w:t>
                </w:r>
                <w:r>
                  <w:rPr/>
                  <w:fldChar w:fldCharType="end"/>
                </w:r>
              </w:p>
            </w:txbxContent>
          </v:textbox>
          <w10:wrap type="none"/>
        </v:shape>
      </w:pict>
    </w:r>
  </w:p>
</w:ftr>
</file>

<file path=word/footer1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487232"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136</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485184"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138</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7.4pt;height:17.45pt;mso-position-horizontal-relative:page;mso-position-vertical-relative:page;z-index:-267484160"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rFonts w:ascii="Stone Sans II ITC Std X Bd" w:hAnsi="Stone Sans II ITC Std X Bd"/>
                    <w:b/>
                    <w:w w:val="110"/>
                    <w:sz w:val="24"/>
                  </w:rPr>
                  <w:t>139</w:t>
                </w:r>
              </w:p>
            </w:txbxContent>
          </v:textbox>
          <w10:wrap type="none"/>
        </v:shape>
      </w:pict>
    </w:r>
  </w:p>
</w:ftr>
</file>

<file path=word/footer1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1.362202pt;margin-top:798.53833pt;width:317.4pt;height:17.45pt;mso-position-horizontal-relative:page;mso-position-vertical-relative:page;z-index:-267483136" type="#_x0000_t202" filled="false" stroked="false">
          <v:textbox inset="0,0,0,0">
            <w:txbxContent>
              <w:p>
                <w:pPr>
                  <w:spacing w:before="16"/>
                  <w:ind w:left="20" w:right="0" w:firstLine="0"/>
                  <w:jc w:val="left"/>
                  <w:rPr>
                    <w:sz w:val="23"/>
                  </w:rPr>
                </w:pPr>
                <w:r>
                  <w:rPr>
                    <w:rFonts w:ascii="Stone Sans II ITC Std X Bd" w:hAnsi="Stone Sans II ITC Std X Bd"/>
                    <w:b/>
                    <w:w w:val="110"/>
                    <w:sz w:val="24"/>
                  </w:rPr>
                  <w:t>140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7.4pt;height:17.45pt;mso-position-horizontal-relative:page;mso-position-vertical-relative:page;z-index:-267482112"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rFonts w:ascii="Stone Sans II ITC Std X Bd" w:hAnsi="Stone Sans II ITC Std X Bd"/>
                    <w:b/>
                    <w:w w:val="110"/>
                    <w:sz w:val="24"/>
                  </w:rPr>
                  <w:t>141</w:t>
                </w:r>
              </w:p>
            </w:txbxContent>
          </v:textbox>
          <w10:wrap type="none"/>
        </v:shape>
      </w:pict>
    </w:r>
  </w:p>
</w:ftr>
</file>

<file path=word/footer1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481088"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142</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480064"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143</w:t>
                </w:r>
                <w:r>
                  <w:rPr/>
                  <w:fldChar w:fldCharType="end"/>
                </w:r>
              </w:p>
            </w:txbxContent>
          </v:textbox>
          <w10:wrap type="none"/>
        </v:shape>
      </w:pict>
    </w:r>
  </w:p>
</w:ftr>
</file>

<file path=word/footer1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479040"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144</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539398pt;margin-top:798.53833pt;width:311.4pt;height:17.45pt;mso-position-horizontal-relative:page;mso-position-vertical-relative:page;z-index:-267601920"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19</w:t>
                </w:r>
                <w:r>
                  <w:rPr/>
                  <w:fldChar w:fldCharType="end"/>
                </w:r>
              </w:p>
            </w:txbxContent>
          </v:textbox>
          <w10:wrap type="none"/>
        </v:shape>
      </w:pict>
    </w:r>
  </w:p>
</w:ftr>
</file>

<file path=word/footer1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478016"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145</w:t>
                </w:r>
                <w:r>
                  <w:rPr/>
                  <w:fldChar w:fldCharType="end"/>
                </w:r>
              </w:p>
            </w:txbxContent>
          </v:textbox>
          <w10:wrap type="none"/>
        </v:shape>
      </w:pict>
    </w:r>
  </w:p>
</w:ftr>
</file>

<file path=word/footer1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476992"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146</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475968"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147</w:t>
                </w:r>
                <w:r>
                  <w:rPr/>
                  <w:fldChar w:fldCharType="end"/>
                </w:r>
              </w:p>
            </w:txbxContent>
          </v:textbox>
          <w10:wrap type="none"/>
        </v:shape>
      </w:pict>
    </w:r>
  </w:p>
</w:ftr>
</file>

<file path=word/footer1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474944"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148</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473920"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149</w:t>
                </w:r>
                <w:r>
                  <w:rPr/>
                  <w:fldChar w:fldCharType="end"/>
                </w:r>
              </w:p>
            </w:txbxContent>
          </v:textbox>
          <w10:wrap type="none"/>
        </v:shape>
      </w:pict>
    </w:r>
  </w:p>
</w:ftr>
</file>

<file path=word/footer1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1.362202pt;margin-top:798.53833pt;width:317.4pt;height:17.45pt;mso-position-horizontal-relative:page;mso-position-vertical-relative:page;z-index:-267472896" type="#_x0000_t202" filled="false" stroked="false">
          <v:textbox inset="0,0,0,0">
            <w:txbxContent>
              <w:p>
                <w:pPr>
                  <w:spacing w:before="16"/>
                  <w:ind w:left="20" w:right="0" w:firstLine="0"/>
                  <w:jc w:val="left"/>
                  <w:rPr>
                    <w:sz w:val="23"/>
                  </w:rPr>
                </w:pPr>
                <w:r>
                  <w:rPr>
                    <w:rFonts w:ascii="Stone Sans II ITC Std X Bd" w:hAnsi="Stone Sans II ITC Std X Bd"/>
                    <w:b/>
                    <w:w w:val="110"/>
                    <w:sz w:val="24"/>
                  </w:rPr>
                  <w:t>150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7.4pt;height:17.45pt;mso-position-horizontal-relative:page;mso-position-vertical-relative:page;z-index:-267471872"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rFonts w:ascii="Stone Sans II ITC Std X Bd" w:hAnsi="Stone Sans II ITC Std X Bd"/>
                    <w:b/>
                    <w:w w:val="110"/>
                    <w:sz w:val="24"/>
                  </w:rPr>
                  <w:t>151</w:t>
                </w:r>
              </w:p>
            </w:txbxContent>
          </v:textbox>
          <w10:wrap type="none"/>
        </v:shape>
      </w:pict>
    </w:r>
  </w:p>
</w:ftr>
</file>

<file path=word/footer1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470848"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152</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468800"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154</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7600896"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20</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467776"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155</w:t>
                </w:r>
                <w:r>
                  <w:rPr/>
                  <w:fldChar w:fldCharType="end"/>
                </w:r>
              </w:p>
            </w:txbxContent>
          </v:textbox>
          <w10:wrap type="none"/>
        </v:shape>
      </w:pict>
    </w:r>
  </w:p>
</w:ftr>
</file>

<file path=word/footer1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466752"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156</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465728"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157</w:t>
                </w:r>
                <w:r>
                  <w:rPr/>
                  <w:fldChar w:fldCharType="end"/>
                </w:r>
              </w:p>
            </w:txbxContent>
          </v:textbox>
          <w10:wrap type="none"/>
        </v:shape>
      </w:pict>
    </w:r>
  </w:p>
</w:ftr>
</file>

<file path=word/footer1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464704"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158</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463680"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159</w:t>
                </w:r>
                <w:r>
                  <w:rPr/>
                  <w:fldChar w:fldCharType="end"/>
                </w:r>
              </w:p>
            </w:txbxContent>
          </v:textbox>
          <w10:wrap type="none"/>
        </v:shape>
      </w:pict>
    </w:r>
  </w:p>
</w:ftr>
</file>

<file path=word/footer1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1.362202pt;margin-top:798.53833pt;width:317.4pt;height:17.45pt;mso-position-horizontal-relative:page;mso-position-vertical-relative:page;z-index:-267462656" type="#_x0000_t202" filled="false" stroked="false">
          <v:textbox inset="0,0,0,0">
            <w:txbxContent>
              <w:p>
                <w:pPr>
                  <w:spacing w:before="16"/>
                  <w:ind w:left="20" w:right="0" w:firstLine="0"/>
                  <w:jc w:val="left"/>
                  <w:rPr>
                    <w:sz w:val="23"/>
                  </w:rPr>
                </w:pPr>
                <w:r>
                  <w:rPr>
                    <w:rFonts w:ascii="Stone Sans II ITC Std X Bd" w:hAnsi="Stone Sans II ITC Std X Bd"/>
                    <w:b/>
                    <w:w w:val="110"/>
                    <w:sz w:val="24"/>
                  </w:rPr>
                  <w:t>160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7.4pt;height:17.45pt;mso-position-horizontal-relative:page;mso-position-vertical-relative:page;z-index:-267461632"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rFonts w:ascii="Stone Sans II ITC Std X Bd" w:hAnsi="Stone Sans II ITC Std X Bd"/>
                    <w:b/>
                    <w:w w:val="110"/>
                    <w:sz w:val="24"/>
                  </w:rPr>
                  <w:t>161</w:t>
                </w:r>
              </w:p>
            </w:txbxContent>
          </v:textbox>
          <w10:wrap type="none"/>
        </v:shape>
      </w:pict>
    </w:r>
  </w:p>
</w:ftr>
</file>

<file path=word/footer1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460608"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162</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459584"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163</w:t>
                </w:r>
                <w:r>
                  <w:rPr/>
                  <w:fldChar w:fldCharType="end"/>
                </w:r>
              </w:p>
            </w:txbxContent>
          </v:textbox>
          <w10:wrap type="none"/>
        </v:shape>
      </w:pict>
    </w:r>
  </w:p>
</w:ftr>
</file>

<file path=word/footer1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458560"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164</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539398pt;margin-top:798.53833pt;width:311.4pt;height:17.45pt;mso-position-horizontal-relative:page;mso-position-vertical-relative:page;z-index:-267599872"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21</w:t>
                </w:r>
                <w:r>
                  <w:rPr/>
                  <w:fldChar w:fldCharType="end"/>
                </w:r>
              </w:p>
            </w:txbxContent>
          </v:textbox>
          <w10:wrap type="none"/>
        </v:shape>
      </w:pict>
    </w:r>
  </w:p>
</w:ftr>
</file>

<file path=word/footer1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457536"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165</w:t>
                </w:r>
                <w:r>
                  <w:rPr/>
                  <w:fldChar w:fldCharType="end"/>
                </w:r>
              </w:p>
            </w:txbxContent>
          </v:textbox>
          <w10:wrap type="none"/>
        </v:shape>
      </w:pict>
    </w:r>
  </w:p>
</w:ftr>
</file>

<file path=word/footer1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456512"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166</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455488"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167</w:t>
                </w:r>
                <w:r>
                  <w:rPr/>
                  <w:fldChar w:fldCharType="end"/>
                </w:r>
              </w:p>
            </w:txbxContent>
          </v:textbox>
          <w10:wrap type="none"/>
        </v:shape>
      </w:pict>
    </w:r>
  </w:p>
</w:ftr>
</file>

<file path=word/footer1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454464"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168</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453440"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169</w:t>
                </w:r>
                <w:r>
                  <w:rPr/>
                  <w:fldChar w:fldCharType="end"/>
                </w:r>
              </w:p>
            </w:txbxContent>
          </v:textbox>
          <w10:wrap type="none"/>
        </v:shape>
      </w:pict>
    </w:r>
  </w:p>
</w:ftr>
</file>

<file path=word/footer16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1.362202pt;margin-top:798.53833pt;width:317.4pt;height:17.45pt;mso-position-horizontal-relative:page;mso-position-vertical-relative:page;z-index:-267452416" type="#_x0000_t202" filled="false" stroked="false">
          <v:textbox inset="0,0,0,0">
            <w:txbxContent>
              <w:p>
                <w:pPr>
                  <w:spacing w:before="16"/>
                  <w:ind w:left="20" w:right="0" w:firstLine="0"/>
                  <w:jc w:val="left"/>
                  <w:rPr>
                    <w:sz w:val="23"/>
                  </w:rPr>
                </w:pPr>
                <w:r>
                  <w:rPr>
                    <w:rFonts w:ascii="Stone Sans II ITC Std X Bd" w:hAnsi="Stone Sans II ITC Std X Bd"/>
                    <w:b/>
                    <w:w w:val="110"/>
                    <w:sz w:val="24"/>
                  </w:rPr>
                  <w:t>170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6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7.4pt;height:17.45pt;mso-position-horizontal-relative:page;mso-position-vertical-relative:page;z-index:-267451392"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rFonts w:ascii="Stone Sans II ITC Std X Bd" w:hAnsi="Stone Sans II ITC Std X Bd"/>
                    <w:b/>
                    <w:w w:val="110"/>
                    <w:sz w:val="24"/>
                  </w:rPr>
                  <w:t>171</w:t>
                </w:r>
              </w:p>
            </w:txbxContent>
          </v:textbox>
          <w10:wrap type="none"/>
        </v:shape>
      </w:pict>
    </w:r>
  </w:p>
</w:ftr>
</file>

<file path=word/footer16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450368"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172</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6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449344"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173</w:t>
                </w:r>
                <w:r>
                  <w:rPr/>
                  <w:fldChar w:fldCharType="end"/>
                </w:r>
              </w:p>
            </w:txbxContent>
          </v:textbox>
          <w10:wrap type="none"/>
        </v:shape>
      </w:pict>
    </w:r>
  </w:p>
</w:ftr>
</file>

<file path=word/footer16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448320"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174</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7598848"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22</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7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447296"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175</w:t>
                </w:r>
                <w:r>
                  <w:rPr/>
                  <w:fldChar w:fldCharType="end"/>
                </w:r>
              </w:p>
            </w:txbxContent>
          </v:textbox>
          <w10:wrap type="none"/>
        </v:shape>
      </w:pict>
    </w:r>
  </w:p>
</w:ftr>
</file>

<file path=word/footer17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446272"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176</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7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445248"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177</w:t>
                </w:r>
                <w:r>
                  <w:rPr/>
                  <w:fldChar w:fldCharType="end"/>
                </w:r>
              </w:p>
            </w:txbxContent>
          </v:textbox>
          <w10:wrap type="none"/>
        </v:shape>
      </w:pict>
    </w:r>
  </w:p>
</w:ftr>
</file>

<file path=word/footer17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444224"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178</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7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443200"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179</w:t>
                </w:r>
                <w:r>
                  <w:rPr/>
                  <w:fldChar w:fldCharType="end"/>
                </w:r>
              </w:p>
            </w:txbxContent>
          </v:textbox>
          <w10:wrap type="none"/>
        </v:shape>
      </w:pict>
    </w:r>
  </w:p>
</w:ftr>
</file>

<file path=word/footer17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1.362202pt;margin-top:798.53833pt;width:317.4pt;height:17.45pt;mso-position-horizontal-relative:page;mso-position-vertical-relative:page;z-index:-267442176" type="#_x0000_t202" filled="false" stroked="false">
          <v:textbox inset="0,0,0,0">
            <w:txbxContent>
              <w:p>
                <w:pPr>
                  <w:spacing w:before="16"/>
                  <w:ind w:left="20" w:right="0" w:firstLine="0"/>
                  <w:jc w:val="left"/>
                  <w:rPr>
                    <w:sz w:val="23"/>
                  </w:rPr>
                </w:pPr>
                <w:r>
                  <w:rPr>
                    <w:rFonts w:ascii="Stone Sans II ITC Std X Bd" w:hAnsi="Stone Sans II ITC Std X Bd"/>
                    <w:b/>
                    <w:w w:val="110"/>
                    <w:sz w:val="24"/>
                  </w:rPr>
                  <w:t>180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7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7.4pt;height:17.45pt;mso-position-horizontal-relative:page;mso-position-vertical-relative:page;z-index:-267441152"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rFonts w:ascii="Stone Sans II ITC Std X Bd" w:hAnsi="Stone Sans II ITC Std X Bd"/>
                    <w:b/>
                    <w:w w:val="110"/>
                    <w:sz w:val="24"/>
                  </w:rPr>
                  <w:t>181</w:t>
                </w:r>
              </w:p>
            </w:txbxContent>
          </v:textbox>
          <w10:wrap type="none"/>
        </v:shape>
      </w:pict>
    </w:r>
  </w:p>
</w:ftr>
</file>

<file path=word/footer17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440128"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182</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7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439104"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183</w:t>
                </w:r>
                <w:r>
                  <w:rPr/>
                  <w:fldChar w:fldCharType="end"/>
                </w:r>
              </w:p>
            </w:txbxContent>
          </v:textbox>
          <w10:wrap type="none"/>
        </v:shape>
      </w:pict>
    </w:r>
  </w:p>
</w:ftr>
</file>

<file path=word/footer17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438080"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184</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539398pt;margin-top:798.53833pt;width:311.4pt;height:17.45pt;mso-position-horizontal-relative:page;mso-position-vertical-relative:page;z-index:-267597824"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23</w:t>
                </w:r>
                <w:r>
                  <w:rPr/>
                  <w:fldChar w:fldCharType="end"/>
                </w:r>
              </w:p>
            </w:txbxContent>
          </v:textbox>
          <w10:wrap type="none"/>
        </v:shape>
      </w:pict>
    </w:r>
  </w:p>
</w:ftr>
</file>

<file path=word/footer18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437056"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185</w:t>
                </w:r>
                <w:r>
                  <w:rPr/>
                  <w:fldChar w:fldCharType="end"/>
                </w:r>
              </w:p>
            </w:txbxContent>
          </v:textbox>
          <w10:wrap type="none"/>
        </v:shape>
      </w:pict>
    </w:r>
  </w:p>
</w:ftr>
</file>

<file path=word/footer18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436032"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186</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8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435008"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187</w:t>
                </w:r>
                <w:r>
                  <w:rPr/>
                  <w:fldChar w:fldCharType="end"/>
                </w:r>
              </w:p>
            </w:txbxContent>
          </v:textbox>
          <w10:wrap type="none"/>
        </v:shape>
      </w:pict>
    </w:r>
  </w:p>
</w:ftr>
</file>

<file path=word/footer18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433984"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188</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8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432960"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189</w:t>
                </w:r>
                <w:r>
                  <w:rPr/>
                  <w:fldChar w:fldCharType="end"/>
                </w:r>
              </w:p>
            </w:txbxContent>
          </v:textbox>
          <w10:wrap type="none"/>
        </v:shape>
      </w:pict>
    </w:r>
  </w:p>
</w:ftr>
</file>

<file path=word/footer18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1.362202pt;margin-top:798.53833pt;width:317.4pt;height:17.45pt;mso-position-horizontal-relative:page;mso-position-vertical-relative:page;z-index:-267431936" type="#_x0000_t202" filled="false" stroked="false">
          <v:textbox inset="0,0,0,0">
            <w:txbxContent>
              <w:p>
                <w:pPr>
                  <w:spacing w:before="16"/>
                  <w:ind w:left="20" w:right="0" w:firstLine="0"/>
                  <w:jc w:val="left"/>
                  <w:rPr>
                    <w:sz w:val="23"/>
                  </w:rPr>
                </w:pPr>
                <w:r>
                  <w:rPr>
                    <w:rFonts w:ascii="Stone Sans II ITC Std X Bd" w:hAnsi="Stone Sans II ITC Std X Bd"/>
                    <w:b/>
                    <w:w w:val="110"/>
                    <w:sz w:val="24"/>
                  </w:rPr>
                  <w:t>190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8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7.4pt;height:17.45pt;mso-position-horizontal-relative:page;mso-position-vertical-relative:page;z-index:-267430912"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rFonts w:ascii="Stone Sans II ITC Std X Bd" w:hAnsi="Stone Sans II ITC Std X Bd"/>
                    <w:b/>
                    <w:w w:val="110"/>
                    <w:sz w:val="24"/>
                  </w:rPr>
                  <w:t>191</w:t>
                </w:r>
              </w:p>
            </w:txbxContent>
          </v:textbox>
          <w10:wrap type="none"/>
        </v:shape>
      </w:pict>
    </w:r>
  </w:p>
</w:ftr>
</file>

<file path=word/footer18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429888"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192</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8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428864"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193</w:t>
                </w:r>
                <w:r>
                  <w:rPr/>
                  <w:fldChar w:fldCharType="end"/>
                </w:r>
              </w:p>
            </w:txbxContent>
          </v:textbox>
          <w10:wrap type="none"/>
        </v:shape>
      </w:pict>
    </w:r>
  </w:p>
</w:ftr>
</file>

<file path=word/footer18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427840"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194</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7596800"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24</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9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426816"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195</w:t>
                </w:r>
                <w:r>
                  <w:rPr/>
                  <w:fldChar w:fldCharType="end"/>
                </w:r>
              </w:p>
            </w:txbxContent>
          </v:textbox>
          <w10:wrap type="none"/>
        </v:shape>
      </w:pict>
    </w:r>
  </w:p>
</w:ftr>
</file>

<file path=word/footer19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425792"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196</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9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424768"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197</w:t>
                </w:r>
                <w:r>
                  <w:rPr/>
                  <w:fldChar w:fldCharType="end"/>
                </w:r>
              </w:p>
            </w:txbxContent>
          </v:textbox>
          <w10:wrap type="none"/>
        </v:shape>
      </w:pict>
    </w:r>
  </w:p>
</w:ftr>
</file>

<file path=word/footer19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423744"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198</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9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422720"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199</w:t>
                </w:r>
                <w:r>
                  <w:rPr/>
                  <w:fldChar w:fldCharType="end"/>
                </w:r>
              </w:p>
            </w:txbxContent>
          </v:textbox>
          <w10:wrap type="none"/>
        </v:shape>
      </w:pict>
    </w:r>
  </w:p>
</w:ftr>
</file>

<file path=word/footer19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421696"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200</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9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420672"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201</w:t>
                </w:r>
                <w:r>
                  <w:rPr/>
                  <w:fldChar w:fldCharType="end"/>
                </w:r>
              </w:p>
            </w:txbxContent>
          </v:textbox>
          <w10:wrap type="none"/>
        </v:shape>
      </w:pict>
    </w:r>
  </w:p>
</w:ftr>
</file>

<file path=word/footer19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419648"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202</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19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418624"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203</w:t>
                </w:r>
                <w:r>
                  <w:rPr/>
                  <w:fldChar w:fldCharType="end"/>
                </w:r>
              </w:p>
            </w:txbxContent>
          </v:textbox>
          <w10:wrap type="none"/>
        </v:shape>
      </w:pict>
    </w:r>
  </w:p>
</w:ftr>
</file>

<file path=word/footer19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417600"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204</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539398pt;margin-top:798.53833pt;width:311.4pt;height:17.45pt;mso-position-horizontal-relative:page;mso-position-vertical-relative:page;z-index:-267614208"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11</w:t>
                </w:r>
                <w:r>
                  <w:rPr/>
                  <w:fldChar w:fldCharType="end"/>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539398pt;margin-top:798.53833pt;width:311.4pt;height:17.45pt;mso-position-horizontal-relative:page;mso-position-vertical-relative:page;z-index:-267595776"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25</w:t>
                </w:r>
                <w:r>
                  <w:rPr/>
                  <w:fldChar w:fldCharType="end"/>
                </w:r>
              </w:p>
            </w:txbxContent>
          </v:textbox>
          <w10:wrap type="none"/>
        </v:shape>
      </w:pict>
    </w:r>
  </w:p>
</w:ftr>
</file>

<file path=word/footer20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416576"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205</w:t>
                </w:r>
                <w:r>
                  <w:rPr/>
                  <w:fldChar w:fldCharType="end"/>
                </w:r>
              </w:p>
            </w:txbxContent>
          </v:textbox>
          <w10:wrap type="none"/>
        </v:shape>
      </w:pict>
    </w:r>
  </w:p>
</w:ftr>
</file>

<file path=word/footer20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415552"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206</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20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414528"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207</w:t>
                </w:r>
                <w:r>
                  <w:rPr/>
                  <w:fldChar w:fldCharType="end"/>
                </w:r>
              </w:p>
            </w:txbxContent>
          </v:textbox>
          <w10:wrap type="none"/>
        </v:shape>
      </w:pict>
    </w:r>
  </w:p>
</w:ftr>
</file>

<file path=word/footer20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413504"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208</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20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412480"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209</w:t>
                </w:r>
                <w:r>
                  <w:rPr/>
                  <w:fldChar w:fldCharType="end"/>
                </w:r>
              </w:p>
            </w:txbxContent>
          </v:textbox>
          <w10:wrap type="none"/>
        </v:shape>
      </w:pict>
    </w:r>
  </w:p>
</w:ftr>
</file>

<file path=word/footer20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1.362202pt;margin-top:798.53833pt;width:317.4pt;height:17.45pt;mso-position-horizontal-relative:page;mso-position-vertical-relative:page;z-index:-267411456" type="#_x0000_t202" filled="false" stroked="false">
          <v:textbox inset="0,0,0,0">
            <w:txbxContent>
              <w:p>
                <w:pPr>
                  <w:spacing w:before="16"/>
                  <w:ind w:left="20" w:right="0" w:firstLine="0"/>
                  <w:jc w:val="left"/>
                  <w:rPr>
                    <w:sz w:val="23"/>
                  </w:rPr>
                </w:pPr>
                <w:r>
                  <w:rPr>
                    <w:rFonts w:ascii="Stone Sans II ITC Std X Bd" w:hAnsi="Stone Sans II ITC Std X Bd"/>
                    <w:b/>
                    <w:w w:val="110"/>
                    <w:sz w:val="24"/>
                  </w:rPr>
                  <w:t>210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20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7.4pt;height:17.45pt;mso-position-horizontal-relative:page;mso-position-vertical-relative:page;z-index:-267410432"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rFonts w:ascii="Stone Sans II ITC Std X Bd" w:hAnsi="Stone Sans II ITC Std X Bd"/>
                    <w:b/>
                    <w:w w:val="110"/>
                    <w:sz w:val="24"/>
                  </w:rPr>
                  <w:t>211</w:t>
                </w:r>
              </w:p>
            </w:txbxContent>
          </v:textbox>
          <w10:wrap type="none"/>
        </v:shape>
      </w:pict>
    </w:r>
  </w:p>
</w:ftr>
</file>

<file path=word/footer20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409408"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212</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20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7.4pt;height:17.45pt;mso-position-horizontal-relative:page;mso-position-vertical-relative:page;z-index:-267408384"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rFonts w:ascii="Stone Sans II ITC Std X Bd" w:hAnsi="Stone Sans II ITC Std X Bd"/>
                    <w:b/>
                    <w:w w:val="110"/>
                    <w:sz w:val="24"/>
                  </w:rPr>
                  <w:t>213</w:t>
                </w:r>
              </w:p>
            </w:txbxContent>
          </v:textbox>
          <w10:wrap type="none"/>
        </v:shape>
      </w:pict>
    </w:r>
  </w:p>
</w:ftr>
</file>

<file path=word/footer20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407360"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214</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7594752"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26</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2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405312"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216</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2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404288"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217</w:t>
                </w:r>
                <w:r>
                  <w:rPr/>
                  <w:fldChar w:fldCharType="end"/>
                </w:r>
              </w:p>
            </w:txbxContent>
          </v:textbox>
          <w10:wrap type="none"/>
        </v:shape>
      </w:pict>
    </w:r>
  </w:p>
</w:ftr>
</file>

<file path=word/footer2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403264"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218</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2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402240"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219</w:t>
                </w:r>
                <w:r>
                  <w:rPr/>
                  <w:fldChar w:fldCharType="end"/>
                </w:r>
              </w:p>
            </w:txbxContent>
          </v:textbox>
          <w10:wrap type="none"/>
        </v:shape>
      </w:pict>
    </w:r>
  </w:p>
</w:ftr>
</file>

<file path=word/footer2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1.362202pt;margin-top:798.53833pt;width:317.4pt;height:17.45pt;mso-position-horizontal-relative:page;mso-position-vertical-relative:page;z-index:-267401216" type="#_x0000_t202" filled="false" stroked="false">
          <v:textbox inset="0,0,0,0">
            <w:txbxContent>
              <w:p>
                <w:pPr>
                  <w:spacing w:before="16"/>
                  <w:ind w:left="20" w:right="0" w:firstLine="0"/>
                  <w:jc w:val="left"/>
                  <w:rPr>
                    <w:sz w:val="23"/>
                  </w:rPr>
                </w:pPr>
                <w:r>
                  <w:rPr>
                    <w:rFonts w:ascii="Stone Sans II ITC Std X Bd" w:hAnsi="Stone Sans II ITC Std X Bd"/>
                    <w:b/>
                    <w:w w:val="110"/>
                    <w:sz w:val="24"/>
                  </w:rPr>
                  <w:t>220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2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7.4pt;height:17.45pt;mso-position-horizontal-relative:page;mso-position-vertical-relative:page;z-index:-267400192"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rFonts w:ascii="Stone Sans II ITC Std X Bd" w:hAnsi="Stone Sans II ITC Std X Bd"/>
                    <w:b/>
                    <w:w w:val="110"/>
                    <w:sz w:val="24"/>
                  </w:rPr>
                  <w:t>221</w:t>
                </w:r>
              </w:p>
            </w:txbxContent>
          </v:textbox>
          <w10:wrap type="none"/>
        </v:shape>
      </w:pict>
    </w:r>
  </w:p>
</w:ftr>
</file>

<file path=word/footer2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399168"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222</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2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7.4pt;height:17.45pt;mso-position-horizontal-relative:page;mso-position-vertical-relative:page;z-index:-267398144"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rFonts w:ascii="Stone Sans II ITC Std X Bd" w:hAnsi="Stone Sans II ITC Std X Bd"/>
                    <w:b/>
                    <w:w w:val="110"/>
                    <w:sz w:val="24"/>
                  </w:rPr>
                  <w:t>223</w:t>
                </w:r>
              </w:p>
            </w:txbxContent>
          </v:textbox>
          <w10:wrap type="none"/>
        </v:shape>
      </w:pict>
    </w:r>
  </w:p>
</w:ftr>
</file>

<file path=word/footer2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397120"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224</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539398pt;margin-top:798.53833pt;width:311.4pt;height:17.45pt;mso-position-horizontal-relative:page;mso-position-vertical-relative:page;z-index:-267593728"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27</w:t>
                </w:r>
                <w:r>
                  <w:rPr/>
                  <w:fldChar w:fldCharType="end"/>
                </w:r>
              </w:p>
            </w:txbxContent>
          </v:textbox>
          <w10:wrap type="none"/>
        </v:shape>
      </w:pict>
    </w:r>
  </w:p>
</w:ftr>
</file>

<file path=word/footer2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396096"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226</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2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395072"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228</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2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1.362202pt;margin-top:798.53833pt;width:317.4pt;height:17.45pt;mso-position-horizontal-relative:page;mso-position-vertical-relative:page;z-index:-267393024" type="#_x0000_t202" filled="false" stroked="false">
          <v:textbox inset="0,0,0,0">
            <w:txbxContent>
              <w:p>
                <w:pPr>
                  <w:spacing w:before="16"/>
                  <w:ind w:left="20" w:right="0" w:firstLine="0"/>
                  <w:jc w:val="left"/>
                  <w:rPr>
                    <w:sz w:val="23"/>
                  </w:rPr>
                </w:pPr>
                <w:r>
                  <w:rPr>
                    <w:rFonts w:ascii="Stone Sans II ITC Std X Bd" w:hAnsi="Stone Sans II ITC Std X Bd"/>
                    <w:b/>
                    <w:w w:val="110"/>
                    <w:sz w:val="24"/>
                  </w:rPr>
                  <w:t>230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2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392000"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rFonts w:ascii="Stone Sans II ITC Std X Bd" w:hAnsi="Stone Sans II ITC Std X Bd"/>
                    <w:b/>
                    <w:w w:val="110"/>
                    <w:sz w:val="24"/>
                  </w:rPr>
                  <w:t>231</w:t>
                </w:r>
              </w:p>
            </w:txbxContent>
          </v:textbox>
          <w10:wrap type="none"/>
        </v:shape>
      </w:pict>
    </w:r>
  </w:p>
</w:ftr>
</file>

<file path=word/footer2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390976"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232</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2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389952"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233</w:t>
                </w:r>
                <w:r>
                  <w:rPr/>
                  <w:fldChar w:fldCharType="end"/>
                </w:r>
              </w:p>
            </w:txbxContent>
          </v:textbox>
          <w10:wrap type="none"/>
        </v:shape>
      </w:pict>
    </w:r>
  </w:p>
</w:ftr>
</file>

<file path=word/footer2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388928"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234</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7592704"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28</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2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4"/>
      </w:rPr>
    </w:pPr>
    <w:r>
      <w:rPr/>
      <w:pict>
        <v:shape style="position:absolute;margin-left:216.523407pt;margin-top:798.53833pt;width:319.4pt;height:25.5pt;mso-position-horizontal-relative:page;mso-position-vertical-relative:page;z-index:-267387904"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237</w:t>
                </w:r>
                <w:r>
                  <w:rPr/>
                  <w:fldChar w:fldCharType="end"/>
                </w:r>
              </w:p>
            </w:txbxContent>
          </v:textbox>
          <w10:wrap type="none"/>
        </v:shape>
      </w:pict>
    </w:r>
  </w:p>
</w:ftr>
</file>

<file path=word/footer2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386880"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236</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2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385856"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237</w:t>
                </w:r>
                <w:r>
                  <w:rPr/>
                  <w:fldChar w:fldCharType="end"/>
                </w:r>
              </w:p>
            </w:txbxContent>
          </v:textbox>
          <w10:wrap type="none"/>
        </v:shape>
      </w:pict>
    </w:r>
  </w:p>
</w:ftr>
</file>

<file path=word/footer2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384832"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238</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2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383808"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239</w:t>
                </w:r>
                <w:r>
                  <w:rPr/>
                  <w:fldChar w:fldCharType="end"/>
                </w:r>
              </w:p>
            </w:txbxContent>
          </v:textbox>
          <w10:wrap type="none"/>
        </v:shape>
      </w:pict>
    </w:r>
  </w:p>
</w:ftr>
</file>

<file path=word/footer2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1.362202pt;margin-top:798.53833pt;width:317.4pt;height:17.45pt;mso-position-horizontal-relative:page;mso-position-vertical-relative:page;z-index:-267382784" type="#_x0000_t202" filled="false" stroked="false">
          <v:textbox inset="0,0,0,0">
            <w:txbxContent>
              <w:p>
                <w:pPr>
                  <w:spacing w:before="16"/>
                  <w:ind w:left="20" w:right="0" w:firstLine="0"/>
                  <w:jc w:val="left"/>
                  <w:rPr>
                    <w:sz w:val="23"/>
                  </w:rPr>
                </w:pPr>
                <w:r>
                  <w:rPr>
                    <w:rFonts w:ascii="Stone Sans II ITC Std X Bd" w:hAnsi="Stone Sans II ITC Std X Bd"/>
                    <w:b/>
                    <w:w w:val="110"/>
                    <w:sz w:val="24"/>
                  </w:rPr>
                  <w:t>240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539398pt;margin-top:798.53833pt;width:311.4pt;height:17.45pt;mso-position-horizontal-relative:page;mso-position-vertical-relative:page;z-index:-267591680"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29</w:t>
                </w:r>
                <w:r>
                  <w:rPr/>
                  <w:fldChar w:fldCharType="end"/>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7590656"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30</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539398pt;margin-top:798.53833pt;width:311.4pt;height:17.45pt;mso-position-horizontal-relative:page;mso-position-vertical-relative:page;z-index:-267589632"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31</w:t>
                </w:r>
                <w:r>
                  <w:rPr/>
                  <w:fldChar w:fldCharType="end"/>
                </w:r>
              </w:p>
            </w:txbxContent>
          </v:textbox>
          <w10:wrap type="none"/>
        </v:shape>
      </w:pic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7588608"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32</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539398pt;margin-top:798.53833pt;width:311.4pt;height:17.45pt;mso-position-horizontal-relative:page;mso-position-vertical-relative:page;z-index:-267587584"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33</w:t>
                </w:r>
                <w:r>
                  <w:rPr/>
                  <w:fldChar w:fldCharType="end"/>
                </w:r>
              </w:p>
            </w:txbxContent>
          </v:textbox>
          <w10:wrap type="none"/>
        </v:shape>
      </w:pic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03.4pt;height:17.45pt;mso-position-horizontal-relative:page;mso-position-vertical-relative:page;z-index:-267613184"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8</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539398pt;margin-top:798.53833pt;width:311.4pt;height:17.45pt;mso-position-horizontal-relative:page;mso-position-vertical-relative:page;z-index:-267584512"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37</w:t>
                </w:r>
                <w:r>
                  <w:rPr/>
                  <w:fldChar w:fldCharType="end"/>
                </w:r>
              </w:p>
            </w:txbxContent>
          </v:textbox>
          <w10:wrap type="none"/>
        </v:shape>
      </w:pic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539398pt;margin-top:798.53833pt;width:311.4pt;height:17.45pt;mso-position-horizontal-relative:page;mso-position-vertical-relative:page;z-index:-267582464"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39</w:t>
                </w:r>
                <w:r>
                  <w:rPr/>
                  <w:fldChar w:fldCharType="end"/>
                </w:r>
              </w:p>
            </w:txbxContent>
          </v:textbox>
          <w10:wrap type="none"/>
        </v:shape>
      </w:pict>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7581440"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40</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539398pt;margin-top:798.53833pt;width:311.4pt;height:17.45pt;mso-position-horizontal-relative:page;mso-position-vertical-relative:page;z-index:-267580416"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41</w:t>
                </w:r>
                <w:r>
                  <w:rPr/>
                  <w:fldChar w:fldCharType="end"/>
                </w:r>
              </w:p>
            </w:txbxContent>
          </v:textbox>
          <w10:wrap type="none"/>
        </v:shape>
      </w:pict>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7579392"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42</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539398pt;margin-top:798.53833pt;width:311.4pt;height:17.45pt;mso-position-horizontal-relative:page;mso-position-vertical-relative:page;z-index:-267578368"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43</w:t>
                </w:r>
                <w:r>
                  <w:rPr/>
                  <w:fldChar w:fldCharType="end"/>
                </w:r>
              </w:p>
            </w:txbxContent>
          </v:textbox>
          <w10:wrap type="none"/>
        </v:shape>
      </w:pict>
    </w: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32.555405pt;margin-top:798.53833pt;width:303.4pt;height:17.45pt;mso-position-horizontal-relative:page;mso-position-vertical-relative:page;z-index:-267612160"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9</w:t>
                </w:r>
                <w:r>
                  <w:rPr/>
                  <w:fldChar w:fldCharType="end"/>
                </w:r>
              </w:p>
            </w:txbxContent>
          </v:textbox>
          <w10:wrap type="none"/>
        </v:shape>
      </w:pict>
    </w: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539398pt;margin-top:798.53833pt;width:311.4pt;height:17.45pt;mso-position-horizontal-relative:page;mso-position-vertical-relative:page;z-index:-267576320"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45</w:t>
                </w:r>
                <w:r>
                  <w:rPr/>
                  <w:fldChar w:fldCharType="end"/>
                </w:r>
              </w:p>
            </w:txbxContent>
          </v:textbox>
          <w10:wrap type="none"/>
        </v:shape>
      </w:pict>
    </w: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7575296"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46</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539398pt;margin-top:798.53833pt;width:311.4pt;height:17.45pt;mso-position-horizontal-relative:page;mso-position-vertical-relative:page;z-index:-267574272"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47</w:t>
                </w:r>
                <w:r>
                  <w:rPr/>
                  <w:fldChar w:fldCharType="end"/>
                </w:r>
              </w:p>
            </w:txbxContent>
          </v:textbox>
          <w10:wrap type="none"/>
        </v:shape>
      </w:pict>
    </w: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7573248"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48</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7569152"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52</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539398pt;margin-top:798.53833pt;width:311.4pt;height:17.45pt;mso-position-horizontal-relative:page;mso-position-vertical-relative:page;z-index:-267568128"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53</w:t>
                </w:r>
                <w:r>
                  <w:rPr/>
                  <w:fldChar w:fldCharType="end"/>
                </w:r>
              </w:p>
            </w:txbxContent>
          </v:textbox>
          <w10:wrap type="none"/>
        </v:shape>
      </w:pict>
    </w:r>
  </w:p>
</w:ftr>
</file>

<file path=word/footer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7567104"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54</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7611136"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10</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539398pt;margin-top:798.53833pt;width:311.4pt;height:17.45pt;mso-position-horizontal-relative:page;mso-position-vertical-relative:page;z-index:-267566080"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55</w:t>
                </w:r>
                <w:r>
                  <w:rPr/>
                  <w:fldChar w:fldCharType="end"/>
                </w:r>
              </w:p>
            </w:txbxContent>
          </v:textbox>
          <w10:wrap type="none"/>
        </v:shape>
      </w:pict>
    </w:r>
  </w:p>
</w:ftr>
</file>

<file path=word/footer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7565056"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56</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539398pt;margin-top:798.53833pt;width:311.4pt;height:17.45pt;mso-position-horizontal-relative:page;mso-position-vertical-relative:page;z-index:-267564032"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57</w:t>
                </w:r>
                <w:r>
                  <w:rPr/>
                  <w:fldChar w:fldCharType="end"/>
                </w:r>
              </w:p>
            </w:txbxContent>
          </v:textbox>
          <w10:wrap type="none"/>
        </v:shape>
      </w:pict>
    </w:r>
  </w:p>
</w:ftr>
</file>

<file path=word/footer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539398pt;margin-top:798.53833pt;width:311.4pt;height:17.45pt;mso-position-horizontal-relative:page;mso-position-vertical-relative:page;z-index:-267561984"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59</w:t>
                </w:r>
                <w:r>
                  <w:rPr/>
                  <w:fldChar w:fldCharType="end"/>
                </w:r>
              </w:p>
            </w:txbxContent>
          </v:textbox>
          <w10:wrap type="none"/>
        </v:shape>
      </w:pict>
    </w:r>
  </w:p>
</w:ftr>
</file>

<file path=word/footer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7560960"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60</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539398pt;margin-top:798.53833pt;width:311.4pt;height:17.45pt;mso-position-horizontal-relative:page;mso-position-vertical-relative:page;z-index:-267559936"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61</w:t>
                </w:r>
                <w:r>
                  <w:rPr/>
                  <w:fldChar w:fldCharType="end"/>
                </w:r>
              </w:p>
            </w:txbxContent>
          </v:textbox>
          <w10:wrap type="none"/>
        </v:shape>
      </w:pict>
    </w:r>
  </w:p>
</w:ftr>
</file>

<file path=word/footer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7558912"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62</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539398pt;margin-top:798.53833pt;width:311.4pt;height:17.45pt;mso-position-horizontal-relative:page;mso-position-vertical-relative:page;z-index:-267557888"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63</w:t>
                </w:r>
                <w:r>
                  <w:rPr/>
                  <w:fldChar w:fldCharType="end"/>
                </w:r>
              </w:p>
            </w:txbxContent>
          </v:textbox>
          <w10:wrap type="none"/>
        </v:shape>
      </w:pict>
    </w:r>
  </w:p>
</w:ftr>
</file>

<file path=word/footer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7556864"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64</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539398pt;margin-top:798.53833pt;width:311.4pt;height:17.45pt;mso-position-horizontal-relative:page;mso-position-vertical-relative:page;z-index:-267610112"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11</w:t>
                </w:r>
                <w:r>
                  <w:rPr/>
                  <w:fldChar w:fldCharType="end"/>
                </w:r>
              </w:p>
            </w:txbxContent>
          </v:textbox>
          <w10:wrap type="none"/>
        </v:shape>
      </w:pict>
    </w:r>
  </w:p>
</w:ftr>
</file>

<file path=word/footer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539398pt;margin-top:798.53833pt;width:311.4pt;height:17.45pt;mso-position-horizontal-relative:page;mso-position-vertical-relative:page;z-index:-267555840"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65</w:t>
                </w:r>
                <w:r>
                  <w:rPr/>
                  <w:fldChar w:fldCharType="end"/>
                </w:r>
              </w:p>
            </w:txbxContent>
          </v:textbox>
          <w10:wrap type="none"/>
        </v:shape>
      </w:pict>
    </w:r>
  </w:p>
</w:ftr>
</file>

<file path=word/footer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7554816"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66</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539398pt;margin-top:798.53833pt;width:311.4pt;height:17.45pt;mso-position-horizontal-relative:page;mso-position-vertical-relative:page;z-index:-267553792"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67</w:t>
                </w:r>
                <w:r>
                  <w:rPr/>
                  <w:fldChar w:fldCharType="end"/>
                </w:r>
              </w:p>
            </w:txbxContent>
          </v:textbox>
          <w10:wrap type="none"/>
        </v:shape>
      </w:pict>
    </w:r>
  </w:p>
</w:ftr>
</file>

<file path=word/footer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7552768"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68</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539398pt;margin-top:798.53833pt;width:311.4pt;height:17.45pt;mso-position-horizontal-relative:page;mso-position-vertical-relative:page;z-index:-267551744"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69</w:t>
                </w:r>
                <w:r>
                  <w:rPr/>
                  <w:fldChar w:fldCharType="end"/>
                </w:r>
              </w:p>
            </w:txbxContent>
          </v:textbox>
          <w10:wrap type="none"/>
        </v:shape>
      </w:pict>
    </w:r>
  </w:p>
</w:ftr>
</file>

<file path=word/footer6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539398pt;margin-top:798.53833pt;width:311.4pt;height:17.45pt;mso-position-horizontal-relative:page;mso-position-vertical-relative:page;z-index:-267549696"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71</w:t>
                </w:r>
                <w:r>
                  <w:rPr/>
                  <w:fldChar w:fldCharType="end"/>
                </w:r>
              </w:p>
            </w:txbxContent>
          </v:textbox>
          <w10:wrap type="none"/>
        </v:shape>
      </w:pict>
    </w:r>
  </w:p>
</w:ftr>
</file>

<file path=word/footer6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7548672"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72</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6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539398pt;margin-top:798.53833pt;width:311.4pt;height:17.45pt;mso-position-horizontal-relative:page;mso-position-vertical-relative:page;z-index:-267547648"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73</w:t>
                </w:r>
                <w:r>
                  <w:rPr/>
                  <w:fldChar w:fldCharType="end"/>
                </w:r>
              </w:p>
            </w:txbxContent>
          </v:textbox>
          <w10:wrap type="none"/>
        </v:shape>
      </w:pict>
    </w:r>
  </w:p>
</w:ftr>
</file>

<file path=word/footer6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7546624"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74</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7609088"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12</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7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539398pt;margin-top:798.53833pt;width:311.4pt;height:17.45pt;mso-position-horizontal-relative:page;mso-position-vertical-relative:page;z-index:-267545600"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75</w:t>
                </w:r>
                <w:r>
                  <w:rPr/>
                  <w:fldChar w:fldCharType="end"/>
                </w:r>
              </w:p>
            </w:txbxContent>
          </v:textbox>
          <w10:wrap type="none"/>
        </v:shape>
      </w:pict>
    </w:r>
  </w:p>
</w:ftr>
</file>

<file path=word/footer7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7538432"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84</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539398pt;margin-top:798.53833pt;width:311.4pt;height:17.45pt;mso-position-horizontal-relative:page;mso-position-vertical-relative:page;z-index:-267608064"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13</w:t>
                </w:r>
                <w:r>
                  <w:rPr/>
                  <w:fldChar w:fldCharType="end"/>
                </w:r>
              </w:p>
            </w:txbxContent>
          </v:textbox>
          <w10:wrap type="none"/>
        </v:shape>
      </w:pict>
    </w:r>
  </w:p>
</w:ftr>
</file>

<file path=word/footer8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539398pt;margin-top:798.53833pt;width:311.4pt;height:17.45pt;mso-position-horizontal-relative:page;mso-position-vertical-relative:page;z-index:-267537408"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85</w:t>
                </w:r>
                <w:r>
                  <w:rPr/>
                  <w:fldChar w:fldCharType="end"/>
                </w:r>
              </w:p>
            </w:txbxContent>
          </v:textbox>
          <w10:wrap type="none"/>
        </v:shape>
      </w:pict>
    </w:r>
  </w:p>
</w:ftr>
</file>

<file path=word/footer8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7536384"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86</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8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539398pt;margin-top:798.53833pt;width:311.4pt;height:17.45pt;mso-position-horizontal-relative:page;mso-position-vertical-relative:page;z-index:-267535360"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87</w:t>
                </w:r>
                <w:r>
                  <w:rPr/>
                  <w:fldChar w:fldCharType="end"/>
                </w:r>
              </w:p>
            </w:txbxContent>
          </v:textbox>
          <w10:wrap type="none"/>
        </v:shape>
      </w:pict>
    </w:r>
  </w:p>
</w:ftr>
</file>

<file path=word/footer8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539398pt;margin-top:798.53833pt;width:311.4pt;height:17.45pt;mso-position-horizontal-relative:page;mso-position-vertical-relative:page;z-index:-267533312"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89</w:t>
                </w:r>
                <w:r>
                  <w:rPr/>
                  <w:fldChar w:fldCharType="end"/>
                </w:r>
              </w:p>
            </w:txbxContent>
          </v:textbox>
          <w10:wrap type="none"/>
        </v:shape>
      </w:pict>
    </w:r>
  </w:p>
</w:ftr>
</file>

<file path=word/footer8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532288"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100</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8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7530240"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92</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8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7529216"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94</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7607040"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14</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9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9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7527168"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96</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9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9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7526144"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98</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9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9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524096"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100</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footer9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523072"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101</w:t>
                </w:r>
                <w:r>
                  <w:rPr/>
                  <w:fldChar w:fldCharType="end"/>
                </w:r>
              </w:p>
            </w:txbxContent>
          </v:textbox>
          <w10:wrap type="none"/>
        </v:shape>
      </w:pict>
    </w:r>
  </w:p>
</w:ftr>
</file>

<file path=word/footer9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9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521024"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103</w:t>
                </w:r>
                <w:r>
                  <w:rPr/>
                  <w:fldChar w:fldCharType="end"/>
                </w:r>
              </w:p>
            </w:txbxContent>
          </v:textbox>
          <w10:wrap type="none"/>
        </v:shape>
      </w:pict>
    </w:r>
  </w:p>
</w:ftr>
</file>

<file path=word/footer9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520000"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104</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2014</w:t>
                </w:r>
              </w:p>
            </w:txbxContent>
          </v:textbox>
          <w10:wrap type="none"/>
        </v:shape>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49.207pt;height:841.89pt;mso-position-horizontal-relative:page;mso-position-vertical-relative:page;z-index:-267618304" filled="true" fillcolor="#ffedc2" stroked="false">
          <v:fill type="solid"/>
          <w10:wrap type="none"/>
        </v:rect>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0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594.374023pt;margin-top:.000015pt;width:.901pt;height:841.89pt;mso-position-horizontal-relative:page;mso-position-vertical-relative:page;z-index:-267522048" filled="true" fillcolor="#d3e5c3" stroked="false">
          <v:fill type="solid"/>
          <w10:wrap type="none"/>
        </v:rect>
      </w:pict>
    </w:r>
  </w:p>
</w:hdr>
</file>

<file path=word/header10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0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0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0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0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0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0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0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0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49.207pt;height:841.89pt;mso-position-horizontal-relative:page;mso-position-vertical-relative:page;z-index:-267512832" filled="true" fillcolor="#d3e5c3" stroked="false">
          <v:fill type="solid"/>
          <w10:wrap type="none"/>
        </v:rect>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594.374023pt;margin-top:.000015pt;width:.901pt;height:841.89pt;mso-position-horizontal-relative:page;mso-position-vertical-relative:page;z-index:-267503616" filled="true" fillcolor="#d3e5c3" stroked="false">
          <v:fill type="solid"/>
          <w10:wrap type="none"/>
        </v:rect>
      </w:pict>
    </w:r>
  </w:p>
</w:hdr>
</file>

<file path=word/header1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594.374023pt;margin-top:.000015pt;width:.901pt;height:841.89pt;mso-position-horizontal-relative:page;mso-position-vertical-relative:page;z-index:-267495424" filled="true" fillcolor="#d3e5c3" stroked="false">
          <v:fill type="solid"/>
          <w10:wrap type="none"/>
        </v:rect>
      </w:pict>
    </w:r>
  </w:p>
</w:hdr>
</file>

<file path=word/header1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49.207pt;height:841.89pt;mso-position-horizontal-relative:page;mso-position-vertical-relative:page;z-index:-267494400" filled="true" fillcolor="#d3e5c3" stroked="false">
          <v:fill type="solid"/>
          <w10:wrap type="none"/>
        </v:rect>
      </w:pict>
    </w:r>
  </w:p>
</w:hdr>
</file>

<file path=word/header1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594.374023pt;margin-top:.000015pt;width:.901pt;height:841.89pt;mso-position-horizontal-relative:page;mso-position-vertical-relative:page;z-index:-267493376" filled="true" fillcolor="#d3e5c3" stroked="false">
          <v:fill type="solid"/>
          <w10:wrap type="none"/>
        </v:rect>
      </w:pict>
    </w:r>
  </w:p>
</w:hdr>
</file>

<file path=word/header1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594.374023pt;margin-top:.000015pt;width:.901pt;height:841.89pt;mso-position-horizontal-relative:page;mso-position-vertical-relative:page;z-index:-267491328" filled="true" fillcolor="#d3e5c3" stroked="false">
          <v:fill type="solid"/>
          <w10:wrap type="none"/>
        </v:rect>
      </w:pict>
    </w:r>
  </w:p>
</w:hdr>
</file>

<file path=word/header1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49.207pt;height:841.89pt;mso-position-horizontal-relative:page;mso-position-vertical-relative:page;z-index:-267486208" filled="true" fillcolor="#d3e5c3" stroked="false">
          <v:fill type="solid"/>
          <w10:wrap type="none"/>
        </v:rect>
      </w:pict>
    </w:r>
  </w:p>
</w:hdr>
</file>

<file path=word/header1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1.417pt;margin-top:.000015pt;width:547.79pt;height:841.89pt;mso-position-horizontal-relative:page;mso-position-vertical-relative:page;z-index:-267469824" filled="true" fillcolor="#d4e9f7" stroked="false">
          <v:fill type="solid"/>
          <w10:wrap type="none"/>
        </v:rect>
      </w:pict>
    </w:r>
  </w:p>
</w:hdr>
</file>

<file path=word/header1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9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9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9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9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9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9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9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9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9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9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95.275pt;height:841.89pt;mso-position-horizontal-relative:page;mso-position-vertical-relative:page;z-index:-267617280" filled="true" fillcolor="#ffedc2" stroked="false">
          <v:fill type="solid"/>
          <w10:wrap type="none"/>
        </v:rect>
      </w:pic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0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0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0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0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0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0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0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0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0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0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49.207pt;height:841.89pt;mso-position-horizontal-relative:page;mso-position-vertical-relative:page;z-index:-267406336" filled="true" fillcolor="#fbd9c9" stroked="false">
          <v:fill type="solid"/>
          <w10:wrap type="none"/>
        </v:rect>
      </w:pict>
    </w:r>
  </w:p>
</w:hdr>
</file>

<file path=word/header2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49.207pt;height:841.89pt;mso-position-horizontal-relative:page;mso-position-vertical-relative:page;z-index:-267394048" filled="true" fillcolor="#e2d9ea" stroked="false">
          <v:fill type="solid"/>
          <w10:wrap type="none"/>
        </v:rect>
      </w:pict>
    </w:r>
  </w:p>
</w:hdr>
</file>

<file path=word/header2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49.207pt;height:841.89pt;mso-position-horizontal-relative:page;mso-position-vertical-relative:page;z-index:-267616256" filled="true" fillcolor="#ffedc2" stroked="false">
          <v:fill type="solid"/>
          <w10:wrap type="none"/>
        </v:rect>
      </w:pict>
    </w: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594.374023pt;margin-top:.000015pt;width:.901pt;height:841.89pt;mso-position-horizontal-relative:page;mso-position-vertical-relative:page;z-index:-267586560" filled="true" fillcolor="#ffedc2" stroked="false">
          <v:fill type="solid"/>
          <w10:wrap type="none"/>
        </v:rect>
      </w:pict>
    </w: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49.207pt;height:841.89pt;mso-position-horizontal-relative:page;mso-position-vertical-relative:page;z-index:-267585536" filled="true" fillcolor="#ffedc2" stroked="false">
          <v:fill type="solid"/>
          <w10:wrap type="none"/>
        </v:rect>
      </w:pict>
    </w: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594.374023pt;margin-top:.000015pt;width:.901pt;height:841.89pt;mso-position-horizontal-relative:page;mso-position-vertical-relative:page;z-index:-267583488" filled="true" fillcolor="#ffedc2" stroked="false">
          <v:fill type="solid"/>
          <w10:wrap type="none"/>
        </v:rect>
      </w:pict>
    </w: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594.374023pt;margin-top:.000015pt;width:.901pt;height:841.89pt;mso-position-horizontal-relative:page;mso-position-vertical-relative:page;z-index:-267577344" filled="true" fillcolor="#ffedc2" stroked="false">
          <v:fill type="solid"/>
          <w10:wrap type="none"/>
        </v:rect>
      </w:pict>
    </w:r>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49.207pt;height:841.89pt;mso-position-horizontal-relative:page;mso-position-vertical-relative:page;z-index:-267572224" filled="true" fillcolor="#ffedc2" stroked="false">
          <v:fill type="solid"/>
          <w10:wrap type="none"/>
        </v:rect>
      </w:pict>
    </w:r>
  </w:p>
</w:hdr>
</file>

<file path=word/header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46.777pt;margin-top:.000015pt;width:548.498pt;height:841.89pt;mso-position-horizontal-relative:page;mso-position-vertical-relative:page;z-index:-267571200" filled="true" fillcolor="#ffedc2" stroked="false">
          <v:fill type="solid"/>
          <w10:wrap type="none"/>
        </v:rect>
      </w:pict>
    </w:r>
  </w:p>
</w:hdr>
</file>

<file path=word/header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49.207pt;height:841.89pt;mso-position-horizontal-relative:page;mso-position-vertical-relative:page;z-index:-267570176" filled="true" fillcolor="#ffedc2" stroked="false">
          <v:fill type="solid"/>
          <w10:wrap type="none"/>
        </v:rect>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594.374023pt;margin-top:.000015pt;width:.901pt;height:841.89pt;mso-position-horizontal-relative:page;mso-position-vertical-relative:page;z-index:-267563008" filled="true" fillcolor="#ffedc2" stroked="false">
          <v:fill type="solid"/>
          <w10:wrap type="none"/>
        </v:rect>
      </w:pict>
    </w:r>
  </w:p>
</w:hdr>
</file>

<file path=word/header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594.374023pt;margin-top:.000015pt;width:.901pt;height:841.89pt;mso-position-horizontal-relative:page;mso-position-vertical-relative:page;z-index:-267550720" filled="true" fillcolor="#ffedc2" stroked="false">
          <v:fill type="solid"/>
          <w10:wrap type="none"/>
        </v:rect>
      </w:pict>
    </w:r>
  </w:p>
</w:hdr>
</file>

<file path=word/header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594.374023pt;margin-top:.000015pt;width:.901pt;height:841.89pt;mso-position-horizontal-relative:page;mso-position-vertical-relative:page;z-index:-267544576" filled="true" fillcolor="#ffedc2" stroked="false">
          <v:fill type="solid"/>
          <w10:wrap type="none"/>
        </v:rect>
      </w:pict>
    </w:r>
  </w:p>
</w:hdr>
</file>

<file path=word/header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49.207pt;height:841.89pt;mso-position-horizontal-relative:page;mso-position-vertical-relative:page;z-index:-267543552" filled="true" fillcolor="#ffedc2" stroked="false">
          <v:fill type="solid"/>
          <w10:wrap type="none"/>
        </v:rect>
      </w:pict>
    </w:r>
  </w:p>
</w:hdr>
</file>

<file path=word/header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594.374023pt;margin-top:.000015pt;width:.901pt;height:841.89pt;mso-position-horizontal-relative:page;mso-position-vertical-relative:page;z-index:-267542528" filled="true" fillcolor="#ffedc2" stroked="false">
          <v:fill type="solid"/>
          <w10:wrap type="none"/>
        </v:rect>
      </w:pict>
    </w:r>
  </w:p>
</w:hdr>
</file>

<file path=word/header7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49.207pt;height:841.89pt;mso-position-horizontal-relative:page;mso-position-vertical-relative:page;z-index:-267541504" filled="true" fillcolor="#e2eed8" stroked="false">
          <v:fill type="solid"/>
          <w10:wrap type="none"/>
        </v:rect>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594.374023pt;margin-top:.000015pt;width:.901pt;height:841.89pt;mso-position-horizontal-relative:page;mso-position-vertical-relative:page;z-index:-267540480" filled="true" fillcolor="#d3e5c3" stroked="false">
          <v:fill type="solid"/>
          <w10:wrap type="none"/>
        </v:rect>
      </w:pict>
    </w:r>
  </w:p>
</w:hdr>
</file>

<file path=word/header8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49.207pt;height:841.89pt;mso-position-horizontal-relative:page;mso-position-vertical-relative:page;z-index:-267539456" filled="true" fillcolor="#d3e5c3" stroked="false">
          <v:fill type="solid"/>
          <w10:wrap type="none"/>
        </v:rect>
      </w:pict>
    </w:r>
  </w:p>
</w:hdr>
</file>

<file path=word/header8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594.374023pt;margin-top:.000015pt;width:.901pt;height:841.89pt;mso-position-horizontal-relative:page;mso-position-vertical-relative:page;z-index:-267534336" filled="true" fillcolor="#d3e5c3" stroked="false">
          <v:fill type="solid"/>
          <w10:wrap type="none"/>
        </v:rect>
      </w:pict>
    </w:r>
  </w:p>
</w:hdr>
</file>

<file path=word/header8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49.207pt;height:841.89pt;mso-position-horizontal-relative:page;mso-position-vertical-relative:page;z-index:-267531264" filled="true" fillcolor="#d3e5c3" stroked="false">
          <v:fill type="solid"/>
          <w10:wrap type="none"/>
        </v:rect>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49.207pt;height:841.89pt;mso-position-horizontal-relative:page;mso-position-vertical-relative:page;z-index:-267528192" filled="true" fillcolor="#d3e5c3" stroked="false">
          <v:fill type="solid"/>
          <w10:wrap type="none"/>
        </v:rect>
      </w:pict>
    </w:r>
  </w:p>
</w:hdr>
</file>

<file path=word/header9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49.207pt;height:841.89pt;mso-position-horizontal-relative:page;mso-position-vertical-relative:page;z-index:-267525120" filled="true" fillcolor="#d3e5c3" stroked="false">
          <v:fill type="solid"/>
          <w10:wrap type="none"/>
        </v:rect>
      </w:pict>
    </w:r>
  </w:p>
</w:hdr>
</file>

<file path=word/header9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77">
    <w:multiLevelType w:val="hybridMultilevel"/>
    <w:lvl w:ilvl="0">
      <w:start w:val="1"/>
      <w:numFmt w:val="decimal"/>
      <w:lvlText w:val="%1."/>
      <w:lvlJc w:val="left"/>
      <w:pPr>
        <w:ind w:left="2664" w:hanging="681"/>
        <w:jc w:val="right"/>
      </w:pPr>
      <w:rPr>
        <w:rFonts w:hint="default" w:ascii="Stone Sans II ITC Std Bk" w:hAnsi="Stone Sans II ITC Std Bk" w:eastAsia="Stone Sans II ITC Std Bk" w:cs="Stone Sans II ITC Std Bk"/>
        <w:b/>
        <w:bCs/>
        <w:spacing w:val="-15"/>
        <w:w w:val="110"/>
        <w:sz w:val="29"/>
        <w:szCs w:val="29"/>
      </w:rPr>
    </w:lvl>
    <w:lvl w:ilvl="1">
      <w:start w:val="1"/>
      <w:numFmt w:val="decimal"/>
      <w:lvlText w:val="%1.%2"/>
      <w:lvlJc w:val="left"/>
      <w:pPr>
        <w:ind w:left="1984" w:hanging="681"/>
        <w:jc w:val="left"/>
      </w:pPr>
      <w:rPr>
        <w:rFonts w:hint="default" w:ascii="Calibri" w:hAnsi="Calibri" w:eastAsia="Calibri" w:cs="Calibri"/>
        <w:spacing w:val="-18"/>
        <w:w w:val="125"/>
        <w:sz w:val="20"/>
        <w:szCs w:val="20"/>
      </w:rPr>
    </w:lvl>
    <w:lvl w:ilvl="2">
      <w:start w:val="1"/>
      <w:numFmt w:val="decimal"/>
      <w:lvlText w:val="%1.%2.%3"/>
      <w:lvlJc w:val="left"/>
      <w:pPr>
        <w:ind w:left="1247" w:hanging="681"/>
        <w:jc w:val="right"/>
      </w:pPr>
      <w:rPr>
        <w:rFonts w:hint="default" w:ascii="Calibri" w:hAnsi="Calibri" w:eastAsia="Calibri" w:cs="Calibri"/>
        <w:spacing w:val="-18"/>
        <w:w w:val="125"/>
        <w:sz w:val="20"/>
        <w:szCs w:val="20"/>
      </w:rPr>
    </w:lvl>
    <w:lvl w:ilvl="3">
      <w:start w:val="0"/>
      <w:numFmt w:val="bullet"/>
      <w:lvlText w:val="•"/>
      <w:lvlJc w:val="left"/>
      <w:pPr>
        <w:ind w:left="3815" w:hanging="681"/>
      </w:pPr>
      <w:rPr>
        <w:rFonts w:hint="default"/>
      </w:rPr>
    </w:lvl>
    <w:lvl w:ilvl="4">
      <w:start w:val="0"/>
      <w:numFmt w:val="bullet"/>
      <w:lvlText w:val="•"/>
      <w:lvlJc w:val="left"/>
      <w:pPr>
        <w:ind w:left="4971" w:hanging="681"/>
      </w:pPr>
      <w:rPr>
        <w:rFonts w:hint="default"/>
      </w:rPr>
    </w:lvl>
    <w:lvl w:ilvl="5">
      <w:start w:val="0"/>
      <w:numFmt w:val="bullet"/>
      <w:lvlText w:val="•"/>
      <w:lvlJc w:val="left"/>
      <w:pPr>
        <w:ind w:left="6127" w:hanging="681"/>
      </w:pPr>
      <w:rPr>
        <w:rFonts w:hint="default"/>
      </w:rPr>
    </w:lvl>
    <w:lvl w:ilvl="6">
      <w:start w:val="0"/>
      <w:numFmt w:val="bullet"/>
      <w:lvlText w:val="•"/>
      <w:lvlJc w:val="left"/>
      <w:pPr>
        <w:ind w:left="7282" w:hanging="681"/>
      </w:pPr>
      <w:rPr>
        <w:rFonts w:hint="default"/>
      </w:rPr>
    </w:lvl>
    <w:lvl w:ilvl="7">
      <w:start w:val="0"/>
      <w:numFmt w:val="bullet"/>
      <w:lvlText w:val="•"/>
      <w:lvlJc w:val="left"/>
      <w:pPr>
        <w:ind w:left="8438" w:hanging="681"/>
      </w:pPr>
      <w:rPr>
        <w:rFonts w:hint="default"/>
      </w:rPr>
    </w:lvl>
    <w:lvl w:ilvl="8">
      <w:start w:val="0"/>
      <w:numFmt w:val="bullet"/>
      <w:lvlText w:val="•"/>
      <w:lvlJc w:val="left"/>
      <w:pPr>
        <w:ind w:left="9594" w:hanging="681"/>
      </w:pPr>
      <w:rPr>
        <w:rFonts w:hint="default"/>
      </w:rPr>
    </w:lvl>
  </w:abstractNum>
  <w:abstractNum w:abstractNumId="48">
    <w:multiLevelType w:val="hybridMultilevel"/>
    <w:lvl w:ilvl="0">
      <w:start w:val="1"/>
      <w:numFmt w:val="decimal"/>
      <w:lvlText w:val="%1."/>
      <w:lvlJc w:val="left"/>
      <w:pPr>
        <w:ind w:left="1984" w:hanging="721"/>
        <w:jc w:val="right"/>
      </w:pPr>
      <w:rPr>
        <w:rFonts w:hint="default" w:ascii="Calibri" w:hAnsi="Calibri" w:eastAsia="Calibri" w:cs="Calibri"/>
        <w:spacing w:val="-13"/>
        <w:w w:val="125"/>
        <w:sz w:val="20"/>
        <w:szCs w:val="20"/>
      </w:rPr>
    </w:lvl>
    <w:lvl w:ilvl="1">
      <w:start w:val="1"/>
      <w:numFmt w:val="decimal"/>
      <w:lvlText w:val="%1.%2"/>
      <w:lvlJc w:val="left"/>
      <w:pPr>
        <w:ind w:left="1984" w:hanging="681"/>
        <w:jc w:val="left"/>
      </w:pPr>
      <w:rPr>
        <w:rFonts w:hint="default" w:ascii="Calibri" w:hAnsi="Calibri" w:eastAsia="Calibri" w:cs="Calibri"/>
        <w:spacing w:val="-18"/>
        <w:w w:val="125"/>
        <w:sz w:val="20"/>
        <w:szCs w:val="20"/>
      </w:rPr>
    </w:lvl>
    <w:lvl w:ilvl="2">
      <w:start w:val="1"/>
      <w:numFmt w:val="decimal"/>
      <w:lvlText w:val="%1.%2.%3"/>
      <w:lvlJc w:val="left"/>
      <w:pPr>
        <w:ind w:left="1984" w:hanging="681"/>
        <w:jc w:val="left"/>
      </w:pPr>
      <w:rPr>
        <w:rFonts w:hint="default" w:ascii="Calibri" w:hAnsi="Calibri" w:eastAsia="Calibri" w:cs="Calibri"/>
        <w:spacing w:val="-25"/>
        <w:w w:val="125"/>
        <w:sz w:val="20"/>
        <w:szCs w:val="20"/>
      </w:rPr>
    </w:lvl>
    <w:lvl w:ilvl="3">
      <w:start w:val="0"/>
      <w:numFmt w:val="bullet"/>
      <w:lvlText w:val="•"/>
      <w:lvlJc w:val="left"/>
      <w:pPr>
        <w:ind w:left="4957" w:hanging="681"/>
      </w:pPr>
      <w:rPr>
        <w:rFonts w:hint="default"/>
      </w:rPr>
    </w:lvl>
    <w:lvl w:ilvl="4">
      <w:start w:val="0"/>
      <w:numFmt w:val="bullet"/>
      <w:lvlText w:val="•"/>
      <w:lvlJc w:val="left"/>
      <w:pPr>
        <w:ind w:left="5950" w:hanging="681"/>
      </w:pPr>
      <w:rPr>
        <w:rFonts w:hint="default"/>
      </w:rPr>
    </w:lvl>
    <w:lvl w:ilvl="5">
      <w:start w:val="0"/>
      <w:numFmt w:val="bullet"/>
      <w:lvlText w:val="•"/>
      <w:lvlJc w:val="left"/>
      <w:pPr>
        <w:ind w:left="6942" w:hanging="681"/>
      </w:pPr>
      <w:rPr>
        <w:rFonts w:hint="default"/>
      </w:rPr>
    </w:lvl>
    <w:lvl w:ilvl="6">
      <w:start w:val="0"/>
      <w:numFmt w:val="bullet"/>
      <w:lvlText w:val="•"/>
      <w:lvlJc w:val="left"/>
      <w:pPr>
        <w:ind w:left="7935" w:hanging="681"/>
      </w:pPr>
      <w:rPr>
        <w:rFonts w:hint="default"/>
      </w:rPr>
    </w:lvl>
    <w:lvl w:ilvl="7">
      <w:start w:val="0"/>
      <w:numFmt w:val="bullet"/>
      <w:lvlText w:val="•"/>
      <w:lvlJc w:val="left"/>
      <w:pPr>
        <w:ind w:left="8927" w:hanging="681"/>
      </w:pPr>
      <w:rPr>
        <w:rFonts w:hint="default"/>
      </w:rPr>
    </w:lvl>
    <w:lvl w:ilvl="8">
      <w:start w:val="0"/>
      <w:numFmt w:val="bullet"/>
      <w:lvlText w:val="•"/>
      <w:lvlJc w:val="left"/>
      <w:pPr>
        <w:ind w:left="9920" w:hanging="681"/>
      </w:pPr>
      <w:rPr>
        <w:rFonts w:hint="default"/>
      </w:rPr>
    </w:lvl>
  </w:abstractNum>
  <w:abstractNum w:abstractNumId="20">
    <w:multiLevelType w:val="hybridMultilevel"/>
    <w:lvl w:ilvl="0">
      <w:start w:val="1"/>
      <w:numFmt w:val="decimal"/>
      <w:lvlText w:val="%1."/>
      <w:lvlJc w:val="left"/>
      <w:pPr>
        <w:ind w:left="1899" w:hanging="681"/>
        <w:jc w:val="right"/>
      </w:pPr>
      <w:rPr>
        <w:rFonts w:hint="default" w:ascii="Calibri" w:hAnsi="Calibri" w:eastAsia="Calibri" w:cs="Calibri"/>
        <w:spacing w:val="-13"/>
        <w:w w:val="125"/>
        <w:sz w:val="20"/>
        <w:szCs w:val="20"/>
      </w:rPr>
    </w:lvl>
    <w:lvl w:ilvl="1">
      <w:start w:val="0"/>
      <w:numFmt w:val="bullet"/>
      <w:lvlText w:val="*"/>
      <w:lvlJc w:val="left"/>
      <w:pPr>
        <w:ind w:left="3373" w:hanging="794"/>
      </w:pPr>
      <w:rPr>
        <w:rFonts w:hint="default" w:ascii="Calibri" w:hAnsi="Calibri" w:eastAsia="Calibri" w:cs="Calibri"/>
        <w:w w:val="91"/>
        <w:sz w:val="20"/>
        <w:szCs w:val="20"/>
      </w:rPr>
    </w:lvl>
    <w:lvl w:ilvl="2">
      <w:start w:val="0"/>
      <w:numFmt w:val="bullet"/>
      <w:lvlText w:val="•"/>
      <w:lvlJc w:val="left"/>
      <w:pPr>
        <w:ind w:left="4327" w:hanging="794"/>
      </w:pPr>
      <w:rPr>
        <w:rFonts w:hint="default"/>
      </w:rPr>
    </w:lvl>
    <w:lvl w:ilvl="3">
      <w:start w:val="0"/>
      <w:numFmt w:val="bullet"/>
      <w:lvlText w:val="•"/>
      <w:lvlJc w:val="left"/>
      <w:pPr>
        <w:ind w:left="5274" w:hanging="794"/>
      </w:pPr>
      <w:rPr>
        <w:rFonts w:hint="default"/>
      </w:rPr>
    </w:lvl>
    <w:lvl w:ilvl="4">
      <w:start w:val="0"/>
      <w:numFmt w:val="bullet"/>
      <w:lvlText w:val="•"/>
      <w:lvlJc w:val="left"/>
      <w:pPr>
        <w:ind w:left="6221" w:hanging="794"/>
      </w:pPr>
      <w:rPr>
        <w:rFonts w:hint="default"/>
      </w:rPr>
    </w:lvl>
    <w:lvl w:ilvl="5">
      <w:start w:val="0"/>
      <w:numFmt w:val="bullet"/>
      <w:lvlText w:val="•"/>
      <w:lvlJc w:val="left"/>
      <w:pPr>
        <w:ind w:left="7169" w:hanging="794"/>
      </w:pPr>
      <w:rPr>
        <w:rFonts w:hint="default"/>
      </w:rPr>
    </w:lvl>
    <w:lvl w:ilvl="6">
      <w:start w:val="0"/>
      <w:numFmt w:val="bullet"/>
      <w:lvlText w:val="•"/>
      <w:lvlJc w:val="left"/>
      <w:pPr>
        <w:ind w:left="8116" w:hanging="794"/>
      </w:pPr>
      <w:rPr>
        <w:rFonts w:hint="default"/>
      </w:rPr>
    </w:lvl>
    <w:lvl w:ilvl="7">
      <w:start w:val="0"/>
      <w:numFmt w:val="bullet"/>
      <w:lvlText w:val="•"/>
      <w:lvlJc w:val="left"/>
      <w:pPr>
        <w:ind w:left="9063" w:hanging="794"/>
      </w:pPr>
      <w:rPr>
        <w:rFonts w:hint="default"/>
      </w:rPr>
    </w:lvl>
    <w:lvl w:ilvl="8">
      <w:start w:val="0"/>
      <w:numFmt w:val="bullet"/>
      <w:lvlText w:val="•"/>
      <w:lvlJc w:val="left"/>
      <w:pPr>
        <w:ind w:left="10010" w:hanging="794"/>
      </w:pPr>
      <w:rPr>
        <w:rFonts w:hint="default"/>
      </w:rPr>
    </w:lvl>
  </w:abstractNum>
  <w:abstractNum w:abstractNumId="0">
    <w:multiLevelType w:val="hybridMultilevel"/>
    <w:lvl w:ilvl="0">
      <w:start w:val="1"/>
      <w:numFmt w:val="decimal"/>
      <w:lvlText w:val="%1."/>
      <w:lvlJc w:val="left"/>
      <w:pPr>
        <w:ind w:left="2018" w:hanging="772"/>
        <w:jc w:val="right"/>
      </w:pPr>
      <w:rPr>
        <w:rFonts w:hint="default" w:ascii="Stone Sans II ITC Std Bk" w:hAnsi="Stone Sans II ITC Std Bk" w:eastAsia="Stone Sans II ITC Std Bk" w:cs="Stone Sans II ITC Std Bk"/>
        <w:b/>
        <w:bCs/>
        <w:spacing w:val="-15"/>
        <w:w w:val="110"/>
        <w:sz w:val="29"/>
        <w:szCs w:val="29"/>
      </w:rPr>
    </w:lvl>
    <w:lvl w:ilvl="1">
      <w:start w:val="1"/>
      <w:numFmt w:val="decimal"/>
      <w:lvlText w:val="%1.%2"/>
      <w:lvlJc w:val="left"/>
      <w:pPr>
        <w:ind w:left="2664" w:hanging="681"/>
        <w:jc w:val="right"/>
      </w:pPr>
      <w:rPr>
        <w:rFonts w:hint="default"/>
        <w:spacing w:val="-18"/>
        <w:w w:val="125"/>
      </w:rPr>
    </w:lvl>
    <w:lvl w:ilvl="2">
      <w:start w:val="1"/>
      <w:numFmt w:val="decimal"/>
      <w:lvlText w:val="%1.%2.%3"/>
      <w:lvlJc w:val="left"/>
      <w:pPr>
        <w:ind w:left="1927" w:hanging="681"/>
        <w:jc w:val="right"/>
      </w:pPr>
      <w:rPr>
        <w:rFonts w:hint="default"/>
        <w:b/>
        <w:bCs/>
        <w:spacing w:val="-18"/>
        <w:w w:val="110"/>
      </w:rPr>
    </w:lvl>
    <w:lvl w:ilvl="3">
      <w:start w:val="1"/>
      <w:numFmt w:val="decimal"/>
      <w:lvlText w:val="%1.%2.%3.%4"/>
      <w:lvlJc w:val="left"/>
      <w:pPr>
        <w:ind w:left="1247" w:hanging="681"/>
        <w:jc w:val="right"/>
      </w:pPr>
      <w:rPr>
        <w:rFonts w:hint="default" w:ascii="Calibri" w:hAnsi="Calibri" w:eastAsia="Calibri" w:cs="Calibri"/>
        <w:spacing w:val="-18"/>
        <w:w w:val="125"/>
        <w:sz w:val="20"/>
        <w:szCs w:val="20"/>
      </w:rPr>
    </w:lvl>
    <w:lvl w:ilvl="4">
      <w:start w:val="0"/>
      <w:numFmt w:val="bullet"/>
      <w:lvlText w:val="•"/>
      <w:lvlJc w:val="left"/>
      <w:pPr>
        <w:ind w:left="2660" w:hanging="681"/>
      </w:pPr>
      <w:rPr>
        <w:rFonts w:hint="default"/>
      </w:rPr>
    </w:lvl>
    <w:lvl w:ilvl="5">
      <w:start w:val="0"/>
      <w:numFmt w:val="bullet"/>
      <w:lvlText w:val="•"/>
      <w:lvlJc w:val="left"/>
      <w:pPr>
        <w:ind w:left="4200" w:hanging="681"/>
      </w:pPr>
      <w:rPr>
        <w:rFonts w:hint="default"/>
      </w:rPr>
    </w:lvl>
    <w:lvl w:ilvl="6">
      <w:start w:val="0"/>
      <w:numFmt w:val="bullet"/>
      <w:lvlText w:val="•"/>
      <w:lvlJc w:val="left"/>
      <w:pPr>
        <w:ind w:left="5741" w:hanging="681"/>
      </w:pPr>
      <w:rPr>
        <w:rFonts w:hint="default"/>
      </w:rPr>
    </w:lvl>
    <w:lvl w:ilvl="7">
      <w:start w:val="0"/>
      <w:numFmt w:val="bullet"/>
      <w:lvlText w:val="•"/>
      <w:lvlJc w:val="left"/>
      <w:pPr>
        <w:ind w:left="7282" w:hanging="681"/>
      </w:pPr>
      <w:rPr>
        <w:rFonts w:hint="default"/>
      </w:rPr>
    </w:lvl>
    <w:lvl w:ilvl="8">
      <w:start w:val="0"/>
      <w:numFmt w:val="bullet"/>
      <w:lvlText w:val="•"/>
      <w:lvlJc w:val="left"/>
      <w:pPr>
        <w:ind w:left="8823" w:hanging="681"/>
      </w:pPr>
      <w:rPr>
        <w:rFonts w:hint="default"/>
      </w:rPr>
    </w:lvl>
  </w:abstractNum>
  <w:abstractNum w:abstractNumId="120">
    <w:multiLevelType w:val="hybridMultilevel"/>
    <w:lvl w:ilvl="0">
      <w:start w:val="7"/>
      <w:numFmt w:val="decimal"/>
      <w:lvlText w:val="%1"/>
      <w:lvlJc w:val="left"/>
      <w:pPr>
        <w:ind w:left="1755" w:hanging="381"/>
        <w:jc w:val="left"/>
      </w:pPr>
      <w:rPr>
        <w:rFonts w:hint="default"/>
      </w:rPr>
    </w:lvl>
    <w:lvl w:ilvl="1">
      <w:start w:val="4"/>
      <w:numFmt w:val="decimal"/>
      <w:lvlText w:val="%1.%2"/>
      <w:lvlJc w:val="left"/>
      <w:pPr>
        <w:ind w:left="1755" w:hanging="381"/>
        <w:jc w:val="left"/>
      </w:pPr>
      <w:rPr>
        <w:rFonts w:hint="default" w:ascii="Stone Sans II ITC Std Bk" w:hAnsi="Stone Sans II ITC Std Bk" w:eastAsia="Stone Sans II ITC Std Bk" w:cs="Stone Sans II ITC Std Bk"/>
        <w:b/>
        <w:bCs/>
        <w:spacing w:val="-26"/>
        <w:w w:val="110"/>
        <w:sz w:val="20"/>
        <w:szCs w:val="20"/>
      </w:rPr>
    </w:lvl>
    <w:lvl w:ilvl="2">
      <w:start w:val="1"/>
      <w:numFmt w:val="upperLetter"/>
      <w:lvlText w:val="%3."/>
      <w:lvlJc w:val="left"/>
      <w:pPr>
        <w:ind w:left="1984" w:hanging="681"/>
        <w:jc w:val="left"/>
      </w:pPr>
      <w:rPr>
        <w:rFonts w:hint="default" w:ascii="Calibri" w:hAnsi="Calibri" w:eastAsia="Calibri" w:cs="Calibri"/>
        <w:spacing w:val="0"/>
        <w:w w:val="118"/>
        <w:sz w:val="20"/>
        <w:szCs w:val="20"/>
      </w:rPr>
    </w:lvl>
    <w:lvl w:ilvl="3">
      <w:start w:val="1"/>
      <w:numFmt w:val="decimal"/>
      <w:lvlText w:val="%4."/>
      <w:lvlJc w:val="left"/>
      <w:pPr>
        <w:ind w:left="3458" w:hanging="794"/>
        <w:jc w:val="right"/>
      </w:pPr>
      <w:rPr>
        <w:rFonts w:hint="default" w:ascii="Calibri" w:hAnsi="Calibri" w:eastAsia="Calibri" w:cs="Calibri"/>
        <w:spacing w:val="-13"/>
        <w:w w:val="125"/>
        <w:sz w:val="20"/>
        <w:szCs w:val="20"/>
      </w:rPr>
    </w:lvl>
    <w:lvl w:ilvl="4">
      <w:start w:val="0"/>
      <w:numFmt w:val="bullet"/>
      <w:lvlText w:val="•"/>
      <w:lvlJc w:val="left"/>
      <w:pPr>
        <w:ind w:left="5571" w:hanging="794"/>
      </w:pPr>
      <w:rPr>
        <w:rFonts w:hint="default"/>
      </w:rPr>
    </w:lvl>
    <w:lvl w:ilvl="5">
      <w:start w:val="0"/>
      <w:numFmt w:val="bullet"/>
      <w:lvlText w:val="•"/>
      <w:lvlJc w:val="left"/>
      <w:pPr>
        <w:ind w:left="6627" w:hanging="794"/>
      </w:pPr>
      <w:rPr>
        <w:rFonts w:hint="default"/>
      </w:rPr>
    </w:lvl>
    <w:lvl w:ilvl="6">
      <w:start w:val="0"/>
      <w:numFmt w:val="bullet"/>
      <w:lvlText w:val="•"/>
      <w:lvlJc w:val="left"/>
      <w:pPr>
        <w:ind w:left="7682" w:hanging="794"/>
      </w:pPr>
      <w:rPr>
        <w:rFonts w:hint="default"/>
      </w:rPr>
    </w:lvl>
    <w:lvl w:ilvl="7">
      <w:start w:val="0"/>
      <w:numFmt w:val="bullet"/>
      <w:lvlText w:val="•"/>
      <w:lvlJc w:val="left"/>
      <w:pPr>
        <w:ind w:left="8738" w:hanging="794"/>
      </w:pPr>
      <w:rPr>
        <w:rFonts w:hint="default"/>
      </w:rPr>
    </w:lvl>
    <w:lvl w:ilvl="8">
      <w:start w:val="0"/>
      <w:numFmt w:val="bullet"/>
      <w:lvlText w:val="•"/>
      <w:lvlJc w:val="left"/>
      <w:pPr>
        <w:ind w:left="9794" w:hanging="794"/>
      </w:pPr>
      <w:rPr>
        <w:rFonts w:hint="default"/>
      </w:rPr>
    </w:lvl>
  </w:abstractNum>
  <w:abstractNum w:abstractNumId="119">
    <w:multiLevelType w:val="hybridMultilevel"/>
    <w:lvl w:ilvl="0">
      <w:start w:val="1"/>
      <w:numFmt w:val="lowerLetter"/>
      <w:lvlText w:val="%1)"/>
      <w:lvlJc w:val="left"/>
      <w:pPr>
        <w:ind w:left="2664" w:hanging="681"/>
        <w:jc w:val="left"/>
      </w:pPr>
      <w:rPr>
        <w:rFonts w:hint="default" w:ascii="Calibri" w:hAnsi="Calibri" w:eastAsia="Calibri" w:cs="Calibri"/>
        <w:spacing w:val="-13"/>
        <w:w w:val="113"/>
        <w:sz w:val="20"/>
        <w:szCs w:val="20"/>
      </w:rPr>
    </w:lvl>
    <w:lvl w:ilvl="1">
      <w:start w:val="0"/>
      <w:numFmt w:val="bullet"/>
      <w:lvlText w:val="•"/>
      <w:lvlJc w:val="left"/>
      <w:pPr>
        <w:ind w:left="3584" w:hanging="681"/>
      </w:pPr>
      <w:rPr>
        <w:rFonts w:hint="default"/>
      </w:rPr>
    </w:lvl>
    <w:lvl w:ilvl="2">
      <w:start w:val="0"/>
      <w:numFmt w:val="bullet"/>
      <w:lvlText w:val="•"/>
      <w:lvlJc w:val="left"/>
      <w:pPr>
        <w:ind w:left="4509" w:hanging="681"/>
      </w:pPr>
      <w:rPr>
        <w:rFonts w:hint="default"/>
      </w:rPr>
    </w:lvl>
    <w:lvl w:ilvl="3">
      <w:start w:val="0"/>
      <w:numFmt w:val="bullet"/>
      <w:lvlText w:val="•"/>
      <w:lvlJc w:val="left"/>
      <w:pPr>
        <w:ind w:left="5433" w:hanging="681"/>
      </w:pPr>
      <w:rPr>
        <w:rFonts w:hint="default"/>
      </w:rPr>
    </w:lvl>
    <w:lvl w:ilvl="4">
      <w:start w:val="0"/>
      <w:numFmt w:val="bullet"/>
      <w:lvlText w:val="•"/>
      <w:lvlJc w:val="left"/>
      <w:pPr>
        <w:ind w:left="6358" w:hanging="681"/>
      </w:pPr>
      <w:rPr>
        <w:rFonts w:hint="default"/>
      </w:rPr>
    </w:lvl>
    <w:lvl w:ilvl="5">
      <w:start w:val="0"/>
      <w:numFmt w:val="bullet"/>
      <w:lvlText w:val="•"/>
      <w:lvlJc w:val="left"/>
      <w:pPr>
        <w:ind w:left="7282" w:hanging="681"/>
      </w:pPr>
      <w:rPr>
        <w:rFonts w:hint="default"/>
      </w:rPr>
    </w:lvl>
    <w:lvl w:ilvl="6">
      <w:start w:val="0"/>
      <w:numFmt w:val="bullet"/>
      <w:lvlText w:val="•"/>
      <w:lvlJc w:val="left"/>
      <w:pPr>
        <w:ind w:left="8207" w:hanging="681"/>
      </w:pPr>
      <w:rPr>
        <w:rFonts w:hint="default"/>
      </w:rPr>
    </w:lvl>
    <w:lvl w:ilvl="7">
      <w:start w:val="0"/>
      <w:numFmt w:val="bullet"/>
      <w:lvlText w:val="•"/>
      <w:lvlJc w:val="left"/>
      <w:pPr>
        <w:ind w:left="9131" w:hanging="681"/>
      </w:pPr>
      <w:rPr>
        <w:rFonts w:hint="default"/>
      </w:rPr>
    </w:lvl>
    <w:lvl w:ilvl="8">
      <w:start w:val="0"/>
      <w:numFmt w:val="bullet"/>
      <w:lvlText w:val="•"/>
      <w:lvlJc w:val="left"/>
      <w:pPr>
        <w:ind w:left="10056" w:hanging="681"/>
      </w:pPr>
      <w:rPr>
        <w:rFonts w:hint="default"/>
      </w:rPr>
    </w:lvl>
  </w:abstractNum>
  <w:abstractNum w:abstractNumId="118">
    <w:multiLevelType w:val="hybridMultilevel"/>
    <w:lvl w:ilvl="0">
      <w:start w:val="1"/>
      <w:numFmt w:val="lowerLetter"/>
      <w:lvlText w:val="%1)"/>
      <w:lvlJc w:val="left"/>
      <w:pPr>
        <w:ind w:left="680" w:hanging="681"/>
        <w:jc w:val="left"/>
      </w:pPr>
      <w:rPr>
        <w:rFonts w:hint="default" w:ascii="Calibri" w:hAnsi="Calibri" w:eastAsia="Calibri" w:cs="Calibri"/>
        <w:spacing w:val="-13"/>
        <w:w w:val="113"/>
        <w:sz w:val="20"/>
        <w:szCs w:val="20"/>
      </w:rPr>
    </w:lvl>
    <w:lvl w:ilvl="1">
      <w:start w:val="0"/>
      <w:numFmt w:val="bullet"/>
      <w:lvlText w:val="•"/>
      <w:lvlJc w:val="left"/>
      <w:pPr>
        <w:ind w:left="1464" w:hanging="681"/>
      </w:pPr>
      <w:rPr>
        <w:rFonts w:hint="default"/>
      </w:rPr>
    </w:lvl>
    <w:lvl w:ilvl="2">
      <w:start w:val="0"/>
      <w:numFmt w:val="bullet"/>
      <w:lvlText w:val="•"/>
      <w:lvlJc w:val="left"/>
      <w:pPr>
        <w:ind w:left="2249" w:hanging="681"/>
      </w:pPr>
      <w:rPr>
        <w:rFonts w:hint="default"/>
      </w:rPr>
    </w:lvl>
    <w:lvl w:ilvl="3">
      <w:start w:val="0"/>
      <w:numFmt w:val="bullet"/>
      <w:lvlText w:val="•"/>
      <w:lvlJc w:val="left"/>
      <w:pPr>
        <w:ind w:left="3034" w:hanging="681"/>
      </w:pPr>
      <w:rPr>
        <w:rFonts w:hint="default"/>
      </w:rPr>
    </w:lvl>
    <w:lvl w:ilvl="4">
      <w:start w:val="0"/>
      <w:numFmt w:val="bullet"/>
      <w:lvlText w:val="•"/>
      <w:lvlJc w:val="left"/>
      <w:pPr>
        <w:ind w:left="3818" w:hanging="681"/>
      </w:pPr>
      <w:rPr>
        <w:rFonts w:hint="default"/>
      </w:rPr>
    </w:lvl>
    <w:lvl w:ilvl="5">
      <w:start w:val="0"/>
      <w:numFmt w:val="bullet"/>
      <w:lvlText w:val="•"/>
      <w:lvlJc w:val="left"/>
      <w:pPr>
        <w:ind w:left="4603" w:hanging="681"/>
      </w:pPr>
      <w:rPr>
        <w:rFonts w:hint="default"/>
      </w:rPr>
    </w:lvl>
    <w:lvl w:ilvl="6">
      <w:start w:val="0"/>
      <w:numFmt w:val="bullet"/>
      <w:lvlText w:val="•"/>
      <w:lvlJc w:val="left"/>
      <w:pPr>
        <w:ind w:left="5388" w:hanging="681"/>
      </w:pPr>
      <w:rPr>
        <w:rFonts w:hint="default"/>
      </w:rPr>
    </w:lvl>
    <w:lvl w:ilvl="7">
      <w:start w:val="0"/>
      <w:numFmt w:val="bullet"/>
      <w:lvlText w:val="•"/>
      <w:lvlJc w:val="left"/>
      <w:pPr>
        <w:ind w:left="6172" w:hanging="681"/>
      </w:pPr>
      <w:rPr>
        <w:rFonts w:hint="default"/>
      </w:rPr>
    </w:lvl>
    <w:lvl w:ilvl="8">
      <w:start w:val="0"/>
      <w:numFmt w:val="bullet"/>
      <w:lvlText w:val="•"/>
      <w:lvlJc w:val="left"/>
      <w:pPr>
        <w:ind w:left="6957" w:hanging="681"/>
      </w:pPr>
      <w:rPr>
        <w:rFonts w:hint="default"/>
      </w:rPr>
    </w:lvl>
  </w:abstractNum>
  <w:abstractNum w:abstractNumId="117">
    <w:multiLevelType w:val="hybridMultilevel"/>
    <w:lvl w:ilvl="0">
      <w:start w:val="1"/>
      <w:numFmt w:val="decimal"/>
      <w:lvlText w:val="%1."/>
      <w:lvlJc w:val="left"/>
      <w:pPr>
        <w:ind w:left="1247" w:hanging="681"/>
        <w:jc w:val="left"/>
      </w:pPr>
      <w:rPr>
        <w:rFonts w:hint="default" w:ascii="Calibri" w:hAnsi="Calibri" w:eastAsia="Calibri" w:cs="Calibri"/>
        <w:spacing w:val="-13"/>
        <w:w w:val="125"/>
        <w:sz w:val="20"/>
        <w:szCs w:val="20"/>
      </w:rPr>
    </w:lvl>
    <w:lvl w:ilvl="1">
      <w:start w:val="1"/>
      <w:numFmt w:val="decimal"/>
      <w:lvlText w:val="%2."/>
      <w:lvlJc w:val="left"/>
      <w:pPr>
        <w:ind w:left="1984" w:hanging="681"/>
        <w:jc w:val="left"/>
      </w:pPr>
      <w:rPr>
        <w:rFonts w:hint="default" w:ascii="Calibri" w:hAnsi="Calibri" w:eastAsia="Calibri" w:cs="Calibri"/>
        <w:spacing w:val="-13"/>
        <w:w w:val="125"/>
        <w:sz w:val="20"/>
        <w:szCs w:val="20"/>
      </w:rPr>
    </w:lvl>
    <w:lvl w:ilvl="2">
      <w:start w:val="0"/>
      <w:numFmt w:val="bullet"/>
      <w:lvlText w:val="•"/>
      <w:lvlJc w:val="left"/>
      <w:pPr>
        <w:ind w:left="3082" w:hanging="681"/>
      </w:pPr>
      <w:rPr>
        <w:rFonts w:hint="default"/>
      </w:rPr>
    </w:lvl>
    <w:lvl w:ilvl="3">
      <w:start w:val="0"/>
      <w:numFmt w:val="bullet"/>
      <w:lvlText w:val="•"/>
      <w:lvlJc w:val="left"/>
      <w:pPr>
        <w:ind w:left="4185" w:hanging="681"/>
      </w:pPr>
      <w:rPr>
        <w:rFonts w:hint="default"/>
      </w:rPr>
    </w:lvl>
    <w:lvl w:ilvl="4">
      <w:start w:val="0"/>
      <w:numFmt w:val="bullet"/>
      <w:lvlText w:val="•"/>
      <w:lvlJc w:val="left"/>
      <w:pPr>
        <w:ind w:left="5288" w:hanging="681"/>
      </w:pPr>
      <w:rPr>
        <w:rFonts w:hint="default"/>
      </w:rPr>
    </w:lvl>
    <w:lvl w:ilvl="5">
      <w:start w:val="0"/>
      <w:numFmt w:val="bullet"/>
      <w:lvlText w:val="•"/>
      <w:lvlJc w:val="left"/>
      <w:pPr>
        <w:ind w:left="6391" w:hanging="681"/>
      </w:pPr>
      <w:rPr>
        <w:rFonts w:hint="default"/>
      </w:rPr>
    </w:lvl>
    <w:lvl w:ilvl="6">
      <w:start w:val="0"/>
      <w:numFmt w:val="bullet"/>
      <w:lvlText w:val="•"/>
      <w:lvlJc w:val="left"/>
      <w:pPr>
        <w:ind w:left="7494" w:hanging="681"/>
      </w:pPr>
      <w:rPr>
        <w:rFonts w:hint="default"/>
      </w:rPr>
    </w:lvl>
    <w:lvl w:ilvl="7">
      <w:start w:val="0"/>
      <w:numFmt w:val="bullet"/>
      <w:lvlText w:val="•"/>
      <w:lvlJc w:val="left"/>
      <w:pPr>
        <w:ind w:left="8597" w:hanging="681"/>
      </w:pPr>
      <w:rPr>
        <w:rFonts w:hint="default"/>
      </w:rPr>
    </w:lvl>
    <w:lvl w:ilvl="8">
      <w:start w:val="0"/>
      <w:numFmt w:val="bullet"/>
      <w:lvlText w:val="•"/>
      <w:lvlJc w:val="left"/>
      <w:pPr>
        <w:ind w:left="9699" w:hanging="681"/>
      </w:pPr>
      <w:rPr>
        <w:rFonts w:hint="default"/>
      </w:rPr>
    </w:lvl>
  </w:abstractNum>
  <w:abstractNum w:abstractNumId="116">
    <w:multiLevelType w:val="hybridMultilevel"/>
    <w:lvl w:ilvl="0">
      <w:start w:val="2"/>
      <w:numFmt w:val="decimal"/>
      <w:lvlText w:val="%1"/>
      <w:lvlJc w:val="left"/>
      <w:pPr>
        <w:ind w:left="1984" w:hanging="681"/>
        <w:jc w:val="left"/>
      </w:pPr>
      <w:rPr>
        <w:rFonts w:hint="default"/>
      </w:rPr>
    </w:lvl>
    <w:lvl w:ilvl="1">
      <w:start w:val="1"/>
      <w:numFmt w:val="decimal"/>
      <w:lvlText w:val="%1.%2"/>
      <w:lvlJc w:val="left"/>
      <w:pPr>
        <w:ind w:left="1984" w:hanging="681"/>
        <w:jc w:val="left"/>
      </w:pPr>
      <w:rPr>
        <w:rFonts w:hint="default" w:ascii="Calibri" w:hAnsi="Calibri" w:eastAsia="Calibri" w:cs="Calibri"/>
        <w:spacing w:val="-18"/>
        <w:w w:val="125"/>
        <w:sz w:val="20"/>
        <w:szCs w:val="20"/>
      </w:rPr>
    </w:lvl>
    <w:lvl w:ilvl="2">
      <w:start w:val="0"/>
      <w:numFmt w:val="bullet"/>
      <w:lvlText w:val="•"/>
      <w:lvlJc w:val="left"/>
      <w:pPr>
        <w:ind w:left="3965" w:hanging="681"/>
      </w:pPr>
      <w:rPr>
        <w:rFonts w:hint="default"/>
      </w:rPr>
    </w:lvl>
    <w:lvl w:ilvl="3">
      <w:start w:val="0"/>
      <w:numFmt w:val="bullet"/>
      <w:lvlText w:val="•"/>
      <w:lvlJc w:val="left"/>
      <w:pPr>
        <w:ind w:left="4957" w:hanging="681"/>
      </w:pPr>
      <w:rPr>
        <w:rFonts w:hint="default"/>
      </w:rPr>
    </w:lvl>
    <w:lvl w:ilvl="4">
      <w:start w:val="0"/>
      <w:numFmt w:val="bullet"/>
      <w:lvlText w:val="•"/>
      <w:lvlJc w:val="left"/>
      <w:pPr>
        <w:ind w:left="5950" w:hanging="681"/>
      </w:pPr>
      <w:rPr>
        <w:rFonts w:hint="default"/>
      </w:rPr>
    </w:lvl>
    <w:lvl w:ilvl="5">
      <w:start w:val="0"/>
      <w:numFmt w:val="bullet"/>
      <w:lvlText w:val="•"/>
      <w:lvlJc w:val="left"/>
      <w:pPr>
        <w:ind w:left="6942" w:hanging="681"/>
      </w:pPr>
      <w:rPr>
        <w:rFonts w:hint="default"/>
      </w:rPr>
    </w:lvl>
    <w:lvl w:ilvl="6">
      <w:start w:val="0"/>
      <w:numFmt w:val="bullet"/>
      <w:lvlText w:val="•"/>
      <w:lvlJc w:val="left"/>
      <w:pPr>
        <w:ind w:left="7935" w:hanging="681"/>
      </w:pPr>
      <w:rPr>
        <w:rFonts w:hint="default"/>
      </w:rPr>
    </w:lvl>
    <w:lvl w:ilvl="7">
      <w:start w:val="0"/>
      <w:numFmt w:val="bullet"/>
      <w:lvlText w:val="•"/>
      <w:lvlJc w:val="left"/>
      <w:pPr>
        <w:ind w:left="8927" w:hanging="681"/>
      </w:pPr>
      <w:rPr>
        <w:rFonts w:hint="default"/>
      </w:rPr>
    </w:lvl>
    <w:lvl w:ilvl="8">
      <w:start w:val="0"/>
      <w:numFmt w:val="bullet"/>
      <w:lvlText w:val="•"/>
      <w:lvlJc w:val="left"/>
      <w:pPr>
        <w:ind w:left="9920" w:hanging="681"/>
      </w:pPr>
      <w:rPr>
        <w:rFonts w:hint="default"/>
      </w:rPr>
    </w:lvl>
  </w:abstractNum>
  <w:abstractNum w:abstractNumId="115">
    <w:multiLevelType w:val="hybridMultilevel"/>
    <w:lvl w:ilvl="0">
      <w:start w:val="1"/>
      <w:numFmt w:val="decimal"/>
      <w:lvlText w:val="%1"/>
      <w:lvlJc w:val="left"/>
      <w:pPr>
        <w:ind w:left="1247" w:hanging="681"/>
        <w:jc w:val="left"/>
      </w:pPr>
      <w:rPr>
        <w:rFonts w:hint="default"/>
      </w:rPr>
    </w:lvl>
    <w:lvl w:ilvl="1">
      <w:start w:val="1"/>
      <w:numFmt w:val="decimal"/>
      <w:lvlText w:val="%1.%2"/>
      <w:lvlJc w:val="left"/>
      <w:pPr>
        <w:ind w:left="1247" w:hanging="681"/>
        <w:jc w:val="left"/>
      </w:pPr>
      <w:rPr>
        <w:rFonts w:hint="default" w:ascii="Calibri" w:hAnsi="Calibri" w:eastAsia="Calibri" w:cs="Calibri"/>
        <w:spacing w:val="-18"/>
        <w:w w:val="125"/>
        <w:sz w:val="20"/>
        <w:szCs w:val="20"/>
      </w:rPr>
    </w:lvl>
    <w:lvl w:ilvl="2">
      <w:start w:val="0"/>
      <w:numFmt w:val="bullet"/>
      <w:lvlText w:val="•"/>
      <w:lvlJc w:val="left"/>
      <w:pPr>
        <w:ind w:left="3373" w:hanging="681"/>
      </w:pPr>
      <w:rPr>
        <w:rFonts w:hint="default"/>
      </w:rPr>
    </w:lvl>
    <w:lvl w:ilvl="3">
      <w:start w:val="0"/>
      <w:numFmt w:val="bullet"/>
      <w:lvlText w:val="•"/>
      <w:lvlJc w:val="left"/>
      <w:pPr>
        <w:ind w:left="4439" w:hanging="681"/>
      </w:pPr>
      <w:rPr>
        <w:rFonts w:hint="default"/>
      </w:rPr>
    </w:lvl>
    <w:lvl w:ilvl="4">
      <w:start w:val="0"/>
      <w:numFmt w:val="bullet"/>
      <w:lvlText w:val="•"/>
      <w:lvlJc w:val="left"/>
      <w:pPr>
        <w:ind w:left="5506" w:hanging="681"/>
      </w:pPr>
      <w:rPr>
        <w:rFonts w:hint="default"/>
      </w:rPr>
    </w:lvl>
    <w:lvl w:ilvl="5">
      <w:start w:val="0"/>
      <w:numFmt w:val="bullet"/>
      <w:lvlText w:val="•"/>
      <w:lvlJc w:val="left"/>
      <w:pPr>
        <w:ind w:left="6572" w:hanging="681"/>
      </w:pPr>
      <w:rPr>
        <w:rFonts w:hint="default"/>
      </w:rPr>
    </w:lvl>
    <w:lvl w:ilvl="6">
      <w:start w:val="0"/>
      <w:numFmt w:val="bullet"/>
      <w:lvlText w:val="•"/>
      <w:lvlJc w:val="left"/>
      <w:pPr>
        <w:ind w:left="7639" w:hanging="681"/>
      </w:pPr>
      <w:rPr>
        <w:rFonts w:hint="default"/>
      </w:rPr>
    </w:lvl>
    <w:lvl w:ilvl="7">
      <w:start w:val="0"/>
      <w:numFmt w:val="bullet"/>
      <w:lvlText w:val="•"/>
      <w:lvlJc w:val="left"/>
      <w:pPr>
        <w:ind w:left="8705" w:hanging="681"/>
      </w:pPr>
      <w:rPr>
        <w:rFonts w:hint="default"/>
      </w:rPr>
    </w:lvl>
    <w:lvl w:ilvl="8">
      <w:start w:val="0"/>
      <w:numFmt w:val="bullet"/>
      <w:lvlText w:val="•"/>
      <w:lvlJc w:val="left"/>
      <w:pPr>
        <w:ind w:left="9772" w:hanging="681"/>
      </w:pPr>
      <w:rPr>
        <w:rFonts w:hint="default"/>
      </w:rPr>
    </w:lvl>
  </w:abstractNum>
  <w:abstractNum w:abstractNumId="114">
    <w:multiLevelType w:val="hybridMultilevel"/>
    <w:lvl w:ilvl="0">
      <w:start w:val="1"/>
      <w:numFmt w:val="decimal"/>
      <w:lvlText w:val="%1."/>
      <w:lvlJc w:val="left"/>
      <w:pPr>
        <w:ind w:left="1247" w:hanging="681"/>
        <w:jc w:val="left"/>
      </w:pPr>
      <w:rPr>
        <w:rFonts w:hint="default" w:ascii="Calibri" w:hAnsi="Calibri" w:eastAsia="Calibri" w:cs="Calibri"/>
        <w:spacing w:val="-13"/>
        <w:w w:val="125"/>
        <w:sz w:val="20"/>
        <w:szCs w:val="20"/>
      </w:rPr>
    </w:lvl>
    <w:lvl w:ilvl="1">
      <w:start w:val="1"/>
      <w:numFmt w:val="decimal"/>
      <w:lvlText w:val="%2."/>
      <w:lvlJc w:val="left"/>
      <w:pPr>
        <w:ind w:left="1984" w:hanging="681"/>
        <w:jc w:val="left"/>
      </w:pPr>
      <w:rPr>
        <w:rFonts w:hint="default" w:ascii="Calibri" w:hAnsi="Calibri" w:eastAsia="Calibri" w:cs="Calibri"/>
        <w:spacing w:val="-13"/>
        <w:w w:val="125"/>
        <w:sz w:val="20"/>
        <w:szCs w:val="20"/>
      </w:rPr>
    </w:lvl>
    <w:lvl w:ilvl="2">
      <w:start w:val="0"/>
      <w:numFmt w:val="bullet"/>
      <w:lvlText w:val="•"/>
      <w:lvlJc w:val="left"/>
      <w:pPr>
        <w:ind w:left="3082" w:hanging="681"/>
      </w:pPr>
      <w:rPr>
        <w:rFonts w:hint="default"/>
      </w:rPr>
    </w:lvl>
    <w:lvl w:ilvl="3">
      <w:start w:val="0"/>
      <w:numFmt w:val="bullet"/>
      <w:lvlText w:val="•"/>
      <w:lvlJc w:val="left"/>
      <w:pPr>
        <w:ind w:left="4185" w:hanging="681"/>
      </w:pPr>
      <w:rPr>
        <w:rFonts w:hint="default"/>
      </w:rPr>
    </w:lvl>
    <w:lvl w:ilvl="4">
      <w:start w:val="0"/>
      <w:numFmt w:val="bullet"/>
      <w:lvlText w:val="•"/>
      <w:lvlJc w:val="left"/>
      <w:pPr>
        <w:ind w:left="5288" w:hanging="681"/>
      </w:pPr>
      <w:rPr>
        <w:rFonts w:hint="default"/>
      </w:rPr>
    </w:lvl>
    <w:lvl w:ilvl="5">
      <w:start w:val="0"/>
      <w:numFmt w:val="bullet"/>
      <w:lvlText w:val="•"/>
      <w:lvlJc w:val="left"/>
      <w:pPr>
        <w:ind w:left="6391" w:hanging="681"/>
      </w:pPr>
      <w:rPr>
        <w:rFonts w:hint="default"/>
      </w:rPr>
    </w:lvl>
    <w:lvl w:ilvl="6">
      <w:start w:val="0"/>
      <w:numFmt w:val="bullet"/>
      <w:lvlText w:val="•"/>
      <w:lvlJc w:val="left"/>
      <w:pPr>
        <w:ind w:left="7494" w:hanging="681"/>
      </w:pPr>
      <w:rPr>
        <w:rFonts w:hint="default"/>
      </w:rPr>
    </w:lvl>
    <w:lvl w:ilvl="7">
      <w:start w:val="0"/>
      <w:numFmt w:val="bullet"/>
      <w:lvlText w:val="•"/>
      <w:lvlJc w:val="left"/>
      <w:pPr>
        <w:ind w:left="8597" w:hanging="681"/>
      </w:pPr>
      <w:rPr>
        <w:rFonts w:hint="default"/>
      </w:rPr>
    </w:lvl>
    <w:lvl w:ilvl="8">
      <w:start w:val="0"/>
      <w:numFmt w:val="bullet"/>
      <w:lvlText w:val="•"/>
      <w:lvlJc w:val="left"/>
      <w:pPr>
        <w:ind w:left="9699" w:hanging="681"/>
      </w:pPr>
      <w:rPr>
        <w:rFonts w:hint="default"/>
      </w:rPr>
    </w:lvl>
  </w:abstractNum>
  <w:abstractNum w:abstractNumId="113">
    <w:multiLevelType w:val="hybridMultilevel"/>
    <w:lvl w:ilvl="0">
      <w:start w:val="1"/>
      <w:numFmt w:val="decimal"/>
      <w:lvlText w:val="%1."/>
      <w:lvlJc w:val="left"/>
      <w:pPr>
        <w:ind w:left="1247" w:hanging="681"/>
        <w:jc w:val="left"/>
      </w:pPr>
      <w:rPr>
        <w:rFonts w:hint="default" w:ascii="Calibri" w:hAnsi="Calibri" w:eastAsia="Calibri" w:cs="Calibri"/>
        <w:spacing w:val="-16"/>
        <w:w w:val="125"/>
        <w:sz w:val="20"/>
        <w:szCs w:val="20"/>
      </w:rPr>
    </w:lvl>
    <w:lvl w:ilvl="1">
      <w:start w:val="1"/>
      <w:numFmt w:val="decimal"/>
      <w:lvlText w:val="%2."/>
      <w:lvlJc w:val="left"/>
      <w:pPr>
        <w:ind w:left="1984" w:hanging="681"/>
        <w:jc w:val="left"/>
      </w:pPr>
      <w:rPr>
        <w:rFonts w:hint="default" w:ascii="Calibri" w:hAnsi="Calibri" w:eastAsia="Calibri" w:cs="Calibri"/>
        <w:spacing w:val="-13"/>
        <w:w w:val="125"/>
        <w:sz w:val="20"/>
        <w:szCs w:val="20"/>
      </w:rPr>
    </w:lvl>
    <w:lvl w:ilvl="2">
      <w:start w:val="0"/>
      <w:numFmt w:val="bullet"/>
      <w:lvlText w:val="•"/>
      <w:lvlJc w:val="left"/>
      <w:pPr>
        <w:ind w:left="3082" w:hanging="681"/>
      </w:pPr>
      <w:rPr>
        <w:rFonts w:hint="default"/>
      </w:rPr>
    </w:lvl>
    <w:lvl w:ilvl="3">
      <w:start w:val="0"/>
      <w:numFmt w:val="bullet"/>
      <w:lvlText w:val="•"/>
      <w:lvlJc w:val="left"/>
      <w:pPr>
        <w:ind w:left="4185" w:hanging="681"/>
      </w:pPr>
      <w:rPr>
        <w:rFonts w:hint="default"/>
      </w:rPr>
    </w:lvl>
    <w:lvl w:ilvl="4">
      <w:start w:val="0"/>
      <w:numFmt w:val="bullet"/>
      <w:lvlText w:val="•"/>
      <w:lvlJc w:val="left"/>
      <w:pPr>
        <w:ind w:left="5288" w:hanging="681"/>
      </w:pPr>
      <w:rPr>
        <w:rFonts w:hint="default"/>
      </w:rPr>
    </w:lvl>
    <w:lvl w:ilvl="5">
      <w:start w:val="0"/>
      <w:numFmt w:val="bullet"/>
      <w:lvlText w:val="•"/>
      <w:lvlJc w:val="left"/>
      <w:pPr>
        <w:ind w:left="6391" w:hanging="681"/>
      </w:pPr>
      <w:rPr>
        <w:rFonts w:hint="default"/>
      </w:rPr>
    </w:lvl>
    <w:lvl w:ilvl="6">
      <w:start w:val="0"/>
      <w:numFmt w:val="bullet"/>
      <w:lvlText w:val="•"/>
      <w:lvlJc w:val="left"/>
      <w:pPr>
        <w:ind w:left="7494" w:hanging="681"/>
      </w:pPr>
      <w:rPr>
        <w:rFonts w:hint="default"/>
      </w:rPr>
    </w:lvl>
    <w:lvl w:ilvl="7">
      <w:start w:val="0"/>
      <w:numFmt w:val="bullet"/>
      <w:lvlText w:val="•"/>
      <w:lvlJc w:val="left"/>
      <w:pPr>
        <w:ind w:left="8597" w:hanging="681"/>
      </w:pPr>
      <w:rPr>
        <w:rFonts w:hint="default"/>
      </w:rPr>
    </w:lvl>
    <w:lvl w:ilvl="8">
      <w:start w:val="0"/>
      <w:numFmt w:val="bullet"/>
      <w:lvlText w:val="•"/>
      <w:lvlJc w:val="left"/>
      <w:pPr>
        <w:ind w:left="9699" w:hanging="681"/>
      </w:pPr>
      <w:rPr>
        <w:rFonts w:hint="default"/>
      </w:rPr>
    </w:lvl>
  </w:abstractNum>
  <w:abstractNum w:abstractNumId="112">
    <w:multiLevelType w:val="hybridMultilevel"/>
    <w:lvl w:ilvl="0">
      <w:start w:val="1"/>
      <w:numFmt w:val="decimal"/>
      <w:lvlText w:val="%1."/>
      <w:lvlJc w:val="left"/>
      <w:pPr>
        <w:ind w:left="1927" w:hanging="681"/>
        <w:jc w:val="right"/>
      </w:pPr>
      <w:rPr>
        <w:rFonts w:hint="default" w:ascii="Calibri" w:hAnsi="Calibri" w:eastAsia="Calibri" w:cs="Calibri"/>
        <w:spacing w:val="-13"/>
        <w:w w:val="125"/>
        <w:sz w:val="20"/>
        <w:szCs w:val="20"/>
      </w:rPr>
    </w:lvl>
    <w:lvl w:ilvl="1">
      <w:start w:val="0"/>
      <w:numFmt w:val="bullet"/>
      <w:lvlText w:val="•"/>
      <w:lvlJc w:val="left"/>
      <w:pPr>
        <w:ind w:left="2918" w:hanging="681"/>
      </w:pPr>
      <w:rPr>
        <w:rFonts w:hint="default"/>
      </w:rPr>
    </w:lvl>
    <w:lvl w:ilvl="2">
      <w:start w:val="0"/>
      <w:numFmt w:val="bullet"/>
      <w:lvlText w:val="•"/>
      <w:lvlJc w:val="left"/>
      <w:pPr>
        <w:ind w:left="3917" w:hanging="681"/>
      </w:pPr>
      <w:rPr>
        <w:rFonts w:hint="default"/>
      </w:rPr>
    </w:lvl>
    <w:lvl w:ilvl="3">
      <w:start w:val="0"/>
      <w:numFmt w:val="bullet"/>
      <w:lvlText w:val="•"/>
      <w:lvlJc w:val="left"/>
      <w:pPr>
        <w:ind w:left="4915" w:hanging="681"/>
      </w:pPr>
      <w:rPr>
        <w:rFonts w:hint="default"/>
      </w:rPr>
    </w:lvl>
    <w:lvl w:ilvl="4">
      <w:start w:val="0"/>
      <w:numFmt w:val="bullet"/>
      <w:lvlText w:val="•"/>
      <w:lvlJc w:val="left"/>
      <w:pPr>
        <w:ind w:left="5914" w:hanging="681"/>
      </w:pPr>
      <w:rPr>
        <w:rFonts w:hint="default"/>
      </w:rPr>
    </w:lvl>
    <w:lvl w:ilvl="5">
      <w:start w:val="0"/>
      <w:numFmt w:val="bullet"/>
      <w:lvlText w:val="•"/>
      <w:lvlJc w:val="left"/>
      <w:pPr>
        <w:ind w:left="6912" w:hanging="681"/>
      </w:pPr>
      <w:rPr>
        <w:rFonts w:hint="default"/>
      </w:rPr>
    </w:lvl>
    <w:lvl w:ilvl="6">
      <w:start w:val="0"/>
      <w:numFmt w:val="bullet"/>
      <w:lvlText w:val="•"/>
      <w:lvlJc w:val="left"/>
      <w:pPr>
        <w:ind w:left="7911" w:hanging="681"/>
      </w:pPr>
      <w:rPr>
        <w:rFonts w:hint="default"/>
      </w:rPr>
    </w:lvl>
    <w:lvl w:ilvl="7">
      <w:start w:val="0"/>
      <w:numFmt w:val="bullet"/>
      <w:lvlText w:val="•"/>
      <w:lvlJc w:val="left"/>
      <w:pPr>
        <w:ind w:left="8909" w:hanging="681"/>
      </w:pPr>
      <w:rPr>
        <w:rFonts w:hint="default"/>
      </w:rPr>
    </w:lvl>
    <w:lvl w:ilvl="8">
      <w:start w:val="0"/>
      <w:numFmt w:val="bullet"/>
      <w:lvlText w:val="•"/>
      <w:lvlJc w:val="left"/>
      <w:pPr>
        <w:ind w:left="9908" w:hanging="681"/>
      </w:pPr>
      <w:rPr>
        <w:rFonts w:hint="default"/>
      </w:rPr>
    </w:lvl>
  </w:abstractNum>
  <w:abstractNum w:abstractNumId="111">
    <w:multiLevelType w:val="hybridMultilevel"/>
    <w:lvl w:ilvl="0">
      <w:start w:val="0"/>
      <w:numFmt w:val="bullet"/>
      <w:lvlText w:val=""/>
      <w:lvlJc w:val="left"/>
      <w:pPr>
        <w:ind w:left="1927" w:hanging="681"/>
      </w:pPr>
      <w:rPr>
        <w:rFonts w:hint="default" w:ascii="Symbol" w:hAnsi="Symbol" w:eastAsia="Symbol" w:cs="Symbol"/>
        <w:w w:val="110"/>
        <w:sz w:val="20"/>
        <w:szCs w:val="20"/>
      </w:rPr>
    </w:lvl>
    <w:lvl w:ilvl="1">
      <w:start w:val="0"/>
      <w:numFmt w:val="bullet"/>
      <w:lvlText w:val="•"/>
      <w:lvlJc w:val="left"/>
      <w:pPr>
        <w:ind w:left="2918" w:hanging="681"/>
      </w:pPr>
      <w:rPr>
        <w:rFonts w:hint="default"/>
      </w:rPr>
    </w:lvl>
    <w:lvl w:ilvl="2">
      <w:start w:val="0"/>
      <w:numFmt w:val="bullet"/>
      <w:lvlText w:val="•"/>
      <w:lvlJc w:val="left"/>
      <w:pPr>
        <w:ind w:left="3917" w:hanging="681"/>
      </w:pPr>
      <w:rPr>
        <w:rFonts w:hint="default"/>
      </w:rPr>
    </w:lvl>
    <w:lvl w:ilvl="3">
      <w:start w:val="0"/>
      <w:numFmt w:val="bullet"/>
      <w:lvlText w:val="•"/>
      <w:lvlJc w:val="left"/>
      <w:pPr>
        <w:ind w:left="4915" w:hanging="681"/>
      </w:pPr>
      <w:rPr>
        <w:rFonts w:hint="default"/>
      </w:rPr>
    </w:lvl>
    <w:lvl w:ilvl="4">
      <w:start w:val="0"/>
      <w:numFmt w:val="bullet"/>
      <w:lvlText w:val="•"/>
      <w:lvlJc w:val="left"/>
      <w:pPr>
        <w:ind w:left="5914" w:hanging="681"/>
      </w:pPr>
      <w:rPr>
        <w:rFonts w:hint="default"/>
      </w:rPr>
    </w:lvl>
    <w:lvl w:ilvl="5">
      <w:start w:val="0"/>
      <w:numFmt w:val="bullet"/>
      <w:lvlText w:val="•"/>
      <w:lvlJc w:val="left"/>
      <w:pPr>
        <w:ind w:left="6912" w:hanging="681"/>
      </w:pPr>
      <w:rPr>
        <w:rFonts w:hint="default"/>
      </w:rPr>
    </w:lvl>
    <w:lvl w:ilvl="6">
      <w:start w:val="0"/>
      <w:numFmt w:val="bullet"/>
      <w:lvlText w:val="•"/>
      <w:lvlJc w:val="left"/>
      <w:pPr>
        <w:ind w:left="7911" w:hanging="681"/>
      </w:pPr>
      <w:rPr>
        <w:rFonts w:hint="default"/>
      </w:rPr>
    </w:lvl>
    <w:lvl w:ilvl="7">
      <w:start w:val="0"/>
      <w:numFmt w:val="bullet"/>
      <w:lvlText w:val="•"/>
      <w:lvlJc w:val="left"/>
      <w:pPr>
        <w:ind w:left="8909" w:hanging="681"/>
      </w:pPr>
      <w:rPr>
        <w:rFonts w:hint="default"/>
      </w:rPr>
    </w:lvl>
    <w:lvl w:ilvl="8">
      <w:start w:val="0"/>
      <w:numFmt w:val="bullet"/>
      <w:lvlText w:val="•"/>
      <w:lvlJc w:val="left"/>
      <w:pPr>
        <w:ind w:left="9908" w:hanging="681"/>
      </w:pPr>
      <w:rPr>
        <w:rFonts w:hint="default"/>
      </w:rPr>
    </w:lvl>
  </w:abstractNum>
  <w:abstractNum w:abstractNumId="110">
    <w:multiLevelType w:val="hybridMultilevel"/>
    <w:lvl w:ilvl="0">
      <w:start w:val="1"/>
      <w:numFmt w:val="decimal"/>
      <w:lvlText w:val="%1."/>
      <w:lvlJc w:val="left"/>
      <w:pPr>
        <w:ind w:left="1247" w:hanging="681"/>
        <w:jc w:val="left"/>
      </w:pPr>
      <w:rPr>
        <w:rFonts w:hint="default" w:ascii="Calibri" w:hAnsi="Calibri" w:eastAsia="Calibri" w:cs="Calibri"/>
        <w:spacing w:val="-13"/>
        <w:w w:val="125"/>
        <w:sz w:val="20"/>
        <w:szCs w:val="20"/>
      </w:rPr>
    </w:lvl>
    <w:lvl w:ilvl="1">
      <w:start w:val="1"/>
      <w:numFmt w:val="decimal"/>
      <w:lvlText w:val="%2."/>
      <w:lvlJc w:val="left"/>
      <w:pPr>
        <w:ind w:left="1984" w:hanging="681"/>
        <w:jc w:val="left"/>
      </w:pPr>
      <w:rPr>
        <w:rFonts w:hint="default" w:ascii="Calibri" w:hAnsi="Calibri" w:eastAsia="Calibri" w:cs="Calibri"/>
        <w:spacing w:val="-13"/>
        <w:w w:val="125"/>
        <w:sz w:val="20"/>
        <w:szCs w:val="20"/>
      </w:rPr>
    </w:lvl>
    <w:lvl w:ilvl="2">
      <w:start w:val="0"/>
      <w:numFmt w:val="bullet"/>
      <w:lvlText w:val="•"/>
      <w:lvlJc w:val="left"/>
      <w:pPr>
        <w:ind w:left="3082" w:hanging="681"/>
      </w:pPr>
      <w:rPr>
        <w:rFonts w:hint="default"/>
      </w:rPr>
    </w:lvl>
    <w:lvl w:ilvl="3">
      <w:start w:val="0"/>
      <w:numFmt w:val="bullet"/>
      <w:lvlText w:val="•"/>
      <w:lvlJc w:val="left"/>
      <w:pPr>
        <w:ind w:left="4185" w:hanging="681"/>
      </w:pPr>
      <w:rPr>
        <w:rFonts w:hint="default"/>
      </w:rPr>
    </w:lvl>
    <w:lvl w:ilvl="4">
      <w:start w:val="0"/>
      <w:numFmt w:val="bullet"/>
      <w:lvlText w:val="•"/>
      <w:lvlJc w:val="left"/>
      <w:pPr>
        <w:ind w:left="5288" w:hanging="681"/>
      </w:pPr>
      <w:rPr>
        <w:rFonts w:hint="default"/>
      </w:rPr>
    </w:lvl>
    <w:lvl w:ilvl="5">
      <w:start w:val="0"/>
      <w:numFmt w:val="bullet"/>
      <w:lvlText w:val="•"/>
      <w:lvlJc w:val="left"/>
      <w:pPr>
        <w:ind w:left="6391" w:hanging="681"/>
      </w:pPr>
      <w:rPr>
        <w:rFonts w:hint="default"/>
      </w:rPr>
    </w:lvl>
    <w:lvl w:ilvl="6">
      <w:start w:val="0"/>
      <w:numFmt w:val="bullet"/>
      <w:lvlText w:val="•"/>
      <w:lvlJc w:val="left"/>
      <w:pPr>
        <w:ind w:left="7494" w:hanging="681"/>
      </w:pPr>
      <w:rPr>
        <w:rFonts w:hint="default"/>
      </w:rPr>
    </w:lvl>
    <w:lvl w:ilvl="7">
      <w:start w:val="0"/>
      <w:numFmt w:val="bullet"/>
      <w:lvlText w:val="•"/>
      <w:lvlJc w:val="left"/>
      <w:pPr>
        <w:ind w:left="8597" w:hanging="681"/>
      </w:pPr>
      <w:rPr>
        <w:rFonts w:hint="default"/>
      </w:rPr>
    </w:lvl>
    <w:lvl w:ilvl="8">
      <w:start w:val="0"/>
      <w:numFmt w:val="bullet"/>
      <w:lvlText w:val="•"/>
      <w:lvlJc w:val="left"/>
      <w:pPr>
        <w:ind w:left="9699" w:hanging="681"/>
      </w:pPr>
      <w:rPr>
        <w:rFonts w:hint="default"/>
      </w:rPr>
    </w:lvl>
  </w:abstractNum>
  <w:abstractNum w:abstractNumId="109">
    <w:multiLevelType w:val="hybridMultilevel"/>
    <w:lvl w:ilvl="0">
      <w:start w:val="1"/>
      <w:numFmt w:val="decimal"/>
      <w:lvlText w:val="%1."/>
      <w:lvlJc w:val="left"/>
      <w:pPr>
        <w:ind w:left="1247" w:hanging="681"/>
        <w:jc w:val="right"/>
      </w:pPr>
      <w:rPr>
        <w:rFonts w:hint="default" w:ascii="Calibri" w:hAnsi="Calibri" w:eastAsia="Calibri" w:cs="Calibri"/>
        <w:spacing w:val="-13"/>
        <w:w w:val="125"/>
        <w:sz w:val="20"/>
        <w:szCs w:val="20"/>
      </w:rPr>
    </w:lvl>
    <w:lvl w:ilvl="1">
      <w:start w:val="0"/>
      <w:numFmt w:val="bullet"/>
      <w:lvlText w:val="•"/>
      <w:lvlJc w:val="left"/>
      <w:pPr>
        <w:ind w:left="2306" w:hanging="681"/>
      </w:pPr>
      <w:rPr>
        <w:rFonts w:hint="default"/>
      </w:rPr>
    </w:lvl>
    <w:lvl w:ilvl="2">
      <w:start w:val="0"/>
      <w:numFmt w:val="bullet"/>
      <w:lvlText w:val="•"/>
      <w:lvlJc w:val="left"/>
      <w:pPr>
        <w:ind w:left="3373" w:hanging="681"/>
      </w:pPr>
      <w:rPr>
        <w:rFonts w:hint="default"/>
      </w:rPr>
    </w:lvl>
    <w:lvl w:ilvl="3">
      <w:start w:val="0"/>
      <w:numFmt w:val="bullet"/>
      <w:lvlText w:val="•"/>
      <w:lvlJc w:val="left"/>
      <w:pPr>
        <w:ind w:left="4439" w:hanging="681"/>
      </w:pPr>
      <w:rPr>
        <w:rFonts w:hint="default"/>
      </w:rPr>
    </w:lvl>
    <w:lvl w:ilvl="4">
      <w:start w:val="0"/>
      <w:numFmt w:val="bullet"/>
      <w:lvlText w:val="•"/>
      <w:lvlJc w:val="left"/>
      <w:pPr>
        <w:ind w:left="5506" w:hanging="681"/>
      </w:pPr>
      <w:rPr>
        <w:rFonts w:hint="default"/>
      </w:rPr>
    </w:lvl>
    <w:lvl w:ilvl="5">
      <w:start w:val="0"/>
      <w:numFmt w:val="bullet"/>
      <w:lvlText w:val="•"/>
      <w:lvlJc w:val="left"/>
      <w:pPr>
        <w:ind w:left="6572" w:hanging="681"/>
      </w:pPr>
      <w:rPr>
        <w:rFonts w:hint="default"/>
      </w:rPr>
    </w:lvl>
    <w:lvl w:ilvl="6">
      <w:start w:val="0"/>
      <w:numFmt w:val="bullet"/>
      <w:lvlText w:val="•"/>
      <w:lvlJc w:val="left"/>
      <w:pPr>
        <w:ind w:left="7639" w:hanging="681"/>
      </w:pPr>
      <w:rPr>
        <w:rFonts w:hint="default"/>
      </w:rPr>
    </w:lvl>
    <w:lvl w:ilvl="7">
      <w:start w:val="0"/>
      <w:numFmt w:val="bullet"/>
      <w:lvlText w:val="•"/>
      <w:lvlJc w:val="left"/>
      <w:pPr>
        <w:ind w:left="8705" w:hanging="681"/>
      </w:pPr>
      <w:rPr>
        <w:rFonts w:hint="default"/>
      </w:rPr>
    </w:lvl>
    <w:lvl w:ilvl="8">
      <w:start w:val="0"/>
      <w:numFmt w:val="bullet"/>
      <w:lvlText w:val="•"/>
      <w:lvlJc w:val="left"/>
      <w:pPr>
        <w:ind w:left="9772" w:hanging="681"/>
      </w:pPr>
      <w:rPr>
        <w:rFonts w:hint="default"/>
      </w:rPr>
    </w:lvl>
  </w:abstractNum>
  <w:abstractNum w:abstractNumId="108">
    <w:multiLevelType w:val="hybridMultilevel"/>
    <w:lvl w:ilvl="0">
      <w:start w:val="3"/>
      <w:numFmt w:val="decimal"/>
      <w:lvlText w:val="%1"/>
      <w:lvlJc w:val="left"/>
      <w:pPr>
        <w:ind w:left="1247" w:hanging="681"/>
        <w:jc w:val="left"/>
      </w:pPr>
      <w:rPr>
        <w:rFonts w:hint="default"/>
      </w:rPr>
    </w:lvl>
    <w:lvl w:ilvl="1">
      <w:start w:val="4"/>
      <w:numFmt w:val="decimal"/>
      <w:lvlText w:val="%1.%2"/>
      <w:lvlJc w:val="left"/>
      <w:pPr>
        <w:ind w:left="1247" w:hanging="681"/>
        <w:jc w:val="right"/>
      </w:pPr>
      <w:rPr>
        <w:rFonts w:hint="default" w:ascii="Calibri" w:hAnsi="Calibri" w:eastAsia="Calibri" w:cs="Calibri"/>
        <w:spacing w:val="-6"/>
        <w:w w:val="125"/>
        <w:sz w:val="20"/>
        <w:szCs w:val="20"/>
      </w:rPr>
    </w:lvl>
    <w:lvl w:ilvl="2">
      <w:start w:val="0"/>
      <w:numFmt w:val="bullet"/>
      <w:lvlText w:val="•"/>
      <w:lvlJc w:val="left"/>
      <w:pPr>
        <w:ind w:left="3373" w:hanging="681"/>
      </w:pPr>
      <w:rPr>
        <w:rFonts w:hint="default"/>
      </w:rPr>
    </w:lvl>
    <w:lvl w:ilvl="3">
      <w:start w:val="0"/>
      <w:numFmt w:val="bullet"/>
      <w:lvlText w:val="•"/>
      <w:lvlJc w:val="left"/>
      <w:pPr>
        <w:ind w:left="4439" w:hanging="681"/>
      </w:pPr>
      <w:rPr>
        <w:rFonts w:hint="default"/>
      </w:rPr>
    </w:lvl>
    <w:lvl w:ilvl="4">
      <w:start w:val="0"/>
      <w:numFmt w:val="bullet"/>
      <w:lvlText w:val="•"/>
      <w:lvlJc w:val="left"/>
      <w:pPr>
        <w:ind w:left="5506" w:hanging="681"/>
      </w:pPr>
      <w:rPr>
        <w:rFonts w:hint="default"/>
      </w:rPr>
    </w:lvl>
    <w:lvl w:ilvl="5">
      <w:start w:val="0"/>
      <w:numFmt w:val="bullet"/>
      <w:lvlText w:val="•"/>
      <w:lvlJc w:val="left"/>
      <w:pPr>
        <w:ind w:left="6572" w:hanging="681"/>
      </w:pPr>
      <w:rPr>
        <w:rFonts w:hint="default"/>
      </w:rPr>
    </w:lvl>
    <w:lvl w:ilvl="6">
      <w:start w:val="0"/>
      <w:numFmt w:val="bullet"/>
      <w:lvlText w:val="•"/>
      <w:lvlJc w:val="left"/>
      <w:pPr>
        <w:ind w:left="7639" w:hanging="681"/>
      </w:pPr>
      <w:rPr>
        <w:rFonts w:hint="default"/>
      </w:rPr>
    </w:lvl>
    <w:lvl w:ilvl="7">
      <w:start w:val="0"/>
      <w:numFmt w:val="bullet"/>
      <w:lvlText w:val="•"/>
      <w:lvlJc w:val="left"/>
      <w:pPr>
        <w:ind w:left="8705" w:hanging="681"/>
      </w:pPr>
      <w:rPr>
        <w:rFonts w:hint="default"/>
      </w:rPr>
    </w:lvl>
    <w:lvl w:ilvl="8">
      <w:start w:val="0"/>
      <w:numFmt w:val="bullet"/>
      <w:lvlText w:val="•"/>
      <w:lvlJc w:val="left"/>
      <w:pPr>
        <w:ind w:left="9772" w:hanging="681"/>
      </w:pPr>
      <w:rPr>
        <w:rFonts w:hint="default"/>
      </w:rPr>
    </w:lvl>
  </w:abstractNum>
  <w:abstractNum w:abstractNumId="107">
    <w:multiLevelType w:val="hybridMultilevel"/>
    <w:lvl w:ilvl="0">
      <w:start w:val="3"/>
      <w:numFmt w:val="decimal"/>
      <w:lvlText w:val="%1"/>
      <w:lvlJc w:val="left"/>
      <w:pPr>
        <w:ind w:left="1984" w:hanging="681"/>
        <w:jc w:val="left"/>
      </w:pPr>
      <w:rPr>
        <w:rFonts w:hint="default"/>
      </w:rPr>
    </w:lvl>
    <w:lvl w:ilvl="1">
      <w:start w:val="2"/>
      <w:numFmt w:val="decimal"/>
      <w:lvlText w:val="%1.%2"/>
      <w:lvlJc w:val="left"/>
      <w:pPr>
        <w:ind w:left="1984" w:hanging="681"/>
        <w:jc w:val="left"/>
      </w:pPr>
      <w:rPr>
        <w:rFonts w:hint="default" w:ascii="Calibri" w:hAnsi="Calibri" w:eastAsia="Calibri" w:cs="Calibri"/>
        <w:spacing w:val="-4"/>
        <w:w w:val="125"/>
        <w:sz w:val="20"/>
        <w:szCs w:val="20"/>
      </w:rPr>
    </w:lvl>
    <w:lvl w:ilvl="2">
      <w:start w:val="1"/>
      <w:numFmt w:val="decimal"/>
      <w:lvlText w:val="%1.%2.%3"/>
      <w:lvlJc w:val="left"/>
      <w:pPr>
        <w:ind w:left="1984" w:hanging="681"/>
        <w:jc w:val="right"/>
      </w:pPr>
      <w:rPr>
        <w:rFonts w:hint="default" w:ascii="Calibri" w:hAnsi="Calibri" w:eastAsia="Calibri" w:cs="Calibri"/>
        <w:spacing w:val="-18"/>
        <w:w w:val="125"/>
        <w:sz w:val="20"/>
        <w:szCs w:val="20"/>
      </w:rPr>
    </w:lvl>
    <w:lvl w:ilvl="3">
      <w:start w:val="0"/>
      <w:numFmt w:val="bullet"/>
      <w:lvlText w:val="•"/>
      <w:lvlJc w:val="left"/>
      <w:pPr>
        <w:ind w:left="3452" w:hanging="681"/>
      </w:pPr>
      <w:rPr>
        <w:rFonts w:hint="default"/>
      </w:rPr>
    </w:lvl>
    <w:lvl w:ilvl="4">
      <w:start w:val="0"/>
      <w:numFmt w:val="bullet"/>
      <w:lvlText w:val="•"/>
      <w:lvlJc w:val="left"/>
      <w:pPr>
        <w:ind w:left="3943" w:hanging="681"/>
      </w:pPr>
      <w:rPr>
        <w:rFonts w:hint="default"/>
      </w:rPr>
    </w:lvl>
    <w:lvl w:ilvl="5">
      <w:start w:val="0"/>
      <w:numFmt w:val="bullet"/>
      <w:lvlText w:val="•"/>
      <w:lvlJc w:val="left"/>
      <w:pPr>
        <w:ind w:left="4434" w:hanging="681"/>
      </w:pPr>
      <w:rPr>
        <w:rFonts w:hint="default"/>
      </w:rPr>
    </w:lvl>
    <w:lvl w:ilvl="6">
      <w:start w:val="0"/>
      <w:numFmt w:val="bullet"/>
      <w:lvlText w:val="•"/>
      <w:lvlJc w:val="left"/>
      <w:pPr>
        <w:ind w:left="4925" w:hanging="681"/>
      </w:pPr>
      <w:rPr>
        <w:rFonts w:hint="default"/>
      </w:rPr>
    </w:lvl>
    <w:lvl w:ilvl="7">
      <w:start w:val="0"/>
      <w:numFmt w:val="bullet"/>
      <w:lvlText w:val="•"/>
      <w:lvlJc w:val="left"/>
      <w:pPr>
        <w:ind w:left="5416" w:hanging="681"/>
      </w:pPr>
      <w:rPr>
        <w:rFonts w:hint="default"/>
      </w:rPr>
    </w:lvl>
    <w:lvl w:ilvl="8">
      <w:start w:val="0"/>
      <w:numFmt w:val="bullet"/>
      <w:lvlText w:val="•"/>
      <w:lvlJc w:val="left"/>
      <w:pPr>
        <w:ind w:left="5906" w:hanging="681"/>
      </w:pPr>
      <w:rPr>
        <w:rFonts w:hint="default"/>
      </w:rPr>
    </w:lvl>
  </w:abstractNum>
  <w:abstractNum w:abstractNumId="106">
    <w:multiLevelType w:val="hybridMultilevel"/>
    <w:lvl w:ilvl="0">
      <w:start w:val="3"/>
      <w:numFmt w:val="decimal"/>
      <w:lvlText w:val="%1."/>
      <w:lvlJc w:val="left"/>
      <w:pPr>
        <w:ind w:left="1984" w:hanging="244"/>
        <w:jc w:val="right"/>
      </w:pPr>
      <w:rPr>
        <w:rFonts w:hint="default"/>
        <w:spacing w:val="-4"/>
        <w:w w:val="125"/>
      </w:rPr>
    </w:lvl>
    <w:lvl w:ilvl="1">
      <w:start w:val="1"/>
      <w:numFmt w:val="decimal"/>
      <w:lvlText w:val="%1.%2"/>
      <w:lvlJc w:val="left"/>
      <w:pPr>
        <w:ind w:left="2664" w:hanging="681"/>
        <w:jc w:val="right"/>
      </w:pPr>
      <w:rPr>
        <w:rFonts w:hint="default" w:ascii="Calibri" w:hAnsi="Calibri" w:eastAsia="Calibri" w:cs="Calibri"/>
        <w:spacing w:val="-18"/>
        <w:w w:val="125"/>
        <w:sz w:val="20"/>
        <w:szCs w:val="20"/>
      </w:rPr>
    </w:lvl>
    <w:lvl w:ilvl="2">
      <w:start w:val="1"/>
      <w:numFmt w:val="lowerLetter"/>
      <w:lvlText w:val="%3."/>
      <w:lvlJc w:val="left"/>
      <w:pPr>
        <w:ind w:left="2664" w:hanging="681"/>
        <w:jc w:val="left"/>
      </w:pPr>
      <w:rPr>
        <w:rFonts w:hint="default" w:ascii="Calibri" w:hAnsi="Calibri" w:eastAsia="Calibri" w:cs="Calibri"/>
        <w:color w:val="87888A"/>
        <w:spacing w:val="0"/>
        <w:w w:val="111"/>
        <w:sz w:val="18"/>
        <w:szCs w:val="18"/>
      </w:rPr>
    </w:lvl>
    <w:lvl w:ilvl="3">
      <w:start w:val="1"/>
      <w:numFmt w:val="decimal"/>
      <w:lvlText w:val="%4."/>
      <w:lvlJc w:val="left"/>
      <w:pPr>
        <w:ind w:left="2664" w:hanging="681"/>
        <w:jc w:val="left"/>
      </w:pPr>
      <w:rPr>
        <w:rFonts w:hint="default" w:ascii="Stone Sans II ITC Std Bk" w:hAnsi="Stone Sans II ITC Std Bk" w:eastAsia="Stone Sans II ITC Std Bk" w:cs="Stone Sans II ITC Std Bk"/>
        <w:b/>
        <w:bCs/>
        <w:spacing w:val="-15"/>
        <w:w w:val="110"/>
        <w:sz w:val="29"/>
        <w:szCs w:val="29"/>
      </w:rPr>
    </w:lvl>
    <w:lvl w:ilvl="4">
      <w:start w:val="1"/>
      <w:numFmt w:val="decimal"/>
      <w:lvlText w:val="%4.%5"/>
      <w:lvlJc w:val="left"/>
      <w:pPr>
        <w:ind w:left="1984" w:hanging="681"/>
        <w:jc w:val="left"/>
      </w:pPr>
      <w:rPr>
        <w:rFonts w:hint="default" w:ascii="Calibri" w:hAnsi="Calibri" w:eastAsia="Calibri" w:cs="Calibri"/>
        <w:spacing w:val="-20"/>
        <w:w w:val="125"/>
        <w:sz w:val="20"/>
        <w:szCs w:val="20"/>
      </w:rPr>
    </w:lvl>
    <w:lvl w:ilvl="5">
      <w:start w:val="0"/>
      <w:numFmt w:val="bullet"/>
      <w:lvlText w:val="•"/>
      <w:lvlJc w:val="left"/>
      <w:pPr>
        <w:ind w:left="6127" w:hanging="681"/>
      </w:pPr>
      <w:rPr>
        <w:rFonts w:hint="default"/>
      </w:rPr>
    </w:lvl>
    <w:lvl w:ilvl="6">
      <w:start w:val="0"/>
      <w:numFmt w:val="bullet"/>
      <w:lvlText w:val="•"/>
      <w:lvlJc w:val="left"/>
      <w:pPr>
        <w:ind w:left="7282" w:hanging="681"/>
      </w:pPr>
      <w:rPr>
        <w:rFonts w:hint="default"/>
      </w:rPr>
    </w:lvl>
    <w:lvl w:ilvl="7">
      <w:start w:val="0"/>
      <w:numFmt w:val="bullet"/>
      <w:lvlText w:val="•"/>
      <w:lvlJc w:val="left"/>
      <w:pPr>
        <w:ind w:left="8438" w:hanging="681"/>
      </w:pPr>
      <w:rPr>
        <w:rFonts w:hint="default"/>
      </w:rPr>
    </w:lvl>
    <w:lvl w:ilvl="8">
      <w:start w:val="0"/>
      <w:numFmt w:val="bullet"/>
      <w:lvlText w:val="•"/>
      <w:lvlJc w:val="left"/>
      <w:pPr>
        <w:ind w:left="9594" w:hanging="681"/>
      </w:pPr>
      <w:rPr>
        <w:rFonts w:hint="default"/>
      </w:rPr>
    </w:lvl>
  </w:abstractNum>
  <w:abstractNum w:abstractNumId="105">
    <w:multiLevelType w:val="hybridMultilevel"/>
    <w:lvl w:ilvl="0">
      <w:start w:val="1"/>
      <w:numFmt w:val="decimal"/>
      <w:lvlText w:val="%1."/>
      <w:lvlJc w:val="left"/>
      <w:pPr>
        <w:ind w:left="1927" w:hanging="681"/>
        <w:jc w:val="right"/>
      </w:pPr>
      <w:rPr>
        <w:rFonts w:hint="default" w:ascii="Stone Sans II ITC Std Bk" w:hAnsi="Stone Sans II ITC Std Bk" w:eastAsia="Stone Sans II ITC Std Bk" w:cs="Stone Sans II ITC Std Bk"/>
        <w:b/>
        <w:bCs/>
        <w:spacing w:val="-15"/>
        <w:w w:val="110"/>
        <w:sz w:val="29"/>
        <w:szCs w:val="29"/>
      </w:rPr>
    </w:lvl>
    <w:lvl w:ilvl="1">
      <w:start w:val="1"/>
      <w:numFmt w:val="decimal"/>
      <w:lvlText w:val="%1.%2"/>
      <w:lvlJc w:val="left"/>
      <w:pPr>
        <w:ind w:left="1247" w:hanging="681"/>
        <w:jc w:val="left"/>
      </w:pPr>
      <w:rPr>
        <w:rFonts w:hint="default" w:ascii="Calibri" w:hAnsi="Calibri" w:eastAsia="Calibri" w:cs="Calibri"/>
        <w:spacing w:val="-18"/>
        <w:w w:val="125"/>
        <w:sz w:val="20"/>
        <w:szCs w:val="20"/>
      </w:rPr>
    </w:lvl>
    <w:lvl w:ilvl="2">
      <w:start w:val="0"/>
      <w:numFmt w:val="bullet"/>
      <w:lvlText w:val="•"/>
      <w:lvlJc w:val="left"/>
      <w:pPr>
        <w:ind w:left="3029" w:hanging="681"/>
      </w:pPr>
      <w:rPr>
        <w:rFonts w:hint="default"/>
      </w:rPr>
    </w:lvl>
    <w:lvl w:ilvl="3">
      <w:start w:val="0"/>
      <w:numFmt w:val="bullet"/>
      <w:lvlText w:val="•"/>
      <w:lvlJc w:val="left"/>
      <w:pPr>
        <w:ind w:left="4139" w:hanging="681"/>
      </w:pPr>
      <w:rPr>
        <w:rFonts w:hint="default"/>
      </w:rPr>
    </w:lvl>
    <w:lvl w:ilvl="4">
      <w:start w:val="0"/>
      <w:numFmt w:val="bullet"/>
      <w:lvlText w:val="•"/>
      <w:lvlJc w:val="left"/>
      <w:pPr>
        <w:ind w:left="5248" w:hanging="681"/>
      </w:pPr>
      <w:rPr>
        <w:rFonts w:hint="default"/>
      </w:rPr>
    </w:lvl>
    <w:lvl w:ilvl="5">
      <w:start w:val="0"/>
      <w:numFmt w:val="bullet"/>
      <w:lvlText w:val="•"/>
      <w:lvlJc w:val="left"/>
      <w:pPr>
        <w:ind w:left="6358" w:hanging="681"/>
      </w:pPr>
      <w:rPr>
        <w:rFonts w:hint="default"/>
      </w:rPr>
    </w:lvl>
    <w:lvl w:ilvl="6">
      <w:start w:val="0"/>
      <w:numFmt w:val="bullet"/>
      <w:lvlText w:val="•"/>
      <w:lvlJc w:val="left"/>
      <w:pPr>
        <w:ind w:left="7467" w:hanging="681"/>
      </w:pPr>
      <w:rPr>
        <w:rFonts w:hint="default"/>
      </w:rPr>
    </w:lvl>
    <w:lvl w:ilvl="7">
      <w:start w:val="0"/>
      <w:numFmt w:val="bullet"/>
      <w:lvlText w:val="•"/>
      <w:lvlJc w:val="left"/>
      <w:pPr>
        <w:ind w:left="8577" w:hanging="681"/>
      </w:pPr>
      <w:rPr>
        <w:rFonts w:hint="default"/>
      </w:rPr>
    </w:lvl>
    <w:lvl w:ilvl="8">
      <w:start w:val="0"/>
      <w:numFmt w:val="bullet"/>
      <w:lvlText w:val="•"/>
      <w:lvlJc w:val="left"/>
      <w:pPr>
        <w:ind w:left="9686" w:hanging="681"/>
      </w:pPr>
      <w:rPr>
        <w:rFonts w:hint="default"/>
      </w:rPr>
    </w:lvl>
  </w:abstractNum>
  <w:abstractNum w:abstractNumId="104">
    <w:multiLevelType w:val="hybridMultilevel"/>
    <w:lvl w:ilvl="0">
      <w:start w:val="0"/>
      <w:numFmt w:val="bullet"/>
      <w:lvlText w:val="•"/>
      <w:lvlJc w:val="left"/>
      <w:pPr>
        <w:ind w:left="1927" w:hanging="681"/>
      </w:pPr>
      <w:rPr>
        <w:rFonts w:hint="default" w:ascii="Calibri" w:hAnsi="Calibri" w:eastAsia="Calibri" w:cs="Calibri"/>
        <w:color w:val="87888A"/>
        <w:w w:val="111"/>
        <w:sz w:val="18"/>
        <w:szCs w:val="18"/>
      </w:rPr>
    </w:lvl>
    <w:lvl w:ilvl="1">
      <w:start w:val="0"/>
      <w:numFmt w:val="bullet"/>
      <w:lvlText w:val="•"/>
      <w:lvlJc w:val="left"/>
      <w:pPr>
        <w:ind w:left="2918" w:hanging="681"/>
      </w:pPr>
      <w:rPr>
        <w:rFonts w:hint="default"/>
      </w:rPr>
    </w:lvl>
    <w:lvl w:ilvl="2">
      <w:start w:val="0"/>
      <w:numFmt w:val="bullet"/>
      <w:lvlText w:val="•"/>
      <w:lvlJc w:val="left"/>
      <w:pPr>
        <w:ind w:left="3917" w:hanging="681"/>
      </w:pPr>
      <w:rPr>
        <w:rFonts w:hint="default"/>
      </w:rPr>
    </w:lvl>
    <w:lvl w:ilvl="3">
      <w:start w:val="0"/>
      <w:numFmt w:val="bullet"/>
      <w:lvlText w:val="•"/>
      <w:lvlJc w:val="left"/>
      <w:pPr>
        <w:ind w:left="4915" w:hanging="681"/>
      </w:pPr>
      <w:rPr>
        <w:rFonts w:hint="default"/>
      </w:rPr>
    </w:lvl>
    <w:lvl w:ilvl="4">
      <w:start w:val="0"/>
      <w:numFmt w:val="bullet"/>
      <w:lvlText w:val="•"/>
      <w:lvlJc w:val="left"/>
      <w:pPr>
        <w:ind w:left="5914" w:hanging="681"/>
      </w:pPr>
      <w:rPr>
        <w:rFonts w:hint="default"/>
      </w:rPr>
    </w:lvl>
    <w:lvl w:ilvl="5">
      <w:start w:val="0"/>
      <w:numFmt w:val="bullet"/>
      <w:lvlText w:val="•"/>
      <w:lvlJc w:val="left"/>
      <w:pPr>
        <w:ind w:left="6912" w:hanging="681"/>
      </w:pPr>
      <w:rPr>
        <w:rFonts w:hint="default"/>
      </w:rPr>
    </w:lvl>
    <w:lvl w:ilvl="6">
      <w:start w:val="0"/>
      <w:numFmt w:val="bullet"/>
      <w:lvlText w:val="•"/>
      <w:lvlJc w:val="left"/>
      <w:pPr>
        <w:ind w:left="7911" w:hanging="681"/>
      </w:pPr>
      <w:rPr>
        <w:rFonts w:hint="default"/>
      </w:rPr>
    </w:lvl>
    <w:lvl w:ilvl="7">
      <w:start w:val="0"/>
      <w:numFmt w:val="bullet"/>
      <w:lvlText w:val="•"/>
      <w:lvlJc w:val="left"/>
      <w:pPr>
        <w:ind w:left="8909" w:hanging="681"/>
      </w:pPr>
      <w:rPr>
        <w:rFonts w:hint="default"/>
      </w:rPr>
    </w:lvl>
    <w:lvl w:ilvl="8">
      <w:start w:val="0"/>
      <w:numFmt w:val="bullet"/>
      <w:lvlText w:val="•"/>
      <w:lvlJc w:val="left"/>
      <w:pPr>
        <w:ind w:left="9908" w:hanging="681"/>
      </w:pPr>
      <w:rPr>
        <w:rFonts w:hint="default"/>
      </w:rPr>
    </w:lvl>
  </w:abstractNum>
  <w:abstractNum w:abstractNumId="103">
    <w:multiLevelType w:val="hybridMultilevel"/>
    <w:lvl w:ilvl="0">
      <w:start w:val="1"/>
      <w:numFmt w:val="decimal"/>
      <w:lvlText w:val="%1."/>
      <w:lvlJc w:val="left"/>
      <w:pPr>
        <w:ind w:left="1927" w:hanging="681"/>
        <w:jc w:val="right"/>
      </w:pPr>
      <w:rPr>
        <w:rFonts w:hint="default" w:ascii="Stone Sans II ITC Std Bk" w:hAnsi="Stone Sans II ITC Std Bk" w:eastAsia="Stone Sans II ITC Std Bk" w:cs="Stone Sans II ITC Std Bk"/>
        <w:b/>
        <w:bCs/>
        <w:spacing w:val="-15"/>
        <w:w w:val="110"/>
        <w:sz w:val="29"/>
        <w:szCs w:val="29"/>
      </w:rPr>
    </w:lvl>
    <w:lvl w:ilvl="1">
      <w:start w:val="1"/>
      <w:numFmt w:val="decimal"/>
      <w:lvlText w:val="%1.%2"/>
      <w:lvlJc w:val="left"/>
      <w:pPr>
        <w:ind w:left="1927" w:hanging="681"/>
        <w:jc w:val="left"/>
      </w:pPr>
      <w:rPr>
        <w:rFonts w:hint="default" w:ascii="Calibri" w:hAnsi="Calibri" w:eastAsia="Calibri" w:cs="Calibri"/>
        <w:spacing w:val="-18"/>
        <w:w w:val="125"/>
        <w:sz w:val="20"/>
        <w:szCs w:val="20"/>
      </w:rPr>
    </w:lvl>
    <w:lvl w:ilvl="2">
      <w:start w:val="0"/>
      <w:numFmt w:val="bullet"/>
      <w:lvlText w:val="•"/>
      <w:lvlJc w:val="left"/>
      <w:pPr>
        <w:ind w:left="3029" w:hanging="681"/>
      </w:pPr>
      <w:rPr>
        <w:rFonts w:hint="default"/>
      </w:rPr>
    </w:lvl>
    <w:lvl w:ilvl="3">
      <w:start w:val="0"/>
      <w:numFmt w:val="bullet"/>
      <w:lvlText w:val="•"/>
      <w:lvlJc w:val="left"/>
      <w:pPr>
        <w:ind w:left="4139" w:hanging="681"/>
      </w:pPr>
      <w:rPr>
        <w:rFonts w:hint="default"/>
      </w:rPr>
    </w:lvl>
    <w:lvl w:ilvl="4">
      <w:start w:val="0"/>
      <w:numFmt w:val="bullet"/>
      <w:lvlText w:val="•"/>
      <w:lvlJc w:val="left"/>
      <w:pPr>
        <w:ind w:left="5248" w:hanging="681"/>
      </w:pPr>
      <w:rPr>
        <w:rFonts w:hint="default"/>
      </w:rPr>
    </w:lvl>
    <w:lvl w:ilvl="5">
      <w:start w:val="0"/>
      <w:numFmt w:val="bullet"/>
      <w:lvlText w:val="•"/>
      <w:lvlJc w:val="left"/>
      <w:pPr>
        <w:ind w:left="6358" w:hanging="681"/>
      </w:pPr>
      <w:rPr>
        <w:rFonts w:hint="default"/>
      </w:rPr>
    </w:lvl>
    <w:lvl w:ilvl="6">
      <w:start w:val="0"/>
      <w:numFmt w:val="bullet"/>
      <w:lvlText w:val="•"/>
      <w:lvlJc w:val="left"/>
      <w:pPr>
        <w:ind w:left="7467" w:hanging="681"/>
      </w:pPr>
      <w:rPr>
        <w:rFonts w:hint="default"/>
      </w:rPr>
    </w:lvl>
    <w:lvl w:ilvl="7">
      <w:start w:val="0"/>
      <w:numFmt w:val="bullet"/>
      <w:lvlText w:val="•"/>
      <w:lvlJc w:val="left"/>
      <w:pPr>
        <w:ind w:left="8577" w:hanging="681"/>
      </w:pPr>
      <w:rPr>
        <w:rFonts w:hint="default"/>
      </w:rPr>
    </w:lvl>
    <w:lvl w:ilvl="8">
      <w:start w:val="0"/>
      <w:numFmt w:val="bullet"/>
      <w:lvlText w:val="•"/>
      <w:lvlJc w:val="left"/>
      <w:pPr>
        <w:ind w:left="9686" w:hanging="681"/>
      </w:pPr>
      <w:rPr>
        <w:rFonts w:hint="default"/>
      </w:rPr>
    </w:lvl>
  </w:abstractNum>
  <w:abstractNum w:abstractNumId="102">
    <w:multiLevelType w:val="hybridMultilevel"/>
    <w:lvl w:ilvl="0">
      <w:start w:val="1"/>
      <w:numFmt w:val="decimal"/>
      <w:lvlText w:val="%1."/>
      <w:lvlJc w:val="left"/>
      <w:pPr>
        <w:ind w:left="1927" w:hanging="681"/>
        <w:jc w:val="left"/>
      </w:pPr>
      <w:rPr>
        <w:rFonts w:hint="default" w:ascii="Stone Sans II ITC Std Bk" w:hAnsi="Stone Sans II ITC Std Bk" w:eastAsia="Stone Sans II ITC Std Bk" w:cs="Stone Sans II ITC Std Bk"/>
        <w:b/>
        <w:bCs/>
        <w:spacing w:val="-15"/>
        <w:w w:val="110"/>
        <w:sz w:val="29"/>
        <w:szCs w:val="29"/>
      </w:rPr>
    </w:lvl>
    <w:lvl w:ilvl="1">
      <w:start w:val="1"/>
      <w:numFmt w:val="decimal"/>
      <w:lvlText w:val="%2."/>
      <w:lvlJc w:val="left"/>
      <w:pPr>
        <w:ind w:left="2664" w:hanging="681"/>
        <w:jc w:val="left"/>
      </w:pPr>
      <w:rPr>
        <w:rFonts w:hint="default" w:ascii="Stone Sans II ITC Std Bk" w:hAnsi="Stone Sans II ITC Std Bk" w:eastAsia="Stone Sans II ITC Std Bk" w:cs="Stone Sans II ITC Std Bk"/>
        <w:b/>
        <w:bCs/>
        <w:spacing w:val="-15"/>
        <w:w w:val="110"/>
        <w:sz w:val="29"/>
        <w:szCs w:val="29"/>
      </w:rPr>
    </w:lvl>
    <w:lvl w:ilvl="2">
      <w:start w:val="1"/>
      <w:numFmt w:val="decimal"/>
      <w:lvlText w:val="%2.%3"/>
      <w:lvlJc w:val="left"/>
      <w:pPr>
        <w:ind w:left="1984" w:hanging="681"/>
        <w:jc w:val="left"/>
      </w:pPr>
      <w:rPr>
        <w:rFonts w:hint="default" w:ascii="Calibri" w:hAnsi="Calibri" w:eastAsia="Calibri" w:cs="Calibri"/>
        <w:spacing w:val="-18"/>
        <w:w w:val="125"/>
        <w:sz w:val="20"/>
        <w:szCs w:val="20"/>
      </w:rPr>
    </w:lvl>
    <w:lvl w:ilvl="3">
      <w:start w:val="0"/>
      <w:numFmt w:val="bullet"/>
      <w:lvlText w:val="•"/>
      <w:lvlJc w:val="left"/>
      <w:pPr>
        <w:ind w:left="3815" w:hanging="681"/>
      </w:pPr>
      <w:rPr>
        <w:rFonts w:hint="default"/>
      </w:rPr>
    </w:lvl>
    <w:lvl w:ilvl="4">
      <w:start w:val="0"/>
      <w:numFmt w:val="bullet"/>
      <w:lvlText w:val="•"/>
      <w:lvlJc w:val="left"/>
      <w:pPr>
        <w:ind w:left="4971" w:hanging="681"/>
      </w:pPr>
      <w:rPr>
        <w:rFonts w:hint="default"/>
      </w:rPr>
    </w:lvl>
    <w:lvl w:ilvl="5">
      <w:start w:val="0"/>
      <w:numFmt w:val="bullet"/>
      <w:lvlText w:val="•"/>
      <w:lvlJc w:val="left"/>
      <w:pPr>
        <w:ind w:left="6127" w:hanging="681"/>
      </w:pPr>
      <w:rPr>
        <w:rFonts w:hint="default"/>
      </w:rPr>
    </w:lvl>
    <w:lvl w:ilvl="6">
      <w:start w:val="0"/>
      <w:numFmt w:val="bullet"/>
      <w:lvlText w:val="•"/>
      <w:lvlJc w:val="left"/>
      <w:pPr>
        <w:ind w:left="7282" w:hanging="681"/>
      </w:pPr>
      <w:rPr>
        <w:rFonts w:hint="default"/>
      </w:rPr>
    </w:lvl>
    <w:lvl w:ilvl="7">
      <w:start w:val="0"/>
      <w:numFmt w:val="bullet"/>
      <w:lvlText w:val="•"/>
      <w:lvlJc w:val="left"/>
      <w:pPr>
        <w:ind w:left="8438" w:hanging="681"/>
      </w:pPr>
      <w:rPr>
        <w:rFonts w:hint="default"/>
      </w:rPr>
    </w:lvl>
    <w:lvl w:ilvl="8">
      <w:start w:val="0"/>
      <w:numFmt w:val="bullet"/>
      <w:lvlText w:val="•"/>
      <w:lvlJc w:val="left"/>
      <w:pPr>
        <w:ind w:left="9594" w:hanging="681"/>
      </w:pPr>
      <w:rPr>
        <w:rFonts w:hint="default"/>
      </w:rPr>
    </w:lvl>
  </w:abstractNum>
  <w:abstractNum w:abstractNumId="101">
    <w:multiLevelType w:val="hybridMultilevel"/>
    <w:lvl w:ilvl="0">
      <w:start w:val="1"/>
      <w:numFmt w:val="decimal"/>
      <w:lvlText w:val="%1."/>
      <w:lvlJc w:val="left"/>
      <w:pPr>
        <w:ind w:left="1927" w:hanging="681"/>
        <w:jc w:val="right"/>
      </w:pPr>
      <w:rPr>
        <w:rFonts w:hint="default" w:ascii="Stone Sans II ITC Std Bk" w:hAnsi="Stone Sans II ITC Std Bk" w:eastAsia="Stone Sans II ITC Std Bk" w:cs="Stone Sans II ITC Std Bk"/>
        <w:b/>
        <w:bCs/>
        <w:spacing w:val="-15"/>
        <w:w w:val="110"/>
        <w:sz w:val="29"/>
        <w:szCs w:val="29"/>
      </w:rPr>
    </w:lvl>
    <w:lvl w:ilvl="1">
      <w:start w:val="1"/>
      <w:numFmt w:val="decimal"/>
      <w:lvlText w:val="%1.%2"/>
      <w:lvlJc w:val="left"/>
      <w:pPr>
        <w:ind w:left="1247" w:hanging="681"/>
        <w:jc w:val="left"/>
      </w:pPr>
      <w:rPr>
        <w:rFonts w:hint="default" w:ascii="Calibri" w:hAnsi="Calibri" w:eastAsia="Calibri" w:cs="Calibri"/>
        <w:spacing w:val="-18"/>
        <w:w w:val="125"/>
        <w:sz w:val="20"/>
        <w:szCs w:val="20"/>
      </w:rPr>
    </w:lvl>
    <w:lvl w:ilvl="2">
      <w:start w:val="0"/>
      <w:numFmt w:val="bullet"/>
      <w:lvlText w:val="•"/>
      <w:lvlJc w:val="left"/>
      <w:pPr>
        <w:ind w:left="1980" w:hanging="681"/>
      </w:pPr>
      <w:rPr>
        <w:rFonts w:hint="default"/>
      </w:rPr>
    </w:lvl>
    <w:lvl w:ilvl="3">
      <w:start w:val="0"/>
      <w:numFmt w:val="bullet"/>
      <w:lvlText w:val="•"/>
      <w:lvlJc w:val="left"/>
      <w:pPr>
        <w:ind w:left="2660" w:hanging="681"/>
      </w:pPr>
      <w:rPr>
        <w:rFonts w:hint="default"/>
      </w:rPr>
    </w:lvl>
    <w:lvl w:ilvl="4">
      <w:start w:val="0"/>
      <w:numFmt w:val="bullet"/>
      <w:lvlText w:val="•"/>
      <w:lvlJc w:val="left"/>
      <w:pPr>
        <w:ind w:left="3980" w:hanging="681"/>
      </w:pPr>
      <w:rPr>
        <w:rFonts w:hint="default"/>
      </w:rPr>
    </w:lvl>
    <w:lvl w:ilvl="5">
      <w:start w:val="0"/>
      <w:numFmt w:val="bullet"/>
      <w:lvlText w:val="•"/>
      <w:lvlJc w:val="left"/>
      <w:pPr>
        <w:ind w:left="5301" w:hanging="681"/>
      </w:pPr>
      <w:rPr>
        <w:rFonts w:hint="default"/>
      </w:rPr>
    </w:lvl>
    <w:lvl w:ilvl="6">
      <w:start w:val="0"/>
      <w:numFmt w:val="bullet"/>
      <w:lvlText w:val="•"/>
      <w:lvlJc w:val="left"/>
      <w:pPr>
        <w:ind w:left="6622" w:hanging="681"/>
      </w:pPr>
      <w:rPr>
        <w:rFonts w:hint="default"/>
      </w:rPr>
    </w:lvl>
    <w:lvl w:ilvl="7">
      <w:start w:val="0"/>
      <w:numFmt w:val="bullet"/>
      <w:lvlText w:val="•"/>
      <w:lvlJc w:val="left"/>
      <w:pPr>
        <w:ind w:left="7943" w:hanging="681"/>
      </w:pPr>
      <w:rPr>
        <w:rFonts w:hint="default"/>
      </w:rPr>
    </w:lvl>
    <w:lvl w:ilvl="8">
      <w:start w:val="0"/>
      <w:numFmt w:val="bullet"/>
      <w:lvlText w:val="•"/>
      <w:lvlJc w:val="left"/>
      <w:pPr>
        <w:ind w:left="9263" w:hanging="681"/>
      </w:pPr>
      <w:rPr>
        <w:rFonts w:hint="default"/>
      </w:rPr>
    </w:lvl>
  </w:abstractNum>
  <w:abstractNum w:abstractNumId="100">
    <w:multiLevelType w:val="hybridMultilevel"/>
    <w:lvl w:ilvl="0">
      <w:start w:val="1"/>
      <w:numFmt w:val="decimal"/>
      <w:lvlText w:val="%1."/>
      <w:lvlJc w:val="left"/>
      <w:pPr>
        <w:ind w:left="1984" w:hanging="737"/>
        <w:jc w:val="right"/>
      </w:pPr>
      <w:rPr>
        <w:rFonts w:hint="default" w:ascii="Calibri" w:hAnsi="Calibri" w:eastAsia="Calibri" w:cs="Calibri"/>
        <w:spacing w:val="-13"/>
        <w:w w:val="125"/>
        <w:sz w:val="20"/>
        <w:szCs w:val="20"/>
      </w:rPr>
    </w:lvl>
    <w:lvl w:ilvl="1">
      <w:start w:val="1"/>
      <w:numFmt w:val="decimal"/>
      <w:lvlText w:val="%2."/>
      <w:lvlJc w:val="left"/>
      <w:pPr>
        <w:ind w:left="2664" w:hanging="681"/>
        <w:jc w:val="right"/>
      </w:pPr>
      <w:rPr>
        <w:rFonts w:hint="default" w:ascii="Stone Sans II ITC Std Bk" w:hAnsi="Stone Sans II ITC Std Bk" w:eastAsia="Stone Sans II ITC Std Bk" w:cs="Stone Sans II ITC Std Bk"/>
        <w:b/>
        <w:bCs/>
        <w:spacing w:val="-15"/>
        <w:w w:val="110"/>
        <w:sz w:val="29"/>
        <w:szCs w:val="29"/>
      </w:rPr>
    </w:lvl>
    <w:lvl w:ilvl="2">
      <w:start w:val="1"/>
      <w:numFmt w:val="decimal"/>
      <w:lvlText w:val="%2.%3"/>
      <w:lvlJc w:val="left"/>
      <w:pPr>
        <w:ind w:left="1984" w:hanging="681"/>
        <w:jc w:val="left"/>
      </w:pPr>
      <w:rPr>
        <w:rFonts w:hint="default" w:ascii="Calibri" w:hAnsi="Calibri" w:eastAsia="Calibri" w:cs="Calibri"/>
        <w:spacing w:val="-18"/>
        <w:w w:val="125"/>
        <w:sz w:val="20"/>
        <w:szCs w:val="20"/>
      </w:rPr>
    </w:lvl>
    <w:lvl w:ilvl="3">
      <w:start w:val="0"/>
      <w:numFmt w:val="bullet"/>
      <w:lvlText w:val="•"/>
      <w:lvlJc w:val="left"/>
      <w:pPr>
        <w:ind w:left="3815" w:hanging="681"/>
      </w:pPr>
      <w:rPr>
        <w:rFonts w:hint="default"/>
      </w:rPr>
    </w:lvl>
    <w:lvl w:ilvl="4">
      <w:start w:val="0"/>
      <w:numFmt w:val="bullet"/>
      <w:lvlText w:val="•"/>
      <w:lvlJc w:val="left"/>
      <w:pPr>
        <w:ind w:left="4971" w:hanging="681"/>
      </w:pPr>
      <w:rPr>
        <w:rFonts w:hint="default"/>
      </w:rPr>
    </w:lvl>
    <w:lvl w:ilvl="5">
      <w:start w:val="0"/>
      <w:numFmt w:val="bullet"/>
      <w:lvlText w:val="•"/>
      <w:lvlJc w:val="left"/>
      <w:pPr>
        <w:ind w:left="6127" w:hanging="681"/>
      </w:pPr>
      <w:rPr>
        <w:rFonts w:hint="default"/>
      </w:rPr>
    </w:lvl>
    <w:lvl w:ilvl="6">
      <w:start w:val="0"/>
      <w:numFmt w:val="bullet"/>
      <w:lvlText w:val="•"/>
      <w:lvlJc w:val="left"/>
      <w:pPr>
        <w:ind w:left="7282" w:hanging="681"/>
      </w:pPr>
      <w:rPr>
        <w:rFonts w:hint="default"/>
      </w:rPr>
    </w:lvl>
    <w:lvl w:ilvl="7">
      <w:start w:val="0"/>
      <w:numFmt w:val="bullet"/>
      <w:lvlText w:val="•"/>
      <w:lvlJc w:val="left"/>
      <w:pPr>
        <w:ind w:left="8438" w:hanging="681"/>
      </w:pPr>
      <w:rPr>
        <w:rFonts w:hint="default"/>
      </w:rPr>
    </w:lvl>
    <w:lvl w:ilvl="8">
      <w:start w:val="0"/>
      <w:numFmt w:val="bullet"/>
      <w:lvlText w:val="•"/>
      <w:lvlJc w:val="left"/>
      <w:pPr>
        <w:ind w:left="9594" w:hanging="681"/>
      </w:pPr>
      <w:rPr>
        <w:rFonts w:hint="default"/>
      </w:rPr>
    </w:lvl>
  </w:abstractNum>
  <w:abstractNum w:abstractNumId="99">
    <w:multiLevelType w:val="hybridMultilevel"/>
    <w:lvl w:ilvl="0">
      <w:start w:val="1"/>
      <w:numFmt w:val="decimal"/>
      <w:lvlText w:val="%1."/>
      <w:lvlJc w:val="left"/>
      <w:pPr>
        <w:ind w:left="1984" w:hanging="681"/>
        <w:jc w:val="right"/>
      </w:pPr>
      <w:rPr>
        <w:rFonts w:hint="default" w:ascii="Calibri" w:hAnsi="Calibri" w:eastAsia="Calibri" w:cs="Calibri"/>
        <w:spacing w:val="-13"/>
        <w:w w:val="125"/>
        <w:sz w:val="20"/>
        <w:szCs w:val="20"/>
      </w:rPr>
    </w:lvl>
    <w:lvl w:ilvl="1">
      <w:start w:val="1"/>
      <w:numFmt w:val="decimal"/>
      <w:lvlText w:val="%2."/>
      <w:lvlJc w:val="left"/>
      <w:pPr>
        <w:ind w:left="2755" w:hanging="772"/>
        <w:jc w:val="right"/>
      </w:pPr>
      <w:rPr>
        <w:rFonts w:hint="default" w:ascii="Stone Sans II ITC Std Bk" w:hAnsi="Stone Sans II ITC Std Bk" w:eastAsia="Stone Sans II ITC Std Bk" w:cs="Stone Sans II ITC Std Bk"/>
        <w:b/>
        <w:bCs/>
        <w:spacing w:val="-15"/>
        <w:w w:val="110"/>
        <w:sz w:val="29"/>
        <w:szCs w:val="29"/>
      </w:rPr>
    </w:lvl>
    <w:lvl w:ilvl="2">
      <w:start w:val="1"/>
      <w:numFmt w:val="decimal"/>
      <w:lvlText w:val="%2.%3"/>
      <w:lvlJc w:val="left"/>
      <w:pPr>
        <w:ind w:left="2664" w:hanging="681"/>
        <w:jc w:val="right"/>
      </w:pPr>
      <w:rPr>
        <w:rFonts w:hint="default"/>
        <w:b/>
        <w:bCs/>
        <w:spacing w:val="-18"/>
        <w:w w:val="110"/>
      </w:rPr>
    </w:lvl>
    <w:lvl w:ilvl="3">
      <w:start w:val="1"/>
      <w:numFmt w:val="decimal"/>
      <w:lvlText w:val="%2.%3.%4"/>
      <w:lvlJc w:val="left"/>
      <w:pPr>
        <w:ind w:left="1247" w:hanging="681"/>
        <w:jc w:val="left"/>
      </w:pPr>
      <w:rPr>
        <w:rFonts w:hint="default" w:ascii="Calibri" w:hAnsi="Calibri" w:eastAsia="Calibri" w:cs="Calibri"/>
        <w:spacing w:val="-18"/>
        <w:w w:val="125"/>
        <w:sz w:val="20"/>
        <w:szCs w:val="20"/>
      </w:rPr>
    </w:lvl>
    <w:lvl w:ilvl="4">
      <w:start w:val="0"/>
      <w:numFmt w:val="bullet"/>
      <w:lvlText w:val="•"/>
      <w:lvlJc w:val="left"/>
      <w:pPr>
        <w:ind w:left="2760" w:hanging="681"/>
      </w:pPr>
      <w:rPr>
        <w:rFonts w:hint="default"/>
      </w:rPr>
    </w:lvl>
    <w:lvl w:ilvl="5">
      <w:start w:val="0"/>
      <w:numFmt w:val="bullet"/>
      <w:lvlText w:val="•"/>
      <w:lvlJc w:val="left"/>
      <w:pPr>
        <w:ind w:left="4284" w:hanging="681"/>
      </w:pPr>
      <w:rPr>
        <w:rFonts w:hint="default"/>
      </w:rPr>
    </w:lvl>
    <w:lvl w:ilvl="6">
      <w:start w:val="0"/>
      <w:numFmt w:val="bullet"/>
      <w:lvlText w:val="•"/>
      <w:lvlJc w:val="left"/>
      <w:pPr>
        <w:ind w:left="5808" w:hanging="681"/>
      </w:pPr>
      <w:rPr>
        <w:rFonts w:hint="default"/>
      </w:rPr>
    </w:lvl>
    <w:lvl w:ilvl="7">
      <w:start w:val="0"/>
      <w:numFmt w:val="bullet"/>
      <w:lvlText w:val="•"/>
      <w:lvlJc w:val="left"/>
      <w:pPr>
        <w:ind w:left="7332" w:hanging="681"/>
      </w:pPr>
      <w:rPr>
        <w:rFonts w:hint="default"/>
      </w:rPr>
    </w:lvl>
    <w:lvl w:ilvl="8">
      <w:start w:val="0"/>
      <w:numFmt w:val="bullet"/>
      <w:lvlText w:val="•"/>
      <w:lvlJc w:val="left"/>
      <w:pPr>
        <w:ind w:left="8857" w:hanging="681"/>
      </w:pPr>
      <w:rPr>
        <w:rFonts w:hint="default"/>
      </w:rPr>
    </w:lvl>
  </w:abstractNum>
  <w:abstractNum w:abstractNumId="98">
    <w:multiLevelType w:val="hybridMultilevel"/>
    <w:lvl w:ilvl="0">
      <w:start w:val="10"/>
      <w:numFmt w:val="decimal"/>
      <w:lvlText w:val="%1"/>
      <w:lvlJc w:val="left"/>
      <w:pPr>
        <w:ind w:left="1576" w:hanging="330"/>
        <w:jc w:val="left"/>
      </w:pPr>
      <w:rPr>
        <w:rFonts w:hint="default" w:ascii="Stone Sans II ITC Std Bk" w:hAnsi="Stone Sans II ITC Std Bk" w:eastAsia="Stone Sans II ITC Std Bk" w:cs="Stone Sans II ITC Std Bk"/>
        <w:b/>
        <w:bCs/>
        <w:spacing w:val="-10"/>
        <w:w w:val="110"/>
        <w:sz w:val="20"/>
        <w:szCs w:val="20"/>
      </w:rPr>
    </w:lvl>
    <w:lvl w:ilvl="1">
      <w:start w:val="0"/>
      <w:numFmt w:val="bullet"/>
      <w:lvlText w:val="•"/>
      <w:lvlJc w:val="left"/>
      <w:pPr>
        <w:ind w:left="2664" w:hanging="681"/>
      </w:pPr>
      <w:rPr>
        <w:rFonts w:hint="default" w:ascii="Calibri" w:hAnsi="Calibri" w:eastAsia="Calibri" w:cs="Calibri"/>
        <w:color w:val="87888A"/>
        <w:w w:val="111"/>
        <w:sz w:val="18"/>
        <w:szCs w:val="18"/>
      </w:rPr>
    </w:lvl>
    <w:lvl w:ilvl="2">
      <w:start w:val="0"/>
      <w:numFmt w:val="bullet"/>
      <w:lvlText w:val="•"/>
      <w:lvlJc w:val="left"/>
      <w:pPr>
        <w:ind w:left="3687" w:hanging="681"/>
      </w:pPr>
      <w:rPr>
        <w:rFonts w:hint="default"/>
      </w:rPr>
    </w:lvl>
    <w:lvl w:ilvl="3">
      <w:start w:val="0"/>
      <w:numFmt w:val="bullet"/>
      <w:lvlText w:val="•"/>
      <w:lvlJc w:val="left"/>
      <w:pPr>
        <w:ind w:left="4714" w:hanging="681"/>
      </w:pPr>
      <w:rPr>
        <w:rFonts w:hint="default"/>
      </w:rPr>
    </w:lvl>
    <w:lvl w:ilvl="4">
      <w:start w:val="0"/>
      <w:numFmt w:val="bullet"/>
      <w:lvlText w:val="•"/>
      <w:lvlJc w:val="left"/>
      <w:pPr>
        <w:ind w:left="5741" w:hanging="681"/>
      </w:pPr>
      <w:rPr>
        <w:rFonts w:hint="default"/>
      </w:rPr>
    </w:lvl>
    <w:lvl w:ilvl="5">
      <w:start w:val="0"/>
      <w:numFmt w:val="bullet"/>
      <w:lvlText w:val="•"/>
      <w:lvlJc w:val="left"/>
      <w:pPr>
        <w:ind w:left="6769" w:hanging="681"/>
      </w:pPr>
      <w:rPr>
        <w:rFonts w:hint="default"/>
      </w:rPr>
    </w:lvl>
    <w:lvl w:ilvl="6">
      <w:start w:val="0"/>
      <w:numFmt w:val="bullet"/>
      <w:lvlText w:val="•"/>
      <w:lvlJc w:val="left"/>
      <w:pPr>
        <w:ind w:left="7796" w:hanging="681"/>
      </w:pPr>
      <w:rPr>
        <w:rFonts w:hint="default"/>
      </w:rPr>
    </w:lvl>
    <w:lvl w:ilvl="7">
      <w:start w:val="0"/>
      <w:numFmt w:val="bullet"/>
      <w:lvlText w:val="•"/>
      <w:lvlJc w:val="left"/>
      <w:pPr>
        <w:ind w:left="8823" w:hanging="681"/>
      </w:pPr>
      <w:rPr>
        <w:rFonts w:hint="default"/>
      </w:rPr>
    </w:lvl>
    <w:lvl w:ilvl="8">
      <w:start w:val="0"/>
      <w:numFmt w:val="bullet"/>
      <w:lvlText w:val="•"/>
      <w:lvlJc w:val="left"/>
      <w:pPr>
        <w:ind w:left="9850" w:hanging="681"/>
      </w:pPr>
      <w:rPr>
        <w:rFonts w:hint="default"/>
      </w:rPr>
    </w:lvl>
  </w:abstractNum>
  <w:abstractNum w:abstractNumId="97">
    <w:multiLevelType w:val="hybridMultilevel"/>
    <w:lvl w:ilvl="0">
      <w:start w:val="1"/>
      <w:numFmt w:val="decimalZero"/>
      <w:lvlText w:val="%1"/>
      <w:lvlJc w:val="left"/>
      <w:pPr>
        <w:ind w:left="2116" w:hanging="331"/>
        <w:jc w:val="right"/>
      </w:pPr>
      <w:rPr>
        <w:rFonts w:hint="default" w:ascii="Stone Sans II ITC Std Bk" w:hAnsi="Stone Sans II ITC Std Bk" w:eastAsia="Stone Sans II ITC Std Bk" w:cs="Stone Sans II ITC Std Bk"/>
        <w:b/>
        <w:bCs/>
        <w:spacing w:val="-8"/>
        <w:w w:val="110"/>
        <w:sz w:val="20"/>
        <w:szCs w:val="20"/>
      </w:rPr>
    </w:lvl>
    <w:lvl w:ilvl="1">
      <w:start w:val="0"/>
      <w:numFmt w:val="bullet"/>
      <w:lvlText w:val="•"/>
      <w:lvlJc w:val="left"/>
      <w:pPr>
        <w:ind w:left="3098" w:hanging="331"/>
      </w:pPr>
      <w:rPr>
        <w:rFonts w:hint="default"/>
      </w:rPr>
    </w:lvl>
    <w:lvl w:ilvl="2">
      <w:start w:val="0"/>
      <w:numFmt w:val="bullet"/>
      <w:lvlText w:val="•"/>
      <w:lvlJc w:val="left"/>
      <w:pPr>
        <w:ind w:left="4077" w:hanging="331"/>
      </w:pPr>
      <w:rPr>
        <w:rFonts w:hint="default"/>
      </w:rPr>
    </w:lvl>
    <w:lvl w:ilvl="3">
      <w:start w:val="0"/>
      <w:numFmt w:val="bullet"/>
      <w:lvlText w:val="•"/>
      <w:lvlJc w:val="left"/>
      <w:pPr>
        <w:ind w:left="5055" w:hanging="331"/>
      </w:pPr>
      <w:rPr>
        <w:rFonts w:hint="default"/>
      </w:rPr>
    </w:lvl>
    <w:lvl w:ilvl="4">
      <w:start w:val="0"/>
      <w:numFmt w:val="bullet"/>
      <w:lvlText w:val="•"/>
      <w:lvlJc w:val="left"/>
      <w:pPr>
        <w:ind w:left="6034" w:hanging="331"/>
      </w:pPr>
      <w:rPr>
        <w:rFonts w:hint="default"/>
      </w:rPr>
    </w:lvl>
    <w:lvl w:ilvl="5">
      <w:start w:val="0"/>
      <w:numFmt w:val="bullet"/>
      <w:lvlText w:val="•"/>
      <w:lvlJc w:val="left"/>
      <w:pPr>
        <w:ind w:left="7012" w:hanging="331"/>
      </w:pPr>
      <w:rPr>
        <w:rFonts w:hint="default"/>
      </w:rPr>
    </w:lvl>
    <w:lvl w:ilvl="6">
      <w:start w:val="0"/>
      <w:numFmt w:val="bullet"/>
      <w:lvlText w:val="•"/>
      <w:lvlJc w:val="left"/>
      <w:pPr>
        <w:ind w:left="7991" w:hanging="331"/>
      </w:pPr>
      <w:rPr>
        <w:rFonts w:hint="default"/>
      </w:rPr>
    </w:lvl>
    <w:lvl w:ilvl="7">
      <w:start w:val="0"/>
      <w:numFmt w:val="bullet"/>
      <w:lvlText w:val="•"/>
      <w:lvlJc w:val="left"/>
      <w:pPr>
        <w:ind w:left="8969" w:hanging="331"/>
      </w:pPr>
      <w:rPr>
        <w:rFonts w:hint="default"/>
      </w:rPr>
    </w:lvl>
    <w:lvl w:ilvl="8">
      <w:start w:val="0"/>
      <w:numFmt w:val="bullet"/>
      <w:lvlText w:val="•"/>
      <w:lvlJc w:val="left"/>
      <w:pPr>
        <w:ind w:left="9948" w:hanging="331"/>
      </w:pPr>
      <w:rPr>
        <w:rFonts w:hint="default"/>
      </w:rPr>
    </w:lvl>
  </w:abstractNum>
  <w:abstractNum w:abstractNumId="96">
    <w:multiLevelType w:val="hybridMultilevel"/>
    <w:lvl w:ilvl="0">
      <w:start w:val="1"/>
      <w:numFmt w:val="lowerLetter"/>
      <w:lvlText w:val="%1."/>
      <w:lvlJc w:val="left"/>
      <w:pPr>
        <w:ind w:left="2664" w:hanging="681"/>
        <w:jc w:val="left"/>
      </w:pPr>
      <w:rPr>
        <w:rFonts w:hint="default" w:ascii="Calibri" w:hAnsi="Calibri" w:eastAsia="Calibri" w:cs="Calibri"/>
        <w:w w:val="113"/>
        <w:sz w:val="20"/>
        <w:szCs w:val="20"/>
      </w:rPr>
    </w:lvl>
    <w:lvl w:ilvl="1">
      <w:start w:val="0"/>
      <w:numFmt w:val="bullet"/>
      <w:lvlText w:val="•"/>
      <w:lvlJc w:val="left"/>
      <w:pPr>
        <w:ind w:left="3584" w:hanging="681"/>
      </w:pPr>
      <w:rPr>
        <w:rFonts w:hint="default"/>
      </w:rPr>
    </w:lvl>
    <w:lvl w:ilvl="2">
      <w:start w:val="0"/>
      <w:numFmt w:val="bullet"/>
      <w:lvlText w:val="•"/>
      <w:lvlJc w:val="left"/>
      <w:pPr>
        <w:ind w:left="4509" w:hanging="681"/>
      </w:pPr>
      <w:rPr>
        <w:rFonts w:hint="default"/>
      </w:rPr>
    </w:lvl>
    <w:lvl w:ilvl="3">
      <w:start w:val="0"/>
      <w:numFmt w:val="bullet"/>
      <w:lvlText w:val="•"/>
      <w:lvlJc w:val="left"/>
      <w:pPr>
        <w:ind w:left="5433" w:hanging="681"/>
      </w:pPr>
      <w:rPr>
        <w:rFonts w:hint="default"/>
      </w:rPr>
    </w:lvl>
    <w:lvl w:ilvl="4">
      <w:start w:val="0"/>
      <w:numFmt w:val="bullet"/>
      <w:lvlText w:val="•"/>
      <w:lvlJc w:val="left"/>
      <w:pPr>
        <w:ind w:left="6358" w:hanging="681"/>
      </w:pPr>
      <w:rPr>
        <w:rFonts w:hint="default"/>
      </w:rPr>
    </w:lvl>
    <w:lvl w:ilvl="5">
      <w:start w:val="0"/>
      <w:numFmt w:val="bullet"/>
      <w:lvlText w:val="•"/>
      <w:lvlJc w:val="left"/>
      <w:pPr>
        <w:ind w:left="7282" w:hanging="681"/>
      </w:pPr>
      <w:rPr>
        <w:rFonts w:hint="default"/>
      </w:rPr>
    </w:lvl>
    <w:lvl w:ilvl="6">
      <w:start w:val="0"/>
      <w:numFmt w:val="bullet"/>
      <w:lvlText w:val="•"/>
      <w:lvlJc w:val="left"/>
      <w:pPr>
        <w:ind w:left="8207" w:hanging="681"/>
      </w:pPr>
      <w:rPr>
        <w:rFonts w:hint="default"/>
      </w:rPr>
    </w:lvl>
    <w:lvl w:ilvl="7">
      <w:start w:val="0"/>
      <w:numFmt w:val="bullet"/>
      <w:lvlText w:val="•"/>
      <w:lvlJc w:val="left"/>
      <w:pPr>
        <w:ind w:left="9131" w:hanging="681"/>
      </w:pPr>
      <w:rPr>
        <w:rFonts w:hint="default"/>
      </w:rPr>
    </w:lvl>
    <w:lvl w:ilvl="8">
      <w:start w:val="0"/>
      <w:numFmt w:val="bullet"/>
      <w:lvlText w:val="•"/>
      <w:lvlJc w:val="left"/>
      <w:pPr>
        <w:ind w:left="10056" w:hanging="681"/>
      </w:pPr>
      <w:rPr>
        <w:rFonts w:hint="default"/>
      </w:rPr>
    </w:lvl>
  </w:abstractNum>
  <w:abstractNum w:abstractNumId="95">
    <w:multiLevelType w:val="hybridMultilevel"/>
    <w:lvl w:ilvl="0">
      <w:start w:val="1"/>
      <w:numFmt w:val="lowerLetter"/>
      <w:lvlText w:val="%1."/>
      <w:lvlJc w:val="left"/>
      <w:pPr>
        <w:ind w:left="2664" w:hanging="681"/>
        <w:jc w:val="left"/>
      </w:pPr>
      <w:rPr>
        <w:rFonts w:hint="default" w:ascii="Calibri" w:hAnsi="Calibri" w:eastAsia="Calibri" w:cs="Calibri"/>
        <w:w w:val="113"/>
        <w:sz w:val="20"/>
        <w:szCs w:val="20"/>
      </w:rPr>
    </w:lvl>
    <w:lvl w:ilvl="1">
      <w:start w:val="0"/>
      <w:numFmt w:val="bullet"/>
      <w:lvlText w:val="•"/>
      <w:lvlJc w:val="left"/>
      <w:pPr>
        <w:ind w:left="3584" w:hanging="681"/>
      </w:pPr>
      <w:rPr>
        <w:rFonts w:hint="default"/>
      </w:rPr>
    </w:lvl>
    <w:lvl w:ilvl="2">
      <w:start w:val="0"/>
      <w:numFmt w:val="bullet"/>
      <w:lvlText w:val="•"/>
      <w:lvlJc w:val="left"/>
      <w:pPr>
        <w:ind w:left="4509" w:hanging="681"/>
      </w:pPr>
      <w:rPr>
        <w:rFonts w:hint="default"/>
      </w:rPr>
    </w:lvl>
    <w:lvl w:ilvl="3">
      <w:start w:val="0"/>
      <w:numFmt w:val="bullet"/>
      <w:lvlText w:val="•"/>
      <w:lvlJc w:val="left"/>
      <w:pPr>
        <w:ind w:left="5433" w:hanging="681"/>
      </w:pPr>
      <w:rPr>
        <w:rFonts w:hint="default"/>
      </w:rPr>
    </w:lvl>
    <w:lvl w:ilvl="4">
      <w:start w:val="0"/>
      <w:numFmt w:val="bullet"/>
      <w:lvlText w:val="•"/>
      <w:lvlJc w:val="left"/>
      <w:pPr>
        <w:ind w:left="6358" w:hanging="681"/>
      </w:pPr>
      <w:rPr>
        <w:rFonts w:hint="default"/>
      </w:rPr>
    </w:lvl>
    <w:lvl w:ilvl="5">
      <w:start w:val="0"/>
      <w:numFmt w:val="bullet"/>
      <w:lvlText w:val="•"/>
      <w:lvlJc w:val="left"/>
      <w:pPr>
        <w:ind w:left="7282" w:hanging="681"/>
      </w:pPr>
      <w:rPr>
        <w:rFonts w:hint="default"/>
      </w:rPr>
    </w:lvl>
    <w:lvl w:ilvl="6">
      <w:start w:val="0"/>
      <w:numFmt w:val="bullet"/>
      <w:lvlText w:val="•"/>
      <w:lvlJc w:val="left"/>
      <w:pPr>
        <w:ind w:left="8207" w:hanging="681"/>
      </w:pPr>
      <w:rPr>
        <w:rFonts w:hint="default"/>
      </w:rPr>
    </w:lvl>
    <w:lvl w:ilvl="7">
      <w:start w:val="0"/>
      <w:numFmt w:val="bullet"/>
      <w:lvlText w:val="•"/>
      <w:lvlJc w:val="left"/>
      <w:pPr>
        <w:ind w:left="9131" w:hanging="681"/>
      </w:pPr>
      <w:rPr>
        <w:rFonts w:hint="default"/>
      </w:rPr>
    </w:lvl>
    <w:lvl w:ilvl="8">
      <w:start w:val="0"/>
      <w:numFmt w:val="bullet"/>
      <w:lvlText w:val="•"/>
      <w:lvlJc w:val="left"/>
      <w:pPr>
        <w:ind w:left="10056" w:hanging="681"/>
      </w:pPr>
      <w:rPr>
        <w:rFonts w:hint="default"/>
      </w:rPr>
    </w:lvl>
  </w:abstractNum>
  <w:abstractNum w:abstractNumId="94">
    <w:multiLevelType w:val="hybridMultilevel"/>
    <w:lvl w:ilvl="0">
      <w:start w:val="1"/>
      <w:numFmt w:val="lowerLetter"/>
      <w:lvlText w:val="%1."/>
      <w:lvlJc w:val="left"/>
      <w:pPr>
        <w:ind w:left="1927" w:hanging="681"/>
        <w:jc w:val="left"/>
      </w:pPr>
      <w:rPr>
        <w:rFonts w:hint="default" w:ascii="Calibri" w:hAnsi="Calibri" w:eastAsia="Calibri" w:cs="Calibri"/>
        <w:w w:val="113"/>
        <w:sz w:val="20"/>
        <w:szCs w:val="20"/>
      </w:rPr>
    </w:lvl>
    <w:lvl w:ilvl="1">
      <w:start w:val="0"/>
      <w:numFmt w:val="bullet"/>
      <w:lvlText w:val="•"/>
      <w:lvlJc w:val="left"/>
      <w:pPr>
        <w:ind w:left="2664" w:hanging="681"/>
      </w:pPr>
      <w:rPr>
        <w:rFonts w:hint="default" w:ascii="Calibri" w:hAnsi="Calibri" w:eastAsia="Calibri" w:cs="Calibri"/>
        <w:w w:val="110"/>
        <w:sz w:val="20"/>
        <w:szCs w:val="20"/>
      </w:rPr>
    </w:lvl>
    <w:lvl w:ilvl="2">
      <w:start w:val="0"/>
      <w:numFmt w:val="bullet"/>
      <w:lvlText w:val="•"/>
      <w:lvlJc w:val="left"/>
      <w:pPr>
        <w:ind w:left="3687" w:hanging="681"/>
      </w:pPr>
      <w:rPr>
        <w:rFonts w:hint="default"/>
      </w:rPr>
    </w:lvl>
    <w:lvl w:ilvl="3">
      <w:start w:val="0"/>
      <w:numFmt w:val="bullet"/>
      <w:lvlText w:val="•"/>
      <w:lvlJc w:val="left"/>
      <w:pPr>
        <w:ind w:left="4714" w:hanging="681"/>
      </w:pPr>
      <w:rPr>
        <w:rFonts w:hint="default"/>
      </w:rPr>
    </w:lvl>
    <w:lvl w:ilvl="4">
      <w:start w:val="0"/>
      <w:numFmt w:val="bullet"/>
      <w:lvlText w:val="•"/>
      <w:lvlJc w:val="left"/>
      <w:pPr>
        <w:ind w:left="5741" w:hanging="681"/>
      </w:pPr>
      <w:rPr>
        <w:rFonts w:hint="default"/>
      </w:rPr>
    </w:lvl>
    <w:lvl w:ilvl="5">
      <w:start w:val="0"/>
      <w:numFmt w:val="bullet"/>
      <w:lvlText w:val="•"/>
      <w:lvlJc w:val="left"/>
      <w:pPr>
        <w:ind w:left="6769" w:hanging="681"/>
      </w:pPr>
      <w:rPr>
        <w:rFonts w:hint="default"/>
      </w:rPr>
    </w:lvl>
    <w:lvl w:ilvl="6">
      <w:start w:val="0"/>
      <w:numFmt w:val="bullet"/>
      <w:lvlText w:val="•"/>
      <w:lvlJc w:val="left"/>
      <w:pPr>
        <w:ind w:left="7796" w:hanging="681"/>
      </w:pPr>
      <w:rPr>
        <w:rFonts w:hint="default"/>
      </w:rPr>
    </w:lvl>
    <w:lvl w:ilvl="7">
      <w:start w:val="0"/>
      <w:numFmt w:val="bullet"/>
      <w:lvlText w:val="•"/>
      <w:lvlJc w:val="left"/>
      <w:pPr>
        <w:ind w:left="8823" w:hanging="681"/>
      </w:pPr>
      <w:rPr>
        <w:rFonts w:hint="default"/>
      </w:rPr>
    </w:lvl>
    <w:lvl w:ilvl="8">
      <w:start w:val="0"/>
      <w:numFmt w:val="bullet"/>
      <w:lvlText w:val="•"/>
      <w:lvlJc w:val="left"/>
      <w:pPr>
        <w:ind w:left="9850" w:hanging="681"/>
      </w:pPr>
      <w:rPr>
        <w:rFonts w:hint="default"/>
      </w:rPr>
    </w:lvl>
  </w:abstractNum>
  <w:abstractNum w:abstractNumId="93">
    <w:multiLevelType w:val="hybridMultilevel"/>
    <w:lvl w:ilvl="0">
      <w:start w:val="0"/>
      <w:numFmt w:val="bullet"/>
      <w:lvlText w:val="•"/>
      <w:lvlJc w:val="left"/>
      <w:pPr>
        <w:ind w:left="1607" w:hanging="360"/>
      </w:pPr>
      <w:rPr>
        <w:rFonts w:hint="default" w:ascii="Stone Sans II ITC Std Bk" w:hAnsi="Stone Sans II ITC Std Bk" w:eastAsia="Stone Sans II ITC Std Bk" w:cs="Stone Sans II ITC Std Bk"/>
        <w:b/>
        <w:bCs/>
        <w:w w:val="110"/>
        <w:sz w:val="20"/>
        <w:szCs w:val="20"/>
      </w:rPr>
    </w:lvl>
    <w:lvl w:ilvl="1">
      <w:start w:val="0"/>
      <w:numFmt w:val="bullet"/>
      <w:lvlText w:val="•"/>
      <w:lvlJc w:val="left"/>
      <w:pPr>
        <w:ind w:left="2630" w:hanging="360"/>
      </w:pPr>
      <w:rPr>
        <w:rFonts w:hint="default"/>
      </w:rPr>
    </w:lvl>
    <w:lvl w:ilvl="2">
      <w:start w:val="0"/>
      <w:numFmt w:val="bullet"/>
      <w:lvlText w:val="•"/>
      <w:lvlJc w:val="left"/>
      <w:pPr>
        <w:ind w:left="3661" w:hanging="360"/>
      </w:pPr>
      <w:rPr>
        <w:rFonts w:hint="default"/>
      </w:rPr>
    </w:lvl>
    <w:lvl w:ilvl="3">
      <w:start w:val="0"/>
      <w:numFmt w:val="bullet"/>
      <w:lvlText w:val="•"/>
      <w:lvlJc w:val="left"/>
      <w:pPr>
        <w:ind w:left="4691" w:hanging="360"/>
      </w:pPr>
      <w:rPr>
        <w:rFonts w:hint="default"/>
      </w:rPr>
    </w:lvl>
    <w:lvl w:ilvl="4">
      <w:start w:val="0"/>
      <w:numFmt w:val="bullet"/>
      <w:lvlText w:val="•"/>
      <w:lvlJc w:val="left"/>
      <w:pPr>
        <w:ind w:left="5722" w:hanging="360"/>
      </w:pPr>
      <w:rPr>
        <w:rFonts w:hint="default"/>
      </w:rPr>
    </w:lvl>
    <w:lvl w:ilvl="5">
      <w:start w:val="0"/>
      <w:numFmt w:val="bullet"/>
      <w:lvlText w:val="•"/>
      <w:lvlJc w:val="left"/>
      <w:pPr>
        <w:ind w:left="6752" w:hanging="360"/>
      </w:pPr>
      <w:rPr>
        <w:rFonts w:hint="default"/>
      </w:rPr>
    </w:lvl>
    <w:lvl w:ilvl="6">
      <w:start w:val="0"/>
      <w:numFmt w:val="bullet"/>
      <w:lvlText w:val="•"/>
      <w:lvlJc w:val="left"/>
      <w:pPr>
        <w:ind w:left="7783" w:hanging="360"/>
      </w:pPr>
      <w:rPr>
        <w:rFonts w:hint="default"/>
      </w:rPr>
    </w:lvl>
    <w:lvl w:ilvl="7">
      <w:start w:val="0"/>
      <w:numFmt w:val="bullet"/>
      <w:lvlText w:val="•"/>
      <w:lvlJc w:val="left"/>
      <w:pPr>
        <w:ind w:left="8813" w:hanging="360"/>
      </w:pPr>
      <w:rPr>
        <w:rFonts w:hint="default"/>
      </w:rPr>
    </w:lvl>
    <w:lvl w:ilvl="8">
      <w:start w:val="0"/>
      <w:numFmt w:val="bullet"/>
      <w:lvlText w:val="•"/>
      <w:lvlJc w:val="left"/>
      <w:pPr>
        <w:ind w:left="9844" w:hanging="360"/>
      </w:pPr>
      <w:rPr>
        <w:rFonts w:hint="default"/>
      </w:rPr>
    </w:lvl>
  </w:abstractNum>
  <w:abstractNum w:abstractNumId="92">
    <w:multiLevelType w:val="hybridMultilevel"/>
    <w:lvl w:ilvl="0">
      <w:start w:val="0"/>
      <w:numFmt w:val="bullet"/>
      <w:lvlText w:val="•"/>
      <w:lvlJc w:val="left"/>
      <w:pPr>
        <w:ind w:left="2344" w:hanging="360"/>
      </w:pPr>
      <w:rPr>
        <w:rFonts w:hint="default" w:ascii="Stone Sans II ITC Std Bk" w:hAnsi="Stone Sans II ITC Std Bk" w:eastAsia="Stone Sans II ITC Std Bk" w:cs="Stone Sans II ITC Std Bk"/>
        <w:b/>
        <w:bCs/>
        <w:w w:val="110"/>
        <w:sz w:val="20"/>
        <w:szCs w:val="20"/>
      </w:rPr>
    </w:lvl>
    <w:lvl w:ilvl="1">
      <w:start w:val="0"/>
      <w:numFmt w:val="bullet"/>
      <w:lvlText w:val="•"/>
      <w:lvlJc w:val="left"/>
      <w:pPr>
        <w:ind w:left="3296" w:hanging="360"/>
      </w:pPr>
      <w:rPr>
        <w:rFonts w:hint="default"/>
      </w:rPr>
    </w:lvl>
    <w:lvl w:ilvl="2">
      <w:start w:val="0"/>
      <w:numFmt w:val="bullet"/>
      <w:lvlText w:val="•"/>
      <w:lvlJc w:val="left"/>
      <w:pPr>
        <w:ind w:left="4253" w:hanging="360"/>
      </w:pPr>
      <w:rPr>
        <w:rFonts w:hint="default"/>
      </w:rPr>
    </w:lvl>
    <w:lvl w:ilvl="3">
      <w:start w:val="0"/>
      <w:numFmt w:val="bullet"/>
      <w:lvlText w:val="•"/>
      <w:lvlJc w:val="left"/>
      <w:pPr>
        <w:ind w:left="5209" w:hanging="360"/>
      </w:pPr>
      <w:rPr>
        <w:rFonts w:hint="default"/>
      </w:rPr>
    </w:lvl>
    <w:lvl w:ilvl="4">
      <w:start w:val="0"/>
      <w:numFmt w:val="bullet"/>
      <w:lvlText w:val="•"/>
      <w:lvlJc w:val="left"/>
      <w:pPr>
        <w:ind w:left="6166" w:hanging="360"/>
      </w:pPr>
      <w:rPr>
        <w:rFonts w:hint="default"/>
      </w:rPr>
    </w:lvl>
    <w:lvl w:ilvl="5">
      <w:start w:val="0"/>
      <w:numFmt w:val="bullet"/>
      <w:lvlText w:val="•"/>
      <w:lvlJc w:val="left"/>
      <w:pPr>
        <w:ind w:left="7122" w:hanging="360"/>
      </w:pPr>
      <w:rPr>
        <w:rFonts w:hint="default"/>
      </w:rPr>
    </w:lvl>
    <w:lvl w:ilvl="6">
      <w:start w:val="0"/>
      <w:numFmt w:val="bullet"/>
      <w:lvlText w:val="•"/>
      <w:lvlJc w:val="left"/>
      <w:pPr>
        <w:ind w:left="8079" w:hanging="360"/>
      </w:pPr>
      <w:rPr>
        <w:rFonts w:hint="default"/>
      </w:rPr>
    </w:lvl>
    <w:lvl w:ilvl="7">
      <w:start w:val="0"/>
      <w:numFmt w:val="bullet"/>
      <w:lvlText w:val="•"/>
      <w:lvlJc w:val="left"/>
      <w:pPr>
        <w:ind w:left="9035" w:hanging="360"/>
      </w:pPr>
      <w:rPr>
        <w:rFonts w:hint="default"/>
      </w:rPr>
    </w:lvl>
    <w:lvl w:ilvl="8">
      <w:start w:val="0"/>
      <w:numFmt w:val="bullet"/>
      <w:lvlText w:val="•"/>
      <w:lvlJc w:val="left"/>
      <w:pPr>
        <w:ind w:left="9992" w:hanging="360"/>
      </w:pPr>
      <w:rPr>
        <w:rFonts w:hint="default"/>
      </w:rPr>
    </w:lvl>
  </w:abstractNum>
  <w:abstractNum w:abstractNumId="91">
    <w:multiLevelType w:val="hybridMultilevel"/>
    <w:lvl w:ilvl="0">
      <w:start w:val="1"/>
      <w:numFmt w:val="lowerLetter"/>
      <w:lvlText w:val="%1."/>
      <w:lvlJc w:val="left"/>
      <w:pPr>
        <w:ind w:left="1927" w:hanging="681"/>
        <w:jc w:val="left"/>
      </w:pPr>
      <w:rPr>
        <w:rFonts w:hint="default" w:ascii="Calibri" w:hAnsi="Calibri" w:eastAsia="Calibri" w:cs="Calibri"/>
        <w:w w:val="113"/>
        <w:sz w:val="20"/>
        <w:szCs w:val="20"/>
      </w:rPr>
    </w:lvl>
    <w:lvl w:ilvl="1">
      <w:start w:val="0"/>
      <w:numFmt w:val="bullet"/>
      <w:lvlText w:val="•"/>
      <w:lvlJc w:val="left"/>
      <w:pPr>
        <w:ind w:left="2918" w:hanging="681"/>
      </w:pPr>
      <w:rPr>
        <w:rFonts w:hint="default"/>
      </w:rPr>
    </w:lvl>
    <w:lvl w:ilvl="2">
      <w:start w:val="0"/>
      <w:numFmt w:val="bullet"/>
      <w:lvlText w:val="•"/>
      <w:lvlJc w:val="left"/>
      <w:pPr>
        <w:ind w:left="3917" w:hanging="681"/>
      </w:pPr>
      <w:rPr>
        <w:rFonts w:hint="default"/>
      </w:rPr>
    </w:lvl>
    <w:lvl w:ilvl="3">
      <w:start w:val="0"/>
      <w:numFmt w:val="bullet"/>
      <w:lvlText w:val="•"/>
      <w:lvlJc w:val="left"/>
      <w:pPr>
        <w:ind w:left="4915" w:hanging="681"/>
      </w:pPr>
      <w:rPr>
        <w:rFonts w:hint="default"/>
      </w:rPr>
    </w:lvl>
    <w:lvl w:ilvl="4">
      <w:start w:val="0"/>
      <w:numFmt w:val="bullet"/>
      <w:lvlText w:val="•"/>
      <w:lvlJc w:val="left"/>
      <w:pPr>
        <w:ind w:left="5914" w:hanging="681"/>
      </w:pPr>
      <w:rPr>
        <w:rFonts w:hint="default"/>
      </w:rPr>
    </w:lvl>
    <w:lvl w:ilvl="5">
      <w:start w:val="0"/>
      <w:numFmt w:val="bullet"/>
      <w:lvlText w:val="•"/>
      <w:lvlJc w:val="left"/>
      <w:pPr>
        <w:ind w:left="6912" w:hanging="681"/>
      </w:pPr>
      <w:rPr>
        <w:rFonts w:hint="default"/>
      </w:rPr>
    </w:lvl>
    <w:lvl w:ilvl="6">
      <w:start w:val="0"/>
      <w:numFmt w:val="bullet"/>
      <w:lvlText w:val="•"/>
      <w:lvlJc w:val="left"/>
      <w:pPr>
        <w:ind w:left="7911" w:hanging="681"/>
      </w:pPr>
      <w:rPr>
        <w:rFonts w:hint="default"/>
      </w:rPr>
    </w:lvl>
    <w:lvl w:ilvl="7">
      <w:start w:val="0"/>
      <w:numFmt w:val="bullet"/>
      <w:lvlText w:val="•"/>
      <w:lvlJc w:val="left"/>
      <w:pPr>
        <w:ind w:left="8909" w:hanging="681"/>
      </w:pPr>
      <w:rPr>
        <w:rFonts w:hint="default"/>
      </w:rPr>
    </w:lvl>
    <w:lvl w:ilvl="8">
      <w:start w:val="0"/>
      <w:numFmt w:val="bullet"/>
      <w:lvlText w:val="•"/>
      <w:lvlJc w:val="left"/>
      <w:pPr>
        <w:ind w:left="9908" w:hanging="681"/>
      </w:pPr>
      <w:rPr>
        <w:rFonts w:hint="default"/>
      </w:rPr>
    </w:lvl>
  </w:abstractNum>
  <w:abstractNum w:abstractNumId="90">
    <w:multiLevelType w:val="hybridMultilevel"/>
    <w:lvl w:ilvl="0">
      <w:start w:val="1"/>
      <w:numFmt w:val="lowerLetter"/>
      <w:lvlText w:val="%1."/>
      <w:lvlJc w:val="left"/>
      <w:pPr>
        <w:ind w:left="2664" w:hanging="681"/>
        <w:jc w:val="left"/>
      </w:pPr>
      <w:rPr>
        <w:rFonts w:hint="default" w:ascii="Calibri" w:hAnsi="Calibri" w:eastAsia="Calibri" w:cs="Calibri"/>
        <w:w w:val="113"/>
        <w:sz w:val="20"/>
        <w:szCs w:val="20"/>
      </w:rPr>
    </w:lvl>
    <w:lvl w:ilvl="1">
      <w:start w:val="0"/>
      <w:numFmt w:val="bullet"/>
      <w:lvlText w:val="•"/>
      <w:lvlJc w:val="left"/>
      <w:pPr>
        <w:ind w:left="3584" w:hanging="681"/>
      </w:pPr>
      <w:rPr>
        <w:rFonts w:hint="default"/>
      </w:rPr>
    </w:lvl>
    <w:lvl w:ilvl="2">
      <w:start w:val="0"/>
      <w:numFmt w:val="bullet"/>
      <w:lvlText w:val="•"/>
      <w:lvlJc w:val="left"/>
      <w:pPr>
        <w:ind w:left="4509" w:hanging="681"/>
      </w:pPr>
      <w:rPr>
        <w:rFonts w:hint="default"/>
      </w:rPr>
    </w:lvl>
    <w:lvl w:ilvl="3">
      <w:start w:val="0"/>
      <w:numFmt w:val="bullet"/>
      <w:lvlText w:val="•"/>
      <w:lvlJc w:val="left"/>
      <w:pPr>
        <w:ind w:left="5433" w:hanging="681"/>
      </w:pPr>
      <w:rPr>
        <w:rFonts w:hint="default"/>
      </w:rPr>
    </w:lvl>
    <w:lvl w:ilvl="4">
      <w:start w:val="0"/>
      <w:numFmt w:val="bullet"/>
      <w:lvlText w:val="•"/>
      <w:lvlJc w:val="left"/>
      <w:pPr>
        <w:ind w:left="6358" w:hanging="681"/>
      </w:pPr>
      <w:rPr>
        <w:rFonts w:hint="default"/>
      </w:rPr>
    </w:lvl>
    <w:lvl w:ilvl="5">
      <w:start w:val="0"/>
      <w:numFmt w:val="bullet"/>
      <w:lvlText w:val="•"/>
      <w:lvlJc w:val="left"/>
      <w:pPr>
        <w:ind w:left="7282" w:hanging="681"/>
      </w:pPr>
      <w:rPr>
        <w:rFonts w:hint="default"/>
      </w:rPr>
    </w:lvl>
    <w:lvl w:ilvl="6">
      <w:start w:val="0"/>
      <w:numFmt w:val="bullet"/>
      <w:lvlText w:val="•"/>
      <w:lvlJc w:val="left"/>
      <w:pPr>
        <w:ind w:left="8207" w:hanging="681"/>
      </w:pPr>
      <w:rPr>
        <w:rFonts w:hint="default"/>
      </w:rPr>
    </w:lvl>
    <w:lvl w:ilvl="7">
      <w:start w:val="0"/>
      <w:numFmt w:val="bullet"/>
      <w:lvlText w:val="•"/>
      <w:lvlJc w:val="left"/>
      <w:pPr>
        <w:ind w:left="9131" w:hanging="681"/>
      </w:pPr>
      <w:rPr>
        <w:rFonts w:hint="default"/>
      </w:rPr>
    </w:lvl>
    <w:lvl w:ilvl="8">
      <w:start w:val="0"/>
      <w:numFmt w:val="bullet"/>
      <w:lvlText w:val="•"/>
      <w:lvlJc w:val="left"/>
      <w:pPr>
        <w:ind w:left="10056" w:hanging="681"/>
      </w:pPr>
      <w:rPr>
        <w:rFonts w:hint="default"/>
      </w:rPr>
    </w:lvl>
  </w:abstractNum>
  <w:abstractNum w:abstractNumId="89">
    <w:multiLevelType w:val="hybridMultilevel"/>
    <w:lvl w:ilvl="0">
      <w:start w:val="1"/>
      <w:numFmt w:val="lowerLetter"/>
      <w:lvlText w:val="%1."/>
      <w:lvlJc w:val="left"/>
      <w:pPr>
        <w:ind w:left="2664" w:hanging="681"/>
        <w:jc w:val="left"/>
      </w:pPr>
      <w:rPr>
        <w:rFonts w:hint="default" w:ascii="Calibri" w:hAnsi="Calibri" w:eastAsia="Calibri" w:cs="Calibri"/>
        <w:w w:val="113"/>
        <w:sz w:val="20"/>
        <w:szCs w:val="20"/>
      </w:rPr>
    </w:lvl>
    <w:lvl w:ilvl="1">
      <w:start w:val="0"/>
      <w:numFmt w:val="bullet"/>
      <w:lvlText w:val="•"/>
      <w:lvlJc w:val="left"/>
      <w:pPr>
        <w:ind w:left="3584" w:hanging="681"/>
      </w:pPr>
      <w:rPr>
        <w:rFonts w:hint="default"/>
      </w:rPr>
    </w:lvl>
    <w:lvl w:ilvl="2">
      <w:start w:val="0"/>
      <w:numFmt w:val="bullet"/>
      <w:lvlText w:val="•"/>
      <w:lvlJc w:val="left"/>
      <w:pPr>
        <w:ind w:left="4509" w:hanging="681"/>
      </w:pPr>
      <w:rPr>
        <w:rFonts w:hint="default"/>
      </w:rPr>
    </w:lvl>
    <w:lvl w:ilvl="3">
      <w:start w:val="0"/>
      <w:numFmt w:val="bullet"/>
      <w:lvlText w:val="•"/>
      <w:lvlJc w:val="left"/>
      <w:pPr>
        <w:ind w:left="5433" w:hanging="681"/>
      </w:pPr>
      <w:rPr>
        <w:rFonts w:hint="default"/>
      </w:rPr>
    </w:lvl>
    <w:lvl w:ilvl="4">
      <w:start w:val="0"/>
      <w:numFmt w:val="bullet"/>
      <w:lvlText w:val="•"/>
      <w:lvlJc w:val="left"/>
      <w:pPr>
        <w:ind w:left="6358" w:hanging="681"/>
      </w:pPr>
      <w:rPr>
        <w:rFonts w:hint="default"/>
      </w:rPr>
    </w:lvl>
    <w:lvl w:ilvl="5">
      <w:start w:val="0"/>
      <w:numFmt w:val="bullet"/>
      <w:lvlText w:val="•"/>
      <w:lvlJc w:val="left"/>
      <w:pPr>
        <w:ind w:left="7282" w:hanging="681"/>
      </w:pPr>
      <w:rPr>
        <w:rFonts w:hint="default"/>
      </w:rPr>
    </w:lvl>
    <w:lvl w:ilvl="6">
      <w:start w:val="0"/>
      <w:numFmt w:val="bullet"/>
      <w:lvlText w:val="•"/>
      <w:lvlJc w:val="left"/>
      <w:pPr>
        <w:ind w:left="8207" w:hanging="681"/>
      </w:pPr>
      <w:rPr>
        <w:rFonts w:hint="default"/>
      </w:rPr>
    </w:lvl>
    <w:lvl w:ilvl="7">
      <w:start w:val="0"/>
      <w:numFmt w:val="bullet"/>
      <w:lvlText w:val="•"/>
      <w:lvlJc w:val="left"/>
      <w:pPr>
        <w:ind w:left="9131" w:hanging="681"/>
      </w:pPr>
      <w:rPr>
        <w:rFonts w:hint="default"/>
      </w:rPr>
    </w:lvl>
    <w:lvl w:ilvl="8">
      <w:start w:val="0"/>
      <w:numFmt w:val="bullet"/>
      <w:lvlText w:val="•"/>
      <w:lvlJc w:val="left"/>
      <w:pPr>
        <w:ind w:left="10056" w:hanging="681"/>
      </w:pPr>
      <w:rPr>
        <w:rFonts w:hint="default"/>
      </w:rPr>
    </w:lvl>
  </w:abstractNum>
  <w:abstractNum w:abstractNumId="88">
    <w:multiLevelType w:val="hybridMultilevel"/>
    <w:lvl w:ilvl="0">
      <w:start w:val="1"/>
      <w:numFmt w:val="decimal"/>
      <w:lvlText w:val="%1."/>
      <w:lvlJc w:val="left"/>
      <w:pPr>
        <w:ind w:left="1927" w:hanging="681"/>
        <w:jc w:val="right"/>
      </w:pPr>
      <w:rPr>
        <w:rFonts w:hint="default" w:ascii="Stone Sans II ITC Std Bk" w:hAnsi="Stone Sans II ITC Std Bk" w:eastAsia="Stone Sans II ITC Std Bk" w:cs="Stone Sans II ITC Std Bk"/>
        <w:b/>
        <w:bCs/>
        <w:spacing w:val="-15"/>
        <w:w w:val="110"/>
        <w:sz w:val="29"/>
        <w:szCs w:val="29"/>
      </w:rPr>
    </w:lvl>
    <w:lvl w:ilvl="1">
      <w:start w:val="1"/>
      <w:numFmt w:val="decimal"/>
      <w:lvlText w:val="%1.%2"/>
      <w:lvlJc w:val="left"/>
      <w:pPr>
        <w:ind w:left="1927" w:hanging="681"/>
        <w:jc w:val="right"/>
      </w:pPr>
      <w:rPr>
        <w:rFonts w:hint="default" w:ascii="Calibri" w:hAnsi="Calibri" w:eastAsia="Calibri" w:cs="Calibri"/>
        <w:spacing w:val="-18"/>
        <w:w w:val="125"/>
        <w:sz w:val="20"/>
        <w:szCs w:val="20"/>
      </w:rPr>
    </w:lvl>
    <w:lvl w:ilvl="2">
      <w:start w:val="1"/>
      <w:numFmt w:val="decimal"/>
      <w:lvlText w:val="%1.%2.%3"/>
      <w:lvlJc w:val="left"/>
      <w:pPr>
        <w:ind w:left="1247" w:hanging="681"/>
        <w:jc w:val="left"/>
      </w:pPr>
      <w:rPr>
        <w:rFonts w:hint="default" w:ascii="Calibri" w:hAnsi="Calibri" w:eastAsia="Calibri" w:cs="Calibri"/>
        <w:spacing w:val="-18"/>
        <w:w w:val="125"/>
        <w:sz w:val="20"/>
        <w:szCs w:val="20"/>
      </w:rPr>
    </w:lvl>
    <w:lvl w:ilvl="3">
      <w:start w:val="0"/>
      <w:numFmt w:val="bullet"/>
      <w:lvlText w:val="•"/>
      <w:lvlJc w:val="left"/>
      <w:pPr>
        <w:ind w:left="3220" w:hanging="681"/>
      </w:pPr>
      <w:rPr>
        <w:rFonts w:hint="default"/>
      </w:rPr>
    </w:lvl>
    <w:lvl w:ilvl="4">
      <w:start w:val="0"/>
      <w:numFmt w:val="bullet"/>
      <w:lvlText w:val="•"/>
      <w:lvlJc w:val="left"/>
      <w:pPr>
        <w:ind w:left="4461" w:hanging="681"/>
      </w:pPr>
      <w:rPr>
        <w:rFonts w:hint="default"/>
      </w:rPr>
    </w:lvl>
    <w:lvl w:ilvl="5">
      <w:start w:val="0"/>
      <w:numFmt w:val="bullet"/>
      <w:lvlText w:val="•"/>
      <w:lvlJc w:val="left"/>
      <w:pPr>
        <w:ind w:left="5702" w:hanging="681"/>
      </w:pPr>
      <w:rPr>
        <w:rFonts w:hint="default"/>
      </w:rPr>
    </w:lvl>
    <w:lvl w:ilvl="6">
      <w:start w:val="0"/>
      <w:numFmt w:val="bullet"/>
      <w:lvlText w:val="•"/>
      <w:lvlJc w:val="left"/>
      <w:pPr>
        <w:ind w:left="6942" w:hanging="681"/>
      </w:pPr>
      <w:rPr>
        <w:rFonts w:hint="default"/>
      </w:rPr>
    </w:lvl>
    <w:lvl w:ilvl="7">
      <w:start w:val="0"/>
      <w:numFmt w:val="bullet"/>
      <w:lvlText w:val="•"/>
      <w:lvlJc w:val="left"/>
      <w:pPr>
        <w:ind w:left="8183" w:hanging="681"/>
      </w:pPr>
      <w:rPr>
        <w:rFonts w:hint="default"/>
      </w:rPr>
    </w:lvl>
    <w:lvl w:ilvl="8">
      <w:start w:val="0"/>
      <w:numFmt w:val="bullet"/>
      <w:lvlText w:val="•"/>
      <w:lvlJc w:val="left"/>
      <w:pPr>
        <w:ind w:left="9424" w:hanging="681"/>
      </w:pPr>
      <w:rPr>
        <w:rFonts w:hint="default"/>
      </w:rPr>
    </w:lvl>
  </w:abstractNum>
  <w:abstractNum w:abstractNumId="87">
    <w:multiLevelType w:val="hybridMultilevel"/>
    <w:lvl w:ilvl="0">
      <w:start w:val="1"/>
      <w:numFmt w:val="decimal"/>
      <w:lvlText w:val="%1."/>
      <w:lvlJc w:val="left"/>
      <w:pPr>
        <w:ind w:left="2664" w:hanging="681"/>
        <w:jc w:val="right"/>
      </w:pPr>
      <w:rPr>
        <w:rFonts w:hint="default" w:ascii="Stone Sans II ITC Std Bk" w:hAnsi="Stone Sans II ITC Std Bk" w:eastAsia="Stone Sans II ITC Std Bk" w:cs="Stone Sans II ITC Std Bk"/>
        <w:b/>
        <w:bCs/>
        <w:spacing w:val="-15"/>
        <w:w w:val="110"/>
        <w:sz w:val="29"/>
        <w:szCs w:val="29"/>
      </w:rPr>
    </w:lvl>
    <w:lvl w:ilvl="1">
      <w:start w:val="1"/>
      <w:numFmt w:val="decimal"/>
      <w:lvlText w:val="%2."/>
      <w:lvlJc w:val="left"/>
      <w:pPr>
        <w:ind w:left="2664" w:hanging="681"/>
        <w:jc w:val="right"/>
      </w:pPr>
      <w:rPr>
        <w:rFonts w:hint="default" w:ascii="Stone Sans II ITC Std Bk" w:hAnsi="Stone Sans II ITC Std Bk" w:eastAsia="Stone Sans II ITC Std Bk" w:cs="Stone Sans II ITC Std Bk"/>
        <w:b/>
        <w:bCs/>
        <w:spacing w:val="-15"/>
        <w:w w:val="110"/>
        <w:sz w:val="29"/>
        <w:szCs w:val="29"/>
      </w:rPr>
    </w:lvl>
    <w:lvl w:ilvl="2">
      <w:start w:val="1"/>
      <w:numFmt w:val="decimal"/>
      <w:lvlText w:val="%2.%3"/>
      <w:lvlJc w:val="left"/>
      <w:pPr>
        <w:ind w:left="1984" w:hanging="681"/>
        <w:jc w:val="left"/>
      </w:pPr>
      <w:rPr>
        <w:rFonts w:hint="default" w:ascii="Calibri" w:hAnsi="Calibri" w:eastAsia="Calibri" w:cs="Calibri"/>
        <w:spacing w:val="-18"/>
        <w:w w:val="125"/>
        <w:sz w:val="20"/>
        <w:szCs w:val="20"/>
      </w:rPr>
    </w:lvl>
    <w:lvl w:ilvl="3">
      <w:start w:val="0"/>
      <w:numFmt w:val="bullet"/>
      <w:lvlText w:val="•"/>
      <w:lvlJc w:val="left"/>
      <w:pPr>
        <w:ind w:left="2660" w:hanging="681"/>
      </w:pPr>
      <w:rPr>
        <w:rFonts w:hint="default"/>
      </w:rPr>
    </w:lvl>
    <w:lvl w:ilvl="4">
      <w:start w:val="0"/>
      <w:numFmt w:val="bullet"/>
      <w:lvlText w:val="•"/>
      <w:lvlJc w:val="left"/>
      <w:pPr>
        <w:ind w:left="3980" w:hanging="681"/>
      </w:pPr>
      <w:rPr>
        <w:rFonts w:hint="default"/>
      </w:rPr>
    </w:lvl>
    <w:lvl w:ilvl="5">
      <w:start w:val="0"/>
      <w:numFmt w:val="bullet"/>
      <w:lvlText w:val="•"/>
      <w:lvlJc w:val="left"/>
      <w:pPr>
        <w:ind w:left="5301" w:hanging="681"/>
      </w:pPr>
      <w:rPr>
        <w:rFonts w:hint="default"/>
      </w:rPr>
    </w:lvl>
    <w:lvl w:ilvl="6">
      <w:start w:val="0"/>
      <w:numFmt w:val="bullet"/>
      <w:lvlText w:val="•"/>
      <w:lvlJc w:val="left"/>
      <w:pPr>
        <w:ind w:left="6622" w:hanging="681"/>
      </w:pPr>
      <w:rPr>
        <w:rFonts w:hint="default"/>
      </w:rPr>
    </w:lvl>
    <w:lvl w:ilvl="7">
      <w:start w:val="0"/>
      <w:numFmt w:val="bullet"/>
      <w:lvlText w:val="•"/>
      <w:lvlJc w:val="left"/>
      <w:pPr>
        <w:ind w:left="7943" w:hanging="681"/>
      </w:pPr>
      <w:rPr>
        <w:rFonts w:hint="default"/>
      </w:rPr>
    </w:lvl>
    <w:lvl w:ilvl="8">
      <w:start w:val="0"/>
      <w:numFmt w:val="bullet"/>
      <w:lvlText w:val="•"/>
      <w:lvlJc w:val="left"/>
      <w:pPr>
        <w:ind w:left="9263" w:hanging="681"/>
      </w:pPr>
      <w:rPr>
        <w:rFonts w:hint="default"/>
      </w:rPr>
    </w:lvl>
  </w:abstractNum>
  <w:abstractNum w:abstractNumId="86">
    <w:multiLevelType w:val="hybridMultilevel"/>
    <w:lvl w:ilvl="0">
      <w:start w:val="1"/>
      <w:numFmt w:val="decimal"/>
      <w:lvlText w:val="%1."/>
      <w:lvlJc w:val="left"/>
      <w:pPr>
        <w:ind w:left="1927" w:hanging="681"/>
        <w:jc w:val="left"/>
      </w:pPr>
      <w:rPr>
        <w:rFonts w:hint="default" w:ascii="Stone Sans II ITC Std Bk" w:hAnsi="Stone Sans II ITC Std Bk" w:eastAsia="Stone Sans II ITC Std Bk" w:cs="Stone Sans II ITC Std Bk"/>
        <w:b/>
        <w:bCs/>
        <w:spacing w:val="-15"/>
        <w:w w:val="110"/>
        <w:sz w:val="29"/>
        <w:szCs w:val="29"/>
      </w:rPr>
    </w:lvl>
    <w:lvl w:ilvl="1">
      <w:start w:val="1"/>
      <w:numFmt w:val="decimal"/>
      <w:lvlText w:val="%1.%2"/>
      <w:lvlJc w:val="left"/>
      <w:pPr>
        <w:ind w:left="1247" w:hanging="681"/>
        <w:jc w:val="left"/>
      </w:pPr>
      <w:rPr>
        <w:rFonts w:hint="default" w:ascii="Calibri" w:hAnsi="Calibri" w:eastAsia="Calibri" w:cs="Calibri"/>
        <w:spacing w:val="-18"/>
        <w:w w:val="125"/>
        <w:sz w:val="20"/>
        <w:szCs w:val="20"/>
      </w:rPr>
    </w:lvl>
    <w:lvl w:ilvl="2">
      <w:start w:val="0"/>
      <w:numFmt w:val="bullet"/>
      <w:lvlText w:val="•"/>
      <w:lvlJc w:val="left"/>
      <w:pPr>
        <w:ind w:left="3029" w:hanging="681"/>
      </w:pPr>
      <w:rPr>
        <w:rFonts w:hint="default"/>
      </w:rPr>
    </w:lvl>
    <w:lvl w:ilvl="3">
      <w:start w:val="0"/>
      <w:numFmt w:val="bullet"/>
      <w:lvlText w:val="•"/>
      <w:lvlJc w:val="left"/>
      <w:pPr>
        <w:ind w:left="4139" w:hanging="681"/>
      </w:pPr>
      <w:rPr>
        <w:rFonts w:hint="default"/>
      </w:rPr>
    </w:lvl>
    <w:lvl w:ilvl="4">
      <w:start w:val="0"/>
      <w:numFmt w:val="bullet"/>
      <w:lvlText w:val="•"/>
      <w:lvlJc w:val="left"/>
      <w:pPr>
        <w:ind w:left="5248" w:hanging="681"/>
      </w:pPr>
      <w:rPr>
        <w:rFonts w:hint="default"/>
      </w:rPr>
    </w:lvl>
    <w:lvl w:ilvl="5">
      <w:start w:val="0"/>
      <w:numFmt w:val="bullet"/>
      <w:lvlText w:val="•"/>
      <w:lvlJc w:val="left"/>
      <w:pPr>
        <w:ind w:left="6358" w:hanging="681"/>
      </w:pPr>
      <w:rPr>
        <w:rFonts w:hint="default"/>
      </w:rPr>
    </w:lvl>
    <w:lvl w:ilvl="6">
      <w:start w:val="0"/>
      <w:numFmt w:val="bullet"/>
      <w:lvlText w:val="•"/>
      <w:lvlJc w:val="left"/>
      <w:pPr>
        <w:ind w:left="7467" w:hanging="681"/>
      </w:pPr>
      <w:rPr>
        <w:rFonts w:hint="default"/>
      </w:rPr>
    </w:lvl>
    <w:lvl w:ilvl="7">
      <w:start w:val="0"/>
      <w:numFmt w:val="bullet"/>
      <w:lvlText w:val="•"/>
      <w:lvlJc w:val="left"/>
      <w:pPr>
        <w:ind w:left="8577" w:hanging="681"/>
      </w:pPr>
      <w:rPr>
        <w:rFonts w:hint="default"/>
      </w:rPr>
    </w:lvl>
    <w:lvl w:ilvl="8">
      <w:start w:val="0"/>
      <w:numFmt w:val="bullet"/>
      <w:lvlText w:val="•"/>
      <w:lvlJc w:val="left"/>
      <w:pPr>
        <w:ind w:left="9686" w:hanging="681"/>
      </w:pPr>
      <w:rPr>
        <w:rFonts w:hint="default"/>
      </w:rPr>
    </w:lvl>
  </w:abstractNum>
  <w:abstractNum w:abstractNumId="85">
    <w:multiLevelType w:val="hybridMultilevel"/>
    <w:lvl w:ilvl="0">
      <w:start w:val="6"/>
      <w:numFmt w:val="decimal"/>
      <w:lvlText w:val="%1"/>
      <w:lvlJc w:val="left"/>
      <w:pPr>
        <w:ind w:left="1927" w:hanging="681"/>
        <w:jc w:val="left"/>
      </w:pPr>
      <w:rPr>
        <w:rFonts w:hint="default"/>
      </w:rPr>
    </w:lvl>
    <w:lvl w:ilvl="1">
      <w:start w:val="14"/>
      <w:numFmt w:val="decimal"/>
      <w:lvlText w:val="%1.%2"/>
      <w:lvlJc w:val="left"/>
      <w:pPr>
        <w:ind w:left="1927" w:hanging="681"/>
        <w:jc w:val="left"/>
      </w:pPr>
      <w:rPr>
        <w:rFonts w:hint="default" w:ascii="Stone Sans II ITC Std Bk" w:hAnsi="Stone Sans II ITC Std Bk" w:eastAsia="Stone Sans II ITC Std Bk" w:cs="Stone Sans II ITC Std Bk"/>
        <w:b/>
        <w:bCs/>
        <w:spacing w:val="-18"/>
        <w:w w:val="110"/>
        <w:sz w:val="20"/>
        <w:szCs w:val="20"/>
      </w:rPr>
    </w:lvl>
    <w:lvl w:ilvl="2">
      <w:start w:val="0"/>
      <w:numFmt w:val="bullet"/>
      <w:lvlText w:val="•"/>
      <w:lvlJc w:val="left"/>
      <w:pPr>
        <w:ind w:left="3917" w:hanging="681"/>
      </w:pPr>
      <w:rPr>
        <w:rFonts w:hint="default"/>
      </w:rPr>
    </w:lvl>
    <w:lvl w:ilvl="3">
      <w:start w:val="0"/>
      <w:numFmt w:val="bullet"/>
      <w:lvlText w:val="•"/>
      <w:lvlJc w:val="left"/>
      <w:pPr>
        <w:ind w:left="4915" w:hanging="681"/>
      </w:pPr>
      <w:rPr>
        <w:rFonts w:hint="default"/>
      </w:rPr>
    </w:lvl>
    <w:lvl w:ilvl="4">
      <w:start w:val="0"/>
      <w:numFmt w:val="bullet"/>
      <w:lvlText w:val="•"/>
      <w:lvlJc w:val="left"/>
      <w:pPr>
        <w:ind w:left="5914" w:hanging="681"/>
      </w:pPr>
      <w:rPr>
        <w:rFonts w:hint="default"/>
      </w:rPr>
    </w:lvl>
    <w:lvl w:ilvl="5">
      <w:start w:val="0"/>
      <w:numFmt w:val="bullet"/>
      <w:lvlText w:val="•"/>
      <w:lvlJc w:val="left"/>
      <w:pPr>
        <w:ind w:left="6912" w:hanging="681"/>
      </w:pPr>
      <w:rPr>
        <w:rFonts w:hint="default"/>
      </w:rPr>
    </w:lvl>
    <w:lvl w:ilvl="6">
      <w:start w:val="0"/>
      <w:numFmt w:val="bullet"/>
      <w:lvlText w:val="•"/>
      <w:lvlJc w:val="left"/>
      <w:pPr>
        <w:ind w:left="7911" w:hanging="681"/>
      </w:pPr>
      <w:rPr>
        <w:rFonts w:hint="default"/>
      </w:rPr>
    </w:lvl>
    <w:lvl w:ilvl="7">
      <w:start w:val="0"/>
      <w:numFmt w:val="bullet"/>
      <w:lvlText w:val="•"/>
      <w:lvlJc w:val="left"/>
      <w:pPr>
        <w:ind w:left="8909" w:hanging="681"/>
      </w:pPr>
      <w:rPr>
        <w:rFonts w:hint="default"/>
      </w:rPr>
    </w:lvl>
    <w:lvl w:ilvl="8">
      <w:start w:val="0"/>
      <w:numFmt w:val="bullet"/>
      <w:lvlText w:val="•"/>
      <w:lvlJc w:val="left"/>
      <w:pPr>
        <w:ind w:left="9908" w:hanging="681"/>
      </w:pPr>
      <w:rPr>
        <w:rFonts w:hint="default"/>
      </w:rPr>
    </w:lvl>
  </w:abstractNum>
  <w:abstractNum w:abstractNumId="84">
    <w:multiLevelType w:val="hybridMultilevel"/>
    <w:lvl w:ilvl="0">
      <w:start w:val="6"/>
      <w:numFmt w:val="decimal"/>
      <w:lvlText w:val="%1"/>
      <w:lvlJc w:val="left"/>
      <w:pPr>
        <w:ind w:left="1927" w:hanging="681"/>
        <w:jc w:val="left"/>
      </w:pPr>
      <w:rPr>
        <w:rFonts w:hint="default"/>
      </w:rPr>
    </w:lvl>
    <w:lvl w:ilvl="1">
      <w:start w:val="5"/>
      <w:numFmt w:val="decimal"/>
      <w:lvlText w:val="%1.%2"/>
      <w:lvlJc w:val="left"/>
      <w:pPr>
        <w:ind w:left="1927" w:hanging="681"/>
        <w:jc w:val="right"/>
      </w:pPr>
      <w:rPr>
        <w:rFonts w:hint="default"/>
        <w:b/>
        <w:bCs/>
        <w:spacing w:val="-1"/>
        <w:w w:val="110"/>
      </w:rPr>
    </w:lvl>
    <w:lvl w:ilvl="2">
      <w:start w:val="1"/>
      <w:numFmt w:val="decimal"/>
      <w:lvlText w:val="%1.%2.%3"/>
      <w:lvlJc w:val="left"/>
      <w:pPr>
        <w:ind w:left="1927" w:hanging="681"/>
        <w:jc w:val="right"/>
      </w:pPr>
      <w:rPr>
        <w:rFonts w:hint="default" w:ascii="Stone Sans II ITC Std Bk" w:hAnsi="Stone Sans II ITC Std Bk" w:eastAsia="Stone Sans II ITC Std Bk" w:cs="Stone Sans II ITC Std Bk"/>
        <w:b/>
        <w:bCs/>
        <w:spacing w:val="-26"/>
        <w:w w:val="110"/>
        <w:sz w:val="20"/>
        <w:szCs w:val="20"/>
      </w:rPr>
    </w:lvl>
    <w:lvl w:ilvl="3">
      <w:start w:val="0"/>
      <w:numFmt w:val="bullet"/>
      <w:lvlText w:val="•"/>
      <w:lvlJc w:val="left"/>
      <w:pPr>
        <w:ind w:left="4714" w:hanging="681"/>
      </w:pPr>
      <w:rPr>
        <w:rFonts w:hint="default"/>
      </w:rPr>
    </w:lvl>
    <w:lvl w:ilvl="4">
      <w:start w:val="0"/>
      <w:numFmt w:val="bullet"/>
      <w:lvlText w:val="•"/>
      <w:lvlJc w:val="left"/>
      <w:pPr>
        <w:ind w:left="5741" w:hanging="681"/>
      </w:pPr>
      <w:rPr>
        <w:rFonts w:hint="default"/>
      </w:rPr>
    </w:lvl>
    <w:lvl w:ilvl="5">
      <w:start w:val="0"/>
      <w:numFmt w:val="bullet"/>
      <w:lvlText w:val="•"/>
      <w:lvlJc w:val="left"/>
      <w:pPr>
        <w:ind w:left="6769" w:hanging="681"/>
      </w:pPr>
      <w:rPr>
        <w:rFonts w:hint="default"/>
      </w:rPr>
    </w:lvl>
    <w:lvl w:ilvl="6">
      <w:start w:val="0"/>
      <w:numFmt w:val="bullet"/>
      <w:lvlText w:val="•"/>
      <w:lvlJc w:val="left"/>
      <w:pPr>
        <w:ind w:left="7796" w:hanging="681"/>
      </w:pPr>
      <w:rPr>
        <w:rFonts w:hint="default"/>
      </w:rPr>
    </w:lvl>
    <w:lvl w:ilvl="7">
      <w:start w:val="0"/>
      <w:numFmt w:val="bullet"/>
      <w:lvlText w:val="•"/>
      <w:lvlJc w:val="left"/>
      <w:pPr>
        <w:ind w:left="8823" w:hanging="681"/>
      </w:pPr>
      <w:rPr>
        <w:rFonts w:hint="default"/>
      </w:rPr>
    </w:lvl>
    <w:lvl w:ilvl="8">
      <w:start w:val="0"/>
      <w:numFmt w:val="bullet"/>
      <w:lvlText w:val="•"/>
      <w:lvlJc w:val="left"/>
      <w:pPr>
        <w:ind w:left="9850" w:hanging="681"/>
      </w:pPr>
      <w:rPr>
        <w:rFonts w:hint="default"/>
      </w:rPr>
    </w:lvl>
  </w:abstractNum>
  <w:abstractNum w:abstractNumId="83">
    <w:multiLevelType w:val="hybridMultilevel"/>
    <w:lvl w:ilvl="0">
      <w:start w:val="4"/>
      <w:numFmt w:val="decimal"/>
      <w:lvlText w:val="%1"/>
      <w:lvlJc w:val="left"/>
      <w:pPr>
        <w:ind w:left="1927" w:hanging="681"/>
        <w:jc w:val="left"/>
      </w:pPr>
      <w:rPr>
        <w:rFonts w:hint="default"/>
      </w:rPr>
    </w:lvl>
    <w:lvl w:ilvl="1">
      <w:start w:val="11"/>
      <w:numFmt w:val="decimal"/>
      <w:lvlText w:val="%1.%2"/>
      <w:lvlJc w:val="left"/>
      <w:pPr>
        <w:ind w:left="1927" w:hanging="681"/>
        <w:jc w:val="right"/>
      </w:pPr>
      <w:rPr>
        <w:rFonts w:hint="default" w:ascii="Stone Sans II ITC Std Bk" w:hAnsi="Stone Sans II ITC Std Bk" w:eastAsia="Stone Sans II ITC Std Bk" w:cs="Stone Sans II ITC Std Bk"/>
        <w:b/>
        <w:bCs/>
        <w:spacing w:val="-22"/>
        <w:w w:val="110"/>
        <w:sz w:val="20"/>
        <w:szCs w:val="20"/>
      </w:rPr>
    </w:lvl>
    <w:lvl w:ilvl="2">
      <w:start w:val="1"/>
      <w:numFmt w:val="decimal"/>
      <w:lvlText w:val="%1.%2.%3"/>
      <w:lvlJc w:val="left"/>
      <w:pPr>
        <w:ind w:left="2466" w:hanging="681"/>
        <w:jc w:val="left"/>
      </w:pPr>
      <w:rPr>
        <w:rFonts w:hint="default" w:ascii="Stone Sans II ITC Std Bk" w:hAnsi="Stone Sans II ITC Std Bk" w:eastAsia="Stone Sans II ITC Std Bk" w:cs="Stone Sans II ITC Std Bk"/>
        <w:b/>
        <w:bCs/>
        <w:spacing w:val="-22"/>
        <w:w w:val="110"/>
        <w:sz w:val="20"/>
        <w:szCs w:val="20"/>
      </w:rPr>
    </w:lvl>
    <w:lvl w:ilvl="3">
      <w:start w:val="0"/>
      <w:numFmt w:val="bullet"/>
      <w:lvlText w:val="•"/>
      <w:lvlJc w:val="left"/>
      <w:pPr>
        <w:ind w:left="4559" w:hanging="681"/>
      </w:pPr>
      <w:rPr>
        <w:rFonts w:hint="default"/>
      </w:rPr>
    </w:lvl>
    <w:lvl w:ilvl="4">
      <w:start w:val="0"/>
      <w:numFmt w:val="bullet"/>
      <w:lvlText w:val="•"/>
      <w:lvlJc w:val="left"/>
      <w:pPr>
        <w:ind w:left="5608" w:hanging="681"/>
      </w:pPr>
      <w:rPr>
        <w:rFonts w:hint="default"/>
      </w:rPr>
    </w:lvl>
    <w:lvl w:ilvl="5">
      <w:start w:val="0"/>
      <w:numFmt w:val="bullet"/>
      <w:lvlText w:val="•"/>
      <w:lvlJc w:val="left"/>
      <w:pPr>
        <w:ind w:left="6658" w:hanging="681"/>
      </w:pPr>
      <w:rPr>
        <w:rFonts w:hint="default"/>
      </w:rPr>
    </w:lvl>
    <w:lvl w:ilvl="6">
      <w:start w:val="0"/>
      <w:numFmt w:val="bullet"/>
      <w:lvlText w:val="•"/>
      <w:lvlJc w:val="left"/>
      <w:pPr>
        <w:ind w:left="7707" w:hanging="681"/>
      </w:pPr>
      <w:rPr>
        <w:rFonts w:hint="default"/>
      </w:rPr>
    </w:lvl>
    <w:lvl w:ilvl="7">
      <w:start w:val="0"/>
      <w:numFmt w:val="bullet"/>
      <w:lvlText w:val="•"/>
      <w:lvlJc w:val="left"/>
      <w:pPr>
        <w:ind w:left="8757" w:hanging="681"/>
      </w:pPr>
      <w:rPr>
        <w:rFonts w:hint="default"/>
      </w:rPr>
    </w:lvl>
    <w:lvl w:ilvl="8">
      <w:start w:val="0"/>
      <w:numFmt w:val="bullet"/>
      <w:lvlText w:val="•"/>
      <w:lvlJc w:val="left"/>
      <w:pPr>
        <w:ind w:left="9806" w:hanging="681"/>
      </w:pPr>
      <w:rPr>
        <w:rFonts w:hint="default"/>
      </w:rPr>
    </w:lvl>
  </w:abstractNum>
  <w:abstractNum w:abstractNumId="82">
    <w:multiLevelType w:val="hybridMultilevel"/>
    <w:lvl w:ilvl="0">
      <w:start w:val="2"/>
      <w:numFmt w:val="decimal"/>
      <w:lvlText w:val="%1"/>
      <w:lvlJc w:val="left"/>
      <w:pPr>
        <w:ind w:left="1927" w:hanging="681"/>
        <w:jc w:val="left"/>
      </w:pPr>
      <w:rPr>
        <w:rFonts w:hint="default"/>
      </w:rPr>
    </w:lvl>
    <w:lvl w:ilvl="1">
      <w:start w:val="1"/>
      <w:numFmt w:val="decimal"/>
      <w:lvlText w:val="%1.%2"/>
      <w:lvlJc w:val="left"/>
      <w:pPr>
        <w:ind w:left="1927" w:hanging="681"/>
        <w:jc w:val="left"/>
      </w:pPr>
      <w:rPr>
        <w:rFonts w:hint="default"/>
      </w:rPr>
    </w:lvl>
    <w:lvl w:ilvl="2">
      <w:start w:val="1"/>
      <w:numFmt w:val="decimal"/>
      <w:lvlText w:val="%1.%2.%3"/>
      <w:lvlJc w:val="left"/>
      <w:pPr>
        <w:ind w:left="1927" w:hanging="681"/>
        <w:jc w:val="left"/>
      </w:pPr>
      <w:rPr>
        <w:rFonts w:hint="default" w:ascii="Stone Sans II ITC Std Bk" w:hAnsi="Stone Sans II ITC Std Bk" w:eastAsia="Stone Sans II ITC Std Bk" w:cs="Stone Sans II ITC Std Bk"/>
        <w:b/>
        <w:bCs/>
        <w:spacing w:val="-18"/>
        <w:w w:val="110"/>
        <w:sz w:val="20"/>
        <w:szCs w:val="20"/>
      </w:rPr>
    </w:lvl>
    <w:lvl w:ilvl="3">
      <w:start w:val="0"/>
      <w:numFmt w:val="bullet"/>
      <w:lvlText w:val="•"/>
      <w:lvlJc w:val="left"/>
      <w:pPr>
        <w:ind w:left="4915" w:hanging="681"/>
      </w:pPr>
      <w:rPr>
        <w:rFonts w:hint="default"/>
      </w:rPr>
    </w:lvl>
    <w:lvl w:ilvl="4">
      <w:start w:val="0"/>
      <w:numFmt w:val="bullet"/>
      <w:lvlText w:val="•"/>
      <w:lvlJc w:val="left"/>
      <w:pPr>
        <w:ind w:left="5914" w:hanging="681"/>
      </w:pPr>
      <w:rPr>
        <w:rFonts w:hint="default"/>
      </w:rPr>
    </w:lvl>
    <w:lvl w:ilvl="5">
      <w:start w:val="0"/>
      <w:numFmt w:val="bullet"/>
      <w:lvlText w:val="•"/>
      <w:lvlJc w:val="left"/>
      <w:pPr>
        <w:ind w:left="6912" w:hanging="681"/>
      </w:pPr>
      <w:rPr>
        <w:rFonts w:hint="default"/>
      </w:rPr>
    </w:lvl>
    <w:lvl w:ilvl="6">
      <w:start w:val="0"/>
      <w:numFmt w:val="bullet"/>
      <w:lvlText w:val="•"/>
      <w:lvlJc w:val="left"/>
      <w:pPr>
        <w:ind w:left="7911" w:hanging="681"/>
      </w:pPr>
      <w:rPr>
        <w:rFonts w:hint="default"/>
      </w:rPr>
    </w:lvl>
    <w:lvl w:ilvl="7">
      <w:start w:val="0"/>
      <w:numFmt w:val="bullet"/>
      <w:lvlText w:val="•"/>
      <w:lvlJc w:val="left"/>
      <w:pPr>
        <w:ind w:left="8909" w:hanging="681"/>
      </w:pPr>
      <w:rPr>
        <w:rFonts w:hint="default"/>
      </w:rPr>
    </w:lvl>
    <w:lvl w:ilvl="8">
      <w:start w:val="0"/>
      <w:numFmt w:val="bullet"/>
      <w:lvlText w:val="•"/>
      <w:lvlJc w:val="left"/>
      <w:pPr>
        <w:ind w:left="9908" w:hanging="681"/>
      </w:pPr>
      <w:rPr>
        <w:rFonts w:hint="default"/>
      </w:rPr>
    </w:lvl>
  </w:abstractNum>
  <w:abstractNum w:abstractNumId="81">
    <w:multiLevelType w:val="hybridMultilevel"/>
    <w:lvl w:ilvl="0">
      <w:start w:val="1"/>
      <w:numFmt w:val="decimal"/>
      <w:lvlText w:val="%1."/>
      <w:lvlJc w:val="left"/>
      <w:pPr>
        <w:ind w:left="1927" w:hanging="681"/>
        <w:jc w:val="right"/>
      </w:pPr>
      <w:rPr>
        <w:rFonts w:hint="default"/>
        <w:spacing w:val="-16"/>
        <w:w w:val="110"/>
      </w:rPr>
    </w:lvl>
    <w:lvl w:ilvl="1">
      <w:start w:val="1"/>
      <w:numFmt w:val="decimal"/>
      <w:lvlText w:val="%1.%2"/>
      <w:lvlJc w:val="left"/>
      <w:pPr>
        <w:ind w:left="2664" w:hanging="681"/>
        <w:jc w:val="right"/>
      </w:pPr>
      <w:rPr>
        <w:rFonts w:hint="default"/>
        <w:b/>
        <w:bCs/>
        <w:spacing w:val="-18"/>
        <w:w w:val="110"/>
      </w:rPr>
    </w:lvl>
    <w:lvl w:ilvl="2">
      <w:start w:val="1"/>
      <w:numFmt w:val="decimal"/>
      <w:lvlText w:val="%1.%2.%3"/>
      <w:lvlJc w:val="left"/>
      <w:pPr>
        <w:ind w:left="1971" w:hanging="725"/>
        <w:jc w:val="left"/>
      </w:pPr>
      <w:rPr>
        <w:rFonts w:hint="default"/>
        <w:b/>
        <w:bCs/>
        <w:spacing w:val="-18"/>
        <w:w w:val="110"/>
      </w:rPr>
    </w:lvl>
    <w:lvl w:ilvl="3">
      <w:start w:val="0"/>
      <w:numFmt w:val="bullet"/>
      <w:lvlText w:val="•"/>
      <w:lvlJc w:val="left"/>
      <w:pPr>
        <w:ind w:left="2660" w:hanging="725"/>
      </w:pPr>
      <w:rPr>
        <w:rFonts w:hint="default"/>
      </w:rPr>
    </w:lvl>
    <w:lvl w:ilvl="4">
      <w:start w:val="0"/>
      <w:numFmt w:val="bullet"/>
      <w:lvlText w:val="•"/>
      <w:lvlJc w:val="left"/>
      <w:pPr>
        <w:ind w:left="3980" w:hanging="725"/>
      </w:pPr>
      <w:rPr>
        <w:rFonts w:hint="default"/>
      </w:rPr>
    </w:lvl>
    <w:lvl w:ilvl="5">
      <w:start w:val="0"/>
      <w:numFmt w:val="bullet"/>
      <w:lvlText w:val="•"/>
      <w:lvlJc w:val="left"/>
      <w:pPr>
        <w:ind w:left="5301" w:hanging="725"/>
      </w:pPr>
      <w:rPr>
        <w:rFonts w:hint="default"/>
      </w:rPr>
    </w:lvl>
    <w:lvl w:ilvl="6">
      <w:start w:val="0"/>
      <w:numFmt w:val="bullet"/>
      <w:lvlText w:val="•"/>
      <w:lvlJc w:val="left"/>
      <w:pPr>
        <w:ind w:left="6622" w:hanging="725"/>
      </w:pPr>
      <w:rPr>
        <w:rFonts w:hint="default"/>
      </w:rPr>
    </w:lvl>
    <w:lvl w:ilvl="7">
      <w:start w:val="0"/>
      <w:numFmt w:val="bullet"/>
      <w:lvlText w:val="•"/>
      <w:lvlJc w:val="left"/>
      <w:pPr>
        <w:ind w:left="7943" w:hanging="725"/>
      </w:pPr>
      <w:rPr>
        <w:rFonts w:hint="default"/>
      </w:rPr>
    </w:lvl>
    <w:lvl w:ilvl="8">
      <w:start w:val="0"/>
      <w:numFmt w:val="bullet"/>
      <w:lvlText w:val="•"/>
      <w:lvlJc w:val="left"/>
      <w:pPr>
        <w:ind w:left="9263" w:hanging="725"/>
      </w:pPr>
      <w:rPr>
        <w:rFonts w:hint="default"/>
      </w:rPr>
    </w:lvl>
  </w:abstractNum>
  <w:abstractNum w:abstractNumId="80">
    <w:multiLevelType w:val="hybridMultilevel"/>
    <w:lvl w:ilvl="0">
      <w:start w:val="1"/>
      <w:numFmt w:val="decimal"/>
      <w:lvlText w:val="%1."/>
      <w:lvlJc w:val="left"/>
      <w:pPr>
        <w:ind w:left="2664" w:hanging="681"/>
        <w:jc w:val="left"/>
      </w:pPr>
      <w:rPr>
        <w:rFonts w:hint="default" w:ascii="Calibri" w:hAnsi="Calibri" w:eastAsia="Calibri" w:cs="Calibri"/>
        <w:spacing w:val="-13"/>
        <w:w w:val="125"/>
        <w:sz w:val="20"/>
        <w:szCs w:val="20"/>
      </w:rPr>
    </w:lvl>
    <w:lvl w:ilvl="1">
      <w:start w:val="1"/>
      <w:numFmt w:val="decimal"/>
      <w:lvlText w:val="(%2)"/>
      <w:lvlJc w:val="left"/>
      <w:pPr>
        <w:ind w:left="2664" w:hanging="322"/>
        <w:jc w:val="left"/>
      </w:pPr>
      <w:rPr>
        <w:rFonts w:hint="default" w:ascii="Calibri" w:hAnsi="Calibri" w:eastAsia="Calibri" w:cs="Calibri"/>
        <w:spacing w:val="-21"/>
        <w:w w:val="125"/>
        <w:sz w:val="20"/>
        <w:szCs w:val="20"/>
      </w:rPr>
    </w:lvl>
    <w:lvl w:ilvl="2">
      <w:start w:val="0"/>
      <w:numFmt w:val="bullet"/>
      <w:lvlText w:val="•"/>
      <w:lvlJc w:val="left"/>
      <w:pPr>
        <w:ind w:left="4509" w:hanging="322"/>
      </w:pPr>
      <w:rPr>
        <w:rFonts w:hint="default"/>
      </w:rPr>
    </w:lvl>
    <w:lvl w:ilvl="3">
      <w:start w:val="0"/>
      <w:numFmt w:val="bullet"/>
      <w:lvlText w:val="•"/>
      <w:lvlJc w:val="left"/>
      <w:pPr>
        <w:ind w:left="5433" w:hanging="322"/>
      </w:pPr>
      <w:rPr>
        <w:rFonts w:hint="default"/>
      </w:rPr>
    </w:lvl>
    <w:lvl w:ilvl="4">
      <w:start w:val="0"/>
      <w:numFmt w:val="bullet"/>
      <w:lvlText w:val="•"/>
      <w:lvlJc w:val="left"/>
      <w:pPr>
        <w:ind w:left="6358" w:hanging="322"/>
      </w:pPr>
      <w:rPr>
        <w:rFonts w:hint="default"/>
      </w:rPr>
    </w:lvl>
    <w:lvl w:ilvl="5">
      <w:start w:val="0"/>
      <w:numFmt w:val="bullet"/>
      <w:lvlText w:val="•"/>
      <w:lvlJc w:val="left"/>
      <w:pPr>
        <w:ind w:left="7282" w:hanging="322"/>
      </w:pPr>
      <w:rPr>
        <w:rFonts w:hint="default"/>
      </w:rPr>
    </w:lvl>
    <w:lvl w:ilvl="6">
      <w:start w:val="0"/>
      <w:numFmt w:val="bullet"/>
      <w:lvlText w:val="•"/>
      <w:lvlJc w:val="left"/>
      <w:pPr>
        <w:ind w:left="8207" w:hanging="322"/>
      </w:pPr>
      <w:rPr>
        <w:rFonts w:hint="default"/>
      </w:rPr>
    </w:lvl>
    <w:lvl w:ilvl="7">
      <w:start w:val="0"/>
      <w:numFmt w:val="bullet"/>
      <w:lvlText w:val="•"/>
      <w:lvlJc w:val="left"/>
      <w:pPr>
        <w:ind w:left="9131" w:hanging="322"/>
      </w:pPr>
      <w:rPr>
        <w:rFonts w:hint="default"/>
      </w:rPr>
    </w:lvl>
    <w:lvl w:ilvl="8">
      <w:start w:val="0"/>
      <w:numFmt w:val="bullet"/>
      <w:lvlText w:val="•"/>
      <w:lvlJc w:val="left"/>
      <w:pPr>
        <w:ind w:left="10056" w:hanging="322"/>
      </w:pPr>
      <w:rPr>
        <w:rFonts w:hint="default"/>
      </w:rPr>
    </w:lvl>
  </w:abstractNum>
  <w:abstractNum w:abstractNumId="79">
    <w:multiLevelType w:val="hybridMultilevel"/>
    <w:lvl w:ilvl="0">
      <w:start w:val="1"/>
      <w:numFmt w:val="decimal"/>
      <w:lvlText w:val="%1."/>
      <w:lvlJc w:val="left"/>
      <w:pPr>
        <w:ind w:left="1927" w:hanging="681"/>
        <w:jc w:val="right"/>
      </w:pPr>
      <w:rPr>
        <w:rFonts w:hint="default" w:ascii="Stone Sans II ITC Std Bk" w:hAnsi="Stone Sans II ITC Std Bk" w:eastAsia="Stone Sans II ITC Std Bk" w:cs="Stone Sans II ITC Std Bk"/>
        <w:b/>
        <w:bCs/>
        <w:spacing w:val="-15"/>
        <w:w w:val="110"/>
        <w:sz w:val="29"/>
        <w:szCs w:val="29"/>
      </w:rPr>
    </w:lvl>
    <w:lvl w:ilvl="1">
      <w:start w:val="1"/>
      <w:numFmt w:val="decimal"/>
      <w:lvlText w:val="%1.%2"/>
      <w:lvlJc w:val="left"/>
      <w:pPr>
        <w:ind w:left="1247" w:hanging="681"/>
        <w:jc w:val="left"/>
      </w:pPr>
      <w:rPr>
        <w:rFonts w:hint="default" w:ascii="Calibri" w:hAnsi="Calibri" w:eastAsia="Calibri" w:cs="Calibri"/>
        <w:spacing w:val="-18"/>
        <w:w w:val="125"/>
        <w:sz w:val="20"/>
        <w:szCs w:val="20"/>
      </w:rPr>
    </w:lvl>
    <w:lvl w:ilvl="2">
      <w:start w:val="0"/>
      <w:numFmt w:val="bullet"/>
      <w:lvlText w:val="•"/>
      <w:lvlJc w:val="left"/>
      <w:pPr>
        <w:ind w:left="1980" w:hanging="681"/>
      </w:pPr>
      <w:rPr>
        <w:rFonts w:hint="default"/>
      </w:rPr>
    </w:lvl>
    <w:lvl w:ilvl="3">
      <w:start w:val="0"/>
      <w:numFmt w:val="bullet"/>
      <w:lvlText w:val="•"/>
      <w:lvlJc w:val="left"/>
      <w:pPr>
        <w:ind w:left="3220" w:hanging="681"/>
      </w:pPr>
      <w:rPr>
        <w:rFonts w:hint="default"/>
      </w:rPr>
    </w:lvl>
    <w:lvl w:ilvl="4">
      <w:start w:val="0"/>
      <w:numFmt w:val="bullet"/>
      <w:lvlText w:val="•"/>
      <w:lvlJc w:val="left"/>
      <w:pPr>
        <w:ind w:left="4461" w:hanging="681"/>
      </w:pPr>
      <w:rPr>
        <w:rFonts w:hint="default"/>
      </w:rPr>
    </w:lvl>
    <w:lvl w:ilvl="5">
      <w:start w:val="0"/>
      <w:numFmt w:val="bullet"/>
      <w:lvlText w:val="•"/>
      <w:lvlJc w:val="left"/>
      <w:pPr>
        <w:ind w:left="5702" w:hanging="681"/>
      </w:pPr>
      <w:rPr>
        <w:rFonts w:hint="default"/>
      </w:rPr>
    </w:lvl>
    <w:lvl w:ilvl="6">
      <w:start w:val="0"/>
      <w:numFmt w:val="bullet"/>
      <w:lvlText w:val="•"/>
      <w:lvlJc w:val="left"/>
      <w:pPr>
        <w:ind w:left="6942" w:hanging="681"/>
      </w:pPr>
      <w:rPr>
        <w:rFonts w:hint="default"/>
      </w:rPr>
    </w:lvl>
    <w:lvl w:ilvl="7">
      <w:start w:val="0"/>
      <w:numFmt w:val="bullet"/>
      <w:lvlText w:val="•"/>
      <w:lvlJc w:val="left"/>
      <w:pPr>
        <w:ind w:left="8183" w:hanging="681"/>
      </w:pPr>
      <w:rPr>
        <w:rFonts w:hint="default"/>
      </w:rPr>
    </w:lvl>
    <w:lvl w:ilvl="8">
      <w:start w:val="0"/>
      <w:numFmt w:val="bullet"/>
      <w:lvlText w:val="•"/>
      <w:lvlJc w:val="left"/>
      <w:pPr>
        <w:ind w:left="9424" w:hanging="681"/>
      </w:pPr>
      <w:rPr>
        <w:rFonts w:hint="default"/>
      </w:rPr>
    </w:lvl>
  </w:abstractNum>
  <w:abstractNum w:abstractNumId="78">
    <w:multiLevelType w:val="hybridMultilevel"/>
    <w:lvl w:ilvl="0">
      <w:start w:val="2"/>
      <w:numFmt w:val="lowerLetter"/>
      <w:lvlText w:val="%1)"/>
      <w:lvlJc w:val="left"/>
      <w:pPr>
        <w:ind w:left="80" w:hanging="681"/>
        <w:jc w:val="left"/>
      </w:pPr>
      <w:rPr>
        <w:rFonts w:hint="default" w:ascii="Stone Sans II ITC Std Bk" w:hAnsi="Stone Sans II ITC Std Bk" w:eastAsia="Stone Sans II ITC Std Bk" w:cs="Stone Sans II ITC Std Bk"/>
        <w:b/>
        <w:bCs/>
        <w:spacing w:val="-15"/>
        <w:w w:val="110"/>
        <w:sz w:val="20"/>
        <w:szCs w:val="20"/>
      </w:rPr>
    </w:lvl>
    <w:lvl w:ilvl="1">
      <w:start w:val="0"/>
      <w:numFmt w:val="bullet"/>
      <w:lvlText w:val="•"/>
      <w:lvlJc w:val="left"/>
      <w:pPr>
        <w:ind w:left="705" w:hanging="681"/>
      </w:pPr>
      <w:rPr>
        <w:rFonts w:hint="default"/>
      </w:rPr>
    </w:lvl>
    <w:lvl w:ilvl="2">
      <w:start w:val="0"/>
      <w:numFmt w:val="bullet"/>
      <w:lvlText w:val="•"/>
      <w:lvlJc w:val="left"/>
      <w:pPr>
        <w:ind w:left="1330" w:hanging="681"/>
      </w:pPr>
      <w:rPr>
        <w:rFonts w:hint="default"/>
      </w:rPr>
    </w:lvl>
    <w:lvl w:ilvl="3">
      <w:start w:val="0"/>
      <w:numFmt w:val="bullet"/>
      <w:lvlText w:val="•"/>
      <w:lvlJc w:val="left"/>
      <w:pPr>
        <w:ind w:left="1955" w:hanging="681"/>
      </w:pPr>
      <w:rPr>
        <w:rFonts w:hint="default"/>
      </w:rPr>
    </w:lvl>
    <w:lvl w:ilvl="4">
      <w:start w:val="0"/>
      <w:numFmt w:val="bullet"/>
      <w:lvlText w:val="•"/>
      <w:lvlJc w:val="left"/>
      <w:pPr>
        <w:ind w:left="2580" w:hanging="681"/>
      </w:pPr>
      <w:rPr>
        <w:rFonts w:hint="default"/>
      </w:rPr>
    </w:lvl>
    <w:lvl w:ilvl="5">
      <w:start w:val="0"/>
      <w:numFmt w:val="bullet"/>
      <w:lvlText w:val="•"/>
      <w:lvlJc w:val="left"/>
      <w:pPr>
        <w:ind w:left="3205" w:hanging="681"/>
      </w:pPr>
      <w:rPr>
        <w:rFonts w:hint="default"/>
      </w:rPr>
    </w:lvl>
    <w:lvl w:ilvl="6">
      <w:start w:val="0"/>
      <w:numFmt w:val="bullet"/>
      <w:lvlText w:val="•"/>
      <w:lvlJc w:val="left"/>
      <w:pPr>
        <w:ind w:left="3830" w:hanging="681"/>
      </w:pPr>
      <w:rPr>
        <w:rFonts w:hint="default"/>
      </w:rPr>
    </w:lvl>
    <w:lvl w:ilvl="7">
      <w:start w:val="0"/>
      <w:numFmt w:val="bullet"/>
      <w:lvlText w:val="•"/>
      <w:lvlJc w:val="left"/>
      <w:pPr>
        <w:ind w:left="4455" w:hanging="681"/>
      </w:pPr>
      <w:rPr>
        <w:rFonts w:hint="default"/>
      </w:rPr>
    </w:lvl>
    <w:lvl w:ilvl="8">
      <w:start w:val="0"/>
      <w:numFmt w:val="bullet"/>
      <w:lvlText w:val="•"/>
      <w:lvlJc w:val="left"/>
      <w:pPr>
        <w:ind w:left="5080" w:hanging="681"/>
      </w:pPr>
      <w:rPr>
        <w:rFonts w:hint="default"/>
      </w:rPr>
    </w:lvl>
  </w:abstractNum>
  <w:abstractNum w:abstractNumId="76">
    <w:multiLevelType w:val="hybridMultilevel"/>
    <w:lvl w:ilvl="0">
      <w:start w:val="0"/>
      <w:numFmt w:val="bullet"/>
      <w:lvlText w:val="•"/>
      <w:lvlJc w:val="left"/>
      <w:pPr>
        <w:ind w:left="761" w:hanging="681"/>
      </w:pPr>
      <w:rPr>
        <w:rFonts w:hint="default" w:ascii="Calibri" w:hAnsi="Calibri" w:eastAsia="Calibri" w:cs="Calibri"/>
        <w:w w:val="110"/>
        <w:sz w:val="20"/>
        <w:szCs w:val="20"/>
      </w:rPr>
    </w:lvl>
    <w:lvl w:ilvl="1">
      <w:start w:val="0"/>
      <w:numFmt w:val="bullet"/>
      <w:lvlText w:val="•"/>
      <w:lvlJc w:val="left"/>
      <w:pPr>
        <w:ind w:left="1341" w:hanging="681"/>
      </w:pPr>
      <w:rPr>
        <w:rFonts w:hint="default"/>
      </w:rPr>
    </w:lvl>
    <w:lvl w:ilvl="2">
      <w:start w:val="0"/>
      <w:numFmt w:val="bullet"/>
      <w:lvlText w:val="•"/>
      <w:lvlJc w:val="left"/>
      <w:pPr>
        <w:ind w:left="1922" w:hanging="681"/>
      </w:pPr>
      <w:rPr>
        <w:rFonts w:hint="default"/>
      </w:rPr>
    </w:lvl>
    <w:lvl w:ilvl="3">
      <w:start w:val="0"/>
      <w:numFmt w:val="bullet"/>
      <w:lvlText w:val="•"/>
      <w:lvlJc w:val="left"/>
      <w:pPr>
        <w:ind w:left="2503" w:hanging="681"/>
      </w:pPr>
      <w:rPr>
        <w:rFonts w:hint="default"/>
      </w:rPr>
    </w:lvl>
    <w:lvl w:ilvl="4">
      <w:start w:val="0"/>
      <w:numFmt w:val="bullet"/>
      <w:lvlText w:val="•"/>
      <w:lvlJc w:val="left"/>
      <w:pPr>
        <w:ind w:left="3084" w:hanging="681"/>
      </w:pPr>
      <w:rPr>
        <w:rFonts w:hint="default"/>
      </w:rPr>
    </w:lvl>
    <w:lvl w:ilvl="5">
      <w:start w:val="0"/>
      <w:numFmt w:val="bullet"/>
      <w:lvlText w:val="•"/>
      <w:lvlJc w:val="left"/>
      <w:pPr>
        <w:ind w:left="3666" w:hanging="681"/>
      </w:pPr>
      <w:rPr>
        <w:rFonts w:hint="default"/>
      </w:rPr>
    </w:lvl>
    <w:lvl w:ilvl="6">
      <w:start w:val="0"/>
      <w:numFmt w:val="bullet"/>
      <w:lvlText w:val="•"/>
      <w:lvlJc w:val="left"/>
      <w:pPr>
        <w:ind w:left="4247" w:hanging="681"/>
      </w:pPr>
      <w:rPr>
        <w:rFonts w:hint="default"/>
      </w:rPr>
    </w:lvl>
    <w:lvl w:ilvl="7">
      <w:start w:val="0"/>
      <w:numFmt w:val="bullet"/>
      <w:lvlText w:val="•"/>
      <w:lvlJc w:val="left"/>
      <w:pPr>
        <w:ind w:left="4828" w:hanging="681"/>
      </w:pPr>
      <w:rPr>
        <w:rFonts w:hint="default"/>
      </w:rPr>
    </w:lvl>
    <w:lvl w:ilvl="8">
      <w:start w:val="0"/>
      <w:numFmt w:val="bullet"/>
      <w:lvlText w:val="•"/>
      <w:lvlJc w:val="left"/>
      <w:pPr>
        <w:ind w:left="5409" w:hanging="681"/>
      </w:pPr>
      <w:rPr>
        <w:rFonts w:hint="default"/>
      </w:rPr>
    </w:lvl>
  </w:abstractNum>
  <w:abstractNum w:abstractNumId="75">
    <w:multiLevelType w:val="hybridMultilevel"/>
    <w:lvl w:ilvl="0">
      <w:start w:val="1"/>
      <w:numFmt w:val="decimal"/>
      <w:lvlText w:val="%1."/>
      <w:lvlJc w:val="left"/>
      <w:pPr>
        <w:ind w:left="2494" w:hanging="681"/>
        <w:jc w:val="left"/>
      </w:pPr>
      <w:rPr>
        <w:rFonts w:hint="default" w:ascii="Stone Sans II ITC Std Bk" w:hAnsi="Stone Sans II ITC Std Bk" w:eastAsia="Stone Sans II ITC Std Bk" w:cs="Stone Sans II ITC Std Bk"/>
        <w:b/>
        <w:bCs/>
        <w:spacing w:val="-15"/>
        <w:w w:val="110"/>
        <w:sz w:val="29"/>
        <w:szCs w:val="29"/>
      </w:rPr>
    </w:lvl>
    <w:lvl w:ilvl="1">
      <w:start w:val="1"/>
      <w:numFmt w:val="decimal"/>
      <w:lvlText w:val="%1.%2"/>
      <w:lvlJc w:val="left"/>
      <w:pPr>
        <w:ind w:left="1814" w:hanging="681"/>
        <w:jc w:val="left"/>
      </w:pPr>
      <w:rPr>
        <w:rFonts w:hint="default" w:ascii="Calibri" w:hAnsi="Calibri" w:eastAsia="Calibri" w:cs="Calibri"/>
        <w:spacing w:val="-18"/>
        <w:w w:val="125"/>
        <w:sz w:val="20"/>
        <w:szCs w:val="20"/>
      </w:rPr>
    </w:lvl>
    <w:lvl w:ilvl="2">
      <w:start w:val="1"/>
      <w:numFmt w:val="decimal"/>
      <w:lvlText w:val="%1.%2.%3"/>
      <w:lvlJc w:val="left"/>
      <w:pPr>
        <w:ind w:left="1814" w:hanging="681"/>
        <w:jc w:val="left"/>
      </w:pPr>
      <w:rPr>
        <w:rFonts w:hint="default" w:ascii="Calibri" w:hAnsi="Calibri" w:eastAsia="Calibri" w:cs="Calibri"/>
        <w:spacing w:val="-18"/>
        <w:w w:val="125"/>
        <w:sz w:val="20"/>
        <w:szCs w:val="20"/>
      </w:rPr>
    </w:lvl>
    <w:lvl w:ilvl="3">
      <w:start w:val="0"/>
      <w:numFmt w:val="bullet"/>
      <w:lvlText w:val="•"/>
      <w:lvlJc w:val="left"/>
      <w:pPr>
        <w:ind w:left="4590" w:hanging="681"/>
      </w:pPr>
      <w:rPr>
        <w:rFonts w:hint="default"/>
      </w:rPr>
    </w:lvl>
    <w:lvl w:ilvl="4">
      <w:start w:val="0"/>
      <w:numFmt w:val="bullet"/>
      <w:lvlText w:val="•"/>
      <w:lvlJc w:val="left"/>
      <w:pPr>
        <w:ind w:left="5635" w:hanging="681"/>
      </w:pPr>
      <w:rPr>
        <w:rFonts w:hint="default"/>
      </w:rPr>
    </w:lvl>
    <w:lvl w:ilvl="5">
      <w:start w:val="0"/>
      <w:numFmt w:val="bullet"/>
      <w:lvlText w:val="•"/>
      <w:lvlJc w:val="left"/>
      <w:pPr>
        <w:ind w:left="6680" w:hanging="681"/>
      </w:pPr>
      <w:rPr>
        <w:rFonts w:hint="default"/>
      </w:rPr>
    </w:lvl>
    <w:lvl w:ilvl="6">
      <w:start w:val="0"/>
      <w:numFmt w:val="bullet"/>
      <w:lvlText w:val="•"/>
      <w:lvlJc w:val="left"/>
      <w:pPr>
        <w:ind w:left="7725" w:hanging="681"/>
      </w:pPr>
      <w:rPr>
        <w:rFonts w:hint="default"/>
      </w:rPr>
    </w:lvl>
    <w:lvl w:ilvl="7">
      <w:start w:val="0"/>
      <w:numFmt w:val="bullet"/>
      <w:lvlText w:val="•"/>
      <w:lvlJc w:val="left"/>
      <w:pPr>
        <w:ind w:left="8770" w:hanging="681"/>
      </w:pPr>
      <w:rPr>
        <w:rFonts w:hint="default"/>
      </w:rPr>
    </w:lvl>
    <w:lvl w:ilvl="8">
      <w:start w:val="0"/>
      <w:numFmt w:val="bullet"/>
      <w:lvlText w:val="•"/>
      <w:lvlJc w:val="left"/>
      <w:pPr>
        <w:ind w:left="9815" w:hanging="681"/>
      </w:pPr>
      <w:rPr>
        <w:rFonts w:hint="default"/>
      </w:rPr>
    </w:lvl>
  </w:abstractNum>
  <w:abstractNum w:abstractNumId="74">
    <w:multiLevelType w:val="hybridMultilevel"/>
    <w:lvl w:ilvl="0">
      <w:start w:val="0"/>
      <w:numFmt w:val="bullet"/>
      <w:lvlText w:val="•"/>
      <w:lvlJc w:val="left"/>
      <w:pPr>
        <w:ind w:left="440" w:hanging="360"/>
      </w:pPr>
      <w:rPr>
        <w:rFonts w:hint="default" w:ascii="Calibri" w:hAnsi="Calibri" w:eastAsia="Calibri" w:cs="Calibri"/>
        <w:w w:val="110"/>
        <w:sz w:val="20"/>
        <w:szCs w:val="20"/>
      </w:rPr>
    </w:lvl>
    <w:lvl w:ilvl="1">
      <w:start w:val="0"/>
      <w:numFmt w:val="bullet"/>
      <w:lvlText w:val="•"/>
      <w:lvlJc w:val="left"/>
      <w:pPr>
        <w:ind w:left="1048" w:hanging="360"/>
      </w:pPr>
      <w:rPr>
        <w:rFonts w:hint="default"/>
      </w:rPr>
    </w:lvl>
    <w:lvl w:ilvl="2">
      <w:start w:val="0"/>
      <w:numFmt w:val="bullet"/>
      <w:lvlText w:val="•"/>
      <w:lvlJc w:val="left"/>
      <w:pPr>
        <w:ind w:left="1657" w:hanging="360"/>
      </w:pPr>
      <w:rPr>
        <w:rFonts w:hint="default"/>
      </w:rPr>
    </w:lvl>
    <w:lvl w:ilvl="3">
      <w:start w:val="0"/>
      <w:numFmt w:val="bullet"/>
      <w:lvlText w:val="•"/>
      <w:lvlJc w:val="left"/>
      <w:pPr>
        <w:ind w:left="2266" w:hanging="360"/>
      </w:pPr>
      <w:rPr>
        <w:rFonts w:hint="default"/>
      </w:rPr>
    </w:lvl>
    <w:lvl w:ilvl="4">
      <w:start w:val="0"/>
      <w:numFmt w:val="bullet"/>
      <w:lvlText w:val="•"/>
      <w:lvlJc w:val="left"/>
      <w:pPr>
        <w:ind w:left="2875" w:hanging="360"/>
      </w:pPr>
      <w:rPr>
        <w:rFonts w:hint="default"/>
      </w:rPr>
    </w:lvl>
    <w:lvl w:ilvl="5">
      <w:start w:val="0"/>
      <w:numFmt w:val="bullet"/>
      <w:lvlText w:val="•"/>
      <w:lvlJc w:val="left"/>
      <w:pPr>
        <w:ind w:left="3484" w:hanging="360"/>
      </w:pPr>
      <w:rPr>
        <w:rFonts w:hint="default"/>
      </w:rPr>
    </w:lvl>
    <w:lvl w:ilvl="6">
      <w:start w:val="0"/>
      <w:numFmt w:val="bullet"/>
      <w:lvlText w:val="•"/>
      <w:lvlJc w:val="left"/>
      <w:pPr>
        <w:ind w:left="4092" w:hanging="360"/>
      </w:pPr>
      <w:rPr>
        <w:rFonts w:hint="default"/>
      </w:rPr>
    </w:lvl>
    <w:lvl w:ilvl="7">
      <w:start w:val="0"/>
      <w:numFmt w:val="bullet"/>
      <w:lvlText w:val="•"/>
      <w:lvlJc w:val="left"/>
      <w:pPr>
        <w:ind w:left="4701" w:hanging="360"/>
      </w:pPr>
      <w:rPr>
        <w:rFonts w:hint="default"/>
      </w:rPr>
    </w:lvl>
    <w:lvl w:ilvl="8">
      <w:start w:val="0"/>
      <w:numFmt w:val="bullet"/>
      <w:lvlText w:val="•"/>
      <w:lvlJc w:val="left"/>
      <w:pPr>
        <w:ind w:left="5310" w:hanging="360"/>
      </w:pPr>
      <w:rPr>
        <w:rFonts w:hint="default"/>
      </w:rPr>
    </w:lvl>
  </w:abstractNum>
  <w:abstractNum w:abstractNumId="73">
    <w:multiLevelType w:val="hybridMultilevel"/>
    <w:lvl w:ilvl="0">
      <w:start w:val="1"/>
      <w:numFmt w:val="lowerLetter"/>
      <w:lvlText w:val="%1)"/>
      <w:lvlJc w:val="left"/>
      <w:pPr>
        <w:ind w:left="1927" w:hanging="681"/>
        <w:jc w:val="left"/>
      </w:pPr>
      <w:rPr>
        <w:rFonts w:hint="default" w:ascii="Calibri" w:hAnsi="Calibri" w:eastAsia="Calibri" w:cs="Calibri"/>
        <w:spacing w:val="-13"/>
        <w:w w:val="113"/>
        <w:sz w:val="20"/>
        <w:szCs w:val="20"/>
      </w:rPr>
    </w:lvl>
    <w:lvl w:ilvl="1">
      <w:start w:val="1"/>
      <w:numFmt w:val="decimal"/>
      <w:lvlText w:val="%2"/>
      <w:lvlJc w:val="left"/>
      <w:pPr>
        <w:ind w:left="2437" w:hanging="454"/>
        <w:jc w:val="left"/>
      </w:pPr>
      <w:rPr>
        <w:rFonts w:hint="default" w:ascii="Calibri" w:hAnsi="Calibri" w:eastAsia="Calibri" w:cs="Calibri"/>
        <w:w w:val="123"/>
        <w:sz w:val="18"/>
        <w:szCs w:val="18"/>
      </w:rPr>
    </w:lvl>
    <w:lvl w:ilvl="2">
      <w:start w:val="0"/>
      <w:numFmt w:val="bullet"/>
      <w:lvlText w:val="•"/>
      <w:lvlJc w:val="left"/>
      <w:pPr>
        <w:ind w:left="3491" w:hanging="454"/>
      </w:pPr>
      <w:rPr>
        <w:rFonts w:hint="default"/>
      </w:rPr>
    </w:lvl>
    <w:lvl w:ilvl="3">
      <w:start w:val="0"/>
      <w:numFmt w:val="bullet"/>
      <w:lvlText w:val="•"/>
      <w:lvlJc w:val="left"/>
      <w:pPr>
        <w:ind w:left="4543" w:hanging="454"/>
      </w:pPr>
      <w:rPr>
        <w:rFonts w:hint="default"/>
      </w:rPr>
    </w:lvl>
    <w:lvl w:ilvl="4">
      <w:start w:val="0"/>
      <w:numFmt w:val="bullet"/>
      <w:lvlText w:val="•"/>
      <w:lvlJc w:val="left"/>
      <w:pPr>
        <w:ind w:left="5595" w:hanging="454"/>
      </w:pPr>
      <w:rPr>
        <w:rFonts w:hint="default"/>
      </w:rPr>
    </w:lvl>
    <w:lvl w:ilvl="5">
      <w:start w:val="0"/>
      <w:numFmt w:val="bullet"/>
      <w:lvlText w:val="•"/>
      <w:lvlJc w:val="left"/>
      <w:pPr>
        <w:ind w:left="6646" w:hanging="454"/>
      </w:pPr>
      <w:rPr>
        <w:rFonts w:hint="default"/>
      </w:rPr>
    </w:lvl>
    <w:lvl w:ilvl="6">
      <w:start w:val="0"/>
      <w:numFmt w:val="bullet"/>
      <w:lvlText w:val="•"/>
      <w:lvlJc w:val="left"/>
      <w:pPr>
        <w:ind w:left="7698" w:hanging="454"/>
      </w:pPr>
      <w:rPr>
        <w:rFonts w:hint="default"/>
      </w:rPr>
    </w:lvl>
    <w:lvl w:ilvl="7">
      <w:start w:val="0"/>
      <w:numFmt w:val="bullet"/>
      <w:lvlText w:val="•"/>
      <w:lvlJc w:val="left"/>
      <w:pPr>
        <w:ind w:left="8750" w:hanging="454"/>
      </w:pPr>
      <w:rPr>
        <w:rFonts w:hint="default"/>
      </w:rPr>
    </w:lvl>
    <w:lvl w:ilvl="8">
      <w:start w:val="0"/>
      <w:numFmt w:val="bullet"/>
      <w:lvlText w:val="•"/>
      <w:lvlJc w:val="left"/>
      <w:pPr>
        <w:ind w:left="9802" w:hanging="454"/>
      </w:pPr>
      <w:rPr>
        <w:rFonts w:hint="default"/>
      </w:rPr>
    </w:lvl>
  </w:abstractNum>
  <w:abstractNum w:abstractNumId="72">
    <w:multiLevelType w:val="hybridMultilevel"/>
    <w:lvl w:ilvl="0">
      <w:start w:val="1"/>
      <w:numFmt w:val="lowerLetter"/>
      <w:lvlText w:val="%1)"/>
      <w:lvlJc w:val="left"/>
      <w:pPr>
        <w:ind w:left="2664" w:hanging="681"/>
        <w:jc w:val="left"/>
      </w:pPr>
      <w:rPr>
        <w:rFonts w:hint="default" w:ascii="Calibri" w:hAnsi="Calibri" w:eastAsia="Calibri" w:cs="Calibri"/>
        <w:spacing w:val="-13"/>
        <w:w w:val="113"/>
        <w:sz w:val="20"/>
        <w:szCs w:val="20"/>
      </w:rPr>
    </w:lvl>
    <w:lvl w:ilvl="1">
      <w:start w:val="0"/>
      <w:numFmt w:val="bullet"/>
      <w:lvlText w:val="•"/>
      <w:lvlJc w:val="left"/>
      <w:pPr>
        <w:ind w:left="3584" w:hanging="681"/>
      </w:pPr>
      <w:rPr>
        <w:rFonts w:hint="default"/>
      </w:rPr>
    </w:lvl>
    <w:lvl w:ilvl="2">
      <w:start w:val="0"/>
      <w:numFmt w:val="bullet"/>
      <w:lvlText w:val="•"/>
      <w:lvlJc w:val="left"/>
      <w:pPr>
        <w:ind w:left="4509" w:hanging="681"/>
      </w:pPr>
      <w:rPr>
        <w:rFonts w:hint="default"/>
      </w:rPr>
    </w:lvl>
    <w:lvl w:ilvl="3">
      <w:start w:val="0"/>
      <w:numFmt w:val="bullet"/>
      <w:lvlText w:val="•"/>
      <w:lvlJc w:val="left"/>
      <w:pPr>
        <w:ind w:left="5433" w:hanging="681"/>
      </w:pPr>
      <w:rPr>
        <w:rFonts w:hint="default"/>
      </w:rPr>
    </w:lvl>
    <w:lvl w:ilvl="4">
      <w:start w:val="0"/>
      <w:numFmt w:val="bullet"/>
      <w:lvlText w:val="•"/>
      <w:lvlJc w:val="left"/>
      <w:pPr>
        <w:ind w:left="6358" w:hanging="681"/>
      </w:pPr>
      <w:rPr>
        <w:rFonts w:hint="default"/>
      </w:rPr>
    </w:lvl>
    <w:lvl w:ilvl="5">
      <w:start w:val="0"/>
      <w:numFmt w:val="bullet"/>
      <w:lvlText w:val="•"/>
      <w:lvlJc w:val="left"/>
      <w:pPr>
        <w:ind w:left="7282" w:hanging="681"/>
      </w:pPr>
      <w:rPr>
        <w:rFonts w:hint="default"/>
      </w:rPr>
    </w:lvl>
    <w:lvl w:ilvl="6">
      <w:start w:val="0"/>
      <w:numFmt w:val="bullet"/>
      <w:lvlText w:val="•"/>
      <w:lvlJc w:val="left"/>
      <w:pPr>
        <w:ind w:left="8207" w:hanging="681"/>
      </w:pPr>
      <w:rPr>
        <w:rFonts w:hint="default"/>
      </w:rPr>
    </w:lvl>
    <w:lvl w:ilvl="7">
      <w:start w:val="0"/>
      <w:numFmt w:val="bullet"/>
      <w:lvlText w:val="•"/>
      <w:lvlJc w:val="left"/>
      <w:pPr>
        <w:ind w:left="9131" w:hanging="681"/>
      </w:pPr>
      <w:rPr>
        <w:rFonts w:hint="default"/>
      </w:rPr>
    </w:lvl>
    <w:lvl w:ilvl="8">
      <w:start w:val="0"/>
      <w:numFmt w:val="bullet"/>
      <w:lvlText w:val="•"/>
      <w:lvlJc w:val="left"/>
      <w:pPr>
        <w:ind w:left="10056" w:hanging="681"/>
      </w:pPr>
      <w:rPr>
        <w:rFonts w:hint="default"/>
      </w:rPr>
    </w:lvl>
  </w:abstractNum>
  <w:abstractNum w:abstractNumId="71">
    <w:multiLevelType w:val="hybridMultilevel"/>
    <w:lvl w:ilvl="0">
      <w:start w:val="1"/>
      <w:numFmt w:val="decimal"/>
      <w:lvlText w:val="%1."/>
      <w:lvlJc w:val="left"/>
      <w:pPr>
        <w:ind w:left="2664" w:hanging="681"/>
        <w:jc w:val="right"/>
      </w:pPr>
      <w:rPr>
        <w:rFonts w:hint="default"/>
        <w:b/>
        <w:bCs/>
        <w:spacing w:val="-15"/>
        <w:w w:val="110"/>
      </w:rPr>
    </w:lvl>
    <w:lvl w:ilvl="1">
      <w:start w:val="1"/>
      <w:numFmt w:val="decimal"/>
      <w:lvlText w:val="%1.%2"/>
      <w:lvlJc w:val="left"/>
      <w:pPr>
        <w:ind w:left="1247" w:hanging="681"/>
        <w:jc w:val="left"/>
      </w:pPr>
      <w:rPr>
        <w:rFonts w:hint="default" w:ascii="Calibri" w:hAnsi="Calibri" w:eastAsia="Calibri" w:cs="Calibri"/>
        <w:spacing w:val="-18"/>
        <w:w w:val="125"/>
        <w:sz w:val="20"/>
        <w:szCs w:val="20"/>
      </w:rPr>
    </w:lvl>
    <w:lvl w:ilvl="2">
      <w:start w:val="1"/>
      <w:numFmt w:val="decimal"/>
      <w:lvlText w:val="%1.%2.%3"/>
      <w:lvlJc w:val="left"/>
      <w:pPr>
        <w:ind w:left="1984" w:hanging="681"/>
        <w:jc w:val="left"/>
      </w:pPr>
      <w:rPr>
        <w:rFonts w:hint="default" w:ascii="Calibri" w:hAnsi="Calibri" w:eastAsia="Calibri" w:cs="Calibri"/>
        <w:spacing w:val="-18"/>
        <w:w w:val="125"/>
        <w:sz w:val="20"/>
        <w:szCs w:val="20"/>
      </w:rPr>
    </w:lvl>
    <w:lvl w:ilvl="3">
      <w:start w:val="0"/>
      <w:numFmt w:val="bullet"/>
      <w:lvlText w:val="•"/>
      <w:lvlJc w:val="left"/>
      <w:pPr>
        <w:ind w:left="2660" w:hanging="681"/>
      </w:pPr>
      <w:rPr>
        <w:rFonts w:hint="default"/>
      </w:rPr>
    </w:lvl>
    <w:lvl w:ilvl="4">
      <w:start w:val="0"/>
      <w:numFmt w:val="bullet"/>
      <w:lvlText w:val="•"/>
      <w:lvlJc w:val="left"/>
      <w:pPr>
        <w:ind w:left="3980" w:hanging="681"/>
      </w:pPr>
      <w:rPr>
        <w:rFonts w:hint="default"/>
      </w:rPr>
    </w:lvl>
    <w:lvl w:ilvl="5">
      <w:start w:val="0"/>
      <w:numFmt w:val="bullet"/>
      <w:lvlText w:val="•"/>
      <w:lvlJc w:val="left"/>
      <w:pPr>
        <w:ind w:left="5301" w:hanging="681"/>
      </w:pPr>
      <w:rPr>
        <w:rFonts w:hint="default"/>
      </w:rPr>
    </w:lvl>
    <w:lvl w:ilvl="6">
      <w:start w:val="0"/>
      <w:numFmt w:val="bullet"/>
      <w:lvlText w:val="•"/>
      <w:lvlJc w:val="left"/>
      <w:pPr>
        <w:ind w:left="6622" w:hanging="681"/>
      </w:pPr>
      <w:rPr>
        <w:rFonts w:hint="default"/>
      </w:rPr>
    </w:lvl>
    <w:lvl w:ilvl="7">
      <w:start w:val="0"/>
      <w:numFmt w:val="bullet"/>
      <w:lvlText w:val="•"/>
      <w:lvlJc w:val="left"/>
      <w:pPr>
        <w:ind w:left="7943" w:hanging="681"/>
      </w:pPr>
      <w:rPr>
        <w:rFonts w:hint="default"/>
      </w:rPr>
    </w:lvl>
    <w:lvl w:ilvl="8">
      <w:start w:val="0"/>
      <w:numFmt w:val="bullet"/>
      <w:lvlText w:val="•"/>
      <w:lvlJc w:val="left"/>
      <w:pPr>
        <w:ind w:left="9263" w:hanging="681"/>
      </w:pPr>
      <w:rPr>
        <w:rFonts w:hint="default"/>
      </w:rPr>
    </w:lvl>
  </w:abstractNum>
  <w:abstractNum w:abstractNumId="70">
    <w:multiLevelType w:val="hybridMultilevel"/>
    <w:lvl w:ilvl="0">
      <w:start w:val="1"/>
      <w:numFmt w:val="lowerLetter"/>
      <w:lvlText w:val="%1)"/>
      <w:lvlJc w:val="left"/>
      <w:pPr>
        <w:ind w:left="755" w:hanging="681"/>
        <w:jc w:val="left"/>
      </w:pPr>
      <w:rPr>
        <w:rFonts w:hint="default" w:ascii="Stone Sans II ITC Std Bk" w:hAnsi="Stone Sans II ITC Std Bk" w:eastAsia="Stone Sans II ITC Std Bk" w:cs="Stone Sans II ITC Std Bk"/>
        <w:b/>
        <w:bCs/>
        <w:spacing w:val="-13"/>
        <w:w w:val="110"/>
        <w:sz w:val="20"/>
        <w:szCs w:val="20"/>
      </w:rPr>
    </w:lvl>
    <w:lvl w:ilvl="1">
      <w:start w:val="0"/>
      <w:numFmt w:val="bullet"/>
      <w:lvlText w:val="•"/>
      <w:lvlJc w:val="left"/>
      <w:pPr>
        <w:ind w:left="1329" w:hanging="681"/>
      </w:pPr>
      <w:rPr>
        <w:rFonts w:hint="default"/>
      </w:rPr>
    </w:lvl>
    <w:lvl w:ilvl="2">
      <w:start w:val="0"/>
      <w:numFmt w:val="bullet"/>
      <w:lvlText w:val="•"/>
      <w:lvlJc w:val="left"/>
      <w:pPr>
        <w:ind w:left="1899" w:hanging="681"/>
      </w:pPr>
      <w:rPr>
        <w:rFonts w:hint="default"/>
      </w:rPr>
    </w:lvl>
    <w:lvl w:ilvl="3">
      <w:start w:val="0"/>
      <w:numFmt w:val="bullet"/>
      <w:lvlText w:val="•"/>
      <w:lvlJc w:val="left"/>
      <w:pPr>
        <w:ind w:left="2469" w:hanging="681"/>
      </w:pPr>
      <w:rPr>
        <w:rFonts w:hint="default"/>
      </w:rPr>
    </w:lvl>
    <w:lvl w:ilvl="4">
      <w:start w:val="0"/>
      <w:numFmt w:val="bullet"/>
      <w:lvlText w:val="•"/>
      <w:lvlJc w:val="left"/>
      <w:pPr>
        <w:ind w:left="3039" w:hanging="681"/>
      </w:pPr>
      <w:rPr>
        <w:rFonts w:hint="default"/>
      </w:rPr>
    </w:lvl>
    <w:lvl w:ilvl="5">
      <w:start w:val="0"/>
      <w:numFmt w:val="bullet"/>
      <w:lvlText w:val="•"/>
      <w:lvlJc w:val="left"/>
      <w:pPr>
        <w:ind w:left="3609" w:hanging="681"/>
      </w:pPr>
      <w:rPr>
        <w:rFonts w:hint="default"/>
      </w:rPr>
    </w:lvl>
    <w:lvl w:ilvl="6">
      <w:start w:val="0"/>
      <w:numFmt w:val="bullet"/>
      <w:lvlText w:val="•"/>
      <w:lvlJc w:val="left"/>
      <w:pPr>
        <w:ind w:left="4178" w:hanging="681"/>
      </w:pPr>
      <w:rPr>
        <w:rFonts w:hint="default"/>
      </w:rPr>
    </w:lvl>
    <w:lvl w:ilvl="7">
      <w:start w:val="0"/>
      <w:numFmt w:val="bullet"/>
      <w:lvlText w:val="•"/>
      <w:lvlJc w:val="left"/>
      <w:pPr>
        <w:ind w:left="4748" w:hanging="681"/>
      </w:pPr>
      <w:rPr>
        <w:rFonts w:hint="default"/>
      </w:rPr>
    </w:lvl>
    <w:lvl w:ilvl="8">
      <w:start w:val="0"/>
      <w:numFmt w:val="bullet"/>
      <w:lvlText w:val="•"/>
      <w:lvlJc w:val="left"/>
      <w:pPr>
        <w:ind w:left="5318" w:hanging="681"/>
      </w:pPr>
      <w:rPr>
        <w:rFonts w:hint="default"/>
      </w:rPr>
    </w:lvl>
  </w:abstractNum>
  <w:abstractNum w:abstractNumId="69">
    <w:multiLevelType w:val="hybridMultilevel"/>
    <w:lvl w:ilvl="0">
      <w:start w:val="1"/>
      <w:numFmt w:val="decimal"/>
      <w:lvlText w:val="%1."/>
      <w:lvlJc w:val="left"/>
      <w:pPr>
        <w:ind w:left="74" w:hanging="681"/>
        <w:jc w:val="left"/>
      </w:pPr>
      <w:rPr>
        <w:rFonts w:hint="default" w:ascii="Stone Sans II ITC Std Bk" w:hAnsi="Stone Sans II ITC Std Bk" w:eastAsia="Stone Sans II ITC Std Bk" w:cs="Stone Sans II ITC Std Bk"/>
        <w:b/>
        <w:bCs/>
        <w:spacing w:val="-13"/>
        <w:w w:val="110"/>
        <w:sz w:val="20"/>
        <w:szCs w:val="20"/>
      </w:rPr>
    </w:lvl>
    <w:lvl w:ilvl="1">
      <w:start w:val="0"/>
      <w:numFmt w:val="bullet"/>
      <w:lvlText w:val="•"/>
      <w:lvlJc w:val="left"/>
      <w:pPr>
        <w:ind w:left="717" w:hanging="681"/>
      </w:pPr>
      <w:rPr>
        <w:rFonts w:hint="default"/>
      </w:rPr>
    </w:lvl>
    <w:lvl w:ilvl="2">
      <w:start w:val="0"/>
      <w:numFmt w:val="bullet"/>
      <w:lvlText w:val="•"/>
      <w:lvlJc w:val="left"/>
      <w:pPr>
        <w:ind w:left="1355" w:hanging="681"/>
      </w:pPr>
      <w:rPr>
        <w:rFonts w:hint="default"/>
      </w:rPr>
    </w:lvl>
    <w:lvl w:ilvl="3">
      <w:start w:val="0"/>
      <w:numFmt w:val="bullet"/>
      <w:lvlText w:val="•"/>
      <w:lvlJc w:val="left"/>
      <w:pPr>
        <w:ind w:left="1993" w:hanging="681"/>
      </w:pPr>
      <w:rPr>
        <w:rFonts w:hint="default"/>
      </w:rPr>
    </w:lvl>
    <w:lvl w:ilvl="4">
      <w:start w:val="0"/>
      <w:numFmt w:val="bullet"/>
      <w:lvlText w:val="•"/>
      <w:lvlJc w:val="left"/>
      <w:pPr>
        <w:ind w:left="2631" w:hanging="681"/>
      </w:pPr>
      <w:rPr>
        <w:rFonts w:hint="default"/>
      </w:rPr>
    </w:lvl>
    <w:lvl w:ilvl="5">
      <w:start w:val="0"/>
      <w:numFmt w:val="bullet"/>
      <w:lvlText w:val="•"/>
      <w:lvlJc w:val="left"/>
      <w:pPr>
        <w:ind w:left="3269" w:hanging="681"/>
      </w:pPr>
      <w:rPr>
        <w:rFonts w:hint="default"/>
      </w:rPr>
    </w:lvl>
    <w:lvl w:ilvl="6">
      <w:start w:val="0"/>
      <w:numFmt w:val="bullet"/>
      <w:lvlText w:val="•"/>
      <w:lvlJc w:val="left"/>
      <w:pPr>
        <w:ind w:left="3906" w:hanging="681"/>
      </w:pPr>
      <w:rPr>
        <w:rFonts w:hint="default"/>
      </w:rPr>
    </w:lvl>
    <w:lvl w:ilvl="7">
      <w:start w:val="0"/>
      <w:numFmt w:val="bullet"/>
      <w:lvlText w:val="•"/>
      <w:lvlJc w:val="left"/>
      <w:pPr>
        <w:ind w:left="4544" w:hanging="681"/>
      </w:pPr>
      <w:rPr>
        <w:rFonts w:hint="default"/>
      </w:rPr>
    </w:lvl>
    <w:lvl w:ilvl="8">
      <w:start w:val="0"/>
      <w:numFmt w:val="bullet"/>
      <w:lvlText w:val="•"/>
      <w:lvlJc w:val="left"/>
      <w:pPr>
        <w:ind w:left="5182" w:hanging="681"/>
      </w:pPr>
      <w:rPr>
        <w:rFonts w:hint="default"/>
      </w:rPr>
    </w:lvl>
  </w:abstractNum>
  <w:abstractNum w:abstractNumId="68">
    <w:multiLevelType w:val="hybridMultilevel"/>
    <w:lvl w:ilvl="0">
      <w:start w:val="1"/>
      <w:numFmt w:val="decimal"/>
      <w:lvlText w:val="%1."/>
      <w:lvlJc w:val="left"/>
      <w:pPr>
        <w:ind w:left="1927" w:hanging="681"/>
        <w:jc w:val="left"/>
      </w:pPr>
      <w:rPr>
        <w:rFonts w:hint="default" w:ascii="Stone Sans II ITC Std Bk" w:hAnsi="Stone Sans II ITC Std Bk" w:eastAsia="Stone Sans II ITC Std Bk" w:cs="Stone Sans II ITC Std Bk"/>
        <w:b/>
        <w:bCs/>
        <w:spacing w:val="-15"/>
        <w:w w:val="110"/>
        <w:sz w:val="29"/>
        <w:szCs w:val="29"/>
      </w:rPr>
    </w:lvl>
    <w:lvl w:ilvl="1">
      <w:start w:val="1"/>
      <w:numFmt w:val="decimal"/>
      <w:lvlText w:val="%1.%2"/>
      <w:lvlJc w:val="left"/>
      <w:pPr>
        <w:ind w:left="1247" w:hanging="681"/>
        <w:jc w:val="right"/>
      </w:pPr>
      <w:rPr>
        <w:rFonts w:hint="default" w:ascii="Calibri" w:hAnsi="Calibri" w:eastAsia="Calibri" w:cs="Calibri"/>
        <w:spacing w:val="-18"/>
        <w:w w:val="125"/>
        <w:sz w:val="20"/>
        <w:szCs w:val="20"/>
      </w:rPr>
    </w:lvl>
    <w:lvl w:ilvl="2">
      <w:start w:val="0"/>
      <w:numFmt w:val="bullet"/>
      <w:lvlText w:val="•"/>
      <w:lvlJc w:val="left"/>
      <w:pPr>
        <w:ind w:left="3029" w:hanging="681"/>
      </w:pPr>
      <w:rPr>
        <w:rFonts w:hint="default"/>
      </w:rPr>
    </w:lvl>
    <w:lvl w:ilvl="3">
      <w:start w:val="0"/>
      <w:numFmt w:val="bullet"/>
      <w:lvlText w:val="•"/>
      <w:lvlJc w:val="left"/>
      <w:pPr>
        <w:ind w:left="4139" w:hanging="681"/>
      </w:pPr>
      <w:rPr>
        <w:rFonts w:hint="default"/>
      </w:rPr>
    </w:lvl>
    <w:lvl w:ilvl="4">
      <w:start w:val="0"/>
      <w:numFmt w:val="bullet"/>
      <w:lvlText w:val="•"/>
      <w:lvlJc w:val="left"/>
      <w:pPr>
        <w:ind w:left="5248" w:hanging="681"/>
      </w:pPr>
      <w:rPr>
        <w:rFonts w:hint="default"/>
      </w:rPr>
    </w:lvl>
    <w:lvl w:ilvl="5">
      <w:start w:val="0"/>
      <w:numFmt w:val="bullet"/>
      <w:lvlText w:val="•"/>
      <w:lvlJc w:val="left"/>
      <w:pPr>
        <w:ind w:left="6358" w:hanging="681"/>
      </w:pPr>
      <w:rPr>
        <w:rFonts w:hint="default"/>
      </w:rPr>
    </w:lvl>
    <w:lvl w:ilvl="6">
      <w:start w:val="0"/>
      <w:numFmt w:val="bullet"/>
      <w:lvlText w:val="•"/>
      <w:lvlJc w:val="left"/>
      <w:pPr>
        <w:ind w:left="7467" w:hanging="681"/>
      </w:pPr>
      <w:rPr>
        <w:rFonts w:hint="default"/>
      </w:rPr>
    </w:lvl>
    <w:lvl w:ilvl="7">
      <w:start w:val="0"/>
      <w:numFmt w:val="bullet"/>
      <w:lvlText w:val="•"/>
      <w:lvlJc w:val="left"/>
      <w:pPr>
        <w:ind w:left="8577" w:hanging="681"/>
      </w:pPr>
      <w:rPr>
        <w:rFonts w:hint="default"/>
      </w:rPr>
    </w:lvl>
    <w:lvl w:ilvl="8">
      <w:start w:val="0"/>
      <w:numFmt w:val="bullet"/>
      <w:lvlText w:val="•"/>
      <w:lvlJc w:val="left"/>
      <w:pPr>
        <w:ind w:left="9686" w:hanging="681"/>
      </w:pPr>
      <w:rPr>
        <w:rFonts w:hint="default"/>
      </w:rPr>
    </w:lvl>
  </w:abstractNum>
  <w:abstractNum w:abstractNumId="67">
    <w:multiLevelType w:val="hybridMultilevel"/>
    <w:lvl w:ilvl="0">
      <w:start w:val="1"/>
      <w:numFmt w:val="decimal"/>
      <w:lvlText w:val="%1"/>
      <w:lvlJc w:val="left"/>
      <w:pPr>
        <w:ind w:left="2721" w:hanging="794"/>
        <w:jc w:val="right"/>
      </w:pPr>
      <w:rPr>
        <w:rFonts w:hint="default" w:ascii="Calibri" w:hAnsi="Calibri" w:eastAsia="Calibri" w:cs="Calibri"/>
        <w:w w:val="125"/>
        <w:sz w:val="20"/>
        <w:szCs w:val="20"/>
      </w:rPr>
    </w:lvl>
    <w:lvl w:ilvl="1">
      <w:start w:val="0"/>
      <w:numFmt w:val="bullet"/>
      <w:lvlText w:val="•"/>
      <w:lvlJc w:val="left"/>
      <w:pPr>
        <w:ind w:left="3638" w:hanging="794"/>
      </w:pPr>
      <w:rPr>
        <w:rFonts w:hint="default"/>
      </w:rPr>
    </w:lvl>
    <w:lvl w:ilvl="2">
      <w:start w:val="0"/>
      <w:numFmt w:val="bullet"/>
      <w:lvlText w:val="•"/>
      <w:lvlJc w:val="left"/>
      <w:pPr>
        <w:ind w:left="4557" w:hanging="794"/>
      </w:pPr>
      <w:rPr>
        <w:rFonts w:hint="default"/>
      </w:rPr>
    </w:lvl>
    <w:lvl w:ilvl="3">
      <w:start w:val="0"/>
      <w:numFmt w:val="bullet"/>
      <w:lvlText w:val="•"/>
      <w:lvlJc w:val="left"/>
      <w:pPr>
        <w:ind w:left="5475" w:hanging="794"/>
      </w:pPr>
      <w:rPr>
        <w:rFonts w:hint="default"/>
      </w:rPr>
    </w:lvl>
    <w:lvl w:ilvl="4">
      <w:start w:val="0"/>
      <w:numFmt w:val="bullet"/>
      <w:lvlText w:val="•"/>
      <w:lvlJc w:val="left"/>
      <w:pPr>
        <w:ind w:left="6394" w:hanging="794"/>
      </w:pPr>
      <w:rPr>
        <w:rFonts w:hint="default"/>
      </w:rPr>
    </w:lvl>
    <w:lvl w:ilvl="5">
      <w:start w:val="0"/>
      <w:numFmt w:val="bullet"/>
      <w:lvlText w:val="•"/>
      <w:lvlJc w:val="left"/>
      <w:pPr>
        <w:ind w:left="7312" w:hanging="794"/>
      </w:pPr>
      <w:rPr>
        <w:rFonts w:hint="default"/>
      </w:rPr>
    </w:lvl>
    <w:lvl w:ilvl="6">
      <w:start w:val="0"/>
      <w:numFmt w:val="bullet"/>
      <w:lvlText w:val="•"/>
      <w:lvlJc w:val="left"/>
      <w:pPr>
        <w:ind w:left="8231" w:hanging="794"/>
      </w:pPr>
      <w:rPr>
        <w:rFonts w:hint="default"/>
      </w:rPr>
    </w:lvl>
    <w:lvl w:ilvl="7">
      <w:start w:val="0"/>
      <w:numFmt w:val="bullet"/>
      <w:lvlText w:val="•"/>
      <w:lvlJc w:val="left"/>
      <w:pPr>
        <w:ind w:left="9149" w:hanging="794"/>
      </w:pPr>
      <w:rPr>
        <w:rFonts w:hint="default"/>
      </w:rPr>
    </w:lvl>
    <w:lvl w:ilvl="8">
      <w:start w:val="0"/>
      <w:numFmt w:val="bullet"/>
      <w:lvlText w:val="•"/>
      <w:lvlJc w:val="left"/>
      <w:pPr>
        <w:ind w:left="10068" w:hanging="794"/>
      </w:pPr>
      <w:rPr>
        <w:rFonts w:hint="default"/>
      </w:rPr>
    </w:lvl>
  </w:abstractNum>
  <w:abstractNum w:abstractNumId="66">
    <w:multiLevelType w:val="hybridMultilevel"/>
    <w:lvl w:ilvl="0">
      <w:start w:val="1"/>
      <w:numFmt w:val="decimal"/>
      <w:lvlText w:val="%1"/>
      <w:lvlJc w:val="left"/>
      <w:pPr>
        <w:ind w:left="3458" w:hanging="794"/>
        <w:jc w:val="right"/>
      </w:pPr>
      <w:rPr>
        <w:rFonts w:hint="default" w:ascii="Calibri" w:hAnsi="Calibri" w:eastAsia="Calibri" w:cs="Calibri"/>
        <w:w w:val="125"/>
        <w:sz w:val="20"/>
        <w:szCs w:val="20"/>
      </w:rPr>
    </w:lvl>
    <w:lvl w:ilvl="1">
      <w:start w:val="0"/>
      <w:numFmt w:val="bullet"/>
      <w:lvlText w:val="•"/>
      <w:lvlJc w:val="left"/>
      <w:pPr>
        <w:ind w:left="4304" w:hanging="794"/>
      </w:pPr>
      <w:rPr>
        <w:rFonts w:hint="default"/>
      </w:rPr>
    </w:lvl>
    <w:lvl w:ilvl="2">
      <w:start w:val="0"/>
      <w:numFmt w:val="bullet"/>
      <w:lvlText w:val="•"/>
      <w:lvlJc w:val="left"/>
      <w:pPr>
        <w:ind w:left="5149" w:hanging="794"/>
      </w:pPr>
      <w:rPr>
        <w:rFonts w:hint="default"/>
      </w:rPr>
    </w:lvl>
    <w:lvl w:ilvl="3">
      <w:start w:val="0"/>
      <w:numFmt w:val="bullet"/>
      <w:lvlText w:val="•"/>
      <w:lvlJc w:val="left"/>
      <w:pPr>
        <w:ind w:left="5993" w:hanging="794"/>
      </w:pPr>
      <w:rPr>
        <w:rFonts w:hint="default"/>
      </w:rPr>
    </w:lvl>
    <w:lvl w:ilvl="4">
      <w:start w:val="0"/>
      <w:numFmt w:val="bullet"/>
      <w:lvlText w:val="•"/>
      <w:lvlJc w:val="left"/>
      <w:pPr>
        <w:ind w:left="6838" w:hanging="794"/>
      </w:pPr>
      <w:rPr>
        <w:rFonts w:hint="default"/>
      </w:rPr>
    </w:lvl>
    <w:lvl w:ilvl="5">
      <w:start w:val="0"/>
      <w:numFmt w:val="bullet"/>
      <w:lvlText w:val="•"/>
      <w:lvlJc w:val="left"/>
      <w:pPr>
        <w:ind w:left="7682" w:hanging="794"/>
      </w:pPr>
      <w:rPr>
        <w:rFonts w:hint="default"/>
      </w:rPr>
    </w:lvl>
    <w:lvl w:ilvl="6">
      <w:start w:val="0"/>
      <w:numFmt w:val="bullet"/>
      <w:lvlText w:val="•"/>
      <w:lvlJc w:val="left"/>
      <w:pPr>
        <w:ind w:left="8527" w:hanging="794"/>
      </w:pPr>
      <w:rPr>
        <w:rFonts w:hint="default"/>
      </w:rPr>
    </w:lvl>
    <w:lvl w:ilvl="7">
      <w:start w:val="0"/>
      <w:numFmt w:val="bullet"/>
      <w:lvlText w:val="•"/>
      <w:lvlJc w:val="left"/>
      <w:pPr>
        <w:ind w:left="9371" w:hanging="794"/>
      </w:pPr>
      <w:rPr>
        <w:rFonts w:hint="default"/>
      </w:rPr>
    </w:lvl>
    <w:lvl w:ilvl="8">
      <w:start w:val="0"/>
      <w:numFmt w:val="bullet"/>
      <w:lvlText w:val="•"/>
      <w:lvlJc w:val="left"/>
      <w:pPr>
        <w:ind w:left="10216" w:hanging="794"/>
      </w:pPr>
      <w:rPr>
        <w:rFonts w:hint="default"/>
      </w:rPr>
    </w:lvl>
  </w:abstractNum>
  <w:abstractNum w:abstractNumId="65">
    <w:multiLevelType w:val="hybridMultilevel"/>
    <w:lvl w:ilvl="0">
      <w:start w:val="0"/>
      <w:numFmt w:val="bullet"/>
      <w:lvlText w:val="•"/>
      <w:lvlJc w:val="left"/>
      <w:pPr>
        <w:ind w:left="2664" w:hanging="681"/>
      </w:pPr>
      <w:rPr>
        <w:rFonts w:hint="default" w:ascii="Calibri" w:hAnsi="Calibri" w:eastAsia="Calibri" w:cs="Calibri"/>
        <w:w w:val="110"/>
        <w:sz w:val="20"/>
        <w:szCs w:val="20"/>
      </w:rPr>
    </w:lvl>
    <w:lvl w:ilvl="1">
      <w:start w:val="0"/>
      <w:numFmt w:val="bullet"/>
      <w:lvlText w:val="•"/>
      <w:lvlJc w:val="left"/>
      <w:pPr>
        <w:ind w:left="3584" w:hanging="681"/>
      </w:pPr>
      <w:rPr>
        <w:rFonts w:hint="default"/>
      </w:rPr>
    </w:lvl>
    <w:lvl w:ilvl="2">
      <w:start w:val="0"/>
      <w:numFmt w:val="bullet"/>
      <w:lvlText w:val="•"/>
      <w:lvlJc w:val="left"/>
      <w:pPr>
        <w:ind w:left="4509" w:hanging="681"/>
      </w:pPr>
      <w:rPr>
        <w:rFonts w:hint="default"/>
      </w:rPr>
    </w:lvl>
    <w:lvl w:ilvl="3">
      <w:start w:val="0"/>
      <w:numFmt w:val="bullet"/>
      <w:lvlText w:val="•"/>
      <w:lvlJc w:val="left"/>
      <w:pPr>
        <w:ind w:left="5433" w:hanging="681"/>
      </w:pPr>
      <w:rPr>
        <w:rFonts w:hint="default"/>
      </w:rPr>
    </w:lvl>
    <w:lvl w:ilvl="4">
      <w:start w:val="0"/>
      <w:numFmt w:val="bullet"/>
      <w:lvlText w:val="•"/>
      <w:lvlJc w:val="left"/>
      <w:pPr>
        <w:ind w:left="6358" w:hanging="681"/>
      </w:pPr>
      <w:rPr>
        <w:rFonts w:hint="default"/>
      </w:rPr>
    </w:lvl>
    <w:lvl w:ilvl="5">
      <w:start w:val="0"/>
      <w:numFmt w:val="bullet"/>
      <w:lvlText w:val="•"/>
      <w:lvlJc w:val="left"/>
      <w:pPr>
        <w:ind w:left="7282" w:hanging="681"/>
      </w:pPr>
      <w:rPr>
        <w:rFonts w:hint="default"/>
      </w:rPr>
    </w:lvl>
    <w:lvl w:ilvl="6">
      <w:start w:val="0"/>
      <w:numFmt w:val="bullet"/>
      <w:lvlText w:val="•"/>
      <w:lvlJc w:val="left"/>
      <w:pPr>
        <w:ind w:left="8207" w:hanging="681"/>
      </w:pPr>
      <w:rPr>
        <w:rFonts w:hint="default"/>
      </w:rPr>
    </w:lvl>
    <w:lvl w:ilvl="7">
      <w:start w:val="0"/>
      <w:numFmt w:val="bullet"/>
      <w:lvlText w:val="•"/>
      <w:lvlJc w:val="left"/>
      <w:pPr>
        <w:ind w:left="9131" w:hanging="681"/>
      </w:pPr>
      <w:rPr>
        <w:rFonts w:hint="default"/>
      </w:rPr>
    </w:lvl>
    <w:lvl w:ilvl="8">
      <w:start w:val="0"/>
      <w:numFmt w:val="bullet"/>
      <w:lvlText w:val="•"/>
      <w:lvlJc w:val="left"/>
      <w:pPr>
        <w:ind w:left="10056" w:hanging="681"/>
      </w:pPr>
      <w:rPr>
        <w:rFonts w:hint="default"/>
      </w:rPr>
    </w:lvl>
  </w:abstractNum>
  <w:abstractNum w:abstractNumId="64">
    <w:multiLevelType w:val="hybridMultilevel"/>
    <w:lvl w:ilvl="0">
      <w:start w:val="1"/>
      <w:numFmt w:val="decimal"/>
      <w:lvlText w:val="%1."/>
      <w:lvlJc w:val="left"/>
      <w:pPr>
        <w:ind w:left="1927" w:hanging="681"/>
        <w:jc w:val="right"/>
      </w:pPr>
      <w:rPr>
        <w:rFonts w:hint="default" w:ascii="Stone Sans II ITC Std Bk" w:hAnsi="Stone Sans II ITC Std Bk" w:eastAsia="Stone Sans II ITC Std Bk" w:cs="Stone Sans II ITC Std Bk"/>
        <w:b/>
        <w:bCs/>
        <w:spacing w:val="-15"/>
        <w:w w:val="110"/>
        <w:sz w:val="29"/>
        <w:szCs w:val="29"/>
      </w:rPr>
    </w:lvl>
    <w:lvl w:ilvl="1">
      <w:start w:val="1"/>
      <w:numFmt w:val="decimal"/>
      <w:lvlText w:val="%1.%2"/>
      <w:lvlJc w:val="left"/>
      <w:pPr>
        <w:ind w:left="1247" w:hanging="681"/>
        <w:jc w:val="left"/>
      </w:pPr>
      <w:rPr>
        <w:rFonts w:hint="default" w:ascii="Calibri" w:hAnsi="Calibri" w:eastAsia="Calibri" w:cs="Calibri"/>
        <w:spacing w:val="-18"/>
        <w:w w:val="125"/>
        <w:sz w:val="20"/>
        <w:szCs w:val="20"/>
      </w:rPr>
    </w:lvl>
    <w:lvl w:ilvl="2">
      <w:start w:val="1"/>
      <w:numFmt w:val="decimal"/>
      <w:lvlText w:val="%3"/>
      <w:lvlJc w:val="left"/>
      <w:pPr>
        <w:ind w:left="2721" w:hanging="794"/>
        <w:jc w:val="right"/>
      </w:pPr>
      <w:rPr>
        <w:rFonts w:hint="default" w:ascii="Calibri" w:hAnsi="Calibri" w:eastAsia="Calibri" w:cs="Calibri"/>
        <w:w w:val="125"/>
        <w:sz w:val="20"/>
        <w:szCs w:val="20"/>
      </w:rPr>
    </w:lvl>
    <w:lvl w:ilvl="3">
      <w:start w:val="0"/>
      <w:numFmt w:val="bullet"/>
      <w:lvlText w:val="•"/>
      <w:lvlJc w:val="left"/>
      <w:pPr>
        <w:ind w:left="2660" w:hanging="794"/>
      </w:pPr>
      <w:rPr>
        <w:rFonts w:hint="default"/>
      </w:rPr>
    </w:lvl>
    <w:lvl w:ilvl="4">
      <w:start w:val="0"/>
      <w:numFmt w:val="bullet"/>
      <w:lvlText w:val="•"/>
      <w:lvlJc w:val="left"/>
      <w:pPr>
        <w:ind w:left="2720" w:hanging="794"/>
      </w:pPr>
      <w:rPr>
        <w:rFonts w:hint="default"/>
      </w:rPr>
    </w:lvl>
    <w:lvl w:ilvl="5">
      <w:start w:val="0"/>
      <w:numFmt w:val="bullet"/>
      <w:lvlText w:val="•"/>
      <w:lvlJc w:val="left"/>
      <w:pPr>
        <w:ind w:left="4250" w:hanging="794"/>
      </w:pPr>
      <w:rPr>
        <w:rFonts w:hint="default"/>
      </w:rPr>
    </w:lvl>
    <w:lvl w:ilvl="6">
      <w:start w:val="0"/>
      <w:numFmt w:val="bullet"/>
      <w:lvlText w:val="•"/>
      <w:lvlJc w:val="left"/>
      <w:pPr>
        <w:ind w:left="5781" w:hanging="794"/>
      </w:pPr>
      <w:rPr>
        <w:rFonts w:hint="default"/>
      </w:rPr>
    </w:lvl>
    <w:lvl w:ilvl="7">
      <w:start w:val="0"/>
      <w:numFmt w:val="bullet"/>
      <w:lvlText w:val="•"/>
      <w:lvlJc w:val="left"/>
      <w:pPr>
        <w:ind w:left="7312" w:hanging="794"/>
      </w:pPr>
      <w:rPr>
        <w:rFonts w:hint="default"/>
      </w:rPr>
    </w:lvl>
    <w:lvl w:ilvl="8">
      <w:start w:val="0"/>
      <w:numFmt w:val="bullet"/>
      <w:lvlText w:val="•"/>
      <w:lvlJc w:val="left"/>
      <w:pPr>
        <w:ind w:left="8843" w:hanging="794"/>
      </w:pPr>
      <w:rPr>
        <w:rFonts w:hint="default"/>
      </w:rPr>
    </w:lvl>
  </w:abstractNum>
  <w:abstractNum w:abstractNumId="63">
    <w:multiLevelType w:val="hybridMultilevel"/>
    <w:lvl w:ilvl="0">
      <w:start w:val="1"/>
      <w:numFmt w:val="lowerLetter"/>
      <w:lvlText w:val="%1)"/>
      <w:lvlJc w:val="left"/>
      <w:pPr>
        <w:ind w:left="760" w:hanging="681"/>
        <w:jc w:val="left"/>
      </w:pPr>
      <w:rPr>
        <w:rFonts w:hint="default" w:ascii="Stone Sans II ITC Std Bk" w:hAnsi="Stone Sans II ITC Std Bk" w:eastAsia="Stone Sans II ITC Std Bk" w:cs="Stone Sans II ITC Std Bk"/>
        <w:b/>
        <w:bCs/>
        <w:spacing w:val="-13"/>
        <w:w w:val="110"/>
        <w:sz w:val="20"/>
        <w:szCs w:val="20"/>
      </w:rPr>
    </w:lvl>
    <w:lvl w:ilvl="1">
      <w:start w:val="0"/>
      <w:numFmt w:val="bullet"/>
      <w:lvlText w:val="•"/>
      <w:lvlJc w:val="left"/>
      <w:pPr>
        <w:ind w:left="1317" w:hanging="681"/>
      </w:pPr>
      <w:rPr>
        <w:rFonts w:hint="default"/>
      </w:rPr>
    </w:lvl>
    <w:lvl w:ilvl="2">
      <w:start w:val="0"/>
      <w:numFmt w:val="bullet"/>
      <w:lvlText w:val="•"/>
      <w:lvlJc w:val="left"/>
      <w:pPr>
        <w:ind w:left="1874" w:hanging="681"/>
      </w:pPr>
      <w:rPr>
        <w:rFonts w:hint="default"/>
      </w:rPr>
    </w:lvl>
    <w:lvl w:ilvl="3">
      <w:start w:val="0"/>
      <w:numFmt w:val="bullet"/>
      <w:lvlText w:val="•"/>
      <w:lvlJc w:val="left"/>
      <w:pPr>
        <w:ind w:left="2431" w:hanging="681"/>
      </w:pPr>
      <w:rPr>
        <w:rFonts w:hint="default"/>
      </w:rPr>
    </w:lvl>
    <w:lvl w:ilvl="4">
      <w:start w:val="0"/>
      <w:numFmt w:val="bullet"/>
      <w:lvlText w:val="•"/>
      <w:lvlJc w:val="left"/>
      <w:pPr>
        <w:ind w:left="2988" w:hanging="681"/>
      </w:pPr>
      <w:rPr>
        <w:rFonts w:hint="default"/>
      </w:rPr>
    </w:lvl>
    <w:lvl w:ilvl="5">
      <w:start w:val="0"/>
      <w:numFmt w:val="bullet"/>
      <w:lvlText w:val="•"/>
      <w:lvlJc w:val="left"/>
      <w:pPr>
        <w:ind w:left="3545" w:hanging="681"/>
      </w:pPr>
      <w:rPr>
        <w:rFonts w:hint="default"/>
      </w:rPr>
    </w:lvl>
    <w:lvl w:ilvl="6">
      <w:start w:val="0"/>
      <w:numFmt w:val="bullet"/>
      <w:lvlText w:val="•"/>
      <w:lvlJc w:val="left"/>
      <w:pPr>
        <w:ind w:left="4102" w:hanging="681"/>
      </w:pPr>
      <w:rPr>
        <w:rFonts w:hint="default"/>
      </w:rPr>
    </w:lvl>
    <w:lvl w:ilvl="7">
      <w:start w:val="0"/>
      <w:numFmt w:val="bullet"/>
      <w:lvlText w:val="•"/>
      <w:lvlJc w:val="left"/>
      <w:pPr>
        <w:ind w:left="4659" w:hanging="681"/>
      </w:pPr>
      <w:rPr>
        <w:rFonts w:hint="default"/>
      </w:rPr>
    </w:lvl>
    <w:lvl w:ilvl="8">
      <w:start w:val="0"/>
      <w:numFmt w:val="bullet"/>
      <w:lvlText w:val="•"/>
      <w:lvlJc w:val="left"/>
      <w:pPr>
        <w:ind w:left="5216" w:hanging="681"/>
      </w:pPr>
      <w:rPr>
        <w:rFonts w:hint="default"/>
      </w:rPr>
    </w:lvl>
  </w:abstractNum>
  <w:abstractNum w:abstractNumId="62">
    <w:multiLevelType w:val="hybridMultilevel"/>
    <w:lvl w:ilvl="0">
      <w:start w:val="1"/>
      <w:numFmt w:val="decimal"/>
      <w:lvlText w:val="%1."/>
      <w:lvlJc w:val="left"/>
      <w:pPr>
        <w:ind w:left="80" w:hanging="681"/>
        <w:jc w:val="left"/>
      </w:pPr>
      <w:rPr>
        <w:rFonts w:hint="default" w:ascii="Stone Sans II ITC Std Bk" w:hAnsi="Stone Sans II ITC Std Bk" w:eastAsia="Stone Sans II ITC Std Bk" w:cs="Stone Sans II ITC Std Bk"/>
        <w:b/>
        <w:bCs/>
        <w:spacing w:val="-13"/>
        <w:w w:val="110"/>
        <w:sz w:val="20"/>
        <w:szCs w:val="20"/>
      </w:rPr>
    </w:lvl>
    <w:lvl w:ilvl="1">
      <w:start w:val="0"/>
      <w:numFmt w:val="bullet"/>
      <w:lvlText w:val="•"/>
      <w:lvlJc w:val="left"/>
      <w:pPr>
        <w:ind w:left="705" w:hanging="681"/>
      </w:pPr>
      <w:rPr>
        <w:rFonts w:hint="default"/>
      </w:rPr>
    </w:lvl>
    <w:lvl w:ilvl="2">
      <w:start w:val="0"/>
      <w:numFmt w:val="bullet"/>
      <w:lvlText w:val="•"/>
      <w:lvlJc w:val="left"/>
      <w:pPr>
        <w:ind w:left="1330" w:hanging="681"/>
      </w:pPr>
      <w:rPr>
        <w:rFonts w:hint="default"/>
      </w:rPr>
    </w:lvl>
    <w:lvl w:ilvl="3">
      <w:start w:val="0"/>
      <w:numFmt w:val="bullet"/>
      <w:lvlText w:val="•"/>
      <w:lvlJc w:val="left"/>
      <w:pPr>
        <w:ind w:left="1955" w:hanging="681"/>
      </w:pPr>
      <w:rPr>
        <w:rFonts w:hint="default"/>
      </w:rPr>
    </w:lvl>
    <w:lvl w:ilvl="4">
      <w:start w:val="0"/>
      <w:numFmt w:val="bullet"/>
      <w:lvlText w:val="•"/>
      <w:lvlJc w:val="left"/>
      <w:pPr>
        <w:ind w:left="2580" w:hanging="681"/>
      </w:pPr>
      <w:rPr>
        <w:rFonts w:hint="default"/>
      </w:rPr>
    </w:lvl>
    <w:lvl w:ilvl="5">
      <w:start w:val="0"/>
      <w:numFmt w:val="bullet"/>
      <w:lvlText w:val="•"/>
      <w:lvlJc w:val="left"/>
      <w:pPr>
        <w:ind w:left="3205" w:hanging="681"/>
      </w:pPr>
      <w:rPr>
        <w:rFonts w:hint="default"/>
      </w:rPr>
    </w:lvl>
    <w:lvl w:ilvl="6">
      <w:start w:val="0"/>
      <w:numFmt w:val="bullet"/>
      <w:lvlText w:val="•"/>
      <w:lvlJc w:val="left"/>
      <w:pPr>
        <w:ind w:left="3830" w:hanging="681"/>
      </w:pPr>
      <w:rPr>
        <w:rFonts w:hint="default"/>
      </w:rPr>
    </w:lvl>
    <w:lvl w:ilvl="7">
      <w:start w:val="0"/>
      <w:numFmt w:val="bullet"/>
      <w:lvlText w:val="•"/>
      <w:lvlJc w:val="left"/>
      <w:pPr>
        <w:ind w:left="4455" w:hanging="681"/>
      </w:pPr>
      <w:rPr>
        <w:rFonts w:hint="default"/>
      </w:rPr>
    </w:lvl>
    <w:lvl w:ilvl="8">
      <w:start w:val="0"/>
      <w:numFmt w:val="bullet"/>
      <w:lvlText w:val="•"/>
      <w:lvlJc w:val="left"/>
      <w:pPr>
        <w:ind w:left="5080" w:hanging="681"/>
      </w:pPr>
      <w:rPr>
        <w:rFonts w:hint="default"/>
      </w:rPr>
    </w:lvl>
  </w:abstractNum>
  <w:abstractNum w:abstractNumId="61">
    <w:multiLevelType w:val="hybridMultilevel"/>
    <w:lvl w:ilvl="0">
      <w:start w:val="1"/>
      <w:numFmt w:val="decimal"/>
      <w:lvlText w:val="%1"/>
      <w:lvlJc w:val="left"/>
      <w:pPr>
        <w:ind w:left="2721" w:hanging="794"/>
        <w:jc w:val="left"/>
      </w:pPr>
      <w:rPr>
        <w:rFonts w:hint="default" w:ascii="Calibri" w:hAnsi="Calibri" w:eastAsia="Calibri" w:cs="Calibri"/>
        <w:w w:val="125"/>
        <w:sz w:val="20"/>
        <w:szCs w:val="20"/>
      </w:rPr>
    </w:lvl>
    <w:lvl w:ilvl="1">
      <w:start w:val="0"/>
      <w:numFmt w:val="bullet"/>
      <w:lvlText w:val="•"/>
      <w:lvlJc w:val="left"/>
      <w:pPr>
        <w:ind w:left="3638" w:hanging="794"/>
      </w:pPr>
      <w:rPr>
        <w:rFonts w:hint="default"/>
      </w:rPr>
    </w:lvl>
    <w:lvl w:ilvl="2">
      <w:start w:val="0"/>
      <w:numFmt w:val="bullet"/>
      <w:lvlText w:val="•"/>
      <w:lvlJc w:val="left"/>
      <w:pPr>
        <w:ind w:left="4557" w:hanging="794"/>
      </w:pPr>
      <w:rPr>
        <w:rFonts w:hint="default"/>
      </w:rPr>
    </w:lvl>
    <w:lvl w:ilvl="3">
      <w:start w:val="0"/>
      <w:numFmt w:val="bullet"/>
      <w:lvlText w:val="•"/>
      <w:lvlJc w:val="left"/>
      <w:pPr>
        <w:ind w:left="5475" w:hanging="794"/>
      </w:pPr>
      <w:rPr>
        <w:rFonts w:hint="default"/>
      </w:rPr>
    </w:lvl>
    <w:lvl w:ilvl="4">
      <w:start w:val="0"/>
      <w:numFmt w:val="bullet"/>
      <w:lvlText w:val="•"/>
      <w:lvlJc w:val="left"/>
      <w:pPr>
        <w:ind w:left="6394" w:hanging="794"/>
      </w:pPr>
      <w:rPr>
        <w:rFonts w:hint="default"/>
      </w:rPr>
    </w:lvl>
    <w:lvl w:ilvl="5">
      <w:start w:val="0"/>
      <w:numFmt w:val="bullet"/>
      <w:lvlText w:val="•"/>
      <w:lvlJc w:val="left"/>
      <w:pPr>
        <w:ind w:left="7312" w:hanging="794"/>
      </w:pPr>
      <w:rPr>
        <w:rFonts w:hint="default"/>
      </w:rPr>
    </w:lvl>
    <w:lvl w:ilvl="6">
      <w:start w:val="0"/>
      <w:numFmt w:val="bullet"/>
      <w:lvlText w:val="•"/>
      <w:lvlJc w:val="left"/>
      <w:pPr>
        <w:ind w:left="8231" w:hanging="794"/>
      </w:pPr>
      <w:rPr>
        <w:rFonts w:hint="default"/>
      </w:rPr>
    </w:lvl>
    <w:lvl w:ilvl="7">
      <w:start w:val="0"/>
      <w:numFmt w:val="bullet"/>
      <w:lvlText w:val="•"/>
      <w:lvlJc w:val="left"/>
      <w:pPr>
        <w:ind w:left="9149" w:hanging="794"/>
      </w:pPr>
      <w:rPr>
        <w:rFonts w:hint="default"/>
      </w:rPr>
    </w:lvl>
    <w:lvl w:ilvl="8">
      <w:start w:val="0"/>
      <w:numFmt w:val="bullet"/>
      <w:lvlText w:val="•"/>
      <w:lvlJc w:val="left"/>
      <w:pPr>
        <w:ind w:left="10068" w:hanging="794"/>
      </w:pPr>
      <w:rPr>
        <w:rFonts w:hint="default"/>
      </w:rPr>
    </w:lvl>
  </w:abstractNum>
  <w:abstractNum w:abstractNumId="60">
    <w:multiLevelType w:val="hybridMultilevel"/>
    <w:lvl w:ilvl="0">
      <w:start w:val="1"/>
      <w:numFmt w:val="lowerLetter"/>
      <w:lvlText w:val="%1)"/>
      <w:lvlJc w:val="left"/>
      <w:pPr>
        <w:ind w:left="1927" w:hanging="681"/>
        <w:jc w:val="left"/>
      </w:pPr>
      <w:rPr>
        <w:rFonts w:hint="default" w:ascii="Calibri" w:hAnsi="Calibri" w:eastAsia="Calibri" w:cs="Calibri"/>
        <w:spacing w:val="-13"/>
        <w:w w:val="113"/>
        <w:sz w:val="20"/>
        <w:szCs w:val="20"/>
      </w:rPr>
    </w:lvl>
    <w:lvl w:ilvl="1">
      <w:start w:val="0"/>
      <w:numFmt w:val="bullet"/>
      <w:lvlText w:val="•"/>
      <w:lvlJc w:val="left"/>
      <w:pPr>
        <w:ind w:left="2918" w:hanging="681"/>
      </w:pPr>
      <w:rPr>
        <w:rFonts w:hint="default"/>
      </w:rPr>
    </w:lvl>
    <w:lvl w:ilvl="2">
      <w:start w:val="0"/>
      <w:numFmt w:val="bullet"/>
      <w:lvlText w:val="•"/>
      <w:lvlJc w:val="left"/>
      <w:pPr>
        <w:ind w:left="3917" w:hanging="681"/>
      </w:pPr>
      <w:rPr>
        <w:rFonts w:hint="default"/>
      </w:rPr>
    </w:lvl>
    <w:lvl w:ilvl="3">
      <w:start w:val="0"/>
      <w:numFmt w:val="bullet"/>
      <w:lvlText w:val="•"/>
      <w:lvlJc w:val="left"/>
      <w:pPr>
        <w:ind w:left="4915" w:hanging="681"/>
      </w:pPr>
      <w:rPr>
        <w:rFonts w:hint="default"/>
      </w:rPr>
    </w:lvl>
    <w:lvl w:ilvl="4">
      <w:start w:val="0"/>
      <w:numFmt w:val="bullet"/>
      <w:lvlText w:val="•"/>
      <w:lvlJc w:val="left"/>
      <w:pPr>
        <w:ind w:left="5914" w:hanging="681"/>
      </w:pPr>
      <w:rPr>
        <w:rFonts w:hint="default"/>
      </w:rPr>
    </w:lvl>
    <w:lvl w:ilvl="5">
      <w:start w:val="0"/>
      <w:numFmt w:val="bullet"/>
      <w:lvlText w:val="•"/>
      <w:lvlJc w:val="left"/>
      <w:pPr>
        <w:ind w:left="6912" w:hanging="681"/>
      </w:pPr>
      <w:rPr>
        <w:rFonts w:hint="default"/>
      </w:rPr>
    </w:lvl>
    <w:lvl w:ilvl="6">
      <w:start w:val="0"/>
      <w:numFmt w:val="bullet"/>
      <w:lvlText w:val="•"/>
      <w:lvlJc w:val="left"/>
      <w:pPr>
        <w:ind w:left="7911" w:hanging="681"/>
      </w:pPr>
      <w:rPr>
        <w:rFonts w:hint="default"/>
      </w:rPr>
    </w:lvl>
    <w:lvl w:ilvl="7">
      <w:start w:val="0"/>
      <w:numFmt w:val="bullet"/>
      <w:lvlText w:val="•"/>
      <w:lvlJc w:val="left"/>
      <w:pPr>
        <w:ind w:left="8909" w:hanging="681"/>
      </w:pPr>
      <w:rPr>
        <w:rFonts w:hint="default"/>
      </w:rPr>
    </w:lvl>
    <w:lvl w:ilvl="8">
      <w:start w:val="0"/>
      <w:numFmt w:val="bullet"/>
      <w:lvlText w:val="•"/>
      <w:lvlJc w:val="left"/>
      <w:pPr>
        <w:ind w:left="9908" w:hanging="681"/>
      </w:pPr>
      <w:rPr>
        <w:rFonts w:hint="default"/>
      </w:rPr>
    </w:lvl>
  </w:abstractNum>
  <w:abstractNum w:abstractNumId="59">
    <w:multiLevelType w:val="hybridMultilevel"/>
    <w:lvl w:ilvl="0">
      <w:start w:val="1"/>
      <w:numFmt w:val="lowerLetter"/>
      <w:lvlText w:val="%1)"/>
      <w:lvlJc w:val="left"/>
      <w:pPr>
        <w:ind w:left="2664" w:hanging="681"/>
        <w:jc w:val="right"/>
      </w:pPr>
      <w:rPr>
        <w:rFonts w:hint="default" w:ascii="Calibri" w:hAnsi="Calibri" w:eastAsia="Calibri" w:cs="Calibri"/>
        <w:spacing w:val="-13"/>
        <w:w w:val="113"/>
        <w:sz w:val="20"/>
        <w:szCs w:val="20"/>
      </w:rPr>
    </w:lvl>
    <w:lvl w:ilvl="1">
      <w:start w:val="0"/>
      <w:numFmt w:val="bullet"/>
      <w:lvlText w:val="•"/>
      <w:lvlJc w:val="left"/>
      <w:pPr>
        <w:ind w:left="3584" w:hanging="681"/>
      </w:pPr>
      <w:rPr>
        <w:rFonts w:hint="default"/>
      </w:rPr>
    </w:lvl>
    <w:lvl w:ilvl="2">
      <w:start w:val="0"/>
      <w:numFmt w:val="bullet"/>
      <w:lvlText w:val="•"/>
      <w:lvlJc w:val="left"/>
      <w:pPr>
        <w:ind w:left="4509" w:hanging="681"/>
      </w:pPr>
      <w:rPr>
        <w:rFonts w:hint="default"/>
      </w:rPr>
    </w:lvl>
    <w:lvl w:ilvl="3">
      <w:start w:val="0"/>
      <w:numFmt w:val="bullet"/>
      <w:lvlText w:val="•"/>
      <w:lvlJc w:val="left"/>
      <w:pPr>
        <w:ind w:left="5433" w:hanging="681"/>
      </w:pPr>
      <w:rPr>
        <w:rFonts w:hint="default"/>
      </w:rPr>
    </w:lvl>
    <w:lvl w:ilvl="4">
      <w:start w:val="0"/>
      <w:numFmt w:val="bullet"/>
      <w:lvlText w:val="•"/>
      <w:lvlJc w:val="left"/>
      <w:pPr>
        <w:ind w:left="6358" w:hanging="681"/>
      </w:pPr>
      <w:rPr>
        <w:rFonts w:hint="default"/>
      </w:rPr>
    </w:lvl>
    <w:lvl w:ilvl="5">
      <w:start w:val="0"/>
      <w:numFmt w:val="bullet"/>
      <w:lvlText w:val="•"/>
      <w:lvlJc w:val="left"/>
      <w:pPr>
        <w:ind w:left="7282" w:hanging="681"/>
      </w:pPr>
      <w:rPr>
        <w:rFonts w:hint="default"/>
      </w:rPr>
    </w:lvl>
    <w:lvl w:ilvl="6">
      <w:start w:val="0"/>
      <w:numFmt w:val="bullet"/>
      <w:lvlText w:val="•"/>
      <w:lvlJc w:val="left"/>
      <w:pPr>
        <w:ind w:left="8207" w:hanging="681"/>
      </w:pPr>
      <w:rPr>
        <w:rFonts w:hint="default"/>
      </w:rPr>
    </w:lvl>
    <w:lvl w:ilvl="7">
      <w:start w:val="0"/>
      <w:numFmt w:val="bullet"/>
      <w:lvlText w:val="•"/>
      <w:lvlJc w:val="left"/>
      <w:pPr>
        <w:ind w:left="9131" w:hanging="681"/>
      </w:pPr>
      <w:rPr>
        <w:rFonts w:hint="default"/>
      </w:rPr>
    </w:lvl>
    <w:lvl w:ilvl="8">
      <w:start w:val="0"/>
      <w:numFmt w:val="bullet"/>
      <w:lvlText w:val="•"/>
      <w:lvlJc w:val="left"/>
      <w:pPr>
        <w:ind w:left="10056" w:hanging="681"/>
      </w:pPr>
      <w:rPr>
        <w:rFonts w:hint="default"/>
      </w:rPr>
    </w:lvl>
  </w:abstractNum>
  <w:abstractNum w:abstractNumId="58">
    <w:multiLevelType w:val="hybridMultilevel"/>
    <w:lvl w:ilvl="0">
      <w:start w:val="1"/>
      <w:numFmt w:val="lowerLetter"/>
      <w:lvlText w:val="%1)"/>
      <w:lvlJc w:val="left"/>
      <w:pPr>
        <w:ind w:left="2664" w:hanging="681"/>
        <w:jc w:val="right"/>
      </w:pPr>
      <w:rPr>
        <w:rFonts w:hint="default" w:ascii="Calibri" w:hAnsi="Calibri" w:eastAsia="Calibri" w:cs="Calibri"/>
        <w:spacing w:val="-13"/>
        <w:w w:val="125"/>
        <w:sz w:val="20"/>
        <w:szCs w:val="20"/>
      </w:rPr>
    </w:lvl>
    <w:lvl w:ilvl="1">
      <w:start w:val="0"/>
      <w:numFmt w:val="bullet"/>
      <w:lvlText w:val="•"/>
      <w:lvlJc w:val="left"/>
      <w:pPr>
        <w:ind w:left="3584" w:hanging="681"/>
      </w:pPr>
      <w:rPr>
        <w:rFonts w:hint="default"/>
      </w:rPr>
    </w:lvl>
    <w:lvl w:ilvl="2">
      <w:start w:val="0"/>
      <w:numFmt w:val="bullet"/>
      <w:lvlText w:val="•"/>
      <w:lvlJc w:val="left"/>
      <w:pPr>
        <w:ind w:left="4509" w:hanging="681"/>
      </w:pPr>
      <w:rPr>
        <w:rFonts w:hint="default"/>
      </w:rPr>
    </w:lvl>
    <w:lvl w:ilvl="3">
      <w:start w:val="0"/>
      <w:numFmt w:val="bullet"/>
      <w:lvlText w:val="•"/>
      <w:lvlJc w:val="left"/>
      <w:pPr>
        <w:ind w:left="5433" w:hanging="681"/>
      </w:pPr>
      <w:rPr>
        <w:rFonts w:hint="default"/>
      </w:rPr>
    </w:lvl>
    <w:lvl w:ilvl="4">
      <w:start w:val="0"/>
      <w:numFmt w:val="bullet"/>
      <w:lvlText w:val="•"/>
      <w:lvlJc w:val="left"/>
      <w:pPr>
        <w:ind w:left="6358" w:hanging="681"/>
      </w:pPr>
      <w:rPr>
        <w:rFonts w:hint="default"/>
      </w:rPr>
    </w:lvl>
    <w:lvl w:ilvl="5">
      <w:start w:val="0"/>
      <w:numFmt w:val="bullet"/>
      <w:lvlText w:val="•"/>
      <w:lvlJc w:val="left"/>
      <w:pPr>
        <w:ind w:left="7282" w:hanging="681"/>
      </w:pPr>
      <w:rPr>
        <w:rFonts w:hint="default"/>
      </w:rPr>
    </w:lvl>
    <w:lvl w:ilvl="6">
      <w:start w:val="0"/>
      <w:numFmt w:val="bullet"/>
      <w:lvlText w:val="•"/>
      <w:lvlJc w:val="left"/>
      <w:pPr>
        <w:ind w:left="8207" w:hanging="681"/>
      </w:pPr>
      <w:rPr>
        <w:rFonts w:hint="default"/>
      </w:rPr>
    </w:lvl>
    <w:lvl w:ilvl="7">
      <w:start w:val="0"/>
      <w:numFmt w:val="bullet"/>
      <w:lvlText w:val="•"/>
      <w:lvlJc w:val="left"/>
      <w:pPr>
        <w:ind w:left="9131" w:hanging="681"/>
      </w:pPr>
      <w:rPr>
        <w:rFonts w:hint="default"/>
      </w:rPr>
    </w:lvl>
    <w:lvl w:ilvl="8">
      <w:start w:val="0"/>
      <w:numFmt w:val="bullet"/>
      <w:lvlText w:val="•"/>
      <w:lvlJc w:val="left"/>
      <w:pPr>
        <w:ind w:left="10056" w:hanging="681"/>
      </w:pPr>
      <w:rPr>
        <w:rFonts w:hint="default"/>
      </w:rPr>
    </w:lvl>
  </w:abstractNum>
  <w:abstractNum w:abstractNumId="57">
    <w:multiLevelType w:val="hybridMultilevel"/>
    <w:lvl w:ilvl="0">
      <w:start w:val="4"/>
      <w:numFmt w:val="decimal"/>
      <w:lvlText w:val="%1."/>
      <w:lvlJc w:val="left"/>
      <w:pPr>
        <w:ind w:left="1927" w:hanging="681"/>
        <w:jc w:val="right"/>
      </w:pPr>
      <w:rPr>
        <w:rFonts w:hint="default" w:ascii="Stone Sans II ITC Std Bk" w:hAnsi="Stone Sans II ITC Std Bk" w:eastAsia="Stone Sans II ITC Std Bk" w:cs="Stone Sans II ITC Std Bk"/>
        <w:b/>
        <w:bCs/>
        <w:spacing w:val="0"/>
        <w:w w:val="110"/>
        <w:sz w:val="29"/>
        <w:szCs w:val="29"/>
      </w:rPr>
    </w:lvl>
    <w:lvl w:ilvl="1">
      <w:start w:val="1"/>
      <w:numFmt w:val="decimal"/>
      <w:lvlText w:val="%1.%2"/>
      <w:lvlJc w:val="left"/>
      <w:pPr>
        <w:ind w:left="2664" w:hanging="681"/>
        <w:jc w:val="right"/>
      </w:pPr>
      <w:rPr>
        <w:rFonts w:hint="default"/>
        <w:b/>
        <w:bCs/>
        <w:spacing w:val="-26"/>
        <w:w w:val="110"/>
      </w:rPr>
    </w:lvl>
    <w:lvl w:ilvl="2">
      <w:start w:val="1"/>
      <w:numFmt w:val="decimal"/>
      <w:lvlText w:val="%1.%2.%3"/>
      <w:lvlJc w:val="left"/>
      <w:pPr>
        <w:ind w:left="1247" w:hanging="681"/>
        <w:jc w:val="right"/>
      </w:pPr>
      <w:rPr>
        <w:rFonts w:hint="default" w:ascii="Calibri" w:hAnsi="Calibri" w:eastAsia="Calibri" w:cs="Calibri"/>
        <w:spacing w:val="-18"/>
        <w:w w:val="125"/>
        <w:sz w:val="20"/>
        <w:szCs w:val="20"/>
      </w:rPr>
    </w:lvl>
    <w:lvl w:ilvl="3">
      <w:start w:val="0"/>
      <w:numFmt w:val="bullet"/>
      <w:lvlText w:val="•"/>
      <w:lvlJc w:val="left"/>
      <w:pPr>
        <w:ind w:left="2660" w:hanging="681"/>
      </w:pPr>
      <w:rPr>
        <w:rFonts w:hint="default"/>
      </w:rPr>
    </w:lvl>
    <w:lvl w:ilvl="4">
      <w:start w:val="0"/>
      <w:numFmt w:val="bullet"/>
      <w:lvlText w:val="•"/>
      <w:lvlJc w:val="left"/>
      <w:pPr>
        <w:ind w:left="3980" w:hanging="681"/>
      </w:pPr>
      <w:rPr>
        <w:rFonts w:hint="default"/>
      </w:rPr>
    </w:lvl>
    <w:lvl w:ilvl="5">
      <w:start w:val="0"/>
      <w:numFmt w:val="bullet"/>
      <w:lvlText w:val="•"/>
      <w:lvlJc w:val="left"/>
      <w:pPr>
        <w:ind w:left="5301" w:hanging="681"/>
      </w:pPr>
      <w:rPr>
        <w:rFonts w:hint="default"/>
      </w:rPr>
    </w:lvl>
    <w:lvl w:ilvl="6">
      <w:start w:val="0"/>
      <w:numFmt w:val="bullet"/>
      <w:lvlText w:val="•"/>
      <w:lvlJc w:val="left"/>
      <w:pPr>
        <w:ind w:left="6622" w:hanging="681"/>
      </w:pPr>
      <w:rPr>
        <w:rFonts w:hint="default"/>
      </w:rPr>
    </w:lvl>
    <w:lvl w:ilvl="7">
      <w:start w:val="0"/>
      <w:numFmt w:val="bullet"/>
      <w:lvlText w:val="•"/>
      <w:lvlJc w:val="left"/>
      <w:pPr>
        <w:ind w:left="7943" w:hanging="681"/>
      </w:pPr>
      <w:rPr>
        <w:rFonts w:hint="default"/>
      </w:rPr>
    </w:lvl>
    <w:lvl w:ilvl="8">
      <w:start w:val="0"/>
      <w:numFmt w:val="bullet"/>
      <w:lvlText w:val="•"/>
      <w:lvlJc w:val="left"/>
      <w:pPr>
        <w:ind w:left="9263" w:hanging="681"/>
      </w:pPr>
      <w:rPr>
        <w:rFonts w:hint="default"/>
      </w:rPr>
    </w:lvl>
  </w:abstractNum>
  <w:abstractNum w:abstractNumId="56">
    <w:multiLevelType w:val="hybridMultilevel"/>
    <w:lvl w:ilvl="0">
      <w:start w:val="1"/>
      <w:numFmt w:val="decimal"/>
      <w:lvlText w:val="%1."/>
      <w:lvlJc w:val="left"/>
      <w:pPr>
        <w:ind w:left="2721" w:hanging="794"/>
        <w:jc w:val="left"/>
      </w:pPr>
      <w:rPr>
        <w:rFonts w:hint="default" w:ascii="Calibri" w:hAnsi="Calibri" w:eastAsia="Calibri" w:cs="Calibri"/>
        <w:spacing w:val="-13"/>
        <w:w w:val="125"/>
        <w:sz w:val="20"/>
        <w:szCs w:val="20"/>
      </w:rPr>
    </w:lvl>
    <w:lvl w:ilvl="1">
      <w:start w:val="0"/>
      <w:numFmt w:val="bullet"/>
      <w:lvlText w:val="•"/>
      <w:lvlJc w:val="left"/>
      <w:pPr>
        <w:ind w:left="3638" w:hanging="794"/>
      </w:pPr>
      <w:rPr>
        <w:rFonts w:hint="default"/>
      </w:rPr>
    </w:lvl>
    <w:lvl w:ilvl="2">
      <w:start w:val="0"/>
      <w:numFmt w:val="bullet"/>
      <w:lvlText w:val="•"/>
      <w:lvlJc w:val="left"/>
      <w:pPr>
        <w:ind w:left="4557" w:hanging="794"/>
      </w:pPr>
      <w:rPr>
        <w:rFonts w:hint="default"/>
      </w:rPr>
    </w:lvl>
    <w:lvl w:ilvl="3">
      <w:start w:val="0"/>
      <w:numFmt w:val="bullet"/>
      <w:lvlText w:val="•"/>
      <w:lvlJc w:val="left"/>
      <w:pPr>
        <w:ind w:left="5475" w:hanging="794"/>
      </w:pPr>
      <w:rPr>
        <w:rFonts w:hint="default"/>
      </w:rPr>
    </w:lvl>
    <w:lvl w:ilvl="4">
      <w:start w:val="0"/>
      <w:numFmt w:val="bullet"/>
      <w:lvlText w:val="•"/>
      <w:lvlJc w:val="left"/>
      <w:pPr>
        <w:ind w:left="6394" w:hanging="794"/>
      </w:pPr>
      <w:rPr>
        <w:rFonts w:hint="default"/>
      </w:rPr>
    </w:lvl>
    <w:lvl w:ilvl="5">
      <w:start w:val="0"/>
      <w:numFmt w:val="bullet"/>
      <w:lvlText w:val="•"/>
      <w:lvlJc w:val="left"/>
      <w:pPr>
        <w:ind w:left="7312" w:hanging="794"/>
      </w:pPr>
      <w:rPr>
        <w:rFonts w:hint="default"/>
      </w:rPr>
    </w:lvl>
    <w:lvl w:ilvl="6">
      <w:start w:val="0"/>
      <w:numFmt w:val="bullet"/>
      <w:lvlText w:val="•"/>
      <w:lvlJc w:val="left"/>
      <w:pPr>
        <w:ind w:left="8231" w:hanging="794"/>
      </w:pPr>
      <w:rPr>
        <w:rFonts w:hint="default"/>
      </w:rPr>
    </w:lvl>
    <w:lvl w:ilvl="7">
      <w:start w:val="0"/>
      <w:numFmt w:val="bullet"/>
      <w:lvlText w:val="•"/>
      <w:lvlJc w:val="left"/>
      <w:pPr>
        <w:ind w:left="9149" w:hanging="794"/>
      </w:pPr>
      <w:rPr>
        <w:rFonts w:hint="default"/>
      </w:rPr>
    </w:lvl>
    <w:lvl w:ilvl="8">
      <w:start w:val="0"/>
      <w:numFmt w:val="bullet"/>
      <w:lvlText w:val="•"/>
      <w:lvlJc w:val="left"/>
      <w:pPr>
        <w:ind w:left="10068" w:hanging="794"/>
      </w:pPr>
      <w:rPr>
        <w:rFonts w:hint="default"/>
      </w:rPr>
    </w:lvl>
  </w:abstractNum>
  <w:abstractNum w:abstractNumId="55">
    <w:multiLevelType w:val="hybridMultilevel"/>
    <w:lvl w:ilvl="0">
      <w:start w:val="1"/>
      <w:numFmt w:val="decimal"/>
      <w:lvlText w:val="%1."/>
      <w:lvlJc w:val="left"/>
      <w:pPr>
        <w:ind w:left="2636" w:hanging="681"/>
        <w:jc w:val="left"/>
      </w:pPr>
      <w:rPr>
        <w:rFonts w:hint="default" w:ascii="Stone Sans II ITC Std Bk" w:hAnsi="Stone Sans II ITC Std Bk" w:eastAsia="Stone Sans II ITC Std Bk" w:cs="Stone Sans II ITC Std Bk"/>
        <w:b/>
        <w:bCs/>
        <w:spacing w:val="-15"/>
        <w:w w:val="110"/>
        <w:sz w:val="29"/>
        <w:szCs w:val="29"/>
      </w:rPr>
    </w:lvl>
    <w:lvl w:ilvl="1">
      <w:start w:val="1"/>
      <w:numFmt w:val="decimal"/>
      <w:lvlText w:val="%1.%2"/>
      <w:lvlJc w:val="left"/>
      <w:pPr>
        <w:ind w:left="1955" w:hanging="681"/>
        <w:jc w:val="left"/>
      </w:pPr>
      <w:rPr>
        <w:rFonts w:hint="default" w:ascii="Calibri" w:hAnsi="Calibri" w:eastAsia="Calibri" w:cs="Calibri"/>
        <w:spacing w:val="-18"/>
        <w:w w:val="125"/>
        <w:sz w:val="20"/>
        <w:szCs w:val="20"/>
      </w:rPr>
    </w:lvl>
    <w:lvl w:ilvl="2">
      <w:start w:val="0"/>
      <w:numFmt w:val="bullet"/>
      <w:lvlText w:val="•"/>
      <w:lvlJc w:val="left"/>
      <w:pPr>
        <w:ind w:left="3669" w:hanging="681"/>
      </w:pPr>
      <w:rPr>
        <w:rFonts w:hint="default"/>
      </w:rPr>
    </w:lvl>
    <w:lvl w:ilvl="3">
      <w:start w:val="0"/>
      <w:numFmt w:val="bullet"/>
      <w:lvlText w:val="•"/>
      <w:lvlJc w:val="left"/>
      <w:pPr>
        <w:ind w:left="4699" w:hanging="681"/>
      </w:pPr>
      <w:rPr>
        <w:rFonts w:hint="default"/>
      </w:rPr>
    </w:lvl>
    <w:lvl w:ilvl="4">
      <w:start w:val="0"/>
      <w:numFmt w:val="bullet"/>
      <w:lvlText w:val="•"/>
      <w:lvlJc w:val="left"/>
      <w:pPr>
        <w:ind w:left="5728" w:hanging="681"/>
      </w:pPr>
      <w:rPr>
        <w:rFonts w:hint="default"/>
      </w:rPr>
    </w:lvl>
    <w:lvl w:ilvl="5">
      <w:start w:val="0"/>
      <w:numFmt w:val="bullet"/>
      <w:lvlText w:val="•"/>
      <w:lvlJc w:val="left"/>
      <w:pPr>
        <w:ind w:left="6758" w:hanging="681"/>
      </w:pPr>
      <w:rPr>
        <w:rFonts w:hint="default"/>
      </w:rPr>
    </w:lvl>
    <w:lvl w:ilvl="6">
      <w:start w:val="0"/>
      <w:numFmt w:val="bullet"/>
      <w:lvlText w:val="•"/>
      <w:lvlJc w:val="left"/>
      <w:pPr>
        <w:ind w:left="7787" w:hanging="681"/>
      </w:pPr>
      <w:rPr>
        <w:rFonts w:hint="default"/>
      </w:rPr>
    </w:lvl>
    <w:lvl w:ilvl="7">
      <w:start w:val="0"/>
      <w:numFmt w:val="bullet"/>
      <w:lvlText w:val="•"/>
      <w:lvlJc w:val="left"/>
      <w:pPr>
        <w:ind w:left="8817" w:hanging="681"/>
      </w:pPr>
      <w:rPr>
        <w:rFonts w:hint="default"/>
      </w:rPr>
    </w:lvl>
    <w:lvl w:ilvl="8">
      <w:start w:val="0"/>
      <w:numFmt w:val="bullet"/>
      <w:lvlText w:val="•"/>
      <w:lvlJc w:val="left"/>
      <w:pPr>
        <w:ind w:left="9846" w:hanging="681"/>
      </w:pPr>
      <w:rPr>
        <w:rFonts w:hint="default"/>
      </w:rPr>
    </w:lvl>
  </w:abstractNum>
  <w:abstractNum w:abstractNumId="54">
    <w:multiLevelType w:val="hybridMultilevel"/>
    <w:lvl w:ilvl="0">
      <w:start w:val="1"/>
      <w:numFmt w:val="lowerLetter"/>
      <w:lvlText w:val="%1)"/>
      <w:lvlJc w:val="left"/>
      <w:pPr>
        <w:ind w:left="755" w:hanging="681"/>
        <w:jc w:val="left"/>
      </w:pPr>
      <w:rPr>
        <w:rFonts w:hint="default" w:ascii="Stone Sans II ITC Std Bk" w:hAnsi="Stone Sans II ITC Std Bk" w:eastAsia="Stone Sans II ITC Std Bk" w:cs="Stone Sans II ITC Std Bk"/>
        <w:b/>
        <w:bCs/>
        <w:spacing w:val="-13"/>
        <w:w w:val="110"/>
        <w:sz w:val="20"/>
        <w:szCs w:val="20"/>
      </w:rPr>
    </w:lvl>
    <w:lvl w:ilvl="1">
      <w:start w:val="0"/>
      <w:numFmt w:val="bullet"/>
      <w:lvlText w:val="•"/>
      <w:lvlJc w:val="left"/>
      <w:pPr>
        <w:ind w:left="1329" w:hanging="681"/>
      </w:pPr>
      <w:rPr>
        <w:rFonts w:hint="default"/>
      </w:rPr>
    </w:lvl>
    <w:lvl w:ilvl="2">
      <w:start w:val="0"/>
      <w:numFmt w:val="bullet"/>
      <w:lvlText w:val="•"/>
      <w:lvlJc w:val="left"/>
      <w:pPr>
        <w:ind w:left="1899" w:hanging="681"/>
      </w:pPr>
      <w:rPr>
        <w:rFonts w:hint="default"/>
      </w:rPr>
    </w:lvl>
    <w:lvl w:ilvl="3">
      <w:start w:val="0"/>
      <w:numFmt w:val="bullet"/>
      <w:lvlText w:val="•"/>
      <w:lvlJc w:val="left"/>
      <w:pPr>
        <w:ind w:left="2469" w:hanging="681"/>
      </w:pPr>
      <w:rPr>
        <w:rFonts w:hint="default"/>
      </w:rPr>
    </w:lvl>
    <w:lvl w:ilvl="4">
      <w:start w:val="0"/>
      <w:numFmt w:val="bullet"/>
      <w:lvlText w:val="•"/>
      <w:lvlJc w:val="left"/>
      <w:pPr>
        <w:ind w:left="3039" w:hanging="681"/>
      </w:pPr>
      <w:rPr>
        <w:rFonts w:hint="default"/>
      </w:rPr>
    </w:lvl>
    <w:lvl w:ilvl="5">
      <w:start w:val="0"/>
      <w:numFmt w:val="bullet"/>
      <w:lvlText w:val="•"/>
      <w:lvlJc w:val="left"/>
      <w:pPr>
        <w:ind w:left="3609" w:hanging="681"/>
      </w:pPr>
      <w:rPr>
        <w:rFonts w:hint="default"/>
      </w:rPr>
    </w:lvl>
    <w:lvl w:ilvl="6">
      <w:start w:val="0"/>
      <w:numFmt w:val="bullet"/>
      <w:lvlText w:val="•"/>
      <w:lvlJc w:val="left"/>
      <w:pPr>
        <w:ind w:left="4178" w:hanging="681"/>
      </w:pPr>
      <w:rPr>
        <w:rFonts w:hint="default"/>
      </w:rPr>
    </w:lvl>
    <w:lvl w:ilvl="7">
      <w:start w:val="0"/>
      <w:numFmt w:val="bullet"/>
      <w:lvlText w:val="•"/>
      <w:lvlJc w:val="left"/>
      <w:pPr>
        <w:ind w:left="4748" w:hanging="681"/>
      </w:pPr>
      <w:rPr>
        <w:rFonts w:hint="default"/>
      </w:rPr>
    </w:lvl>
    <w:lvl w:ilvl="8">
      <w:start w:val="0"/>
      <w:numFmt w:val="bullet"/>
      <w:lvlText w:val="•"/>
      <w:lvlJc w:val="left"/>
      <w:pPr>
        <w:ind w:left="5318" w:hanging="681"/>
      </w:pPr>
      <w:rPr>
        <w:rFonts w:hint="default"/>
      </w:rPr>
    </w:lvl>
  </w:abstractNum>
  <w:abstractNum w:abstractNumId="53">
    <w:multiLevelType w:val="hybridMultilevel"/>
    <w:lvl w:ilvl="0">
      <w:start w:val="1"/>
      <w:numFmt w:val="decimal"/>
      <w:lvlText w:val="%1."/>
      <w:lvlJc w:val="left"/>
      <w:pPr>
        <w:ind w:left="1247" w:hanging="681"/>
        <w:jc w:val="right"/>
      </w:pPr>
      <w:rPr>
        <w:rFonts w:hint="default" w:ascii="Calibri" w:hAnsi="Calibri" w:eastAsia="Calibri" w:cs="Calibri"/>
        <w:spacing w:val="-13"/>
        <w:w w:val="125"/>
        <w:sz w:val="20"/>
        <w:szCs w:val="20"/>
      </w:rPr>
    </w:lvl>
    <w:lvl w:ilvl="1">
      <w:start w:val="0"/>
      <w:numFmt w:val="bullet"/>
      <w:lvlText w:val="•"/>
      <w:lvlJc w:val="left"/>
      <w:pPr>
        <w:ind w:left="2306" w:hanging="681"/>
      </w:pPr>
      <w:rPr>
        <w:rFonts w:hint="default"/>
      </w:rPr>
    </w:lvl>
    <w:lvl w:ilvl="2">
      <w:start w:val="0"/>
      <w:numFmt w:val="bullet"/>
      <w:lvlText w:val="•"/>
      <w:lvlJc w:val="left"/>
      <w:pPr>
        <w:ind w:left="3373" w:hanging="681"/>
      </w:pPr>
      <w:rPr>
        <w:rFonts w:hint="default"/>
      </w:rPr>
    </w:lvl>
    <w:lvl w:ilvl="3">
      <w:start w:val="0"/>
      <w:numFmt w:val="bullet"/>
      <w:lvlText w:val="•"/>
      <w:lvlJc w:val="left"/>
      <w:pPr>
        <w:ind w:left="4439" w:hanging="681"/>
      </w:pPr>
      <w:rPr>
        <w:rFonts w:hint="default"/>
      </w:rPr>
    </w:lvl>
    <w:lvl w:ilvl="4">
      <w:start w:val="0"/>
      <w:numFmt w:val="bullet"/>
      <w:lvlText w:val="•"/>
      <w:lvlJc w:val="left"/>
      <w:pPr>
        <w:ind w:left="5506" w:hanging="681"/>
      </w:pPr>
      <w:rPr>
        <w:rFonts w:hint="default"/>
      </w:rPr>
    </w:lvl>
    <w:lvl w:ilvl="5">
      <w:start w:val="0"/>
      <w:numFmt w:val="bullet"/>
      <w:lvlText w:val="•"/>
      <w:lvlJc w:val="left"/>
      <w:pPr>
        <w:ind w:left="6572" w:hanging="681"/>
      </w:pPr>
      <w:rPr>
        <w:rFonts w:hint="default"/>
      </w:rPr>
    </w:lvl>
    <w:lvl w:ilvl="6">
      <w:start w:val="0"/>
      <w:numFmt w:val="bullet"/>
      <w:lvlText w:val="•"/>
      <w:lvlJc w:val="left"/>
      <w:pPr>
        <w:ind w:left="7639" w:hanging="681"/>
      </w:pPr>
      <w:rPr>
        <w:rFonts w:hint="default"/>
      </w:rPr>
    </w:lvl>
    <w:lvl w:ilvl="7">
      <w:start w:val="0"/>
      <w:numFmt w:val="bullet"/>
      <w:lvlText w:val="•"/>
      <w:lvlJc w:val="left"/>
      <w:pPr>
        <w:ind w:left="8705" w:hanging="681"/>
      </w:pPr>
      <w:rPr>
        <w:rFonts w:hint="default"/>
      </w:rPr>
    </w:lvl>
    <w:lvl w:ilvl="8">
      <w:start w:val="0"/>
      <w:numFmt w:val="bullet"/>
      <w:lvlText w:val="•"/>
      <w:lvlJc w:val="left"/>
      <w:pPr>
        <w:ind w:left="9772" w:hanging="681"/>
      </w:pPr>
      <w:rPr>
        <w:rFonts w:hint="default"/>
      </w:rPr>
    </w:lvl>
  </w:abstractNum>
  <w:abstractNum w:abstractNumId="52">
    <w:multiLevelType w:val="hybridMultilevel"/>
    <w:lvl w:ilvl="0">
      <w:start w:val="1"/>
      <w:numFmt w:val="decimal"/>
      <w:lvlText w:val="%1"/>
      <w:lvlJc w:val="left"/>
      <w:pPr>
        <w:ind w:left="302" w:hanging="167"/>
        <w:jc w:val="left"/>
      </w:pPr>
      <w:rPr>
        <w:rFonts w:hint="default"/>
        <w:w w:val="126"/>
      </w:rPr>
    </w:lvl>
    <w:lvl w:ilvl="1">
      <w:start w:val="0"/>
      <w:numFmt w:val="bullet"/>
      <w:lvlText w:val="•"/>
      <w:lvlJc w:val="left"/>
      <w:pPr>
        <w:ind w:left="339" w:hanging="167"/>
      </w:pPr>
      <w:rPr>
        <w:rFonts w:hint="default"/>
      </w:rPr>
    </w:lvl>
    <w:lvl w:ilvl="2">
      <w:start w:val="0"/>
      <w:numFmt w:val="bullet"/>
      <w:lvlText w:val="•"/>
      <w:lvlJc w:val="left"/>
      <w:pPr>
        <w:ind w:left="378" w:hanging="167"/>
      </w:pPr>
      <w:rPr>
        <w:rFonts w:hint="default"/>
      </w:rPr>
    </w:lvl>
    <w:lvl w:ilvl="3">
      <w:start w:val="0"/>
      <w:numFmt w:val="bullet"/>
      <w:lvlText w:val="•"/>
      <w:lvlJc w:val="left"/>
      <w:pPr>
        <w:ind w:left="417" w:hanging="167"/>
      </w:pPr>
      <w:rPr>
        <w:rFonts w:hint="default"/>
      </w:rPr>
    </w:lvl>
    <w:lvl w:ilvl="4">
      <w:start w:val="0"/>
      <w:numFmt w:val="bullet"/>
      <w:lvlText w:val="•"/>
      <w:lvlJc w:val="left"/>
      <w:pPr>
        <w:ind w:left="456" w:hanging="167"/>
      </w:pPr>
      <w:rPr>
        <w:rFonts w:hint="default"/>
      </w:rPr>
    </w:lvl>
    <w:lvl w:ilvl="5">
      <w:start w:val="0"/>
      <w:numFmt w:val="bullet"/>
      <w:lvlText w:val="•"/>
      <w:lvlJc w:val="left"/>
      <w:pPr>
        <w:ind w:left="496" w:hanging="167"/>
      </w:pPr>
      <w:rPr>
        <w:rFonts w:hint="default"/>
      </w:rPr>
    </w:lvl>
    <w:lvl w:ilvl="6">
      <w:start w:val="0"/>
      <w:numFmt w:val="bullet"/>
      <w:lvlText w:val="•"/>
      <w:lvlJc w:val="left"/>
      <w:pPr>
        <w:ind w:left="535" w:hanging="167"/>
      </w:pPr>
      <w:rPr>
        <w:rFonts w:hint="default"/>
      </w:rPr>
    </w:lvl>
    <w:lvl w:ilvl="7">
      <w:start w:val="0"/>
      <w:numFmt w:val="bullet"/>
      <w:lvlText w:val="•"/>
      <w:lvlJc w:val="left"/>
      <w:pPr>
        <w:ind w:left="574" w:hanging="167"/>
      </w:pPr>
      <w:rPr>
        <w:rFonts w:hint="default"/>
      </w:rPr>
    </w:lvl>
    <w:lvl w:ilvl="8">
      <w:start w:val="0"/>
      <w:numFmt w:val="bullet"/>
      <w:lvlText w:val="•"/>
      <w:lvlJc w:val="left"/>
      <w:pPr>
        <w:ind w:left="613" w:hanging="167"/>
      </w:pPr>
      <w:rPr>
        <w:rFonts w:hint="default"/>
      </w:rPr>
    </w:lvl>
  </w:abstractNum>
  <w:abstractNum w:abstractNumId="51">
    <w:multiLevelType w:val="hybridMultilevel"/>
    <w:lvl w:ilvl="0">
      <w:start w:val="1"/>
      <w:numFmt w:val="decimal"/>
      <w:lvlText w:val="%1."/>
      <w:lvlJc w:val="left"/>
      <w:pPr>
        <w:ind w:left="1247" w:hanging="681"/>
        <w:jc w:val="left"/>
      </w:pPr>
      <w:rPr>
        <w:rFonts w:hint="default" w:ascii="Calibri" w:hAnsi="Calibri" w:eastAsia="Calibri" w:cs="Calibri"/>
        <w:spacing w:val="-13"/>
        <w:w w:val="125"/>
        <w:sz w:val="20"/>
        <w:szCs w:val="20"/>
      </w:rPr>
    </w:lvl>
    <w:lvl w:ilvl="1">
      <w:start w:val="1"/>
      <w:numFmt w:val="decimal"/>
      <w:lvlText w:val="%2."/>
      <w:lvlJc w:val="left"/>
      <w:pPr>
        <w:ind w:left="2721" w:hanging="794"/>
        <w:jc w:val="left"/>
      </w:pPr>
      <w:rPr>
        <w:rFonts w:hint="default" w:ascii="Calibri" w:hAnsi="Calibri" w:eastAsia="Calibri" w:cs="Calibri"/>
        <w:i/>
        <w:spacing w:val="-15"/>
        <w:w w:val="115"/>
        <w:sz w:val="20"/>
        <w:szCs w:val="20"/>
      </w:rPr>
    </w:lvl>
    <w:lvl w:ilvl="2">
      <w:start w:val="1"/>
      <w:numFmt w:val="lowerLetter"/>
      <w:lvlText w:val="%3."/>
      <w:lvlJc w:val="left"/>
      <w:pPr>
        <w:ind w:left="3407" w:hanging="721"/>
        <w:jc w:val="left"/>
      </w:pPr>
      <w:rPr>
        <w:rFonts w:hint="default" w:ascii="Calibri" w:hAnsi="Calibri" w:eastAsia="Calibri" w:cs="Calibri"/>
        <w:i/>
        <w:spacing w:val="-3"/>
        <w:w w:val="115"/>
        <w:sz w:val="20"/>
        <w:szCs w:val="20"/>
      </w:rPr>
    </w:lvl>
    <w:lvl w:ilvl="3">
      <w:start w:val="0"/>
      <w:numFmt w:val="bullet"/>
      <w:lvlText w:val="•"/>
      <w:lvlJc w:val="left"/>
      <w:pPr>
        <w:ind w:left="4463" w:hanging="721"/>
      </w:pPr>
      <w:rPr>
        <w:rFonts w:hint="default"/>
      </w:rPr>
    </w:lvl>
    <w:lvl w:ilvl="4">
      <w:start w:val="0"/>
      <w:numFmt w:val="bullet"/>
      <w:lvlText w:val="•"/>
      <w:lvlJc w:val="left"/>
      <w:pPr>
        <w:ind w:left="5526" w:hanging="721"/>
      </w:pPr>
      <w:rPr>
        <w:rFonts w:hint="default"/>
      </w:rPr>
    </w:lvl>
    <w:lvl w:ilvl="5">
      <w:start w:val="0"/>
      <w:numFmt w:val="bullet"/>
      <w:lvlText w:val="•"/>
      <w:lvlJc w:val="left"/>
      <w:pPr>
        <w:ind w:left="6589" w:hanging="721"/>
      </w:pPr>
      <w:rPr>
        <w:rFonts w:hint="default"/>
      </w:rPr>
    </w:lvl>
    <w:lvl w:ilvl="6">
      <w:start w:val="0"/>
      <w:numFmt w:val="bullet"/>
      <w:lvlText w:val="•"/>
      <w:lvlJc w:val="left"/>
      <w:pPr>
        <w:ind w:left="7652" w:hanging="721"/>
      </w:pPr>
      <w:rPr>
        <w:rFonts w:hint="default"/>
      </w:rPr>
    </w:lvl>
    <w:lvl w:ilvl="7">
      <w:start w:val="0"/>
      <w:numFmt w:val="bullet"/>
      <w:lvlText w:val="•"/>
      <w:lvlJc w:val="left"/>
      <w:pPr>
        <w:ind w:left="8715" w:hanging="721"/>
      </w:pPr>
      <w:rPr>
        <w:rFonts w:hint="default"/>
      </w:rPr>
    </w:lvl>
    <w:lvl w:ilvl="8">
      <w:start w:val="0"/>
      <w:numFmt w:val="bullet"/>
      <w:lvlText w:val="•"/>
      <w:lvlJc w:val="left"/>
      <w:pPr>
        <w:ind w:left="9779" w:hanging="721"/>
      </w:pPr>
      <w:rPr>
        <w:rFonts w:hint="default"/>
      </w:rPr>
    </w:lvl>
  </w:abstractNum>
  <w:abstractNum w:abstractNumId="50">
    <w:multiLevelType w:val="hybridMultilevel"/>
    <w:lvl w:ilvl="0">
      <w:start w:val="1"/>
      <w:numFmt w:val="decimal"/>
      <w:lvlText w:val="%1."/>
      <w:lvlJc w:val="left"/>
      <w:pPr>
        <w:ind w:left="1927" w:hanging="681"/>
        <w:jc w:val="left"/>
      </w:pPr>
      <w:rPr>
        <w:rFonts w:hint="default" w:ascii="Stone Sans II ITC Std Bk" w:hAnsi="Stone Sans II ITC Std Bk" w:eastAsia="Stone Sans II ITC Std Bk" w:cs="Stone Sans II ITC Std Bk"/>
        <w:b/>
        <w:bCs/>
        <w:spacing w:val="-15"/>
        <w:w w:val="110"/>
        <w:sz w:val="29"/>
        <w:szCs w:val="29"/>
      </w:rPr>
    </w:lvl>
    <w:lvl w:ilvl="1">
      <w:start w:val="1"/>
      <w:numFmt w:val="decimal"/>
      <w:lvlText w:val="%1.%2"/>
      <w:lvlJc w:val="left"/>
      <w:pPr>
        <w:ind w:left="1247" w:hanging="681"/>
        <w:jc w:val="left"/>
      </w:pPr>
      <w:rPr>
        <w:rFonts w:hint="default" w:ascii="Calibri" w:hAnsi="Calibri" w:eastAsia="Calibri" w:cs="Calibri"/>
        <w:spacing w:val="-18"/>
        <w:w w:val="125"/>
        <w:sz w:val="20"/>
        <w:szCs w:val="20"/>
      </w:rPr>
    </w:lvl>
    <w:lvl w:ilvl="2">
      <w:start w:val="1"/>
      <w:numFmt w:val="decimal"/>
      <w:lvlText w:val="%1.%2.%3"/>
      <w:lvlJc w:val="left"/>
      <w:pPr>
        <w:ind w:left="1247" w:hanging="681"/>
        <w:jc w:val="left"/>
      </w:pPr>
      <w:rPr>
        <w:rFonts w:hint="default" w:ascii="Calibri" w:hAnsi="Calibri" w:eastAsia="Calibri" w:cs="Calibri"/>
        <w:spacing w:val="-18"/>
        <w:w w:val="125"/>
        <w:sz w:val="20"/>
        <w:szCs w:val="20"/>
      </w:rPr>
    </w:lvl>
    <w:lvl w:ilvl="3">
      <w:start w:val="0"/>
      <w:numFmt w:val="bullet"/>
      <w:lvlText w:val="•"/>
      <w:lvlJc w:val="left"/>
      <w:pPr>
        <w:ind w:left="3220" w:hanging="681"/>
      </w:pPr>
      <w:rPr>
        <w:rFonts w:hint="default"/>
      </w:rPr>
    </w:lvl>
    <w:lvl w:ilvl="4">
      <w:start w:val="0"/>
      <w:numFmt w:val="bullet"/>
      <w:lvlText w:val="•"/>
      <w:lvlJc w:val="left"/>
      <w:pPr>
        <w:ind w:left="4461" w:hanging="681"/>
      </w:pPr>
      <w:rPr>
        <w:rFonts w:hint="default"/>
      </w:rPr>
    </w:lvl>
    <w:lvl w:ilvl="5">
      <w:start w:val="0"/>
      <w:numFmt w:val="bullet"/>
      <w:lvlText w:val="•"/>
      <w:lvlJc w:val="left"/>
      <w:pPr>
        <w:ind w:left="5702" w:hanging="681"/>
      </w:pPr>
      <w:rPr>
        <w:rFonts w:hint="default"/>
      </w:rPr>
    </w:lvl>
    <w:lvl w:ilvl="6">
      <w:start w:val="0"/>
      <w:numFmt w:val="bullet"/>
      <w:lvlText w:val="•"/>
      <w:lvlJc w:val="left"/>
      <w:pPr>
        <w:ind w:left="6942" w:hanging="681"/>
      </w:pPr>
      <w:rPr>
        <w:rFonts w:hint="default"/>
      </w:rPr>
    </w:lvl>
    <w:lvl w:ilvl="7">
      <w:start w:val="0"/>
      <w:numFmt w:val="bullet"/>
      <w:lvlText w:val="•"/>
      <w:lvlJc w:val="left"/>
      <w:pPr>
        <w:ind w:left="8183" w:hanging="681"/>
      </w:pPr>
      <w:rPr>
        <w:rFonts w:hint="default"/>
      </w:rPr>
    </w:lvl>
    <w:lvl w:ilvl="8">
      <w:start w:val="0"/>
      <w:numFmt w:val="bullet"/>
      <w:lvlText w:val="•"/>
      <w:lvlJc w:val="left"/>
      <w:pPr>
        <w:ind w:left="9424" w:hanging="681"/>
      </w:pPr>
      <w:rPr>
        <w:rFonts w:hint="default"/>
      </w:rPr>
    </w:lvl>
  </w:abstractNum>
  <w:abstractNum w:abstractNumId="49">
    <w:multiLevelType w:val="hybridMultilevel"/>
    <w:lvl w:ilvl="0">
      <w:start w:val="1"/>
      <w:numFmt w:val="lowerRoman"/>
      <w:lvlText w:val="%1."/>
      <w:lvlJc w:val="left"/>
      <w:pPr>
        <w:ind w:left="1927" w:hanging="681"/>
        <w:jc w:val="left"/>
      </w:pPr>
      <w:rPr>
        <w:rFonts w:hint="default" w:ascii="Calibri" w:hAnsi="Calibri" w:eastAsia="Calibri" w:cs="Calibri"/>
        <w:spacing w:val="-2"/>
        <w:w w:val="122"/>
        <w:sz w:val="20"/>
        <w:szCs w:val="20"/>
      </w:rPr>
    </w:lvl>
    <w:lvl w:ilvl="1">
      <w:start w:val="0"/>
      <w:numFmt w:val="bullet"/>
      <w:lvlText w:val="•"/>
      <w:lvlJc w:val="left"/>
      <w:pPr>
        <w:ind w:left="2918" w:hanging="681"/>
      </w:pPr>
      <w:rPr>
        <w:rFonts w:hint="default"/>
      </w:rPr>
    </w:lvl>
    <w:lvl w:ilvl="2">
      <w:start w:val="0"/>
      <w:numFmt w:val="bullet"/>
      <w:lvlText w:val="•"/>
      <w:lvlJc w:val="left"/>
      <w:pPr>
        <w:ind w:left="3917" w:hanging="681"/>
      </w:pPr>
      <w:rPr>
        <w:rFonts w:hint="default"/>
      </w:rPr>
    </w:lvl>
    <w:lvl w:ilvl="3">
      <w:start w:val="0"/>
      <w:numFmt w:val="bullet"/>
      <w:lvlText w:val="•"/>
      <w:lvlJc w:val="left"/>
      <w:pPr>
        <w:ind w:left="4915" w:hanging="681"/>
      </w:pPr>
      <w:rPr>
        <w:rFonts w:hint="default"/>
      </w:rPr>
    </w:lvl>
    <w:lvl w:ilvl="4">
      <w:start w:val="0"/>
      <w:numFmt w:val="bullet"/>
      <w:lvlText w:val="•"/>
      <w:lvlJc w:val="left"/>
      <w:pPr>
        <w:ind w:left="5914" w:hanging="681"/>
      </w:pPr>
      <w:rPr>
        <w:rFonts w:hint="default"/>
      </w:rPr>
    </w:lvl>
    <w:lvl w:ilvl="5">
      <w:start w:val="0"/>
      <w:numFmt w:val="bullet"/>
      <w:lvlText w:val="•"/>
      <w:lvlJc w:val="left"/>
      <w:pPr>
        <w:ind w:left="6912" w:hanging="681"/>
      </w:pPr>
      <w:rPr>
        <w:rFonts w:hint="default"/>
      </w:rPr>
    </w:lvl>
    <w:lvl w:ilvl="6">
      <w:start w:val="0"/>
      <w:numFmt w:val="bullet"/>
      <w:lvlText w:val="•"/>
      <w:lvlJc w:val="left"/>
      <w:pPr>
        <w:ind w:left="7911" w:hanging="681"/>
      </w:pPr>
      <w:rPr>
        <w:rFonts w:hint="default"/>
      </w:rPr>
    </w:lvl>
    <w:lvl w:ilvl="7">
      <w:start w:val="0"/>
      <w:numFmt w:val="bullet"/>
      <w:lvlText w:val="•"/>
      <w:lvlJc w:val="left"/>
      <w:pPr>
        <w:ind w:left="8909" w:hanging="681"/>
      </w:pPr>
      <w:rPr>
        <w:rFonts w:hint="default"/>
      </w:rPr>
    </w:lvl>
    <w:lvl w:ilvl="8">
      <w:start w:val="0"/>
      <w:numFmt w:val="bullet"/>
      <w:lvlText w:val="•"/>
      <w:lvlJc w:val="left"/>
      <w:pPr>
        <w:ind w:left="9908" w:hanging="681"/>
      </w:pPr>
      <w:rPr>
        <w:rFonts w:hint="default"/>
      </w:rPr>
    </w:lvl>
  </w:abstractNum>
  <w:abstractNum w:abstractNumId="47">
    <w:multiLevelType w:val="hybridMultilevel"/>
    <w:lvl w:ilvl="0">
      <w:start w:val="1"/>
      <w:numFmt w:val="decimal"/>
      <w:lvlText w:val="%1."/>
      <w:lvlJc w:val="left"/>
      <w:pPr>
        <w:ind w:left="1927" w:hanging="681"/>
        <w:jc w:val="right"/>
      </w:pPr>
      <w:rPr>
        <w:rFonts w:hint="default" w:ascii="Stone Sans II ITC Std Bk" w:hAnsi="Stone Sans II ITC Std Bk" w:eastAsia="Stone Sans II ITC Std Bk" w:cs="Stone Sans II ITC Std Bk"/>
        <w:b/>
        <w:bCs/>
        <w:spacing w:val="-15"/>
        <w:w w:val="110"/>
        <w:sz w:val="29"/>
        <w:szCs w:val="29"/>
      </w:rPr>
    </w:lvl>
    <w:lvl w:ilvl="1">
      <w:start w:val="1"/>
      <w:numFmt w:val="decimal"/>
      <w:lvlText w:val="%1.%2"/>
      <w:lvlJc w:val="left"/>
      <w:pPr>
        <w:ind w:left="1984" w:hanging="681"/>
        <w:jc w:val="right"/>
      </w:pPr>
      <w:rPr>
        <w:rFonts w:hint="default"/>
        <w:spacing w:val="-18"/>
        <w:w w:val="125"/>
      </w:rPr>
    </w:lvl>
    <w:lvl w:ilvl="2">
      <w:start w:val="0"/>
      <w:numFmt w:val="bullet"/>
      <w:lvlText w:val="•"/>
      <w:lvlJc w:val="left"/>
      <w:pPr>
        <w:ind w:left="3082" w:hanging="681"/>
      </w:pPr>
      <w:rPr>
        <w:rFonts w:hint="default"/>
      </w:rPr>
    </w:lvl>
    <w:lvl w:ilvl="3">
      <w:start w:val="0"/>
      <w:numFmt w:val="bullet"/>
      <w:lvlText w:val="•"/>
      <w:lvlJc w:val="left"/>
      <w:pPr>
        <w:ind w:left="4185" w:hanging="681"/>
      </w:pPr>
      <w:rPr>
        <w:rFonts w:hint="default"/>
      </w:rPr>
    </w:lvl>
    <w:lvl w:ilvl="4">
      <w:start w:val="0"/>
      <w:numFmt w:val="bullet"/>
      <w:lvlText w:val="•"/>
      <w:lvlJc w:val="left"/>
      <w:pPr>
        <w:ind w:left="5288" w:hanging="681"/>
      </w:pPr>
      <w:rPr>
        <w:rFonts w:hint="default"/>
      </w:rPr>
    </w:lvl>
    <w:lvl w:ilvl="5">
      <w:start w:val="0"/>
      <w:numFmt w:val="bullet"/>
      <w:lvlText w:val="•"/>
      <w:lvlJc w:val="left"/>
      <w:pPr>
        <w:ind w:left="6391" w:hanging="681"/>
      </w:pPr>
      <w:rPr>
        <w:rFonts w:hint="default"/>
      </w:rPr>
    </w:lvl>
    <w:lvl w:ilvl="6">
      <w:start w:val="0"/>
      <w:numFmt w:val="bullet"/>
      <w:lvlText w:val="•"/>
      <w:lvlJc w:val="left"/>
      <w:pPr>
        <w:ind w:left="7494" w:hanging="681"/>
      </w:pPr>
      <w:rPr>
        <w:rFonts w:hint="default"/>
      </w:rPr>
    </w:lvl>
    <w:lvl w:ilvl="7">
      <w:start w:val="0"/>
      <w:numFmt w:val="bullet"/>
      <w:lvlText w:val="•"/>
      <w:lvlJc w:val="left"/>
      <w:pPr>
        <w:ind w:left="8597" w:hanging="681"/>
      </w:pPr>
      <w:rPr>
        <w:rFonts w:hint="default"/>
      </w:rPr>
    </w:lvl>
    <w:lvl w:ilvl="8">
      <w:start w:val="0"/>
      <w:numFmt w:val="bullet"/>
      <w:lvlText w:val="•"/>
      <w:lvlJc w:val="left"/>
      <w:pPr>
        <w:ind w:left="9699" w:hanging="681"/>
      </w:pPr>
      <w:rPr>
        <w:rFonts w:hint="default"/>
      </w:rPr>
    </w:lvl>
  </w:abstractNum>
  <w:abstractNum w:abstractNumId="46">
    <w:multiLevelType w:val="hybridMultilevel"/>
    <w:lvl w:ilvl="0">
      <w:start w:val="1"/>
      <w:numFmt w:val="lowerLetter"/>
      <w:lvlText w:val="%1)"/>
      <w:lvlJc w:val="left"/>
      <w:pPr>
        <w:ind w:left="760" w:hanging="681"/>
        <w:jc w:val="left"/>
      </w:pPr>
      <w:rPr>
        <w:rFonts w:hint="default" w:ascii="Stone Sans II ITC Std Bk" w:hAnsi="Stone Sans II ITC Std Bk" w:eastAsia="Stone Sans II ITC Std Bk" w:cs="Stone Sans II ITC Std Bk"/>
        <w:b/>
        <w:bCs/>
        <w:spacing w:val="-13"/>
        <w:w w:val="110"/>
        <w:sz w:val="20"/>
        <w:szCs w:val="20"/>
      </w:rPr>
    </w:lvl>
    <w:lvl w:ilvl="1">
      <w:start w:val="0"/>
      <w:numFmt w:val="bullet"/>
      <w:lvlText w:val="•"/>
      <w:lvlJc w:val="left"/>
      <w:pPr>
        <w:ind w:left="1317" w:hanging="681"/>
      </w:pPr>
      <w:rPr>
        <w:rFonts w:hint="default"/>
      </w:rPr>
    </w:lvl>
    <w:lvl w:ilvl="2">
      <w:start w:val="0"/>
      <w:numFmt w:val="bullet"/>
      <w:lvlText w:val="•"/>
      <w:lvlJc w:val="left"/>
      <w:pPr>
        <w:ind w:left="1874" w:hanging="681"/>
      </w:pPr>
      <w:rPr>
        <w:rFonts w:hint="default"/>
      </w:rPr>
    </w:lvl>
    <w:lvl w:ilvl="3">
      <w:start w:val="0"/>
      <w:numFmt w:val="bullet"/>
      <w:lvlText w:val="•"/>
      <w:lvlJc w:val="left"/>
      <w:pPr>
        <w:ind w:left="2431" w:hanging="681"/>
      </w:pPr>
      <w:rPr>
        <w:rFonts w:hint="default"/>
      </w:rPr>
    </w:lvl>
    <w:lvl w:ilvl="4">
      <w:start w:val="0"/>
      <w:numFmt w:val="bullet"/>
      <w:lvlText w:val="•"/>
      <w:lvlJc w:val="left"/>
      <w:pPr>
        <w:ind w:left="2988" w:hanging="681"/>
      </w:pPr>
      <w:rPr>
        <w:rFonts w:hint="default"/>
      </w:rPr>
    </w:lvl>
    <w:lvl w:ilvl="5">
      <w:start w:val="0"/>
      <w:numFmt w:val="bullet"/>
      <w:lvlText w:val="•"/>
      <w:lvlJc w:val="left"/>
      <w:pPr>
        <w:ind w:left="3545" w:hanging="681"/>
      </w:pPr>
      <w:rPr>
        <w:rFonts w:hint="default"/>
      </w:rPr>
    </w:lvl>
    <w:lvl w:ilvl="6">
      <w:start w:val="0"/>
      <w:numFmt w:val="bullet"/>
      <w:lvlText w:val="•"/>
      <w:lvlJc w:val="left"/>
      <w:pPr>
        <w:ind w:left="4102" w:hanging="681"/>
      </w:pPr>
      <w:rPr>
        <w:rFonts w:hint="default"/>
      </w:rPr>
    </w:lvl>
    <w:lvl w:ilvl="7">
      <w:start w:val="0"/>
      <w:numFmt w:val="bullet"/>
      <w:lvlText w:val="•"/>
      <w:lvlJc w:val="left"/>
      <w:pPr>
        <w:ind w:left="4659" w:hanging="681"/>
      </w:pPr>
      <w:rPr>
        <w:rFonts w:hint="default"/>
      </w:rPr>
    </w:lvl>
    <w:lvl w:ilvl="8">
      <w:start w:val="0"/>
      <w:numFmt w:val="bullet"/>
      <w:lvlText w:val="•"/>
      <w:lvlJc w:val="left"/>
      <w:pPr>
        <w:ind w:left="5216" w:hanging="681"/>
      </w:pPr>
      <w:rPr>
        <w:rFonts w:hint="default"/>
      </w:rPr>
    </w:lvl>
  </w:abstractNum>
  <w:abstractNum w:abstractNumId="45">
    <w:multiLevelType w:val="hybridMultilevel"/>
    <w:lvl w:ilvl="0">
      <w:start w:val="0"/>
      <w:numFmt w:val="bullet"/>
      <w:lvlText w:val="•"/>
      <w:lvlJc w:val="left"/>
      <w:pPr>
        <w:ind w:left="1927" w:hanging="681"/>
      </w:pPr>
      <w:rPr>
        <w:rFonts w:hint="default" w:ascii="Calibri" w:hAnsi="Calibri" w:eastAsia="Calibri" w:cs="Calibri"/>
        <w:w w:val="110"/>
        <w:sz w:val="20"/>
        <w:szCs w:val="20"/>
      </w:rPr>
    </w:lvl>
    <w:lvl w:ilvl="1">
      <w:start w:val="0"/>
      <w:numFmt w:val="bullet"/>
      <w:lvlText w:val="•"/>
      <w:lvlJc w:val="left"/>
      <w:pPr>
        <w:ind w:left="2664" w:hanging="681"/>
      </w:pPr>
      <w:rPr>
        <w:rFonts w:hint="default" w:ascii="Calibri" w:hAnsi="Calibri" w:eastAsia="Calibri" w:cs="Calibri"/>
        <w:w w:val="110"/>
        <w:sz w:val="20"/>
        <w:szCs w:val="20"/>
      </w:rPr>
    </w:lvl>
    <w:lvl w:ilvl="2">
      <w:start w:val="0"/>
      <w:numFmt w:val="bullet"/>
      <w:lvlText w:val="•"/>
      <w:lvlJc w:val="left"/>
      <w:pPr>
        <w:ind w:left="3687" w:hanging="681"/>
      </w:pPr>
      <w:rPr>
        <w:rFonts w:hint="default"/>
      </w:rPr>
    </w:lvl>
    <w:lvl w:ilvl="3">
      <w:start w:val="0"/>
      <w:numFmt w:val="bullet"/>
      <w:lvlText w:val="•"/>
      <w:lvlJc w:val="left"/>
      <w:pPr>
        <w:ind w:left="4714" w:hanging="681"/>
      </w:pPr>
      <w:rPr>
        <w:rFonts w:hint="default"/>
      </w:rPr>
    </w:lvl>
    <w:lvl w:ilvl="4">
      <w:start w:val="0"/>
      <w:numFmt w:val="bullet"/>
      <w:lvlText w:val="•"/>
      <w:lvlJc w:val="left"/>
      <w:pPr>
        <w:ind w:left="5741" w:hanging="681"/>
      </w:pPr>
      <w:rPr>
        <w:rFonts w:hint="default"/>
      </w:rPr>
    </w:lvl>
    <w:lvl w:ilvl="5">
      <w:start w:val="0"/>
      <w:numFmt w:val="bullet"/>
      <w:lvlText w:val="•"/>
      <w:lvlJc w:val="left"/>
      <w:pPr>
        <w:ind w:left="6769" w:hanging="681"/>
      </w:pPr>
      <w:rPr>
        <w:rFonts w:hint="default"/>
      </w:rPr>
    </w:lvl>
    <w:lvl w:ilvl="6">
      <w:start w:val="0"/>
      <w:numFmt w:val="bullet"/>
      <w:lvlText w:val="•"/>
      <w:lvlJc w:val="left"/>
      <w:pPr>
        <w:ind w:left="7796" w:hanging="681"/>
      </w:pPr>
      <w:rPr>
        <w:rFonts w:hint="default"/>
      </w:rPr>
    </w:lvl>
    <w:lvl w:ilvl="7">
      <w:start w:val="0"/>
      <w:numFmt w:val="bullet"/>
      <w:lvlText w:val="•"/>
      <w:lvlJc w:val="left"/>
      <w:pPr>
        <w:ind w:left="8823" w:hanging="681"/>
      </w:pPr>
      <w:rPr>
        <w:rFonts w:hint="default"/>
      </w:rPr>
    </w:lvl>
    <w:lvl w:ilvl="8">
      <w:start w:val="0"/>
      <w:numFmt w:val="bullet"/>
      <w:lvlText w:val="•"/>
      <w:lvlJc w:val="left"/>
      <w:pPr>
        <w:ind w:left="9850" w:hanging="681"/>
      </w:pPr>
      <w:rPr>
        <w:rFonts w:hint="default"/>
      </w:rPr>
    </w:lvl>
  </w:abstractNum>
  <w:abstractNum w:abstractNumId="44">
    <w:multiLevelType w:val="hybridMultilevel"/>
    <w:lvl w:ilvl="0">
      <w:start w:val="0"/>
      <w:numFmt w:val="bullet"/>
      <w:lvlText w:val="–"/>
      <w:lvlJc w:val="left"/>
      <w:pPr>
        <w:ind w:left="1247" w:hanging="185"/>
      </w:pPr>
      <w:rPr>
        <w:rFonts w:hint="default" w:ascii="Calibri" w:hAnsi="Calibri" w:eastAsia="Calibri" w:cs="Calibri"/>
        <w:w w:val="127"/>
        <w:sz w:val="20"/>
        <w:szCs w:val="20"/>
      </w:rPr>
    </w:lvl>
    <w:lvl w:ilvl="1">
      <w:start w:val="0"/>
      <w:numFmt w:val="bullet"/>
      <w:lvlText w:val="•"/>
      <w:lvlJc w:val="left"/>
      <w:pPr>
        <w:ind w:left="2306" w:hanging="185"/>
      </w:pPr>
      <w:rPr>
        <w:rFonts w:hint="default"/>
      </w:rPr>
    </w:lvl>
    <w:lvl w:ilvl="2">
      <w:start w:val="0"/>
      <w:numFmt w:val="bullet"/>
      <w:lvlText w:val="•"/>
      <w:lvlJc w:val="left"/>
      <w:pPr>
        <w:ind w:left="3373" w:hanging="185"/>
      </w:pPr>
      <w:rPr>
        <w:rFonts w:hint="default"/>
      </w:rPr>
    </w:lvl>
    <w:lvl w:ilvl="3">
      <w:start w:val="0"/>
      <w:numFmt w:val="bullet"/>
      <w:lvlText w:val="•"/>
      <w:lvlJc w:val="left"/>
      <w:pPr>
        <w:ind w:left="4439" w:hanging="185"/>
      </w:pPr>
      <w:rPr>
        <w:rFonts w:hint="default"/>
      </w:rPr>
    </w:lvl>
    <w:lvl w:ilvl="4">
      <w:start w:val="0"/>
      <w:numFmt w:val="bullet"/>
      <w:lvlText w:val="•"/>
      <w:lvlJc w:val="left"/>
      <w:pPr>
        <w:ind w:left="5506" w:hanging="185"/>
      </w:pPr>
      <w:rPr>
        <w:rFonts w:hint="default"/>
      </w:rPr>
    </w:lvl>
    <w:lvl w:ilvl="5">
      <w:start w:val="0"/>
      <w:numFmt w:val="bullet"/>
      <w:lvlText w:val="•"/>
      <w:lvlJc w:val="left"/>
      <w:pPr>
        <w:ind w:left="6572" w:hanging="185"/>
      </w:pPr>
      <w:rPr>
        <w:rFonts w:hint="default"/>
      </w:rPr>
    </w:lvl>
    <w:lvl w:ilvl="6">
      <w:start w:val="0"/>
      <w:numFmt w:val="bullet"/>
      <w:lvlText w:val="•"/>
      <w:lvlJc w:val="left"/>
      <w:pPr>
        <w:ind w:left="7639" w:hanging="185"/>
      </w:pPr>
      <w:rPr>
        <w:rFonts w:hint="default"/>
      </w:rPr>
    </w:lvl>
    <w:lvl w:ilvl="7">
      <w:start w:val="0"/>
      <w:numFmt w:val="bullet"/>
      <w:lvlText w:val="•"/>
      <w:lvlJc w:val="left"/>
      <w:pPr>
        <w:ind w:left="8705" w:hanging="185"/>
      </w:pPr>
      <w:rPr>
        <w:rFonts w:hint="default"/>
      </w:rPr>
    </w:lvl>
    <w:lvl w:ilvl="8">
      <w:start w:val="0"/>
      <w:numFmt w:val="bullet"/>
      <w:lvlText w:val="•"/>
      <w:lvlJc w:val="left"/>
      <w:pPr>
        <w:ind w:left="9772" w:hanging="185"/>
      </w:pPr>
      <w:rPr>
        <w:rFonts w:hint="default"/>
      </w:rPr>
    </w:lvl>
  </w:abstractNum>
  <w:abstractNum w:abstractNumId="43">
    <w:multiLevelType w:val="hybridMultilevel"/>
    <w:lvl w:ilvl="0">
      <w:start w:val="1"/>
      <w:numFmt w:val="decimal"/>
      <w:lvlText w:val="%1."/>
      <w:lvlJc w:val="left"/>
      <w:pPr>
        <w:ind w:left="1984" w:hanging="681"/>
        <w:jc w:val="right"/>
      </w:pPr>
      <w:rPr>
        <w:rFonts w:hint="default" w:ascii="Calibri" w:hAnsi="Calibri" w:eastAsia="Calibri" w:cs="Calibri"/>
        <w:spacing w:val="-13"/>
        <w:w w:val="125"/>
        <w:sz w:val="20"/>
        <w:szCs w:val="20"/>
      </w:rPr>
    </w:lvl>
    <w:lvl w:ilvl="1">
      <w:start w:val="1"/>
      <w:numFmt w:val="decimal"/>
      <w:lvlText w:val="%1.%2"/>
      <w:lvlJc w:val="left"/>
      <w:pPr>
        <w:ind w:left="1984" w:hanging="681"/>
        <w:jc w:val="left"/>
      </w:pPr>
      <w:rPr>
        <w:rFonts w:hint="default" w:ascii="Calibri" w:hAnsi="Calibri" w:eastAsia="Calibri" w:cs="Calibri"/>
        <w:spacing w:val="-18"/>
        <w:w w:val="125"/>
        <w:sz w:val="20"/>
        <w:szCs w:val="20"/>
      </w:rPr>
    </w:lvl>
    <w:lvl w:ilvl="2">
      <w:start w:val="0"/>
      <w:numFmt w:val="bullet"/>
      <w:lvlText w:val="•"/>
      <w:lvlJc w:val="left"/>
      <w:pPr>
        <w:ind w:left="3965" w:hanging="681"/>
      </w:pPr>
      <w:rPr>
        <w:rFonts w:hint="default"/>
      </w:rPr>
    </w:lvl>
    <w:lvl w:ilvl="3">
      <w:start w:val="0"/>
      <w:numFmt w:val="bullet"/>
      <w:lvlText w:val="•"/>
      <w:lvlJc w:val="left"/>
      <w:pPr>
        <w:ind w:left="4957" w:hanging="681"/>
      </w:pPr>
      <w:rPr>
        <w:rFonts w:hint="default"/>
      </w:rPr>
    </w:lvl>
    <w:lvl w:ilvl="4">
      <w:start w:val="0"/>
      <w:numFmt w:val="bullet"/>
      <w:lvlText w:val="•"/>
      <w:lvlJc w:val="left"/>
      <w:pPr>
        <w:ind w:left="5950" w:hanging="681"/>
      </w:pPr>
      <w:rPr>
        <w:rFonts w:hint="default"/>
      </w:rPr>
    </w:lvl>
    <w:lvl w:ilvl="5">
      <w:start w:val="0"/>
      <w:numFmt w:val="bullet"/>
      <w:lvlText w:val="•"/>
      <w:lvlJc w:val="left"/>
      <w:pPr>
        <w:ind w:left="6942" w:hanging="681"/>
      </w:pPr>
      <w:rPr>
        <w:rFonts w:hint="default"/>
      </w:rPr>
    </w:lvl>
    <w:lvl w:ilvl="6">
      <w:start w:val="0"/>
      <w:numFmt w:val="bullet"/>
      <w:lvlText w:val="•"/>
      <w:lvlJc w:val="left"/>
      <w:pPr>
        <w:ind w:left="7935" w:hanging="681"/>
      </w:pPr>
      <w:rPr>
        <w:rFonts w:hint="default"/>
      </w:rPr>
    </w:lvl>
    <w:lvl w:ilvl="7">
      <w:start w:val="0"/>
      <w:numFmt w:val="bullet"/>
      <w:lvlText w:val="•"/>
      <w:lvlJc w:val="left"/>
      <w:pPr>
        <w:ind w:left="8927" w:hanging="681"/>
      </w:pPr>
      <w:rPr>
        <w:rFonts w:hint="default"/>
      </w:rPr>
    </w:lvl>
    <w:lvl w:ilvl="8">
      <w:start w:val="0"/>
      <w:numFmt w:val="bullet"/>
      <w:lvlText w:val="•"/>
      <w:lvlJc w:val="left"/>
      <w:pPr>
        <w:ind w:left="9920" w:hanging="681"/>
      </w:pPr>
      <w:rPr>
        <w:rFonts w:hint="default"/>
      </w:rPr>
    </w:lvl>
  </w:abstractNum>
  <w:abstractNum w:abstractNumId="42">
    <w:multiLevelType w:val="hybridMultilevel"/>
    <w:lvl w:ilvl="0">
      <w:start w:val="1"/>
      <w:numFmt w:val="decimal"/>
      <w:lvlText w:val="%1"/>
      <w:lvlJc w:val="left"/>
      <w:pPr>
        <w:ind w:left="2437" w:hanging="454"/>
        <w:jc w:val="left"/>
      </w:pPr>
      <w:rPr>
        <w:rFonts w:hint="default" w:ascii="Calibri" w:hAnsi="Calibri" w:eastAsia="Calibri" w:cs="Calibri"/>
        <w:w w:val="123"/>
        <w:sz w:val="18"/>
        <w:szCs w:val="18"/>
      </w:rPr>
    </w:lvl>
    <w:lvl w:ilvl="1">
      <w:start w:val="0"/>
      <w:numFmt w:val="bullet"/>
      <w:lvlText w:val="•"/>
      <w:lvlJc w:val="left"/>
      <w:pPr>
        <w:ind w:left="3386" w:hanging="454"/>
      </w:pPr>
      <w:rPr>
        <w:rFonts w:hint="default"/>
      </w:rPr>
    </w:lvl>
    <w:lvl w:ilvl="2">
      <w:start w:val="0"/>
      <w:numFmt w:val="bullet"/>
      <w:lvlText w:val="•"/>
      <w:lvlJc w:val="left"/>
      <w:pPr>
        <w:ind w:left="4333" w:hanging="454"/>
      </w:pPr>
      <w:rPr>
        <w:rFonts w:hint="default"/>
      </w:rPr>
    </w:lvl>
    <w:lvl w:ilvl="3">
      <w:start w:val="0"/>
      <w:numFmt w:val="bullet"/>
      <w:lvlText w:val="•"/>
      <w:lvlJc w:val="left"/>
      <w:pPr>
        <w:ind w:left="5279" w:hanging="454"/>
      </w:pPr>
      <w:rPr>
        <w:rFonts w:hint="default"/>
      </w:rPr>
    </w:lvl>
    <w:lvl w:ilvl="4">
      <w:start w:val="0"/>
      <w:numFmt w:val="bullet"/>
      <w:lvlText w:val="•"/>
      <w:lvlJc w:val="left"/>
      <w:pPr>
        <w:ind w:left="6226" w:hanging="454"/>
      </w:pPr>
      <w:rPr>
        <w:rFonts w:hint="default"/>
      </w:rPr>
    </w:lvl>
    <w:lvl w:ilvl="5">
      <w:start w:val="0"/>
      <w:numFmt w:val="bullet"/>
      <w:lvlText w:val="•"/>
      <w:lvlJc w:val="left"/>
      <w:pPr>
        <w:ind w:left="7172" w:hanging="454"/>
      </w:pPr>
      <w:rPr>
        <w:rFonts w:hint="default"/>
      </w:rPr>
    </w:lvl>
    <w:lvl w:ilvl="6">
      <w:start w:val="0"/>
      <w:numFmt w:val="bullet"/>
      <w:lvlText w:val="•"/>
      <w:lvlJc w:val="left"/>
      <w:pPr>
        <w:ind w:left="8119" w:hanging="454"/>
      </w:pPr>
      <w:rPr>
        <w:rFonts w:hint="default"/>
      </w:rPr>
    </w:lvl>
    <w:lvl w:ilvl="7">
      <w:start w:val="0"/>
      <w:numFmt w:val="bullet"/>
      <w:lvlText w:val="•"/>
      <w:lvlJc w:val="left"/>
      <w:pPr>
        <w:ind w:left="9065" w:hanging="454"/>
      </w:pPr>
      <w:rPr>
        <w:rFonts w:hint="default"/>
      </w:rPr>
    </w:lvl>
    <w:lvl w:ilvl="8">
      <w:start w:val="0"/>
      <w:numFmt w:val="bullet"/>
      <w:lvlText w:val="•"/>
      <w:lvlJc w:val="left"/>
      <w:pPr>
        <w:ind w:left="10012" w:hanging="454"/>
      </w:pPr>
      <w:rPr>
        <w:rFonts w:hint="default"/>
      </w:rPr>
    </w:lvl>
  </w:abstractNum>
  <w:abstractNum w:abstractNumId="41">
    <w:multiLevelType w:val="hybridMultilevel"/>
    <w:lvl w:ilvl="0">
      <w:start w:val="1"/>
      <w:numFmt w:val="decimal"/>
      <w:lvlText w:val="%1."/>
      <w:lvlJc w:val="left"/>
      <w:pPr>
        <w:ind w:left="1247" w:hanging="681"/>
        <w:jc w:val="right"/>
      </w:pPr>
      <w:rPr>
        <w:rFonts w:hint="default" w:ascii="Calibri" w:hAnsi="Calibri" w:eastAsia="Calibri" w:cs="Calibri"/>
        <w:spacing w:val="-13"/>
        <w:w w:val="125"/>
        <w:sz w:val="20"/>
        <w:szCs w:val="20"/>
      </w:rPr>
    </w:lvl>
    <w:lvl w:ilvl="1">
      <w:start w:val="0"/>
      <w:numFmt w:val="bullet"/>
      <w:lvlText w:val="•"/>
      <w:lvlJc w:val="left"/>
      <w:pPr>
        <w:ind w:left="2306" w:hanging="681"/>
      </w:pPr>
      <w:rPr>
        <w:rFonts w:hint="default"/>
      </w:rPr>
    </w:lvl>
    <w:lvl w:ilvl="2">
      <w:start w:val="0"/>
      <w:numFmt w:val="bullet"/>
      <w:lvlText w:val="•"/>
      <w:lvlJc w:val="left"/>
      <w:pPr>
        <w:ind w:left="3373" w:hanging="681"/>
      </w:pPr>
      <w:rPr>
        <w:rFonts w:hint="default"/>
      </w:rPr>
    </w:lvl>
    <w:lvl w:ilvl="3">
      <w:start w:val="0"/>
      <w:numFmt w:val="bullet"/>
      <w:lvlText w:val="•"/>
      <w:lvlJc w:val="left"/>
      <w:pPr>
        <w:ind w:left="4439" w:hanging="681"/>
      </w:pPr>
      <w:rPr>
        <w:rFonts w:hint="default"/>
      </w:rPr>
    </w:lvl>
    <w:lvl w:ilvl="4">
      <w:start w:val="0"/>
      <w:numFmt w:val="bullet"/>
      <w:lvlText w:val="•"/>
      <w:lvlJc w:val="left"/>
      <w:pPr>
        <w:ind w:left="5506" w:hanging="681"/>
      </w:pPr>
      <w:rPr>
        <w:rFonts w:hint="default"/>
      </w:rPr>
    </w:lvl>
    <w:lvl w:ilvl="5">
      <w:start w:val="0"/>
      <w:numFmt w:val="bullet"/>
      <w:lvlText w:val="•"/>
      <w:lvlJc w:val="left"/>
      <w:pPr>
        <w:ind w:left="6572" w:hanging="681"/>
      </w:pPr>
      <w:rPr>
        <w:rFonts w:hint="default"/>
      </w:rPr>
    </w:lvl>
    <w:lvl w:ilvl="6">
      <w:start w:val="0"/>
      <w:numFmt w:val="bullet"/>
      <w:lvlText w:val="•"/>
      <w:lvlJc w:val="left"/>
      <w:pPr>
        <w:ind w:left="7639" w:hanging="681"/>
      </w:pPr>
      <w:rPr>
        <w:rFonts w:hint="default"/>
      </w:rPr>
    </w:lvl>
    <w:lvl w:ilvl="7">
      <w:start w:val="0"/>
      <w:numFmt w:val="bullet"/>
      <w:lvlText w:val="•"/>
      <w:lvlJc w:val="left"/>
      <w:pPr>
        <w:ind w:left="8705" w:hanging="681"/>
      </w:pPr>
      <w:rPr>
        <w:rFonts w:hint="default"/>
      </w:rPr>
    </w:lvl>
    <w:lvl w:ilvl="8">
      <w:start w:val="0"/>
      <w:numFmt w:val="bullet"/>
      <w:lvlText w:val="•"/>
      <w:lvlJc w:val="left"/>
      <w:pPr>
        <w:ind w:left="9772" w:hanging="681"/>
      </w:pPr>
      <w:rPr>
        <w:rFonts w:hint="default"/>
      </w:rPr>
    </w:lvl>
  </w:abstractNum>
  <w:abstractNum w:abstractNumId="40">
    <w:multiLevelType w:val="hybridMultilevel"/>
    <w:lvl w:ilvl="0">
      <w:start w:val="0"/>
      <w:numFmt w:val="bullet"/>
      <w:lvlText w:val="•"/>
      <w:lvlJc w:val="left"/>
      <w:pPr>
        <w:ind w:left="2721" w:hanging="794"/>
      </w:pPr>
      <w:rPr>
        <w:rFonts w:hint="default" w:ascii="Calibri" w:hAnsi="Calibri" w:eastAsia="Calibri" w:cs="Calibri"/>
        <w:w w:val="110"/>
        <w:sz w:val="20"/>
        <w:szCs w:val="20"/>
      </w:rPr>
    </w:lvl>
    <w:lvl w:ilvl="1">
      <w:start w:val="0"/>
      <w:numFmt w:val="bullet"/>
      <w:lvlText w:val="•"/>
      <w:lvlJc w:val="left"/>
      <w:pPr>
        <w:ind w:left="3458" w:hanging="794"/>
      </w:pPr>
      <w:rPr>
        <w:rFonts w:hint="default" w:ascii="Calibri" w:hAnsi="Calibri" w:eastAsia="Calibri" w:cs="Calibri"/>
        <w:w w:val="110"/>
        <w:sz w:val="20"/>
        <w:szCs w:val="20"/>
      </w:rPr>
    </w:lvl>
    <w:lvl w:ilvl="2">
      <w:start w:val="0"/>
      <w:numFmt w:val="bullet"/>
      <w:lvlText w:val="•"/>
      <w:lvlJc w:val="left"/>
      <w:pPr>
        <w:ind w:left="4398" w:hanging="794"/>
      </w:pPr>
      <w:rPr>
        <w:rFonts w:hint="default"/>
      </w:rPr>
    </w:lvl>
    <w:lvl w:ilvl="3">
      <w:start w:val="0"/>
      <w:numFmt w:val="bullet"/>
      <w:lvlText w:val="•"/>
      <w:lvlJc w:val="left"/>
      <w:pPr>
        <w:ind w:left="5336" w:hanging="794"/>
      </w:pPr>
      <w:rPr>
        <w:rFonts w:hint="default"/>
      </w:rPr>
    </w:lvl>
    <w:lvl w:ilvl="4">
      <w:start w:val="0"/>
      <w:numFmt w:val="bullet"/>
      <w:lvlText w:val="•"/>
      <w:lvlJc w:val="left"/>
      <w:pPr>
        <w:ind w:left="6275" w:hanging="794"/>
      </w:pPr>
      <w:rPr>
        <w:rFonts w:hint="default"/>
      </w:rPr>
    </w:lvl>
    <w:lvl w:ilvl="5">
      <w:start w:val="0"/>
      <w:numFmt w:val="bullet"/>
      <w:lvlText w:val="•"/>
      <w:lvlJc w:val="left"/>
      <w:pPr>
        <w:ind w:left="7213" w:hanging="794"/>
      </w:pPr>
      <w:rPr>
        <w:rFonts w:hint="default"/>
      </w:rPr>
    </w:lvl>
    <w:lvl w:ilvl="6">
      <w:start w:val="0"/>
      <w:numFmt w:val="bullet"/>
      <w:lvlText w:val="•"/>
      <w:lvlJc w:val="left"/>
      <w:pPr>
        <w:ind w:left="8151" w:hanging="794"/>
      </w:pPr>
      <w:rPr>
        <w:rFonts w:hint="default"/>
      </w:rPr>
    </w:lvl>
    <w:lvl w:ilvl="7">
      <w:start w:val="0"/>
      <w:numFmt w:val="bullet"/>
      <w:lvlText w:val="•"/>
      <w:lvlJc w:val="left"/>
      <w:pPr>
        <w:ind w:left="9090" w:hanging="794"/>
      </w:pPr>
      <w:rPr>
        <w:rFonts w:hint="default"/>
      </w:rPr>
    </w:lvl>
    <w:lvl w:ilvl="8">
      <w:start w:val="0"/>
      <w:numFmt w:val="bullet"/>
      <w:lvlText w:val="•"/>
      <w:lvlJc w:val="left"/>
      <w:pPr>
        <w:ind w:left="10028" w:hanging="794"/>
      </w:pPr>
      <w:rPr>
        <w:rFonts w:hint="default"/>
      </w:rPr>
    </w:lvl>
  </w:abstractNum>
  <w:abstractNum w:abstractNumId="39">
    <w:multiLevelType w:val="hybridMultilevel"/>
    <w:lvl w:ilvl="0">
      <w:start w:val="1"/>
      <w:numFmt w:val="lowerRoman"/>
      <w:lvlText w:val="%1)"/>
      <w:lvlJc w:val="left"/>
      <w:pPr>
        <w:ind w:left="2721" w:hanging="794"/>
        <w:jc w:val="left"/>
      </w:pPr>
      <w:rPr>
        <w:rFonts w:hint="default" w:ascii="Calibri" w:hAnsi="Calibri" w:eastAsia="Calibri" w:cs="Calibri"/>
        <w:spacing w:val="-4"/>
        <w:w w:val="122"/>
        <w:sz w:val="20"/>
        <w:szCs w:val="20"/>
      </w:rPr>
    </w:lvl>
    <w:lvl w:ilvl="1">
      <w:start w:val="1"/>
      <w:numFmt w:val="lowerRoman"/>
      <w:lvlText w:val="%2)"/>
      <w:lvlJc w:val="left"/>
      <w:pPr>
        <w:ind w:left="3458" w:hanging="794"/>
        <w:jc w:val="left"/>
      </w:pPr>
      <w:rPr>
        <w:rFonts w:hint="default" w:ascii="Calibri" w:hAnsi="Calibri" w:eastAsia="Calibri" w:cs="Calibri"/>
        <w:spacing w:val="-4"/>
        <w:w w:val="122"/>
        <w:sz w:val="20"/>
        <w:szCs w:val="20"/>
      </w:rPr>
    </w:lvl>
    <w:lvl w:ilvl="2">
      <w:start w:val="0"/>
      <w:numFmt w:val="bullet"/>
      <w:lvlText w:val="•"/>
      <w:lvlJc w:val="left"/>
      <w:pPr>
        <w:ind w:left="4398" w:hanging="794"/>
      </w:pPr>
      <w:rPr>
        <w:rFonts w:hint="default"/>
      </w:rPr>
    </w:lvl>
    <w:lvl w:ilvl="3">
      <w:start w:val="0"/>
      <w:numFmt w:val="bullet"/>
      <w:lvlText w:val="•"/>
      <w:lvlJc w:val="left"/>
      <w:pPr>
        <w:ind w:left="5336" w:hanging="794"/>
      </w:pPr>
      <w:rPr>
        <w:rFonts w:hint="default"/>
      </w:rPr>
    </w:lvl>
    <w:lvl w:ilvl="4">
      <w:start w:val="0"/>
      <w:numFmt w:val="bullet"/>
      <w:lvlText w:val="•"/>
      <w:lvlJc w:val="left"/>
      <w:pPr>
        <w:ind w:left="6275" w:hanging="794"/>
      </w:pPr>
      <w:rPr>
        <w:rFonts w:hint="default"/>
      </w:rPr>
    </w:lvl>
    <w:lvl w:ilvl="5">
      <w:start w:val="0"/>
      <w:numFmt w:val="bullet"/>
      <w:lvlText w:val="•"/>
      <w:lvlJc w:val="left"/>
      <w:pPr>
        <w:ind w:left="7213" w:hanging="794"/>
      </w:pPr>
      <w:rPr>
        <w:rFonts w:hint="default"/>
      </w:rPr>
    </w:lvl>
    <w:lvl w:ilvl="6">
      <w:start w:val="0"/>
      <w:numFmt w:val="bullet"/>
      <w:lvlText w:val="•"/>
      <w:lvlJc w:val="left"/>
      <w:pPr>
        <w:ind w:left="8151" w:hanging="794"/>
      </w:pPr>
      <w:rPr>
        <w:rFonts w:hint="default"/>
      </w:rPr>
    </w:lvl>
    <w:lvl w:ilvl="7">
      <w:start w:val="0"/>
      <w:numFmt w:val="bullet"/>
      <w:lvlText w:val="•"/>
      <w:lvlJc w:val="left"/>
      <w:pPr>
        <w:ind w:left="9090" w:hanging="794"/>
      </w:pPr>
      <w:rPr>
        <w:rFonts w:hint="default"/>
      </w:rPr>
    </w:lvl>
    <w:lvl w:ilvl="8">
      <w:start w:val="0"/>
      <w:numFmt w:val="bullet"/>
      <w:lvlText w:val="•"/>
      <w:lvlJc w:val="left"/>
      <w:pPr>
        <w:ind w:left="10028" w:hanging="794"/>
      </w:pPr>
      <w:rPr>
        <w:rFonts w:hint="default"/>
      </w:rPr>
    </w:lvl>
  </w:abstractNum>
  <w:abstractNum w:abstractNumId="38">
    <w:multiLevelType w:val="hybridMultilevel"/>
    <w:lvl w:ilvl="0">
      <w:start w:val="1"/>
      <w:numFmt w:val="lowerRoman"/>
      <w:lvlText w:val="%1)"/>
      <w:lvlJc w:val="left"/>
      <w:pPr>
        <w:ind w:left="2721" w:hanging="794"/>
        <w:jc w:val="left"/>
      </w:pPr>
      <w:rPr>
        <w:rFonts w:hint="default" w:ascii="Calibri" w:hAnsi="Calibri" w:eastAsia="Calibri" w:cs="Calibri"/>
        <w:spacing w:val="-4"/>
        <w:w w:val="122"/>
        <w:sz w:val="20"/>
        <w:szCs w:val="20"/>
      </w:rPr>
    </w:lvl>
    <w:lvl w:ilvl="1">
      <w:start w:val="0"/>
      <w:numFmt w:val="bullet"/>
      <w:lvlText w:val="•"/>
      <w:lvlJc w:val="left"/>
      <w:pPr>
        <w:ind w:left="3638" w:hanging="794"/>
      </w:pPr>
      <w:rPr>
        <w:rFonts w:hint="default"/>
      </w:rPr>
    </w:lvl>
    <w:lvl w:ilvl="2">
      <w:start w:val="0"/>
      <w:numFmt w:val="bullet"/>
      <w:lvlText w:val="•"/>
      <w:lvlJc w:val="left"/>
      <w:pPr>
        <w:ind w:left="4557" w:hanging="794"/>
      </w:pPr>
      <w:rPr>
        <w:rFonts w:hint="default"/>
      </w:rPr>
    </w:lvl>
    <w:lvl w:ilvl="3">
      <w:start w:val="0"/>
      <w:numFmt w:val="bullet"/>
      <w:lvlText w:val="•"/>
      <w:lvlJc w:val="left"/>
      <w:pPr>
        <w:ind w:left="5475" w:hanging="794"/>
      </w:pPr>
      <w:rPr>
        <w:rFonts w:hint="default"/>
      </w:rPr>
    </w:lvl>
    <w:lvl w:ilvl="4">
      <w:start w:val="0"/>
      <w:numFmt w:val="bullet"/>
      <w:lvlText w:val="•"/>
      <w:lvlJc w:val="left"/>
      <w:pPr>
        <w:ind w:left="6394" w:hanging="794"/>
      </w:pPr>
      <w:rPr>
        <w:rFonts w:hint="default"/>
      </w:rPr>
    </w:lvl>
    <w:lvl w:ilvl="5">
      <w:start w:val="0"/>
      <w:numFmt w:val="bullet"/>
      <w:lvlText w:val="•"/>
      <w:lvlJc w:val="left"/>
      <w:pPr>
        <w:ind w:left="7312" w:hanging="794"/>
      </w:pPr>
      <w:rPr>
        <w:rFonts w:hint="default"/>
      </w:rPr>
    </w:lvl>
    <w:lvl w:ilvl="6">
      <w:start w:val="0"/>
      <w:numFmt w:val="bullet"/>
      <w:lvlText w:val="•"/>
      <w:lvlJc w:val="left"/>
      <w:pPr>
        <w:ind w:left="8231" w:hanging="794"/>
      </w:pPr>
      <w:rPr>
        <w:rFonts w:hint="default"/>
      </w:rPr>
    </w:lvl>
    <w:lvl w:ilvl="7">
      <w:start w:val="0"/>
      <w:numFmt w:val="bullet"/>
      <w:lvlText w:val="•"/>
      <w:lvlJc w:val="left"/>
      <w:pPr>
        <w:ind w:left="9149" w:hanging="794"/>
      </w:pPr>
      <w:rPr>
        <w:rFonts w:hint="default"/>
      </w:rPr>
    </w:lvl>
    <w:lvl w:ilvl="8">
      <w:start w:val="0"/>
      <w:numFmt w:val="bullet"/>
      <w:lvlText w:val="•"/>
      <w:lvlJc w:val="left"/>
      <w:pPr>
        <w:ind w:left="10068" w:hanging="794"/>
      </w:pPr>
      <w:rPr>
        <w:rFonts w:hint="default"/>
      </w:rPr>
    </w:lvl>
  </w:abstractNum>
  <w:abstractNum w:abstractNumId="37">
    <w:multiLevelType w:val="hybridMultilevel"/>
    <w:lvl w:ilvl="0">
      <w:start w:val="1"/>
      <w:numFmt w:val="lowerRoman"/>
      <w:lvlText w:val="%1)"/>
      <w:lvlJc w:val="left"/>
      <w:pPr>
        <w:ind w:left="2721" w:hanging="794"/>
        <w:jc w:val="left"/>
      </w:pPr>
      <w:rPr>
        <w:rFonts w:hint="default" w:ascii="Calibri" w:hAnsi="Calibri" w:eastAsia="Calibri" w:cs="Calibri"/>
        <w:spacing w:val="-4"/>
        <w:w w:val="122"/>
        <w:sz w:val="20"/>
        <w:szCs w:val="20"/>
      </w:rPr>
    </w:lvl>
    <w:lvl w:ilvl="1">
      <w:start w:val="0"/>
      <w:numFmt w:val="bullet"/>
      <w:lvlText w:val="•"/>
      <w:lvlJc w:val="left"/>
      <w:pPr>
        <w:ind w:left="3638" w:hanging="794"/>
      </w:pPr>
      <w:rPr>
        <w:rFonts w:hint="default"/>
      </w:rPr>
    </w:lvl>
    <w:lvl w:ilvl="2">
      <w:start w:val="0"/>
      <w:numFmt w:val="bullet"/>
      <w:lvlText w:val="•"/>
      <w:lvlJc w:val="left"/>
      <w:pPr>
        <w:ind w:left="4557" w:hanging="794"/>
      </w:pPr>
      <w:rPr>
        <w:rFonts w:hint="default"/>
      </w:rPr>
    </w:lvl>
    <w:lvl w:ilvl="3">
      <w:start w:val="0"/>
      <w:numFmt w:val="bullet"/>
      <w:lvlText w:val="•"/>
      <w:lvlJc w:val="left"/>
      <w:pPr>
        <w:ind w:left="5475" w:hanging="794"/>
      </w:pPr>
      <w:rPr>
        <w:rFonts w:hint="default"/>
      </w:rPr>
    </w:lvl>
    <w:lvl w:ilvl="4">
      <w:start w:val="0"/>
      <w:numFmt w:val="bullet"/>
      <w:lvlText w:val="•"/>
      <w:lvlJc w:val="left"/>
      <w:pPr>
        <w:ind w:left="6394" w:hanging="794"/>
      </w:pPr>
      <w:rPr>
        <w:rFonts w:hint="default"/>
      </w:rPr>
    </w:lvl>
    <w:lvl w:ilvl="5">
      <w:start w:val="0"/>
      <w:numFmt w:val="bullet"/>
      <w:lvlText w:val="•"/>
      <w:lvlJc w:val="left"/>
      <w:pPr>
        <w:ind w:left="7312" w:hanging="794"/>
      </w:pPr>
      <w:rPr>
        <w:rFonts w:hint="default"/>
      </w:rPr>
    </w:lvl>
    <w:lvl w:ilvl="6">
      <w:start w:val="0"/>
      <w:numFmt w:val="bullet"/>
      <w:lvlText w:val="•"/>
      <w:lvlJc w:val="left"/>
      <w:pPr>
        <w:ind w:left="8231" w:hanging="794"/>
      </w:pPr>
      <w:rPr>
        <w:rFonts w:hint="default"/>
      </w:rPr>
    </w:lvl>
    <w:lvl w:ilvl="7">
      <w:start w:val="0"/>
      <w:numFmt w:val="bullet"/>
      <w:lvlText w:val="•"/>
      <w:lvlJc w:val="left"/>
      <w:pPr>
        <w:ind w:left="9149" w:hanging="794"/>
      </w:pPr>
      <w:rPr>
        <w:rFonts w:hint="default"/>
      </w:rPr>
    </w:lvl>
    <w:lvl w:ilvl="8">
      <w:start w:val="0"/>
      <w:numFmt w:val="bullet"/>
      <w:lvlText w:val="•"/>
      <w:lvlJc w:val="left"/>
      <w:pPr>
        <w:ind w:left="10068" w:hanging="794"/>
      </w:pPr>
      <w:rPr>
        <w:rFonts w:hint="default"/>
      </w:rPr>
    </w:lvl>
  </w:abstractNum>
  <w:abstractNum w:abstractNumId="36">
    <w:multiLevelType w:val="hybridMultilevel"/>
    <w:lvl w:ilvl="0">
      <w:start w:val="1"/>
      <w:numFmt w:val="decimal"/>
      <w:lvlText w:val="%1."/>
      <w:lvlJc w:val="left"/>
      <w:pPr>
        <w:ind w:left="1927" w:hanging="681"/>
        <w:jc w:val="right"/>
      </w:pPr>
      <w:rPr>
        <w:rFonts w:hint="default" w:ascii="Stone Sans II ITC Std Bk" w:hAnsi="Stone Sans II ITC Std Bk" w:eastAsia="Stone Sans II ITC Std Bk" w:cs="Stone Sans II ITC Std Bk"/>
        <w:b/>
        <w:bCs/>
        <w:spacing w:val="-15"/>
        <w:w w:val="110"/>
        <w:sz w:val="29"/>
        <w:szCs w:val="29"/>
      </w:rPr>
    </w:lvl>
    <w:lvl w:ilvl="1">
      <w:start w:val="1"/>
      <w:numFmt w:val="lowerRoman"/>
      <w:lvlText w:val="%2)"/>
      <w:lvlJc w:val="left"/>
      <w:pPr>
        <w:ind w:left="3458" w:hanging="794"/>
        <w:jc w:val="left"/>
      </w:pPr>
      <w:rPr>
        <w:rFonts w:hint="default" w:ascii="Calibri" w:hAnsi="Calibri" w:eastAsia="Calibri" w:cs="Calibri"/>
        <w:spacing w:val="-4"/>
        <w:w w:val="122"/>
        <w:sz w:val="20"/>
        <w:szCs w:val="20"/>
      </w:rPr>
    </w:lvl>
    <w:lvl w:ilvl="2">
      <w:start w:val="0"/>
      <w:numFmt w:val="bullet"/>
      <w:lvlText w:val="•"/>
      <w:lvlJc w:val="left"/>
      <w:pPr>
        <w:ind w:left="4398" w:hanging="794"/>
      </w:pPr>
      <w:rPr>
        <w:rFonts w:hint="default"/>
      </w:rPr>
    </w:lvl>
    <w:lvl w:ilvl="3">
      <w:start w:val="0"/>
      <w:numFmt w:val="bullet"/>
      <w:lvlText w:val="•"/>
      <w:lvlJc w:val="left"/>
      <w:pPr>
        <w:ind w:left="5336" w:hanging="794"/>
      </w:pPr>
      <w:rPr>
        <w:rFonts w:hint="default"/>
      </w:rPr>
    </w:lvl>
    <w:lvl w:ilvl="4">
      <w:start w:val="0"/>
      <w:numFmt w:val="bullet"/>
      <w:lvlText w:val="•"/>
      <w:lvlJc w:val="left"/>
      <w:pPr>
        <w:ind w:left="6275" w:hanging="794"/>
      </w:pPr>
      <w:rPr>
        <w:rFonts w:hint="default"/>
      </w:rPr>
    </w:lvl>
    <w:lvl w:ilvl="5">
      <w:start w:val="0"/>
      <w:numFmt w:val="bullet"/>
      <w:lvlText w:val="•"/>
      <w:lvlJc w:val="left"/>
      <w:pPr>
        <w:ind w:left="7213" w:hanging="794"/>
      </w:pPr>
      <w:rPr>
        <w:rFonts w:hint="default"/>
      </w:rPr>
    </w:lvl>
    <w:lvl w:ilvl="6">
      <w:start w:val="0"/>
      <w:numFmt w:val="bullet"/>
      <w:lvlText w:val="•"/>
      <w:lvlJc w:val="left"/>
      <w:pPr>
        <w:ind w:left="8151" w:hanging="794"/>
      </w:pPr>
      <w:rPr>
        <w:rFonts w:hint="default"/>
      </w:rPr>
    </w:lvl>
    <w:lvl w:ilvl="7">
      <w:start w:val="0"/>
      <w:numFmt w:val="bullet"/>
      <w:lvlText w:val="•"/>
      <w:lvlJc w:val="left"/>
      <w:pPr>
        <w:ind w:left="9090" w:hanging="794"/>
      </w:pPr>
      <w:rPr>
        <w:rFonts w:hint="default"/>
      </w:rPr>
    </w:lvl>
    <w:lvl w:ilvl="8">
      <w:start w:val="0"/>
      <w:numFmt w:val="bullet"/>
      <w:lvlText w:val="•"/>
      <w:lvlJc w:val="left"/>
      <w:pPr>
        <w:ind w:left="10028" w:hanging="794"/>
      </w:pPr>
      <w:rPr>
        <w:rFonts w:hint="default"/>
      </w:rPr>
    </w:lvl>
  </w:abstractNum>
  <w:abstractNum w:abstractNumId="35">
    <w:multiLevelType w:val="hybridMultilevel"/>
    <w:lvl w:ilvl="0">
      <w:start w:val="1"/>
      <w:numFmt w:val="decimal"/>
      <w:lvlText w:val="%1."/>
      <w:lvlJc w:val="left"/>
      <w:pPr>
        <w:ind w:left="2522" w:hanging="681"/>
        <w:jc w:val="left"/>
      </w:pPr>
      <w:rPr>
        <w:rFonts w:hint="default" w:ascii="Calibri" w:hAnsi="Calibri" w:eastAsia="Calibri" w:cs="Calibri"/>
        <w:spacing w:val="-13"/>
        <w:w w:val="125"/>
        <w:sz w:val="20"/>
        <w:szCs w:val="20"/>
      </w:rPr>
    </w:lvl>
    <w:lvl w:ilvl="1">
      <w:start w:val="0"/>
      <w:numFmt w:val="bullet"/>
      <w:lvlText w:val="•"/>
      <w:lvlJc w:val="left"/>
      <w:pPr>
        <w:ind w:left="3458" w:hanging="681"/>
      </w:pPr>
      <w:rPr>
        <w:rFonts w:hint="default"/>
      </w:rPr>
    </w:lvl>
    <w:lvl w:ilvl="2">
      <w:start w:val="0"/>
      <w:numFmt w:val="bullet"/>
      <w:lvlText w:val="•"/>
      <w:lvlJc w:val="left"/>
      <w:pPr>
        <w:ind w:left="4397" w:hanging="681"/>
      </w:pPr>
      <w:rPr>
        <w:rFonts w:hint="default"/>
      </w:rPr>
    </w:lvl>
    <w:lvl w:ilvl="3">
      <w:start w:val="0"/>
      <w:numFmt w:val="bullet"/>
      <w:lvlText w:val="•"/>
      <w:lvlJc w:val="left"/>
      <w:pPr>
        <w:ind w:left="5335" w:hanging="681"/>
      </w:pPr>
      <w:rPr>
        <w:rFonts w:hint="default"/>
      </w:rPr>
    </w:lvl>
    <w:lvl w:ilvl="4">
      <w:start w:val="0"/>
      <w:numFmt w:val="bullet"/>
      <w:lvlText w:val="•"/>
      <w:lvlJc w:val="left"/>
      <w:pPr>
        <w:ind w:left="6274" w:hanging="681"/>
      </w:pPr>
      <w:rPr>
        <w:rFonts w:hint="default"/>
      </w:rPr>
    </w:lvl>
    <w:lvl w:ilvl="5">
      <w:start w:val="0"/>
      <w:numFmt w:val="bullet"/>
      <w:lvlText w:val="•"/>
      <w:lvlJc w:val="left"/>
      <w:pPr>
        <w:ind w:left="7212" w:hanging="681"/>
      </w:pPr>
      <w:rPr>
        <w:rFonts w:hint="default"/>
      </w:rPr>
    </w:lvl>
    <w:lvl w:ilvl="6">
      <w:start w:val="0"/>
      <w:numFmt w:val="bullet"/>
      <w:lvlText w:val="•"/>
      <w:lvlJc w:val="left"/>
      <w:pPr>
        <w:ind w:left="8151" w:hanging="681"/>
      </w:pPr>
      <w:rPr>
        <w:rFonts w:hint="default"/>
      </w:rPr>
    </w:lvl>
    <w:lvl w:ilvl="7">
      <w:start w:val="0"/>
      <w:numFmt w:val="bullet"/>
      <w:lvlText w:val="•"/>
      <w:lvlJc w:val="left"/>
      <w:pPr>
        <w:ind w:left="9089" w:hanging="681"/>
      </w:pPr>
      <w:rPr>
        <w:rFonts w:hint="default"/>
      </w:rPr>
    </w:lvl>
    <w:lvl w:ilvl="8">
      <w:start w:val="0"/>
      <w:numFmt w:val="bullet"/>
      <w:lvlText w:val="•"/>
      <w:lvlJc w:val="left"/>
      <w:pPr>
        <w:ind w:left="10028" w:hanging="681"/>
      </w:pPr>
      <w:rPr>
        <w:rFonts w:hint="default"/>
      </w:rPr>
    </w:lvl>
  </w:abstractNum>
  <w:abstractNum w:abstractNumId="34">
    <w:multiLevelType w:val="hybridMultilevel"/>
    <w:lvl w:ilvl="0">
      <w:start w:val="1"/>
      <w:numFmt w:val="decimal"/>
      <w:lvlText w:val="%1."/>
      <w:lvlJc w:val="left"/>
      <w:pPr>
        <w:ind w:left="755" w:hanging="681"/>
        <w:jc w:val="left"/>
      </w:pPr>
      <w:rPr>
        <w:rFonts w:hint="default" w:ascii="Calibri" w:hAnsi="Calibri" w:eastAsia="Calibri" w:cs="Calibri"/>
        <w:spacing w:val="-13"/>
        <w:w w:val="125"/>
        <w:sz w:val="20"/>
        <w:szCs w:val="20"/>
      </w:rPr>
    </w:lvl>
    <w:lvl w:ilvl="1">
      <w:start w:val="0"/>
      <w:numFmt w:val="bullet"/>
      <w:lvlText w:val="•"/>
      <w:lvlJc w:val="left"/>
      <w:pPr>
        <w:ind w:left="1329" w:hanging="681"/>
      </w:pPr>
      <w:rPr>
        <w:rFonts w:hint="default"/>
      </w:rPr>
    </w:lvl>
    <w:lvl w:ilvl="2">
      <w:start w:val="0"/>
      <w:numFmt w:val="bullet"/>
      <w:lvlText w:val="•"/>
      <w:lvlJc w:val="left"/>
      <w:pPr>
        <w:ind w:left="1899" w:hanging="681"/>
      </w:pPr>
      <w:rPr>
        <w:rFonts w:hint="default"/>
      </w:rPr>
    </w:lvl>
    <w:lvl w:ilvl="3">
      <w:start w:val="0"/>
      <w:numFmt w:val="bullet"/>
      <w:lvlText w:val="•"/>
      <w:lvlJc w:val="left"/>
      <w:pPr>
        <w:ind w:left="2469" w:hanging="681"/>
      </w:pPr>
      <w:rPr>
        <w:rFonts w:hint="default"/>
      </w:rPr>
    </w:lvl>
    <w:lvl w:ilvl="4">
      <w:start w:val="0"/>
      <w:numFmt w:val="bullet"/>
      <w:lvlText w:val="•"/>
      <w:lvlJc w:val="left"/>
      <w:pPr>
        <w:ind w:left="3039" w:hanging="681"/>
      </w:pPr>
      <w:rPr>
        <w:rFonts w:hint="default"/>
      </w:rPr>
    </w:lvl>
    <w:lvl w:ilvl="5">
      <w:start w:val="0"/>
      <w:numFmt w:val="bullet"/>
      <w:lvlText w:val="•"/>
      <w:lvlJc w:val="left"/>
      <w:pPr>
        <w:ind w:left="3609" w:hanging="681"/>
      </w:pPr>
      <w:rPr>
        <w:rFonts w:hint="default"/>
      </w:rPr>
    </w:lvl>
    <w:lvl w:ilvl="6">
      <w:start w:val="0"/>
      <w:numFmt w:val="bullet"/>
      <w:lvlText w:val="•"/>
      <w:lvlJc w:val="left"/>
      <w:pPr>
        <w:ind w:left="4178" w:hanging="681"/>
      </w:pPr>
      <w:rPr>
        <w:rFonts w:hint="default"/>
      </w:rPr>
    </w:lvl>
    <w:lvl w:ilvl="7">
      <w:start w:val="0"/>
      <w:numFmt w:val="bullet"/>
      <w:lvlText w:val="•"/>
      <w:lvlJc w:val="left"/>
      <w:pPr>
        <w:ind w:left="4748" w:hanging="681"/>
      </w:pPr>
      <w:rPr>
        <w:rFonts w:hint="default"/>
      </w:rPr>
    </w:lvl>
    <w:lvl w:ilvl="8">
      <w:start w:val="0"/>
      <w:numFmt w:val="bullet"/>
      <w:lvlText w:val="•"/>
      <w:lvlJc w:val="left"/>
      <w:pPr>
        <w:ind w:left="5318" w:hanging="681"/>
      </w:pPr>
      <w:rPr>
        <w:rFonts w:hint="default"/>
      </w:rPr>
    </w:lvl>
  </w:abstractNum>
  <w:abstractNum w:abstractNumId="33">
    <w:multiLevelType w:val="hybridMultilevel"/>
    <w:lvl w:ilvl="0">
      <w:start w:val="1"/>
      <w:numFmt w:val="lowerLetter"/>
      <w:lvlText w:val="(%1)"/>
      <w:lvlJc w:val="left"/>
      <w:pPr>
        <w:ind w:left="1927" w:hanging="681"/>
        <w:jc w:val="right"/>
      </w:pPr>
      <w:rPr>
        <w:rFonts w:hint="default" w:ascii="Calibri" w:hAnsi="Calibri" w:eastAsia="Calibri" w:cs="Calibri"/>
        <w:spacing w:val="-18"/>
        <w:w w:val="113"/>
        <w:sz w:val="20"/>
        <w:szCs w:val="20"/>
      </w:rPr>
    </w:lvl>
    <w:lvl w:ilvl="1">
      <w:start w:val="0"/>
      <w:numFmt w:val="bullet"/>
      <w:lvlText w:val="•"/>
      <w:lvlJc w:val="left"/>
      <w:pPr>
        <w:ind w:left="2918" w:hanging="681"/>
      </w:pPr>
      <w:rPr>
        <w:rFonts w:hint="default"/>
      </w:rPr>
    </w:lvl>
    <w:lvl w:ilvl="2">
      <w:start w:val="0"/>
      <w:numFmt w:val="bullet"/>
      <w:lvlText w:val="•"/>
      <w:lvlJc w:val="left"/>
      <w:pPr>
        <w:ind w:left="3917" w:hanging="681"/>
      </w:pPr>
      <w:rPr>
        <w:rFonts w:hint="default"/>
      </w:rPr>
    </w:lvl>
    <w:lvl w:ilvl="3">
      <w:start w:val="0"/>
      <w:numFmt w:val="bullet"/>
      <w:lvlText w:val="•"/>
      <w:lvlJc w:val="left"/>
      <w:pPr>
        <w:ind w:left="4915" w:hanging="681"/>
      </w:pPr>
      <w:rPr>
        <w:rFonts w:hint="default"/>
      </w:rPr>
    </w:lvl>
    <w:lvl w:ilvl="4">
      <w:start w:val="0"/>
      <w:numFmt w:val="bullet"/>
      <w:lvlText w:val="•"/>
      <w:lvlJc w:val="left"/>
      <w:pPr>
        <w:ind w:left="5914" w:hanging="681"/>
      </w:pPr>
      <w:rPr>
        <w:rFonts w:hint="default"/>
      </w:rPr>
    </w:lvl>
    <w:lvl w:ilvl="5">
      <w:start w:val="0"/>
      <w:numFmt w:val="bullet"/>
      <w:lvlText w:val="•"/>
      <w:lvlJc w:val="left"/>
      <w:pPr>
        <w:ind w:left="6912" w:hanging="681"/>
      </w:pPr>
      <w:rPr>
        <w:rFonts w:hint="default"/>
      </w:rPr>
    </w:lvl>
    <w:lvl w:ilvl="6">
      <w:start w:val="0"/>
      <w:numFmt w:val="bullet"/>
      <w:lvlText w:val="•"/>
      <w:lvlJc w:val="left"/>
      <w:pPr>
        <w:ind w:left="7911" w:hanging="681"/>
      </w:pPr>
      <w:rPr>
        <w:rFonts w:hint="default"/>
      </w:rPr>
    </w:lvl>
    <w:lvl w:ilvl="7">
      <w:start w:val="0"/>
      <w:numFmt w:val="bullet"/>
      <w:lvlText w:val="•"/>
      <w:lvlJc w:val="left"/>
      <w:pPr>
        <w:ind w:left="8909" w:hanging="681"/>
      </w:pPr>
      <w:rPr>
        <w:rFonts w:hint="default"/>
      </w:rPr>
    </w:lvl>
    <w:lvl w:ilvl="8">
      <w:start w:val="0"/>
      <w:numFmt w:val="bullet"/>
      <w:lvlText w:val="•"/>
      <w:lvlJc w:val="left"/>
      <w:pPr>
        <w:ind w:left="9908" w:hanging="681"/>
      </w:pPr>
      <w:rPr>
        <w:rFonts w:hint="default"/>
      </w:rPr>
    </w:lvl>
  </w:abstractNum>
  <w:abstractNum w:abstractNumId="32">
    <w:multiLevelType w:val="hybridMultilevel"/>
    <w:lvl w:ilvl="0">
      <w:start w:val="1"/>
      <w:numFmt w:val="decimal"/>
      <w:lvlText w:val="%1."/>
      <w:lvlJc w:val="left"/>
      <w:pPr>
        <w:ind w:left="1247" w:hanging="681"/>
        <w:jc w:val="right"/>
      </w:pPr>
      <w:rPr>
        <w:rFonts w:hint="default" w:ascii="Calibri" w:hAnsi="Calibri" w:eastAsia="Calibri" w:cs="Calibri"/>
        <w:spacing w:val="-13"/>
        <w:w w:val="125"/>
        <w:sz w:val="20"/>
        <w:szCs w:val="20"/>
      </w:rPr>
    </w:lvl>
    <w:lvl w:ilvl="1">
      <w:start w:val="1"/>
      <w:numFmt w:val="decimal"/>
      <w:lvlText w:val="%2."/>
      <w:lvlJc w:val="left"/>
      <w:pPr>
        <w:ind w:left="3424" w:hanging="760"/>
        <w:jc w:val="left"/>
      </w:pPr>
      <w:rPr>
        <w:rFonts w:hint="default" w:ascii="Calibri" w:hAnsi="Calibri" w:eastAsia="Calibri" w:cs="Calibri"/>
        <w:spacing w:val="-13"/>
        <w:w w:val="125"/>
        <w:sz w:val="20"/>
        <w:szCs w:val="20"/>
      </w:rPr>
    </w:lvl>
    <w:lvl w:ilvl="2">
      <w:start w:val="0"/>
      <w:numFmt w:val="bullet"/>
      <w:lvlText w:val="•"/>
      <w:lvlJc w:val="left"/>
      <w:pPr>
        <w:ind w:left="4362" w:hanging="760"/>
      </w:pPr>
      <w:rPr>
        <w:rFonts w:hint="default"/>
      </w:rPr>
    </w:lvl>
    <w:lvl w:ilvl="3">
      <w:start w:val="0"/>
      <w:numFmt w:val="bullet"/>
      <w:lvlText w:val="•"/>
      <w:lvlJc w:val="left"/>
      <w:pPr>
        <w:ind w:left="5305" w:hanging="760"/>
      </w:pPr>
      <w:rPr>
        <w:rFonts w:hint="default"/>
      </w:rPr>
    </w:lvl>
    <w:lvl w:ilvl="4">
      <w:start w:val="0"/>
      <w:numFmt w:val="bullet"/>
      <w:lvlText w:val="•"/>
      <w:lvlJc w:val="left"/>
      <w:pPr>
        <w:ind w:left="6248" w:hanging="760"/>
      </w:pPr>
      <w:rPr>
        <w:rFonts w:hint="default"/>
      </w:rPr>
    </w:lvl>
    <w:lvl w:ilvl="5">
      <w:start w:val="0"/>
      <w:numFmt w:val="bullet"/>
      <w:lvlText w:val="•"/>
      <w:lvlJc w:val="left"/>
      <w:pPr>
        <w:ind w:left="7191" w:hanging="760"/>
      </w:pPr>
      <w:rPr>
        <w:rFonts w:hint="default"/>
      </w:rPr>
    </w:lvl>
    <w:lvl w:ilvl="6">
      <w:start w:val="0"/>
      <w:numFmt w:val="bullet"/>
      <w:lvlText w:val="•"/>
      <w:lvlJc w:val="left"/>
      <w:pPr>
        <w:ind w:left="8134" w:hanging="760"/>
      </w:pPr>
      <w:rPr>
        <w:rFonts w:hint="default"/>
      </w:rPr>
    </w:lvl>
    <w:lvl w:ilvl="7">
      <w:start w:val="0"/>
      <w:numFmt w:val="bullet"/>
      <w:lvlText w:val="•"/>
      <w:lvlJc w:val="left"/>
      <w:pPr>
        <w:ind w:left="9077" w:hanging="760"/>
      </w:pPr>
      <w:rPr>
        <w:rFonts w:hint="default"/>
      </w:rPr>
    </w:lvl>
    <w:lvl w:ilvl="8">
      <w:start w:val="0"/>
      <w:numFmt w:val="bullet"/>
      <w:lvlText w:val="•"/>
      <w:lvlJc w:val="left"/>
      <w:pPr>
        <w:ind w:left="10019" w:hanging="760"/>
      </w:pPr>
      <w:rPr>
        <w:rFonts w:hint="default"/>
      </w:rPr>
    </w:lvl>
  </w:abstractNum>
  <w:abstractNum w:abstractNumId="31">
    <w:multiLevelType w:val="hybridMultilevel"/>
    <w:lvl w:ilvl="0">
      <w:start w:val="1"/>
      <w:numFmt w:val="decimal"/>
      <w:lvlText w:val="%1."/>
      <w:lvlJc w:val="left"/>
      <w:pPr>
        <w:ind w:left="760" w:hanging="681"/>
        <w:jc w:val="left"/>
      </w:pPr>
      <w:rPr>
        <w:rFonts w:hint="default" w:ascii="Calibri" w:hAnsi="Calibri" w:eastAsia="Calibri" w:cs="Calibri"/>
        <w:spacing w:val="-13"/>
        <w:w w:val="125"/>
        <w:sz w:val="20"/>
        <w:szCs w:val="20"/>
      </w:rPr>
    </w:lvl>
    <w:lvl w:ilvl="1">
      <w:start w:val="0"/>
      <w:numFmt w:val="bullet"/>
      <w:lvlText w:val="•"/>
      <w:lvlJc w:val="left"/>
      <w:pPr>
        <w:ind w:left="1317" w:hanging="681"/>
      </w:pPr>
      <w:rPr>
        <w:rFonts w:hint="default"/>
      </w:rPr>
    </w:lvl>
    <w:lvl w:ilvl="2">
      <w:start w:val="0"/>
      <w:numFmt w:val="bullet"/>
      <w:lvlText w:val="•"/>
      <w:lvlJc w:val="left"/>
      <w:pPr>
        <w:ind w:left="1874" w:hanging="681"/>
      </w:pPr>
      <w:rPr>
        <w:rFonts w:hint="default"/>
      </w:rPr>
    </w:lvl>
    <w:lvl w:ilvl="3">
      <w:start w:val="0"/>
      <w:numFmt w:val="bullet"/>
      <w:lvlText w:val="•"/>
      <w:lvlJc w:val="left"/>
      <w:pPr>
        <w:ind w:left="2431" w:hanging="681"/>
      </w:pPr>
      <w:rPr>
        <w:rFonts w:hint="default"/>
      </w:rPr>
    </w:lvl>
    <w:lvl w:ilvl="4">
      <w:start w:val="0"/>
      <w:numFmt w:val="bullet"/>
      <w:lvlText w:val="•"/>
      <w:lvlJc w:val="left"/>
      <w:pPr>
        <w:ind w:left="2988" w:hanging="681"/>
      </w:pPr>
      <w:rPr>
        <w:rFonts w:hint="default"/>
      </w:rPr>
    </w:lvl>
    <w:lvl w:ilvl="5">
      <w:start w:val="0"/>
      <w:numFmt w:val="bullet"/>
      <w:lvlText w:val="•"/>
      <w:lvlJc w:val="left"/>
      <w:pPr>
        <w:ind w:left="3545" w:hanging="681"/>
      </w:pPr>
      <w:rPr>
        <w:rFonts w:hint="default"/>
      </w:rPr>
    </w:lvl>
    <w:lvl w:ilvl="6">
      <w:start w:val="0"/>
      <w:numFmt w:val="bullet"/>
      <w:lvlText w:val="•"/>
      <w:lvlJc w:val="left"/>
      <w:pPr>
        <w:ind w:left="4102" w:hanging="681"/>
      </w:pPr>
      <w:rPr>
        <w:rFonts w:hint="default"/>
      </w:rPr>
    </w:lvl>
    <w:lvl w:ilvl="7">
      <w:start w:val="0"/>
      <w:numFmt w:val="bullet"/>
      <w:lvlText w:val="•"/>
      <w:lvlJc w:val="left"/>
      <w:pPr>
        <w:ind w:left="4659" w:hanging="681"/>
      </w:pPr>
      <w:rPr>
        <w:rFonts w:hint="default"/>
      </w:rPr>
    </w:lvl>
    <w:lvl w:ilvl="8">
      <w:start w:val="0"/>
      <w:numFmt w:val="bullet"/>
      <w:lvlText w:val="•"/>
      <w:lvlJc w:val="left"/>
      <w:pPr>
        <w:ind w:left="5216" w:hanging="681"/>
      </w:pPr>
      <w:rPr>
        <w:rFonts w:hint="default"/>
      </w:rPr>
    </w:lvl>
  </w:abstractNum>
  <w:abstractNum w:abstractNumId="30">
    <w:multiLevelType w:val="hybridMultilevel"/>
    <w:lvl w:ilvl="0">
      <w:start w:val="1"/>
      <w:numFmt w:val="decimal"/>
      <w:lvlText w:val="%1."/>
      <w:lvlJc w:val="left"/>
      <w:pPr>
        <w:ind w:left="1247" w:hanging="681"/>
        <w:jc w:val="right"/>
      </w:pPr>
      <w:rPr>
        <w:rFonts w:hint="default" w:ascii="Calibri" w:hAnsi="Calibri" w:eastAsia="Calibri" w:cs="Calibri"/>
        <w:spacing w:val="-13"/>
        <w:w w:val="125"/>
        <w:sz w:val="20"/>
        <w:szCs w:val="20"/>
      </w:rPr>
    </w:lvl>
    <w:lvl w:ilvl="1">
      <w:start w:val="0"/>
      <w:numFmt w:val="bullet"/>
      <w:lvlText w:val="•"/>
      <w:lvlJc w:val="left"/>
      <w:pPr>
        <w:ind w:left="2306" w:hanging="681"/>
      </w:pPr>
      <w:rPr>
        <w:rFonts w:hint="default"/>
      </w:rPr>
    </w:lvl>
    <w:lvl w:ilvl="2">
      <w:start w:val="0"/>
      <w:numFmt w:val="bullet"/>
      <w:lvlText w:val="•"/>
      <w:lvlJc w:val="left"/>
      <w:pPr>
        <w:ind w:left="3373" w:hanging="681"/>
      </w:pPr>
      <w:rPr>
        <w:rFonts w:hint="default"/>
      </w:rPr>
    </w:lvl>
    <w:lvl w:ilvl="3">
      <w:start w:val="0"/>
      <w:numFmt w:val="bullet"/>
      <w:lvlText w:val="•"/>
      <w:lvlJc w:val="left"/>
      <w:pPr>
        <w:ind w:left="4439" w:hanging="681"/>
      </w:pPr>
      <w:rPr>
        <w:rFonts w:hint="default"/>
      </w:rPr>
    </w:lvl>
    <w:lvl w:ilvl="4">
      <w:start w:val="0"/>
      <w:numFmt w:val="bullet"/>
      <w:lvlText w:val="•"/>
      <w:lvlJc w:val="left"/>
      <w:pPr>
        <w:ind w:left="5506" w:hanging="681"/>
      </w:pPr>
      <w:rPr>
        <w:rFonts w:hint="default"/>
      </w:rPr>
    </w:lvl>
    <w:lvl w:ilvl="5">
      <w:start w:val="0"/>
      <w:numFmt w:val="bullet"/>
      <w:lvlText w:val="•"/>
      <w:lvlJc w:val="left"/>
      <w:pPr>
        <w:ind w:left="6572" w:hanging="681"/>
      </w:pPr>
      <w:rPr>
        <w:rFonts w:hint="default"/>
      </w:rPr>
    </w:lvl>
    <w:lvl w:ilvl="6">
      <w:start w:val="0"/>
      <w:numFmt w:val="bullet"/>
      <w:lvlText w:val="•"/>
      <w:lvlJc w:val="left"/>
      <w:pPr>
        <w:ind w:left="7639" w:hanging="681"/>
      </w:pPr>
      <w:rPr>
        <w:rFonts w:hint="default"/>
      </w:rPr>
    </w:lvl>
    <w:lvl w:ilvl="7">
      <w:start w:val="0"/>
      <w:numFmt w:val="bullet"/>
      <w:lvlText w:val="•"/>
      <w:lvlJc w:val="left"/>
      <w:pPr>
        <w:ind w:left="8705" w:hanging="681"/>
      </w:pPr>
      <w:rPr>
        <w:rFonts w:hint="default"/>
      </w:rPr>
    </w:lvl>
    <w:lvl w:ilvl="8">
      <w:start w:val="0"/>
      <w:numFmt w:val="bullet"/>
      <w:lvlText w:val="•"/>
      <w:lvlJc w:val="left"/>
      <w:pPr>
        <w:ind w:left="9772" w:hanging="681"/>
      </w:pPr>
      <w:rPr>
        <w:rFonts w:hint="default"/>
      </w:rPr>
    </w:lvl>
  </w:abstractNum>
  <w:abstractNum w:abstractNumId="29">
    <w:multiLevelType w:val="hybridMultilevel"/>
    <w:lvl w:ilvl="0">
      <w:start w:val="1"/>
      <w:numFmt w:val="decimal"/>
      <w:lvlText w:val="%1)"/>
      <w:lvlJc w:val="left"/>
      <w:pPr>
        <w:ind w:left="755" w:hanging="681"/>
        <w:jc w:val="left"/>
      </w:pPr>
      <w:rPr>
        <w:rFonts w:hint="default" w:ascii="Stone Sans II ITC Std Bk" w:hAnsi="Stone Sans II ITC Std Bk" w:eastAsia="Stone Sans II ITC Std Bk" w:cs="Stone Sans II ITC Std Bk"/>
        <w:b/>
        <w:bCs/>
        <w:spacing w:val="-18"/>
        <w:w w:val="110"/>
        <w:sz w:val="20"/>
        <w:szCs w:val="20"/>
      </w:rPr>
    </w:lvl>
    <w:lvl w:ilvl="1">
      <w:start w:val="0"/>
      <w:numFmt w:val="bullet"/>
      <w:lvlText w:val="•"/>
      <w:lvlJc w:val="left"/>
      <w:pPr>
        <w:ind w:left="1329" w:hanging="681"/>
      </w:pPr>
      <w:rPr>
        <w:rFonts w:hint="default"/>
      </w:rPr>
    </w:lvl>
    <w:lvl w:ilvl="2">
      <w:start w:val="0"/>
      <w:numFmt w:val="bullet"/>
      <w:lvlText w:val="•"/>
      <w:lvlJc w:val="left"/>
      <w:pPr>
        <w:ind w:left="1899" w:hanging="681"/>
      </w:pPr>
      <w:rPr>
        <w:rFonts w:hint="default"/>
      </w:rPr>
    </w:lvl>
    <w:lvl w:ilvl="3">
      <w:start w:val="0"/>
      <w:numFmt w:val="bullet"/>
      <w:lvlText w:val="•"/>
      <w:lvlJc w:val="left"/>
      <w:pPr>
        <w:ind w:left="2469" w:hanging="681"/>
      </w:pPr>
      <w:rPr>
        <w:rFonts w:hint="default"/>
      </w:rPr>
    </w:lvl>
    <w:lvl w:ilvl="4">
      <w:start w:val="0"/>
      <w:numFmt w:val="bullet"/>
      <w:lvlText w:val="•"/>
      <w:lvlJc w:val="left"/>
      <w:pPr>
        <w:ind w:left="3039" w:hanging="681"/>
      </w:pPr>
      <w:rPr>
        <w:rFonts w:hint="default"/>
      </w:rPr>
    </w:lvl>
    <w:lvl w:ilvl="5">
      <w:start w:val="0"/>
      <w:numFmt w:val="bullet"/>
      <w:lvlText w:val="•"/>
      <w:lvlJc w:val="left"/>
      <w:pPr>
        <w:ind w:left="3609" w:hanging="681"/>
      </w:pPr>
      <w:rPr>
        <w:rFonts w:hint="default"/>
      </w:rPr>
    </w:lvl>
    <w:lvl w:ilvl="6">
      <w:start w:val="0"/>
      <w:numFmt w:val="bullet"/>
      <w:lvlText w:val="•"/>
      <w:lvlJc w:val="left"/>
      <w:pPr>
        <w:ind w:left="4178" w:hanging="681"/>
      </w:pPr>
      <w:rPr>
        <w:rFonts w:hint="default"/>
      </w:rPr>
    </w:lvl>
    <w:lvl w:ilvl="7">
      <w:start w:val="0"/>
      <w:numFmt w:val="bullet"/>
      <w:lvlText w:val="•"/>
      <w:lvlJc w:val="left"/>
      <w:pPr>
        <w:ind w:left="4748" w:hanging="681"/>
      </w:pPr>
      <w:rPr>
        <w:rFonts w:hint="default"/>
      </w:rPr>
    </w:lvl>
    <w:lvl w:ilvl="8">
      <w:start w:val="0"/>
      <w:numFmt w:val="bullet"/>
      <w:lvlText w:val="•"/>
      <w:lvlJc w:val="left"/>
      <w:pPr>
        <w:ind w:left="5318" w:hanging="681"/>
      </w:pPr>
      <w:rPr>
        <w:rFonts w:hint="default"/>
      </w:rPr>
    </w:lvl>
  </w:abstractNum>
  <w:abstractNum w:abstractNumId="28">
    <w:multiLevelType w:val="hybridMultilevel"/>
    <w:lvl w:ilvl="0">
      <w:start w:val="0"/>
      <w:numFmt w:val="bullet"/>
      <w:lvlText w:val=""/>
      <w:lvlJc w:val="left"/>
      <w:pPr>
        <w:ind w:left="538" w:hanging="284"/>
      </w:pPr>
      <w:rPr>
        <w:rFonts w:hint="default" w:ascii="Symbol" w:hAnsi="Symbol" w:eastAsia="Symbol" w:cs="Symbol"/>
        <w:w w:val="110"/>
        <w:sz w:val="20"/>
        <w:szCs w:val="20"/>
      </w:rPr>
    </w:lvl>
    <w:lvl w:ilvl="1">
      <w:start w:val="0"/>
      <w:numFmt w:val="bullet"/>
      <w:lvlText w:val="•"/>
      <w:lvlJc w:val="left"/>
      <w:pPr>
        <w:ind w:left="804" w:hanging="284"/>
      </w:pPr>
      <w:rPr>
        <w:rFonts w:hint="default"/>
      </w:rPr>
    </w:lvl>
    <w:lvl w:ilvl="2">
      <w:start w:val="0"/>
      <w:numFmt w:val="bullet"/>
      <w:lvlText w:val="•"/>
      <w:lvlJc w:val="left"/>
      <w:pPr>
        <w:ind w:left="1069" w:hanging="284"/>
      </w:pPr>
      <w:rPr>
        <w:rFonts w:hint="default"/>
      </w:rPr>
    </w:lvl>
    <w:lvl w:ilvl="3">
      <w:start w:val="0"/>
      <w:numFmt w:val="bullet"/>
      <w:lvlText w:val="•"/>
      <w:lvlJc w:val="left"/>
      <w:pPr>
        <w:ind w:left="1334" w:hanging="284"/>
      </w:pPr>
      <w:rPr>
        <w:rFonts w:hint="default"/>
      </w:rPr>
    </w:lvl>
    <w:lvl w:ilvl="4">
      <w:start w:val="0"/>
      <w:numFmt w:val="bullet"/>
      <w:lvlText w:val="•"/>
      <w:lvlJc w:val="left"/>
      <w:pPr>
        <w:ind w:left="1599" w:hanging="284"/>
      </w:pPr>
      <w:rPr>
        <w:rFonts w:hint="default"/>
      </w:rPr>
    </w:lvl>
    <w:lvl w:ilvl="5">
      <w:start w:val="0"/>
      <w:numFmt w:val="bullet"/>
      <w:lvlText w:val="•"/>
      <w:lvlJc w:val="left"/>
      <w:pPr>
        <w:ind w:left="1864" w:hanging="284"/>
      </w:pPr>
      <w:rPr>
        <w:rFonts w:hint="default"/>
      </w:rPr>
    </w:lvl>
    <w:lvl w:ilvl="6">
      <w:start w:val="0"/>
      <w:numFmt w:val="bullet"/>
      <w:lvlText w:val="•"/>
      <w:lvlJc w:val="left"/>
      <w:pPr>
        <w:ind w:left="2128" w:hanging="284"/>
      </w:pPr>
      <w:rPr>
        <w:rFonts w:hint="default"/>
      </w:rPr>
    </w:lvl>
    <w:lvl w:ilvl="7">
      <w:start w:val="0"/>
      <w:numFmt w:val="bullet"/>
      <w:lvlText w:val="•"/>
      <w:lvlJc w:val="left"/>
      <w:pPr>
        <w:ind w:left="2393" w:hanging="284"/>
      </w:pPr>
      <w:rPr>
        <w:rFonts w:hint="default"/>
      </w:rPr>
    </w:lvl>
    <w:lvl w:ilvl="8">
      <w:start w:val="0"/>
      <w:numFmt w:val="bullet"/>
      <w:lvlText w:val="•"/>
      <w:lvlJc w:val="left"/>
      <w:pPr>
        <w:ind w:left="2658" w:hanging="284"/>
      </w:pPr>
      <w:rPr>
        <w:rFonts w:hint="default"/>
      </w:rPr>
    </w:lvl>
  </w:abstractNum>
  <w:abstractNum w:abstractNumId="27">
    <w:multiLevelType w:val="hybridMultilevel"/>
    <w:lvl w:ilvl="0">
      <w:start w:val="0"/>
      <w:numFmt w:val="bullet"/>
      <w:lvlText w:val=""/>
      <w:lvlJc w:val="left"/>
      <w:pPr>
        <w:ind w:left="539" w:hanging="331"/>
      </w:pPr>
      <w:rPr>
        <w:rFonts w:hint="default" w:ascii="Symbol" w:hAnsi="Symbol" w:eastAsia="Symbol" w:cs="Symbol"/>
        <w:w w:val="110"/>
        <w:sz w:val="20"/>
        <w:szCs w:val="20"/>
      </w:rPr>
    </w:lvl>
    <w:lvl w:ilvl="1">
      <w:start w:val="0"/>
      <w:numFmt w:val="bullet"/>
      <w:lvlText w:val="•"/>
      <w:lvlJc w:val="left"/>
      <w:pPr>
        <w:ind w:left="740" w:hanging="331"/>
      </w:pPr>
      <w:rPr>
        <w:rFonts w:hint="default"/>
      </w:rPr>
    </w:lvl>
    <w:lvl w:ilvl="2">
      <w:start w:val="0"/>
      <w:numFmt w:val="bullet"/>
      <w:lvlText w:val="•"/>
      <w:lvlJc w:val="left"/>
      <w:pPr>
        <w:ind w:left="941" w:hanging="331"/>
      </w:pPr>
      <w:rPr>
        <w:rFonts w:hint="default"/>
      </w:rPr>
    </w:lvl>
    <w:lvl w:ilvl="3">
      <w:start w:val="0"/>
      <w:numFmt w:val="bullet"/>
      <w:lvlText w:val="•"/>
      <w:lvlJc w:val="left"/>
      <w:pPr>
        <w:ind w:left="1141" w:hanging="331"/>
      </w:pPr>
      <w:rPr>
        <w:rFonts w:hint="default"/>
      </w:rPr>
    </w:lvl>
    <w:lvl w:ilvl="4">
      <w:start w:val="0"/>
      <w:numFmt w:val="bullet"/>
      <w:lvlText w:val="•"/>
      <w:lvlJc w:val="left"/>
      <w:pPr>
        <w:ind w:left="1342" w:hanging="331"/>
      </w:pPr>
      <w:rPr>
        <w:rFonts w:hint="default"/>
      </w:rPr>
    </w:lvl>
    <w:lvl w:ilvl="5">
      <w:start w:val="0"/>
      <w:numFmt w:val="bullet"/>
      <w:lvlText w:val="•"/>
      <w:lvlJc w:val="left"/>
      <w:pPr>
        <w:ind w:left="1542" w:hanging="331"/>
      </w:pPr>
      <w:rPr>
        <w:rFonts w:hint="default"/>
      </w:rPr>
    </w:lvl>
    <w:lvl w:ilvl="6">
      <w:start w:val="0"/>
      <w:numFmt w:val="bullet"/>
      <w:lvlText w:val="•"/>
      <w:lvlJc w:val="left"/>
      <w:pPr>
        <w:ind w:left="1743" w:hanging="331"/>
      </w:pPr>
      <w:rPr>
        <w:rFonts w:hint="default"/>
      </w:rPr>
    </w:lvl>
    <w:lvl w:ilvl="7">
      <w:start w:val="0"/>
      <w:numFmt w:val="bullet"/>
      <w:lvlText w:val="•"/>
      <w:lvlJc w:val="left"/>
      <w:pPr>
        <w:ind w:left="1943" w:hanging="331"/>
      </w:pPr>
      <w:rPr>
        <w:rFonts w:hint="default"/>
      </w:rPr>
    </w:lvl>
    <w:lvl w:ilvl="8">
      <w:start w:val="0"/>
      <w:numFmt w:val="bullet"/>
      <w:lvlText w:val="•"/>
      <w:lvlJc w:val="left"/>
      <w:pPr>
        <w:ind w:left="2144" w:hanging="331"/>
      </w:pPr>
      <w:rPr>
        <w:rFonts w:hint="default"/>
      </w:rPr>
    </w:lvl>
  </w:abstractNum>
  <w:abstractNum w:abstractNumId="26">
    <w:multiLevelType w:val="hybridMultilevel"/>
    <w:lvl w:ilvl="0">
      <w:start w:val="0"/>
      <w:numFmt w:val="bullet"/>
      <w:lvlText w:val=""/>
      <w:lvlJc w:val="left"/>
      <w:pPr>
        <w:ind w:left="538" w:hanging="284"/>
      </w:pPr>
      <w:rPr>
        <w:rFonts w:hint="default" w:ascii="Symbol" w:hAnsi="Symbol" w:eastAsia="Symbol" w:cs="Symbol"/>
        <w:w w:val="110"/>
        <w:sz w:val="20"/>
        <w:szCs w:val="20"/>
      </w:rPr>
    </w:lvl>
    <w:lvl w:ilvl="1">
      <w:start w:val="0"/>
      <w:numFmt w:val="bullet"/>
      <w:lvlText w:val="•"/>
      <w:lvlJc w:val="left"/>
      <w:pPr>
        <w:ind w:left="804" w:hanging="284"/>
      </w:pPr>
      <w:rPr>
        <w:rFonts w:hint="default"/>
      </w:rPr>
    </w:lvl>
    <w:lvl w:ilvl="2">
      <w:start w:val="0"/>
      <w:numFmt w:val="bullet"/>
      <w:lvlText w:val="•"/>
      <w:lvlJc w:val="left"/>
      <w:pPr>
        <w:ind w:left="1069" w:hanging="284"/>
      </w:pPr>
      <w:rPr>
        <w:rFonts w:hint="default"/>
      </w:rPr>
    </w:lvl>
    <w:lvl w:ilvl="3">
      <w:start w:val="0"/>
      <w:numFmt w:val="bullet"/>
      <w:lvlText w:val="•"/>
      <w:lvlJc w:val="left"/>
      <w:pPr>
        <w:ind w:left="1334" w:hanging="284"/>
      </w:pPr>
      <w:rPr>
        <w:rFonts w:hint="default"/>
      </w:rPr>
    </w:lvl>
    <w:lvl w:ilvl="4">
      <w:start w:val="0"/>
      <w:numFmt w:val="bullet"/>
      <w:lvlText w:val="•"/>
      <w:lvlJc w:val="left"/>
      <w:pPr>
        <w:ind w:left="1599" w:hanging="284"/>
      </w:pPr>
      <w:rPr>
        <w:rFonts w:hint="default"/>
      </w:rPr>
    </w:lvl>
    <w:lvl w:ilvl="5">
      <w:start w:val="0"/>
      <w:numFmt w:val="bullet"/>
      <w:lvlText w:val="•"/>
      <w:lvlJc w:val="left"/>
      <w:pPr>
        <w:ind w:left="1864" w:hanging="284"/>
      </w:pPr>
      <w:rPr>
        <w:rFonts w:hint="default"/>
      </w:rPr>
    </w:lvl>
    <w:lvl w:ilvl="6">
      <w:start w:val="0"/>
      <w:numFmt w:val="bullet"/>
      <w:lvlText w:val="•"/>
      <w:lvlJc w:val="left"/>
      <w:pPr>
        <w:ind w:left="2128" w:hanging="284"/>
      </w:pPr>
      <w:rPr>
        <w:rFonts w:hint="default"/>
      </w:rPr>
    </w:lvl>
    <w:lvl w:ilvl="7">
      <w:start w:val="0"/>
      <w:numFmt w:val="bullet"/>
      <w:lvlText w:val="•"/>
      <w:lvlJc w:val="left"/>
      <w:pPr>
        <w:ind w:left="2393" w:hanging="284"/>
      </w:pPr>
      <w:rPr>
        <w:rFonts w:hint="default"/>
      </w:rPr>
    </w:lvl>
    <w:lvl w:ilvl="8">
      <w:start w:val="0"/>
      <w:numFmt w:val="bullet"/>
      <w:lvlText w:val="•"/>
      <w:lvlJc w:val="left"/>
      <w:pPr>
        <w:ind w:left="2658" w:hanging="284"/>
      </w:pPr>
      <w:rPr>
        <w:rFonts w:hint="default"/>
      </w:rPr>
    </w:lvl>
  </w:abstractNum>
  <w:abstractNum w:abstractNumId="25">
    <w:multiLevelType w:val="hybridMultilevel"/>
    <w:lvl w:ilvl="0">
      <w:start w:val="0"/>
      <w:numFmt w:val="bullet"/>
      <w:lvlText w:val=""/>
      <w:lvlJc w:val="left"/>
      <w:pPr>
        <w:ind w:left="539" w:hanging="284"/>
      </w:pPr>
      <w:rPr>
        <w:rFonts w:hint="default" w:ascii="Symbol" w:hAnsi="Symbol" w:eastAsia="Symbol" w:cs="Symbol"/>
        <w:w w:val="110"/>
        <w:sz w:val="20"/>
        <w:szCs w:val="20"/>
      </w:rPr>
    </w:lvl>
    <w:lvl w:ilvl="1">
      <w:start w:val="0"/>
      <w:numFmt w:val="bullet"/>
      <w:lvlText w:val="•"/>
      <w:lvlJc w:val="left"/>
      <w:pPr>
        <w:ind w:left="740" w:hanging="284"/>
      </w:pPr>
      <w:rPr>
        <w:rFonts w:hint="default"/>
      </w:rPr>
    </w:lvl>
    <w:lvl w:ilvl="2">
      <w:start w:val="0"/>
      <w:numFmt w:val="bullet"/>
      <w:lvlText w:val="•"/>
      <w:lvlJc w:val="left"/>
      <w:pPr>
        <w:ind w:left="941" w:hanging="284"/>
      </w:pPr>
      <w:rPr>
        <w:rFonts w:hint="default"/>
      </w:rPr>
    </w:lvl>
    <w:lvl w:ilvl="3">
      <w:start w:val="0"/>
      <w:numFmt w:val="bullet"/>
      <w:lvlText w:val="•"/>
      <w:lvlJc w:val="left"/>
      <w:pPr>
        <w:ind w:left="1141" w:hanging="284"/>
      </w:pPr>
      <w:rPr>
        <w:rFonts w:hint="default"/>
      </w:rPr>
    </w:lvl>
    <w:lvl w:ilvl="4">
      <w:start w:val="0"/>
      <w:numFmt w:val="bullet"/>
      <w:lvlText w:val="•"/>
      <w:lvlJc w:val="left"/>
      <w:pPr>
        <w:ind w:left="1342" w:hanging="284"/>
      </w:pPr>
      <w:rPr>
        <w:rFonts w:hint="default"/>
      </w:rPr>
    </w:lvl>
    <w:lvl w:ilvl="5">
      <w:start w:val="0"/>
      <w:numFmt w:val="bullet"/>
      <w:lvlText w:val="•"/>
      <w:lvlJc w:val="left"/>
      <w:pPr>
        <w:ind w:left="1542" w:hanging="284"/>
      </w:pPr>
      <w:rPr>
        <w:rFonts w:hint="default"/>
      </w:rPr>
    </w:lvl>
    <w:lvl w:ilvl="6">
      <w:start w:val="0"/>
      <w:numFmt w:val="bullet"/>
      <w:lvlText w:val="•"/>
      <w:lvlJc w:val="left"/>
      <w:pPr>
        <w:ind w:left="1743" w:hanging="284"/>
      </w:pPr>
      <w:rPr>
        <w:rFonts w:hint="default"/>
      </w:rPr>
    </w:lvl>
    <w:lvl w:ilvl="7">
      <w:start w:val="0"/>
      <w:numFmt w:val="bullet"/>
      <w:lvlText w:val="•"/>
      <w:lvlJc w:val="left"/>
      <w:pPr>
        <w:ind w:left="1943" w:hanging="284"/>
      </w:pPr>
      <w:rPr>
        <w:rFonts w:hint="default"/>
      </w:rPr>
    </w:lvl>
    <w:lvl w:ilvl="8">
      <w:start w:val="0"/>
      <w:numFmt w:val="bullet"/>
      <w:lvlText w:val="•"/>
      <w:lvlJc w:val="left"/>
      <w:pPr>
        <w:ind w:left="2144" w:hanging="284"/>
      </w:pPr>
      <w:rPr>
        <w:rFonts w:hint="default"/>
      </w:rPr>
    </w:lvl>
  </w:abstractNum>
  <w:abstractNum w:abstractNumId="24">
    <w:multiLevelType w:val="hybridMultilevel"/>
    <w:lvl w:ilvl="0">
      <w:start w:val="0"/>
      <w:numFmt w:val="bullet"/>
      <w:lvlText w:val=""/>
      <w:lvlJc w:val="left"/>
      <w:pPr>
        <w:ind w:left="538" w:hanging="284"/>
      </w:pPr>
      <w:rPr>
        <w:rFonts w:hint="default" w:ascii="Symbol" w:hAnsi="Symbol" w:eastAsia="Symbol" w:cs="Symbol"/>
        <w:w w:val="110"/>
        <w:sz w:val="20"/>
        <w:szCs w:val="20"/>
      </w:rPr>
    </w:lvl>
    <w:lvl w:ilvl="1">
      <w:start w:val="0"/>
      <w:numFmt w:val="bullet"/>
      <w:lvlText w:val="•"/>
      <w:lvlJc w:val="left"/>
      <w:pPr>
        <w:ind w:left="804" w:hanging="284"/>
      </w:pPr>
      <w:rPr>
        <w:rFonts w:hint="default"/>
      </w:rPr>
    </w:lvl>
    <w:lvl w:ilvl="2">
      <w:start w:val="0"/>
      <w:numFmt w:val="bullet"/>
      <w:lvlText w:val="•"/>
      <w:lvlJc w:val="left"/>
      <w:pPr>
        <w:ind w:left="1069" w:hanging="284"/>
      </w:pPr>
      <w:rPr>
        <w:rFonts w:hint="default"/>
      </w:rPr>
    </w:lvl>
    <w:lvl w:ilvl="3">
      <w:start w:val="0"/>
      <w:numFmt w:val="bullet"/>
      <w:lvlText w:val="•"/>
      <w:lvlJc w:val="left"/>
      <w:pPr>
        <w:ind w:left="1334" w:hanging="284"/>
      </w:pPr>
      <w:rPr>
        <w:rFonts w:hint="default"/>
      </w:rPr>
    </w:lvl>
    <w:lvl w:ilvl="4">
      <w:start w:val="0"/>
      <w:numFmt w:val="bullet"/>
      <w:lvlText w:val="•"/>
      <w:lvlJc w:val="left"/>
      <w:pPr>
        <w:ind w:left="1599" w:hanging="284"/>
      </w:pPr>
      <w:rPr>
        <w:rFonts w:hint="default"/>
      </w:rPr>
    </w:lvl>
    <w:lvl w:ilvl="5">
      <w:start w:val="0"/>
      <w:numFmt w:val="bullet"/>
      <w:lvlText w:val="•"/>
      <w:lvlJc w:val="left"/>
      <w:pPr>
        <w:ind w:left="1864" w:hanging="284"/>
      </w:pPr>
      <w:rPr>
        <w:rFonts w:hint="default"/>
      </w:rPr>
    </w:lvl>
    <w:lvl w:ilvl="6">
      <w:start w:val="0"/>
      <w:numFmt w:val="bullet"/>
      <w:lvlText w:val="•"/>
      <w:lvlJc w:val="left"/>
      <w:pPr>
        <w:ind w:left="2128" w:hanging="284"/>
      </w:pPr>
      <w:rPr>
        <w:rFonts w:hint="default"/>
      </w:rPr>
    </w:lvl>
    <w:lvl w:ilvl="7">
      <w:start w:val="0"/>
      <w:numFmt w:val="bullet"/>
      <w:lvlText w:val="•"/>
      <w:lvlJc w:val="left"/>
      <w:pPr>
        <w:ind w:left="2393" w:hanging="284"/>
      </w:pPr>
      <w:rPr>
        <w:rFonts w:hint="default"/>
      </w:rPr>
    </w:lvl>
    <w:lvl w:ilvl="8">
      <w:start w:val="0"/>
      <w:numFmt w:val="bullet"/>
      <w:lvlText w:val="•"/>
      <w:lvlJc w:val="left"/>
      <w:pPr>
        <w:ind w:left="2658" w:hanging="284"/>
      </w:pPr>
      <w:rPr>
        <w:rFonts w:hint="default"/>
      </w:rPr>
    </w:lvl>
  </w:abstractNum>
  <w:abstractNum w:abstractNumId="23">
    <w:multiLevelType w:val="hybridMultilevel"/>
    <w:lvl w:ilvl="0">
      <w:start w:val="0"/>
      <w:numFmt w:val="bullet"/>
      <w:lvlText w:val=""/>
      <w:lvlJc w:val="left"/>
      <w:pPr>
        <w:ind w:left="539" w:hanging="284"/>
      </w:pPr>
      <w:rPr>
        <w:rFonts w:hint="default" w:ascii="Symbol" w:hAnsi="Symbol" w:eastAsia="Symbol" w:cs="Symbol"/>
        <w:w w:val="110"/>
        <w:sz w:val="20"/>
        <w:szCs w:val="20"/>
      </w:rPr>
    </w:lvl>
    <w:lvl w:ilvl="1">
      <w:start w:val="0"/>
      <w:numFmt w:val="bullet"/>
      <w:lvlText w:val="•"/>
      <w:lvlJc w:val="left"/>
      <w:pPr>
        <w:ind w:left="740" w:hanging="284"/>
      </w:pPr>
      <w:rPr>
        <w:rFonts w:hint="default"/>
      </w:rPr>
    </w:lvl>
    <w:lvl w:ilvl="2">
      <w:start w:val="0"/>
      <w:numFmt w:val="bullet"/>
      <w:lvlText w:val="•"/>
      <w:lvlJc w:val="left"/>
      <w:pPr>
        <w:ind w:left="941" w:hanging="284"/>
      </w:pPr>
      <w:rPr>
        <w:rFonts w:hint="default"/>
      </w:rPr>
    </w:lvl>
    <w:lvl w:ilvl="3">
      <w:start w:val="0"/>
      <w:numFmt w:val="bullet"/>
      <w:lvlText w:val="•"/>
      <w:lvlJc w:val="left"/>
      <w:pPr>
        <w:ind w:left="1141" w:hanging="284"/>
      </w:pPr>
      <w:rPr>
        <w:rFonts w:hint="default"/>
      </w:rPr>
    </w:lvl>
    <w:lvl w:ilvl="4">
      <w:start w:val="0"/>
      <w:numFmt w:val="bullet"/>
      <w:lvlText w:val="•"/>
      <w:lvlJc w:val="left"/>
      <w:pPr>
        <w:ind w:left="1342" w:hanging="284"/>
      </w:pPr>
      <w:rPr>
        <w:rFonts w:hint="default"/>
      </w:rPr>
    </w:lvl>
    <w:lvl w:ilvl="5">
      <w:start w:val="0"/>
      <w:numFmt w:val="bullet"/>
      <w:lvlText w:val="•"/>
      <w:lvlJc w:val="left"/>
      <w:pPr>
        <w:ind w:left="1542" w:hanging="284"/>
      </w:pPr>
      <w:rPr>
        <w:rFonts w:hint="default"/>
      </w:rPr>
    </w:lvl>
    <w:lvl w:ilvl="6">
      <w:start w:val="0"/>
      <w:numFmt w:val="bullet"/>
      <w:lvlText w:val="•"/>
      <w:lvlJc w:val="left"/>
      <w:pPr>
        <w:ind w:left="1743" w:hanging="284"/>
      </w:pPr>
      <w:rPr>
        <w:rFonts w:hint="default"/>
      </w:rPr>
    </w:lvl>
    <w:lvl w:ilvl="7">
      <w:start w:val="0"/>
      <w:numFmt w:val="bullet"/>
      <w:lvlText w:val="•"/>
      <w:lvlJc w:val="left"/>
      <w:pPr>
        <w:ind w:left="1943" w:hanging="284"/>
      </w:pPr>
      <w:rPr>
        <w:rFonts w:hint="default"/>
      </w:rPr>
    </w:lvl>
    <w:lvl w:ilvl="8">
      <w:start w:val="0"/>
      <w:numFmt w:val="bullet"/>
      <w:lvlText w:val="•"/>
      <w:lvlJc w:val="left"/>
      <w:pPr>
        <w:ind w:left="2144" w:hanging="284"/>
      </w:pPr>
      <w:rPr>
        <w:rFonts w:hint="default"/>
      </w:rPr>
    </w:lvl>
  </w:abstractNum>
  <w:abstractNum w:abstractNumId="22">
    <w:multiLevelType w:val="hybridMultilevel"/>
    <w:lvl w:ilvl="0">
      <w:start w:val="0"/>
      <w:numFmt w:val="bullet"/>
      <w:lvlText w:val=""/>
      <w:lvlJc w:val="left"/>
      <w:pPr>
        <w:ind w:left="538" w:hanging="284"/>
      </w:pPr>
      <w:rPr>
        <w:rFonts w:hint="default" w:ascii="Symbol" w:hAnsi="Symbol" w:eastAsia="Symbol" w:cs="Symbol"/>
        <w:w w:val="110"/>
        <w:sz w:val="20"/>
        <w:szCs w:val="20"/>
      </w:rPr>
    </w:lvl>
    <w:lvl w:ilvl="1">
      <w:start w:val="0"/>
      <w:numFmt w:val="bullet"/>
      <w:lvlText w:val="•"/>
      <w:lvlJc w:val="left"/>
      <w:pPr>
        <w:ind w:left="804" w:hanging="284"/>
      </w:pPr>
      <w:rPr>
        <w:rFonts w:hint="default"/>
      </w:rPr>
    </w:lvl>
    <w:lvl w:ilvl="2">
      <w:start w:val="0"/>
      <w:numFmt w:val="bullet"/>
      <w:lvlText w:val="•"/>
      <w:lvlJc w:val="left"/>
      <w:pPr>
        <w:ind w:left="1069" w:hanging="284"/>
      </w:pPr>
      <w:rPr>
        <w:rFonts w:hint="default"/>
      </w:rPr>
    </w:lvl>
    <w:lvl w:ilvl="3">
      <w:start w:val="0"/>
      <w:numFmt w:val="bullet"/>
      <w:lvlText w:val="•"/>
      <w:lvlJc w:val="left"/>
      <w:pPr>
        <w:ind w:left="1334" w:hanging="284"/>
      </w:pPr>
      <w:rPr>
        <w:rFonts w:hint="default"/>
      </w:rPr>
    </w:lvl>
    <w:lvl w:ilvl="4">
      <w:start w:val="0"/>
      <w:numFmt w:val="bullet"/>
      <w:lvlText w:val="•"/>
      <w:lvlJc w:val="left"/>
      <w:pPr>
        <w:ind w:left="1599" w:hanging="284"/>
      </w:pPr>
      <w:rPr>
        <w:rFonts w:hint="default"/>
      </w:rPr>
    </w:lvl>
    <w:lvl w:ilvl="5">
      <w:start w:val="0"/>
      <w:numFmt w:val="bullet"/>
      <w:lvlText w:val="•"/>
      <w:lvlJc w:val="left"/>
      <w:pPr>
        <w:ind w:left="1864" w:hanging="284"/>
      </w:pPr>
      <w:rPr>
        <w:rFonts w:hint="default"/>
      </w:rPr>
    </w:lvl>
    <w:lvl w:ilvl="6">
      <w:start w:val="0"/>
      <w:numFmt w:val="bullet"/>
      <w:lvlText w:val="•"/>
      <w:lvlJc w:val="left"/>
      <w:pPr>
        <w:ind w:left="2128" w:hanging="284"/>
      </w:pPr>
      <w:rPr>
        <w:rFonts w:hint="default"/>
      </w:rPr>
    </w:lvl>
    <w:lvl w:ilvl="7">
      <w:start w:val="0"/>
      <w:numFmt w:val="bullet"/>
      <w:lvlText w:val="•"/>
      <w:lvlJc w:val="left"/>
      <w:pPr>
        <w:ind w:left="2393" w:hanging="284"/>
      </w:pPr>
      <w:rPr>
        <w:rFonts w:hint="default"/>
      </w:rPr>
    </w:lvl>
    <w:lvl w:ilvl="8">
      <w:start w:val="0"/>
      <w:numFmt w:val="bullet"/>
      <w:lvlText w:val="•"/>
      <w:lvlJc w:val="left"/>
      <w:pPr>
        <w:ind w:left="2658" w:hanging="284"/>
      </w:pPr>
      <w:rPr>
        <w:rFonts w:hint="default"/>
      </w:rPr>
    </w:lvl>
  </w:abstractNum>
  <w:abstractNum w:abstractNumId="21">
    <w:multiLevelType w:val="hybridMultilevel"/>
    <w:lvl w:ilvl="0">
      <w:start w:val="1"/>
      <w:numFmt w:val="decimal"/>
      <w:lvlText w:val="%1."/>
      <w:lvlJc w:val="left"/>
      <w:pPr>
        <w:ind w:left="2664" w:hanging="681"/>
        <w:jc w:val="right"/>
      </w:pPr>
      <w:rPr>
        <w:rFonts w:hint="default" w:ascii="Calibri" w:hAnsi="Calibri" w:eastAsia="Calibri" w:cs="Calibri"/>
        <w:spacing w:val="-13"/>
        <w:w w:val="125"/>
        <w:sz w:val="20"/>
        <w:szCs w:val="20"/>
      </w:rPr>
    </w:lvl>
    <w:lvl w:ilvl="1">
      <w:start w:val="0"/>
      <w:numFmt w:val="bullet"/>
      <w:lvlText w:val="•"/>
      <w:lvlJc w:val="left"/>
      <w:pPr>
        <w:ind w:left="3584" w:hanging="681"/>
      </w:pPr>
      <w:rPr>
        <w:rFonts w:hint="default"/>
      </w:rPr>
    </w:lvl>
    <w:lvl w:ilvl="2">
      <w:start w:val="0"/>
      <w:numFmt w:val="bullet"/>
      <w:lvlText w:val="•"/>
      <w:lvlJc w:val="left"/>
      <w:pPr>
        <w:ind w:left="4509" w:hanging="681"/>
      </w:pPr>
      <w:rPr>
        <w:rFonts w:hint="default"/>
      </w:rPr>
    </w:lvl>
    <w:lvl w:ilvl="3">
      <w:start w:val="0"/>
      <w:numFmt w:val="bullet"/>
      <w:lvlText w:val="•"/>
      <w:lvlJc w:val="left"/>
      <w:pPr>
        <w:ind w:left="5433" w:hanging="681"/>
      </w:pPr>
      <w:rPr>
        <w:rFonts w:hint="default"/>
      </w:rPr>
    </w:lvl>
    <w:lvl w:ilvl="4">
      <w:start w:val="0"/>
      <w:numFmt w:val="bullet"/>
      <w:lvlText w:val="•"/>
      <w:lvlJc w:val="left"/>
      <w:pPr>
        <w:ind w:left="6358" w:hanging="681"/>
      </w:pPr>
      <w:rPr>
        <w:rFonts w:hint="default"/>
      </w:rPr>
    </w:lvl>
    <w:lvl w:ilvl="5">
      <w:start w:val="0"/>
      <w:numFmt w:val="bullet"/>
      <w:lvlText w:val="•"/>
      <w:lvlJc w:val="left"/>
      <w:pPr>
        <w:ind w:left="7282" w:hanging="681"/>
      </w:pPr>
      <w:rPr>
        <w:rFonts w:hint="default"/>
      </w:rPr>
    </w:lvl>
    <w:lvl w:ilvl="6">
      <w:start w:val="0"/>
      <w:numFmt w:val="bullet"/>
      <w:lvlText w:val="•"/>
      <w:lvlJc w:val="left"/>
      <w:pPr>
        <w:ind w:left="8207" w:hanging="681"/>
      </w:pPr>
      <w:rPr>
        <w:rFonts w:hint="default"/>
      </w:rPr>
    </w:lvl>
    <w:lvl w:ilvl="7">
      <w:start w:val="0"/>
      <w:numFmt w:val="bullet"/>
      <w:lvlText w:val="•"/>
      <w:lvlJc w:val="left"/>
      <w:pPr>
        <w:ind w:left="9131" w:hanging="681"/>
      </w:pPr>
      <w:rPr>
        <w:rFonts w:hint="default"/>
      </w:rPr>
    </w:lvl>
    <w:lvl w:ilvl="8">
      <w:start w:val="0"/>
      <w:numFmt w:val="bullet"/>
      <w:lvlText w:val="•"/>
      <w:lvlJc w:val="left"/>
      <w:pPr>
        <w:ind w:left="10056" w:hanging="681"/>
      </w:pPr>
      <w:rPr>
        <w:rFonts w:hint="default"/>
      </w:rPr>
    </w:lvl>
  </w:abstractNum>
  <w:abstractNum w:abstractNumId="19">
    <w:multiLevelType w:val="hybridMultilevel"/>
    <w:lvl w:ilvl="0">
      <w:start w:val="5"/>
      <w:numFmt w:val="decimal"/>
      <w:lvlText w:val="%1."/>
      <w:lvlJc w:val="left"/>
      <w:pPr>
        <w:ind w:left="1247" w:hanging="681"/>
        <w:jc w:val="left"/>
      </w:pPr>
      <w:rPr>
        <w:rFonts w:hint="default" w:ascii="Calibri" w:hAnsi="Calibri" w:eastAsia="Calibri" w:cs="Calibri"/>
        <w:spacing w:val="-5"/>
        <w:w w:val="125"/>
        <w:sz w:val="20"/>
        <w:szCs w:val="20"/>
      </w:rPr>
    </w:lvl>
    <w:lvl w:ilvl="1">
      <w:start w:val="0"/>
      <w:numFmt w:val="bullet"/>
      <w:lvlText w:val="•"/>
      <w:lvlJc w:val="left"/>
      <w:pPr>
        <w:ind w:left="2306" w:hanging="681"/>
      </w:pPr>
      <w:rPr>
        <w:rFonts w:hint="default"/>
      </w:rPr>
    </w:lvl>
    <w:lvl w:ilvl="2">
      <w:start w:val="0"/>
      <w:numFmt w:val="bullet"/>
      <w:lvlText w:val="•"/>
      <w:lvlJc w:val="left"/>
      <w:pPr>
        <w:ind w:left="3373" w:hanging="681"/>
      </w:pPr>
      <w:rPr>
        <w:rFonts w:hint="default"/>
      </w:rPr>
    </w:lvl>
    <w:lvl w:ilvl="3">
      <w:start w:val="0"/>
      <w:numFmt w:val="bullet"/>
      <w:lvlText w:val="•"/>
      <w:lvlJc w:val="left"/>
      <w:pPr>
        <w:ind w:left="4439" w:hanging="681"/>
      </w:pPr>
      <w:rPr>
        <w:rFonts w:hint="default"/>
      </w:rPr>
    </w:lvl>
    <w:lvl w:ilvl="4">
      <w:start w:val="0"/>
      <w:numFmt w:val="bullet"/>
      <w:lvlText w:val="•"/>
      <w:lvlJc w:val="left"/>
      <w:pPr>
        <w:ind w:left="5506" w:hanging="681"/>
      </w:pPr>
      <w:rPr>
        <w:rFonts w:hint="default"/>
      </w:rPr>
    </w:lvl>
    <w:lvl w:ilvl="5">
      <w:start w:val="0"/>
      <w:numFmt w:val="bullet"/>
      <w:lvlText w:val="•"/>
      <w:lvlJc w:val="left"/>
      <w:pPr>
        <w:ind w:left="6572" w:hanging="681"/>
      </w:pPr>
      <w:rPr>
        <w:rFonts w:hint="default"/>
      </w:rPr>
    </w:lvl>
    <w:lvl w:ilvl="6">
      <w:start w:val="0"/>
      <w:numFmt w:val="bullet"/>
      <w:lvlText w:val="•"/>
      <w:lvlJc w:val="left"/>
      <w:pPr>
        <w:ind w:left="7639" w:hanging="681"/>
      </w:pPr>
      <w:rPr>
        <w:rFonts w:hint="default"/>
      </w:rPr>
    </w:lvl>
    <w:lvl w:ilvl="7">
      <w:start w:val="0"/>
      <w:numFmt w:val="bullet"/>
      <w:lvlText w:val="•"/>
      <w:lvlJc w:val="left"/>
      <w:pPr>
        <w:ind w:left="8705" w:hanging="681"/>
      </w:pPr>
      <w:rPr>
        <w:rFonts w:hint="default"/>
      </w:rPr>
    </w:lvl>
    <w:lvl w:ilvl="8">
      <w:start w:val="0"/>
      <w:numFmt w:val="bullet"/>
      <w:lvlText w:val="•"/>
      <w:lvlJc w:val="left"/>
      <w:pPr>
        <w:ind w:left="9772" w:hanging="681"/>
      </w:pPr>
      <w:rPr>
        <w:rFonts w:hint="default"/>
      </w:rPr>
    </w:lvl>
  </w:abstractNum>
  <w:abstractNum w:abstractNumId="18">
    <w:multiLevelType w:val="hybridMultilevel"/>
    <w:lvl w:ilvl="0">
      <w:start w:val="1"/>
      <w:numFmt w:val="decimal"/>
      <w:lvlText w:val="%1."/>
      <w:lvlJc w:val="left"/>
      <w:pPr>
        <w:ind w:left="1247" w:hanging="681"/>
        <w:jc w:val="left"/>
      </w:pPr>
      <w:rPr>
        <w:rFonts w:hint="default" w:ascii="Calibri" w:hAnsi="Calibri" w:eastAsia="Calibri" w:cs="Calibri"/>
        <w:spacing w:val="-13"/>
        <w:w w:val="125"/>
        <w:sz w:val="20"/>
        <w:szCs w:val="20"/>
      </w:rPr>
    </w:lvl>
    <w:lvl w:ilvl="1">
      <w:start w:val="0"/>
      <w:numFmt w:val="bullet"/>
      <w:lvlText w:val="•"/>
      <w:lvlJc w:val="left"/>
      <w:pPr>
        <w:ind w:left="2306" w:hanging="681"/>
      </w:pPr>
      <w:rPr>
        <w:rFonts w:hint="default"/>
      </w:rPr>
    </w:lvl>
    <w:lvl w:ilvl="2">
      <w:start w:val="0"/>
      <w:numFmt w:val="bullet"/>
      <w:lvlText w:val="•"/>
      <w:lvlJc w:val="left"/>
      <w:pPr>
        <w:ind w:left="3373" w:hanging="681"/>
      </w:pPr>
      <w:rPr>
        <w:rFonts w:hint="default"/>
      </w:rPr>
    </w:lvl>
    <w:lvl w:ilvl="3">
      <w:start w:val="0"/>
      <w:numFmt w:val="bullet"/>
      <w:lvlText w:val="•"/>
      <w:lvlJc w:val="left"/>
      <w:pPr>
        <w:ind w:left="4439" w:hanging="681"/>
      </w:pPr>
      <w:rPr>
        <w:rFonts w:hint="default"/>
      </w:rPr>
    </w:lvl>
    <w:lvl w:ilvl="4">
      <w:start w:val="0"/>
      <w:numFmt w:val="bullet"/>
      <w:lvlText w:val="•"/>
      <w:lvlJc w:val="left"/>
      <w:pPr>
        <w:ind w:left="5506" w:hanging="681"/>
      </w:pPr>
      <w:rPr>
        <w:rFonts w:hint="default"/>
      </w:rPr>
    </w:lvl>
    <w:lvl w:ilvl="5">
      <w:start w:val="0"/>
      <w:numFmt w:val="bullet"/>
      <w:lvlText w:val="•"/>
      <w:lvlJc w:val="left"/>
      <w:pPr>
        <w:ind w:left="6572" w:hanging="681"/>
      </w:pPr>
      <w:rPr>
        <w:rFonts w:hint="default"/>
      </w:rPr>
    </w:lvl>
    <w:lvl w:ilvl="6">
      <w:start w:val="0"/>
      <w:numFmt w:val="bullet"/>
      <w:lvlText w:val="•"/>
      <w:lvlJc w:val="left"/>
      <w:pPr>
        <w:ind w:left="7639" w:hanging="681"/>
      </w:pPr>
      <w:rPr>
        <w:rFonts w:hint="default"/>
      </w:rPr>
    </w:lvl>
    <w:lvl w:ilvl="7">
      <w:start w:val="0"/>
      <w:numFmt w:val="bullet"/>
      <w:lvlText w:val="•"/>
      <w:lvlJc w:val="left"/>
      <w:pPr>
        <w:ind w:left="8705" w:hanging="681"/>
      </w:pPr>
      <w:rPr>
        <w:rFonts w:hint="default"/>
      </w:rPr>
    </w:lvl>
    <w:lvl w:ilvl="8">
      <w:start w:val="0"/>
      <w:numFmt w:val="bullet"/>
      <w:lvlText w:val="•"/>
      <w:lvlJc w:val="left"/>
      <w:pPr>
        <w:ind w:left="9772" w:hanging="681"/>
      </w:pPr>
      <w:rPr>
        <w:rFonts w:hint="default"/>
      </w:rPr>
    </w:lvl>
  </w:abstractNum>
  <w:abstractNum w:abstractNumId="17">
    <w:multiLevelType w:val="hybridMultilevel"/>
    <w:lvl w:ilvl="0">
      <w:start w:val="3"/>
      <w:numFmt w:val="decimal"/>
      <w:lvlText w:val="%1."/>
      <w:lvlJc w:val="left"/>
      <w:pPr>
        <w:ind w:left="1927" w:hanging="681"/>
        <w:jc w:val="right"/>
      </w:pPr>
      <w:rPr>
        <w:rFonts w:hint="default" w:ascii="Calibri" w:hAnsi="Calibri" w:eastAsia="Calibri" w:cs="Calibri"/>
        <w:spacing w:val="-4"/>
        <w:w w:val="125"/>
        <w:sz w:val="20"/>
        <w:szCs w:val="20"/>
      </w:rPr>
    </w:lvl>
    <w:lvl w:ilvl="1">
      <w:start w:val="0"/>
      <w:numFmt w:val="bullet"/>
      <w:lvlText w:val="•"/>
      <w:lvlJc w:val="left"/>
      <w:pPr>
        <w:ind w:left="2918" w:hanging="681"/>
      </w:pPr>
      <w:rPr>
        <w:rFonts w:hint="default"/>
      </w:rPr>
    </w:lvl>
    <w:lvl w:ilvl="2">
      <w:start w:val="0"/>
      <w:numFmt w:val="bullet"/>
      <w:lvlText w:val="•"/>
      <w:lvlJc w:val="left"/>
      <w:pPr>
        <w:ind w:left="3917" w:hanging="681"/>
      </w:pPr>
      <w:rPr>
        <w:rFonts w:hint="default"/>
      </w:rPr>
    </w:lvl>
    <w:lvl w:ilvl="3">
      <w:start w:val="0"/>
      <w:numFmt w:val="bullet"/>
      <w:lvlText w:val="•"/>
      <w:lvlJc w:val="left"/>
      <w:pPr>
        <w:ind w:left="4915" w:hanging="681"/>
      </w:pPr>
      <w:rPr>
        <w:rFonts w:hint="default"/>
      </w:rPr>
    </w:lvl>
    <w:lvl w:ilvl="4">
      <w:start w:val="0"/>
      <w:numFmt w:val="bullet"/>
      <w:lvlText w:val="•"/>
      <w:lvlJc w:val="left"/>
      <w:pPr>
        <w:ind w:left="5914" w:hanging="681"/>
      </w:pPr>
      <w:rPr>
        <w:rFonts w:hint="default"/>
      </w:rPr>
    </w:lvl>
    <w:lvl w:ilvl="5">
      <w:start w:val="0"/>
      <w:numFmt w:val="bullet"/>
      <w:lvlText w:val="•"/>
      <w:lvlJc w:val="left"/>
      <w:pPr>
        <w:ind w:left="6912" w:hanging="681"/>
      </w:pPr>
      <w:rPr>
        <w:rFonts w:hint="default"/>
      </w:rPr>
    </w:lvl>
    <w:lvl w:ilvl="6">
      <w:start w:val="0"/>
      <w:numFmt w:val="bullet"/>
      <w:lvlText w:val="•"/>
      <w:lvlJc w:val="left"/>
      <w:pPr>
        <w:ind w:left="7911" w:hanging="681"/>
      </w:pPr>
      <w:rPr>
        <w:rFonts w:hint="default"/>
      </w:rPr>
    </w:lvl>
    <w:lvl w:ilvl="7">
      <w:start w:val="0"/>
      <w:numFmt w:val="bullet"/>
      <w:lvlText w:val="•"/>
      <w:lvlJc w:val="left"/>
      <w:pPr>
        <w:ind w:left="8909" w:hanging="681"/>
      </w:pPr>
      <w:rPr>
        <w:rFonts w:hint="default"/>
      </w:rPr>
    </w:lvl>
    <w:lvl w:ilvl="8">
      <w:start w:val="0"/>
      <w:numFmt w:val="bullet"/>
      <w:lvlText w:val="•"/>
      <w:lvlJc w:val="left"/>
      <w:pPr>
        <w:ind w:left="9908" w:hanging="681"/>
      </w:pPr>
      <w:rPr>
        <w:rFonts w:hint="default"/>
      </w:rPr>
    </w:lvl>
  </w:abstractNum>
  <w:abstractNum w:abstractNumId="16">
    <w:multiLevelType w:val="hybridMultilevel"/>
    <w:lvl w:ilvl="0">
      <w:start w:val="2"/>
      <w:numFmt w:val="decimal"/>
      <w:lvlText w:val="%1"/>
      <w:lvlJc w:val="left"/>
      <w:pPr>
        <w:ind w:left="1927" w:hanging="681"/>
        <w:jc w:val="left"/>
      </w:pPr>
      <w:rPr>
        <w:rFonts w:hint="default" w:ascii="Stone Sans II ITC Std Bk" w:hAnsi="Stone Sans II ITC Std Bk" w:eastAsia="Stone Sans II ITC Std Bk" w:cs="Stone Sans II ITC Std Bk"/>
        <w:b/>
        <w:bCs/>
        <w:w w:val="110"/>
        <w:sz w:val="29"/>
        <w:szCs w:val="29"/>
      </w:rPr>
    </w:lvl>
    <w:lvl w:ilvl="1">
      <w:start w:val="1"/>
      <w:numFmt w:val="decimal"/>
      <w:lvlText w:val="%1.%2"/>
      <w:lvlJc w:val="left"/>
      <w:pPr>
        <w:ind w:left="1247" w:hanging="681"/>
        <w:jc w:val="left"/>
      </w:pPr>
      <w:rPr>
        <w:rFonts w:hint="default" w:ascii="Calibri" w:hAnsi="Calibri" w:eastAsia="Calibri" w:cs="Calibri"/>
        <w:spacing w:val="-18"/>
        <w:w w:val="125"/>
        <w:sz w:val="20"/>
        <w:szCs w:val="20"/>
      </w:rPr>
    </w:lvl>
    <w:lvl w:ilvl="2">
      <w:start w:val="1"/>
      <w:numFmt w:val="decimal"/>
      <w:lvlText w:val="%1.%2.%3"/>
      <w:lvlJc w:val="left"/>
      <w:pPr>
        <w:ind w:left="1247" w:hanging="681"/>
        <w:jc w:val="left"/>
      </w:pPr>
      <w:rPr>
        <w:rFonts w:hint="default" w:ascii="Calibri" w:hAnsi="Calibri" w:eastAsia="Calibri" w:cs="Calibri"/>
        <w:spacing w:val="-20"/>
        <w:w w:val="125"/>
        <w:sz w:val="20"/>
        <w:szCs w:val="20"/>
      </w:rPr>
    </w:lvl>
    <w:lvl w:ilvl="3">
      <w:start w:val="0"/>
      <w:numFmt w:val="bullet"/>
      <w:lvlText w:val="•"/>
      <w:lvlJc w:val="left"/>
      <w:pPr>
        <w:ind w:left="4139" w:hanging="681"/>
      </w:pPr>
      <w:rPr>
        <w:rFonts w:hint="default"/>
      </w:rPr>
    </w:lvl>
    <w:lvl w:ilvl="4">
      <w:start w:val="0"/>
      <w:numFmt w:val="bullet"/>
      <w:lvlText w:val="•"/>
      <w:lvlJc w:val="left"/>
      <w:pPr>
        <w:ind w:left="5248" w:hanging="681"/>
      </w:pPr>
      <w:rPr>
        <w:rFonts w:hint="default"/>
      </w:rPr>
    </w:lvl>
    <w:lvl w:ilvl="5">
      <w:start w:val="0"/>
      <w:numFmt w:val="bullet"/>
      <w:lvlText w:val="•"/>
      <w:lvlJc w:val="left"/>
      <w:pPr>
        <w:ind w:left="6358" w:hanging="681"/>
      </w:pPr>
      <w:rPr>
        <w:rFonts w:hint="default"/>
      </w:rPr>
    </w:lvl>
    <w:lvl w:ilvl="6">
      <w:start w:val="0"/>
      <w:numFmt w:val="bullet"/>
      <w:lvlText w:val="•"/>
      <w:lvlJc w:val="left"/>
      <w:pPr>
        <w:ind w:left="7467" w:hanging="681"/>
      </w:pPr>
      <w:rPr>
        <w:rFonts w:hint="default"/>
      </w:rPr>
    </w:lvl>
    <w:lvl w:ilvl="7">
      <w:start w:val="0"/>
      <w:numFmt w:val="bullet"/>
      <w:lvlText w:val="•"/>
      <w:lvlJc w:val="left"/>
      <w:pPr>
        <w:ind w:left="8577" w:hanging="681"/>
      </w:pPr>
      <w:rPr>
        <w:rFonts w:hint="default"/>
      </w:rPr>
    </w:lvl>
    <w:lvl w:ilvl="8">
      <w:start w:val="0"/>
      <w:numFmt w:val="bullet"/>
      <w:lvlText w:val="•"/>
      <w:lvlJc w:val="left"/>
      <w:pPr>
        <w:ind w:left="9686" w:hanging="681"/>
      </w:pPr>
      <w:rPr>
        <w:rFonts w:hint="default"/>
      </w:rPr>
    </w:lvl>
  </w:abstractNum>
  <w:abstractNum w:abstractNumId="15">
    <w:multiLevelType w:val="hybridMultilevel"/>
    <w:lvl w:ilvl="0">
      <w:start w:val="20"/>
      <w:numFmt w:val="decimal"/>
      <w:lvlText w:val="%1"/>
      <w:lvlJc w:val="left"/>
      <w:pPr>
        <w:ind w:left="1927" w:hanging="760"/>
        <w:jc w:val="left"/>
      </w:pPr>
      <w:rPr>
        <w:rFonts w:hint="default"/>
      </w:rPr>
    </w:lvl>
    <w:lvl w:ilvl="1">
      <w:start w:val="5"/>
      <w:numFmt w:val="decimal"/>
      <w:lvlText w:val="%1.%2"/>
      <w:lvlJc w:val="left"/>
      <w:pPr>
        <w:ind w:left="1927" w:hanging="760"/>
        <w:jc w:val="left"/>
      </w:pPr>
      <w:rPr>
        <w:rFonts w:hint="default"/>
      </w:rPr>
    </w:lvl>
    <w:lvl w:ilvl="2">
      <w:start w:val="1"/>
      <w:numFmt w:val="decimal"/>
      <w:lvlText w:val="%1.%2.%3"/>
      <w:lvlJc w:val="left"/>
      <w:pPr>
        <w:ind w:left="1927" w:hanging="760"/>
        <w:jc w:val="left"/>
      </w:pPr>
      <w:rPr>
        <w:rFonts w:hint="default" w:ascii="Calibri" w:hAnsi="Calibri" w:eastAsia="Calibri" w:cs="Calibri"/>
        <w:spacing w:val="-18"/>
        <w:w w:val="125"/>
        <w:sz w:val="20"/>
        <w:szCs w:val="20"/>
      </w:rPr>
    </w:lvl>
    <w:lvl w:ilvl="3">
      <w:start w:val="0"/>
      <w:numFmt w:val="bullet"/>
      <w:lvlText w:val="•"/>
      <w:lvlJc w:val="left"/>
      <w:pPr>
        <w:ind w:left="4915" w:hanging="760"/>
      </w:pPr>
      <w:rPr>
        <w:rFonts w:hint="default"/>
      </w:rPr>
    </w:lvl>
    <w:lvl w:ilvl="4">
      <w:start w:val="0"/>
      <w:numFmt w:val="bullet"/>
      <w:lvlText w:val="•"/>
      <w:lvlJc w:val="left"/>
      <w:pPr>
        <w:ind w:left="5914" w:hanging="760"/>
      </w:pPr>
      <w:rPr>
        <w:rFonts w:hint="default"/>
      </w:rPr>
    </w:lvl>
    <w:lvl w:ilvl="5">
      <w:start w:val="0"/>
      <w:numFmt w:val="bullet"/>
      <w:lvlText w:val="•"/>
      <w:lvlJc w:val="left"/>
      <w:pPr>
        <w:ind w:left="6912" w:hanging="760"/>
      </w:pPr>
      <w:rPr>
        <w:rFonts w:hint="default"/>
      </w:rPr>
    </w:lvl>
    <w:lvl w:ilvl="6">
      <w:start w:val="0"/>
      <w:numFmt w:val="bullet"/>
      <w:lvlText w:val="•"/>
      <w:lvlJc w:val="left"/>
      <w:pPr>
        <w:ind w:left="7911" w:hanging="760"/>
      </w:pPr>
      <w:rPr>
        <w:rFonts w:hint="default"/>
      </w:rPr>
    </w:lvl>
    <w:lvl w:ilvl="7">
      <w:start w:val="0"/>
      <w:numFmt w:val="bullet"/>
      <w:lvlText w:val="•"/>
      <w:lvlJc w:val="left"/>
      <w:pPr>
        <w:ind w:left="8909" w:hanging="760"/>
      </w:pPr>
      <w:rPr>
        <w:rFonts w:hint="default"/>
      </w:rPr>
    </w:lvl>
    <w:lvl w:ilvl="8">
      <w:start w:val="0"/>
      <w:numFmt w:val="bullet"/>
      <w:lvlText w:val="•"/>
      <w:lvlJc w:val="left"/>
      <w:pPr>
        <w:ind w:left="9908" w:hanging="760"/>
      </w:pPr>
      <w:rPr>
        <w:rFonts w:hint="default"/>
      </w:rPr>
    </w:lvl>
  </w:abstractNum>
  <w:abstractNum w:abstractNumId="14">
    <w:multiLevelType w:val="hybridMultilevel"/>
    <w:lvl w:ilvl="0">
      <w:start w:val="20"/>
      <w:numFmt w:val="decimal"/>
      <w:lvlText w:val="%1"/>
      <w:lvlJc w:val="left"/>
      <w:pPr>
        <w:ind w:left="1927" w:hanging="760"/>
        <w:jc w:val="left"/>
      </w:pPr>
      <w:rPr>
        <w:rFonts w:hint="default"/>
      </w:rPr>
    </w:lvl>
    <w:lvl w:ilvl="1">
      <w:start w:val="1"/>
      <w:numFmt w:val="decimal"/>
      <w:lvlText w:val="%1.%2"/>
      <w:lvlJc w:val="left"/>
      <w:pPr>
        <w:ind w:left="1927" w:hanging="760"/>
        <w:jc w:val="left"/>
      </w:pPr>
      <w:rPr>
        <w:rFonts w:hint="default"/>
      </w:rPr>
    </w:lvl>
    <w:lvl w:ilvl="2">
      <w:start w:val="1"/>
      <w:numFmt w:val="decimal"/>
      <w:lvlText w:val="%1.%2.%3"/>
      <w:lvlJc w:val="left"/>
      <w:pPr>
        <w:ind w:left="1927" w:hanging="760"/>
        <w:jc w:val="left"/>
      </w:pPr>
      <w:rPr>
        <w:rFonts w:hint="default" w:ascii="Calibri" w:hAnsi="Calibri" w:eastAsia="Calibri" w:cs="Calibri"/>
        <w:spacing w:val="-18"/>
        <w:w w:val="125"/>
        <w:sz w:val="20"/>
        <w:szCs w:val="20"/>
      </w:rPr>
    </w:lvl>
    <w:lvl w:ilvl="3">
      <w:start w:val="0"/>
      <w:numFmt w:val="bullet"/>
      <w:lvlText w:val="•"/>
      <w:lvlJc w:val="left"/>
      <w:pPr>
        <w:ind w:left="4915" w:hanging="760"/>
      </w:pPr>
      <w:rPr>
        <w:rFonts w:hint="default"/>
      </w:rPr>
    </w:lvl>
    <w:lvl w:ilvl="4">
      <w:start w:val="0"/>
      <w:numFmt w:val="bullet"/>
      <w:lvlText w:val="•"/>
      <w:lvlJc w:val="left"/>
      <w:pPr>
        <w:ind w:left="5914" w:hanging="760"/>
      </w:pPr>
      <w:rPr>
        <w:rFonts w:hint="default"/>
      </w:rPr>
    </w:lvl>
    <w:lvl w:ilvl="5">
      <w:start w:val="0"/>
      <w:numFmt w:val="bullet"/>
      <w:lvlText w:val="•"/>
      <w:lvlJc w:val="left"/>
      <w:pPr>
        <w:ind w:left="6912" w:hanging="760"/>
      </w:pPr>
      <w:rPr>
        <w:rFonts w:hint="default"/>
      </w:rPr>
    </w:lvl>
    <w:lvl w:ilvl="6">
      <w:start w:val="0"/>
      <w:numFmt w:val="bullet"/>
      <w:lvlText w:val="•"/>
      <w:lvlJc w:val="left"/>
      <w:pPr>
        <w:ind w:left="7911" w:hanging="760"/>
      </w:pPr>
      <w:rPr>
        <w:rFonts w:hint="default"/>
      </w:rPr>
    </w:lvl>
    <w:lvl w:ilvl="7">
      <w:start w:val="0"/>
      <w:numFmt w:val="bullet"/>
      <w:lvlText w:val="•"/>
      <w:lvlJc w:val="left"/>
      <w:pPr>
        <w:ind w:left="8909" w:hanging="760"/>
      </w:pPr>
      <w:rPr>
        <w:rFonts w:hint="default"/>
      </w:rPr>
    </w:lvl>
    <w:lvl w:ilvl="8">
      <w:start w:val="0"/>
      <w:numFmt w:val="bullet"/>
      <w:lvlText w:val="•"/>
      <w:lvlJc w:val="left"/>
      <w:pPr>
        <w:ind w:left="9908" w:hanging="760"/>
      </w:pPr>
      <w:rPr>
        <w:rFonts w:hint="default"/>
      </w:rPr>
    </w:lvl>
  </w:abstractNum>
  <w:abstractNum w:abstractNumId="13">
    <w:multiLevelType w:val="hybridMultilevel"/>
    <w:lvl w:ilvl="0">
      <w:start w:val="1"/>
      <w:numFmt w:val="decimal"/>
      <w:lvlText w:val="%1"/>
      <w:lvlJc w:val="left"/>
      <w:pPr>
        <w:ind w:left="1247" w:hanging="681"/>
        <w:jc w:val="left"/>
      </w:pPr>
      <w:rPr>
        <w:rFonts w:hint="default"/>
      </w:rPr>
    </w:lvl>
    <w:lvl w:ilvl="1">
      <w:start w:val="1"/>
      <w:numFmt w:val="decimal"/>
      <w:lvlText w:val="%1.%2"/>
      <w:lvlJc w:val="left"/>
      <w:pPr>
        <w:ind w:left="1247" w:hanging="681"/>
        <w:jc w:val="left"/>
      </w:pPr>
      <w:rPr>
        <w:rFonts w:hint="default"/>
      </w:rPr>
    </w:lvl>
    <w:lvl w:ilvl="2">
      <w:start w:val="3"/>
      <w:numFmt w:val="decimal"/>
      <w:lvlText w:val="%1.%2.%3."/>
      <w:lvlJc w:val="left"/>
      <w:pPr>
        <w:ind w:left="1247" w:hanging="681"/>
        <w:jc w:val="left"/>
      </w:pPr>
      <w:rPr>
        <w:rFonts w:hint="default" w:ascii="Calibri" w:hAnsi="Calibri" w:eastAsia="Calibri" w:cs="Calibri"/>
        <w:spacing w:val="-18"/>
        <w:w w:val="125"/>
        <w:sz w:val="20"/>
        <w:szCs w:val="20"/>
      </w:rPr>
    </w:lvl>
    <w:lvl w:ilvl="3">
      <w:start w:val="0"/>
      <w:numFmt w:val="bullet"/>
      <w:lvlText w:val="•"/>
      <w:lvlJc w:val="left"/>
      <w:pPr>
        <w:ind w:left="4439" w:hanging="681"/>
      </w:pPr>
      <w:rPr>
        <w:rFonts w:hint="default"/>
      </w:rPr>
    </w:lvl>
    <w:lvl w:ilvl="4">
      <w:start w:val="0"/>
      <w:numFmt w:val="bullet"/>
      <w:lvlText w:val="•"/>
      <w:lvlJc w:val="left"/>
      <w:pPr>
        <w:ind w:left="5506" w:hanging="681"/>
      </w:pPr>
      <w:rPr>
        <w:rFonts w:hint="default"/>
      </w:rPr>
    </w:lvl>
    <w:lvl w:ilvl="5">
      <w:start w:val="0"/>
      <w:numFmt w:val="bullet"/>
      <w:lvlText w:val="•"/>
      <w:lvlJc w:val="left"/>
      <w:pPr>
        <w:ind w:left="6572" w:hanging="681"/>
      </w:pPr>
      <w:rPr>
        <w:rFonts w:hint="default"/>
      </w:rPr>
    </w:lvl>
    <w:lvl w:ilvl="6">
      <w:start w:val="0"/>
      <w:numFmt w:val="bullet"/>
      <w:lvlText w:val="•"/>
      <w:lvlJc w:val="left"/>
      <w:pPr>
        <w:ind w:left="7639" w:hanging="681"/>
      </w:pPr>
      <w:rPr>
        <w:rFonts w:hint="default"/>
      </w:rPr>
    </w:lvl>
    <w:lvl w:ilvl="7">
      <w:start w:val="0"/>
      <w:numFmt w:val="bullet"/>
      <w:lvlText w:val="•"/>
      <w:lvlJc w:val="left"/>
      <w:pPr>
        <w:ind w:left="8705" w:hanging="681"/>
      </w:pPr>
      <w:rPr>
        <w:rFonts w:hint="default"/>
      </w:rPr>
    </w:lvl>
    <w:lvl w:ilvl="8">
      <w:start w:val="0"/>
      <w:numFmt w:val="bullet"/>
      <w:lvlText w:val="•"/>
      <w:lvlJc w:val="left"/>
      <w:pPr>
        <w:ind w:left="9772" w:hanging="681"/>
      </w:pPr>
      <w:rPr>
        <w:rFonts w:hint="default"/>
      </w:rPr>
    </w:lvl>
  </w:abstractNum>
  <w:abstractNum w:abstractNumId="12">
    <w:multiLevelType w:val="hybridMultilevel"/>
    <w:lvl w:ilvl="0">
      <w:start w:val="1"/>
      <w:numFmt w:val="decimal"/>
      <w:lvlText w:val="%1."/>
      <w:lvlJc w:val="left"/>
      <w:pPr>
        <w:ind w:left="1247" w:hanging="681"/>
        <w:jc w:val="left"/>
      </w:pPr>
      <w:rPr>
        <w:rFonts w:hint="default" w:ascii="Calibri" w:hAnsi="Calibri" w:eastAsia="Calibri" w:cs="Calibri"/>
        <w:spacing w:val="-13"/>
        <w:w w:val="125"/>
        <w:sz w:val="20"/>
        <w:szCs w:val="20"/>
      </w:rPr>
    </w:lvl>
    <w:lvl w:ilvl="1">
      <w:start w:val="1"/>
      <w:numFmt w:val="decimal"/>
      <w:lvlText w:val="%1.%2"/>
      <w:lvlJc w:val="left"/>
      <w:pPr>
        <w:ind w:left="1927" w:hanging="681"/>
        <w:jc w:val="right"/>
      </w:pPr>
      <w:rPr>
        <w:rFonts w:hint="default" w:ascii="Calibri" w:hAnsi="Calibri" w:eastAsia="Calibri" w:cs="Calibri"/>
        <w:spacing w:val="-18"/>
        <w:w w:val="125"/>
        <w:sz w:val="20"/>
        <w:szCs w:val="20"/>
      </w:rPr>
    </w:lvl>
    <w:lvl w:ilvl="2">
      <w:start w:val="1"/>
      <w:numFmt w:val="decimal"/>
      <w:lvlText w:val="%1.%2.%3."/>
      <w:lvlJc w:val="left"/>
      <w:pPr>
        <w:ind w:left="1984" w:hanging="681"/>
        <w:jc w:val="left"/>
      </w:pPr>
      <w:rPr>
        <w:rFonts w:hint="default" w:ascii="Calibri" w:hAnsi="Calibri" w:eastAsia="Calibri" w:cs="Calibri"/>
        <w:spacing w:val="-18"/>
        <w:w w:val="125"/>
        <w:sz w:val="20"/>
        <w:szCs w:val="20"/>
      </w:rPr>
    </w:lvl>
    <w:lvl w:ilvl="3">
      <w:start w:val="0"/>
      <w:numFmt w:val="bullet"/>
      <w:lvlText w:val="•"/>
      <w:lvlJc w:val="left"/>
      <w:pPr>
        <w:ind w:left="3220" w:hanging="681"/>
      </w:pPr>
      <w:rPr>
        <w:rFonts w:hint="default"/>
      </w:rPr>
    </w:lvl>
    <w:lvl w:ilvl="4">
      <w:start w:val="0"/>
      <w:numFmt w:val="bullet"/>
      <w:lvlText w:val="•"/>
      <w:lvlJc w:val="left"/>
      <w:pPr>
        <w:ind w:left="4461" w:hanging="681"/>
      </w:pPr>
      <w:rPr>
        <w:rFonts w:hint="default"/>
      </w:rPr>
    </w:lvl>
    <w:lvl w:ilvl="5">
      <w:start w:val="0"/>
      <w:numFmt w:val="bullet"/>
      <w:lvlText w:val="•"/>
      <w:lvlJc w:val="left"/>
      <w:pPr>
        <w:ind w:left="5702" w:hanging="681"/>
      </w:pPr>
      <w:rPr>
        <w:rFonts w:hint="default"/>
      </w:rPr>
    </w:lvl>
    <w:lvl w:ilvl="6">
      <w:start w:val="0"/>
      <w:numFmt w:val="bullet"/>
      <w:lvlText w:val="•"/>
      <w:lvlJc w:val="left"/>
      <w:pPr>
        <w:ind w:left="6942" w:hanging="681"/>
      </w:pPr>
      <w:rPr>
        <w:rFonts w:hint="default"/>
      </w:rPr>
    </w:lvl>
    <w:lvl w:ilvl="7">
      <w:start w:val="0"/>
      <w:numFmt w:val="bullet"/>
      <w:lvlText w:val="•"/>
      <w:lvlJc w:val="left"/>
      <w:pPr>
        <w:ind w:left="8183" w:hanging="681"/>
      </w:pPr>
      <w:rPr>
        <w:rFonts w:hint="default"/>
      </w:rPr>
    </w:lvl>
    <w:lvl w:ilvl="8">
      <w:start w:val="0"/>
      <w:numFmt w:val="bullet"/>
      <w:lvlText w:val="•"/>
      <w:lvlJc w:val="left"/>
      <w:pPr>
        <w:ind w:left="9424" w:hanging="681"/>
      </w:pPr>
      <w:rPr>
        <w:rFonts w:hint="default"/>
      </w:rPr>
    </w:lvl>
  </w:abstractNum>
  <w:abstractNum w:abstractNumId="11">
    <w:multiLevelType w:val="hybridMultilevel"/>
    <w:lvl w:ilvl="0">
      <w:start w:val="1"/>
      <w:numFmt w:val="decimal"/>
      <w:lvlText w:val="(%1)"/>
      <w:lvlJc w:val="left"/>
      <w:pPr>
        <w:ind w:left="1927" w:hanging="681"/>
        <w:jc w:val="left"/>
      </w:pPr>
      <w:rPr>
        <w:rFonts w:hint="default" w:ascii="Calibri" w:hAnsi="Calibri" w:eastAsia="Calibri" w:cs="Calibri"/>
        <w:spacing w:val="-19"/>
        <w:w w:val="125"/>
        <w:sz w:val="20"/>
        <w:szCs w:val="20"/>
      </w:rPr>
    </w:lvl>
    <w:lvl w:ilvl="1">
      <w:start w:val="1"/>
      <w:numFmt w:val="upperLetter"/>
      <w:lvlText w:val="(%2)"/>
      <w:lvlJc w:val="left"/>
      <w:pPr>
        <w:ind w:left="1927" w:hanging="681"/>
        <w:jc w:val="left"/>
      </w:pPr>
      <w:rPr>
        <w:rFonts w:hint="default" w:ascii="Calibri" w:hAnsi="Calibri" w:eastAsia="Calibri" w:cs="Calibri"/>
        <w:spacing w:val="-8"/>
        <w:w w:val="118"/>
        <w:sz w:val="20"/>
        <w:szCs w:val="20"/>
      </w:rPr>
    </w:lvl>
    <w:lvl w:ilvl="2">
      <w:start w:val="0"/>
      <w:numFmt w:val="bullet"/>
      <w:lvlText w:val="•"/>
      <w:lvlJc w:val="left"/>
      <w:pPr>
        <w:ind w:left="3029" w:hanging="681"/>
      </w:pPr>
      <w:rPr>
        <w:rFonts w:hint="default"/>
      </w:rPr>
    </w:lvl>
    <w:lvl w:ilvl="3">
      <w:start w:val="0"/>
      <w:numFmt w:val="bullet"/>
      <w:lvlText w:val="•"/>
      <w:lvlJc w:val="left"/>
      <w:pPr>
        <w:ind w:left="4139" w:hanging="681"/>
      </w:pPr>
      <w:rPr>
        <w:rFonts w:hint="default"/>
      </w:rPr>
    </w:lvl>
    <w:lvl w:ilvl="4">
      <w:start w:val="0"/>
      <w:numFmt w:val="bullet"/>
      <w:lvlText w:val="•"/>
      <w:lvlJc w:val="left"/>
      <w:pPr>
        <w:ind w:left="5248" w:hanging="681"/>
      </w:pPr>
      <w:rPr>
        <w:rFonts w:hint="default"/>
      </w:rPr>
    </w:lvl>
    <w:lvl w:ilvl="5">
      <w:start w:val="0"/>
      <w:numFmt w:val="bullet"/>
      <w:lvlText w:val="•"/>
      <w:lvlJc w:val="left"/>
      <w:pPr>
        <w:ind w:left="6358" w:hanging="681"/>
      </w:pPr>
      <w:rPr>
        <w:rFonts w:hint="default"/>
      </w:rPr>
    </w:lvl>
    <w:lvl w:ilvl="6">
      <w:start w:val="0"/>
      <w:numFmt w:val="bullet"/>
      <w:lvlText w:val="•"/>
      <w:lvlJc w:val="left"/>
      <w:pPr>
        <w:ind w:left="7467" w:hanging="681"/>
      </w:pPr>
      <w:rPr>
        <w:rFonts w:hint="default"/>
      </w:rPr>
    </w:lvl>
    <w:lvl w:ilvl="7">
      <w:start w:val="0"/>
      <w:numFmt w:val="bullet"/>
      <w:lvlText w:val="•"/>
      <w:lvlJc w:val="left"/>
      <w:pPr>
        <w:ind w:left="8577" w:hanging="681"/>
      </w:pPr>
      <w:rPr>
        <w:rFonts w:hint="default"/>
      </w:rPr>
    </w:lvl>
    <w:lvl w:ilvl="8">
      <w:start w:val="0"/>
      <w:numFmt w:val="bullet"/>
      <w:lvlText w:val="•"/>
      <w:lvlJc w:val="left"/>
      <w:pPr>
        <w:ind w:left="9686" w:hanging="681"/>
      </w:pPr>
      <w:rPr>
        <w:rFonts w:hint="default"/>
      </w:rPr>
    </w:lvl>
  </w:abstractNum>
  <w:abstractNum w:abstractNumId="10">
    <w:multiLevelType w:val="hybridMultilevel"/>
    <w:lvl w:ilvl="0">
      <w:start w:val="2"/>
      <w:numFmt w:val="upperLetter"/>
      <w:lvlText w:val="%1"/>
      <w:lvlJc w:val="left"/>
      <w:pPr>
        <w:ind w:left="1984" w:hanging="484"/>
        <w:jc w:val="left"/>
      </w:pPr>
      <w:rPr>
        <w:rFonts w:hint="default"/>
      </w:rPr>
    </w:lvl>
    <w:lvl w:ilvl="1">
      <w:start w:val="3"/>
      <w:numFmt w:val="decimal"/>
      <w:lvlText w:val="%1.%2"/>
      <w:lvlJc w:val="left"/>
      <w:pPr>
        <w:ind w:left="1984" w:hanging="484"/>
        <w:jc w:val="left"/>
      </w:pPr>
      <w:rPr>
        <w:rFonts w:hint="default"/>
      </w:rPr>
    </w:lvl>
    <w:lvl w:ilvl="2">
      <w:start w:val="1"/>
      <w:numFmt w:val="decimal"/>
      <w:lvlText w:val="%1.%2.%3"/>
      <w:lvlJc w:val="left"/>
      <w:pPr>
        <w:ind w:left="1984" w:hanging="484"/>
        <w:jc w:val="left"/>
      </w:pPr>
      <w:rPr>
        <w:rFonts w:hint="default" w:ascii="Calibri" w:hAnsi="Calibri" w:eastAsia="Calibri" w:cs="Calibri"/>
        <w:spacing w:val="-18"/>
        <w:w w:val="115"/>
        <w:sz w:val="18"/>
        <w:szCs w:val="18"/>
      </w:rPr>
    </w:lvl>
    <w:lvl w:ilvl="3">
      <w:start w:val="0"/>
      <w:numFmt w:val="bullet"/>
      <w:lvlText w:val="•"/>
      <w:lvlJc w:val="left"/>
      <w:pPr>
        <w:ind w:left="4957" w:hanging="484"/>
      </w:pPr>
      <w:rPr>
        <w:rFonts w:hint="default"/>
      </w:rPr>
    </w:lvl>
    <w:lvl w:ilvl="4">
      <w:start w:val="0"/>
      <w:numFmt w:val="bullet"/>
      <w:lvlText w:val="•"/>
      <w:lvlJc w:val="left"/>
      <w:pPr>
        <w:ind w:left="5950" w:hanging="484"/>
      </w:pPr>
      <w:rPr>
        <w:rFonts w:hint="default"/>
      </w:rPr>
    </w:lvl>
    <w:lvl w:ilvl="5">
      <w:start w:val="0"/>
      <w:numFmt w:val="bullet"/>
      <w:lvlText w:val="•"/>
      <w:lvlJc w:val="left"/>
      <w:pPr>
        <w:ind w:left="6942" w:hanging="484"/>
      </w:pPr>
      <w:rPr>
        <w:rFonts w:hint="default"/>
      </w:rPr>
    </w:lvl>
    <w:lvl w:ilvl="6">
      <w:start w:val="0"/>
      <w:numFmt w:val="bullet"/>
      <w:lvlText w:val="•"/>
      <w:lvlJc w:val="left"/>
      <w:pPr>
        <w:ind w:left="7935" w:hanging="484"/>
      </w:pPr>
      <w:rPr>
        <w:rFonts w:hint="default"/>
      </w:rPr>
    </w:lvl>
    <w:lvl w:ilvl="7">
      <w:start w:val="0"/>
      <w:numFmt w:val="bullet"/>
      <w:lvlText w:val="•"/>
      <w:lvlJc w:val="left"/>
      <w:pPr>
        <w:ind w:left="8927" w:hanging="484"/>
      </w:pPr>
      <w:rPr>
        <w:rFonts w:hint="default"/>
      </w:rPr>
    </w:lvl>
    <w:lvl w:ilvl="8">
      <w:start w:val="0"/>
      <w:numFmt w:val="bullet"/>
      <w:lvlText w:val="•"/>
      <w:lvlJc w:val="left"/>
      <w:pPr>
        <w:ind w:left="9920" w:hanging="484"/>
      </w:pPr>
      <w:rPr>
        <w:rFonts w:hint="default"/>
      </w:rPr>
    </w:lvl>
  </w:abstractNum>
  <w:abstractNum w:abstractNumId="9">
    <w:multiLevelType w:val="hybridMultilevel"/>
    <w:lvl w:ilvl="0">
      <w:start w:val="7"/>
      <w:numFmt w:val="decimal"/>
      <w:lvlText w:val="%1"/>
      <w:lvlJc w:val="left"/>
      <w:pPr>
        <w:ind w:left="1247" w:hanging="681"/>
        <w:jc w:val="left"/>
      </w:pPr>
      <w:rPr>
        <w:rFonts w:hint="default"/>
      </w:rPr>
    </w:lvl>
    <w:lvl w:ilvl="1">
      <w:start w:val="5"/>
      <w:numFmt w:val="decimal"/>
      <w:lvlText w:val="%1.%2"/>
      <w:lvlJc w:val="left"/>
      <w:pPr>
        <w:ind w:left="1247" w:hanging="681"/>
        <w:jc w:val="left"/>
      </w:pPr>
      <w:rPr>
        <w:rFonts w:hint="default"/>
      </w:rPr>
    </w:lvl>
    <w:lvl w:ilvl="2">
      <w:start w:val="1"/>
      <w:numFmt w:val="decimal"/>
      <w:lvlText w:val="%1.%2.%3"/>
      <w:lvlJc w:val="left"/>
      <w:pPr>
        <w:ind w:left="1247" w:hanging="681"/>
        <w:jc w:val="left"/>
      </w:pPr>
      <w:rPr>
        <w:rFonts w:hint="default" w:ascii="Stone Sans II ITC Std Bk" w:hAnsi="Stone Sans II ITC Std Bk" w:eastAsia="Stone Sans II ITC Std Bk" w:cs="Stone Sans II ITC Std Bk"/>
        <w:b/>
        <w:bCs/>
        <w:spacing w:val="-26"/>
        <w:w w:val="110"/>
        <w:sz w:val="20"/>
        <w:szCs w:val="20"/>
      </w:rPr>
    </w:lvl>
    <w:lvl w:ilvl="3">
      <w:start w:val="0"/>
      <w:numFmt w:val="bullet"/>
      <w:lvlText w:val="•"/>
      <w:lvlJc w:val="left"/>
      <w:pPr>
        <w:ind w:left="4439" w:hanging="681"/>
      </w:pPr>
      <w:rPr>
        <w:rFonts w:hint="default"/>
      </w:rPr>
    </w:lvl>
    <w:lvl w:ilvl="4">
      <w:start w:val="0"/>
      <w:numFmt w:val="bullet"/>
      <w:lvlText w:val="•"/>
      <w:lvlJc w:val="left"/>
      <w:pPr>
        <w:ind w:left="5506" w:hanging="681"/>
      </w:pPr>
      <w:rPr>
        <w:rFonts w:hint="default"/>
      </w:rPr>
    </w:lvl>
    <w:lvl w:ilvl="5">
      <w:start w:val="0"/>
      <w:numFmt w:val="bullet"/>
      <w:lvlText w:val="•"/>
      <w:lvlJc w:val="left"/>
      <w:pPr>
        <w:ind w:left="6572" w:hanging="681"/>
      </w:pPr>
      <w:rPr>
        <w:rFonts w:hint="default"/>
      </w:rPr>
    </w:lvl>
    <w:lvl w:ilvl="6">
      <w:start w:val="0"/>
      <w:numFmt w:val="bullet"/>
      <w:lvlText w:val="•"/>
      <w:lvlJc w:val="left"/>
      <w:pPr>
        <w:ind w:left="7639" w:hanging="681"/>
      </w:pPr>
      <w:rPr>
        <w:rFonts w:hint="default"/>
      </w:rPr>
    </w:lvl>
    <w:lvl w:ilvl="7">
      <w:start w:val="0"/>
      <w:numFmt w:val="bullet"/>
      <w:lvlText w:val="•"/>
      <w:lvlJc w:val="left"/>
      <w:pPr>
        <w:ind w:left="8705" w:hanging="681"/>
      </w:pPr>
      <w:rPr>
        <w:rFonts w:hint="default"/>
      </w:rPr>
    </w:lvl>
    <w:lvl w:ilvl="8">
      <w:start w:val="0"/>
      <w:numFmt w:val="bullet"/>
      <w:lvlText w:val="•"/>
      <w:lvlJc w:val="left"/>
      <w:pPr>
        <w:ind w:left="9772" w:hanging="681"/>
      </w:pPr>
      <w:rPr>
        <w:rFonts w:hint="default"/>
      </w:rPr>
    </w:lvl>
  </w:abstractNum>
  <w:abstractNum w:abstractNumId="8">
    <w:multiLevelType w:val="hybridMultilevel"/>
    <w:lvl w:ilvl="0">
      <w:start w:val="7"/>
      <w:numFmt w:val="decimal"/>
      <w:lvlText w:val="%1."/>
      <w:lvlJc w:val="left"/>
      <w:pPr>
        <w:ind w:left="1927" w:hanging="681"/>
        <w:jc w:val="left"/>
      </w:pPr>
      <w:rPr>
        <w:rFonts w:hint="default" w:ascii="Stone Sans II ITC Std Bk" w:hAnsi="Stone Sans II ITC Std Bk" w:eastAsia="Stone Sans II ITC Std Bk" w:cs="Stone Sans II ITC Std Bk"/>
        <w:b/>
        <w:bCs/>
        <w:color w:val="E63B68"/>
        <w:spacing w:val="-26"/>
        <w:w w:val="110"/>
        <w:sz w:val="20"/>
        <w:szCs w:val="20"/>
      </w:rPr>
    </w:lvl>
    <w:lvl w:ilvl="1">
      <w:start w:val="1"/>
      <w:numFmt w:val="decimal"/>
      <w:lvlText w:val="%1.%2"/>
      <w:lvlJc w:val="left"/>
      <w:pPr>
        <w:ind w:left="1247" w:hanging="681"/>
        <w:jc w:val="left"/>
      </w:pPr>
      <w:rPr>
        <w:rFonts w:hint="default" w:ascii="Stone Sans II ITC Std Bk" w:hAnsi="Stone Sans II ITC Std Bk" w:eastAsia="Stone Sans II ITC Std Bk" w:cs="Stone Sans II ITC Std Bk"/>
        <w:b/>
        <w:bCs/>
        <w:color w:val="E63B68"/>
        <w:spacing w:val="-26"/>
        <w:w w:val="110"/>
        <w:sz w:val="20"/>
        <w:szCs w:val="20"/>
      </w:rPr>
    </w:lvl>
    <w:lvl w:ilvl="2">
      <w:start w:val="0"/>
      <w:numFmt w:val="bullet"/>
      <w:lvlText w:val="•"/>
      <w:lvlJc w:val="left"/>
      <w:pPr>
        <w:ind w:left="3029" w:hanging="681"/>
      </w:pPr>
      <w:rPr>
        <w:rFonts w:hint="default"/>
      </w:rPr>
    </w:lvl>
    <w:lvl w:ilvl="3">
      <w:start w:val="0"/>
      <w:numFmt w:val="bullet"/>
      <w:lvlText w:val="•"/>
      <w:lvlJc w:val="left"/>
      <w:pPr>
        <w:ind w:left="4139" w:hanging="681"/>
      </w:pPr>
      <w:rPr>
        <w:rFonts w:hint="default"/>
      </w:rPr>
    </w:lvl>
    <w:lvl w:ilvl="4">
      <w:start w:val="0"/>
      <w:numFmt w:val="bullet"/>
      <w:lvlText w:val="•"/>
      <w:lvlJc w:val="left"/>
      <w:pPr>
        <w:ind w:left="5248" w:hanging="681"/>
      </w:pPr>
      <w:rPr>
        <w:rFonts w:hint="default"/>
      </w:rPr>
    </w:lvl>
    <w:lvl w:ilvl="5">
      <w:start w:val="0"/>
      <w:numFmt w:val="bullet"/>
      <w:lvlText w:val="•"/>
      <w:lvlJc w:val="left"/>
      <w:pPr>
        <w:ind w:left="6358" w:hanging="681"/>
      </w:pPr>
      <w:rPr>
        <w:rFonts w:hint="default"/>
      </w:rPr>
    </w:lvl>
    <w:lvl w:ilvl="6">
      <w:start w:val="0"/>
      <w:numFmt w:val="bullet"/>
      <w:lvlText w:val="•"/>
      <w:lvlJc w:val="left"/>
      <w:pPr>
        <w:ind w:left="7467" w:hanging="681"/>
      </w:pPr>
      <w:rPr>
        <w:rFonts w:hint="default"/>
      </w:rPr>
    </w:lvl>
    <w:lvl w:ilvl="7">
      <w:start w:val="0"/>
      <w:numFmt w:val="bullet"/>
      <w:lvlText w:val="•"/>
      <w:lvlJc w:val="left"/>
      <w:pPr>
        <w:ind w:left="8577" w:hanging="681"/>
      </w:pPr>
      <w:rPr>
        <w:rFonts w:hint="default"/>
      </w:rPr>
    </w:lvl>
    <w:lvl w:ilvl="8">
      <w:start w:val="0"/>
      <w:numFmt w:val="bullet"/>
      <w:lvlText w:val="•"/>
      <w:lvlJc w:val="left"/>
      <w:pPr>
        <w:ind w:left="9686" w:hanging="681"/>
      </w:pPr>
      <w:rPr>
        <w:rFonts w:hint="default"/>
      </w:rPr>
    </w:lvl>
  </w:abstractNum>
  <w:abstractNum w:abstractNumId="7">
    <w:multiLevelType w:val="hybridMultilevel"/>
    <w:lvl w:ilvl="0">
      <w:start w:val="6"/>
      <w:numFmt w:val="decimal"/>
      <w:lvlText w:val="%1"/>
      <w:lvlJc w:val="left"/>
      <w:pPr>
        <w:ind w:left="2664" w:hanging="681"/>
        <w:jc w:val="left"/>
      </w:pPr>
      <w:rPr>
        <w:rFonts w:hint="default" w:ascii="Stone Sans II ITC Std Bk" w:hAnsi="Stone Sans II ITC Std Bk" w:eastAsia="Stone Sans II ITC Std Bk" w:cs="Stone Sans II ITC Std Bk"/>
        <w:b/>
        <w:bCs/>
        <w:w w:val="110"/>
        <w:sz w:val="29"/>
        <w:szCs w:val="29"/>
      </w:rPr>
    </w:lvl>
    <w:lvl w:ilvl="1">
      <w:start w:val="1"/>
      <w:numFmt w:val="decimal"/>
      <w:lvlText w:val="%1.%2"/>
      <w:lvlJc w:val="left"/>
      <w:pPr>
        <w:ind w:left="1984" w:hanging="681"/>
        <w:jc w:val="left"/>
      </w:pPr>
      <w:rPr>
        <w:rFonts w:hint="default" w:ascii="Stone Sans II ITC Std Bk" w:hAnsi="Stone Sans II ITC Std Bk" w:eastAsia="Stone Sans II ITC Std Bk" w:cs="Stone Sans II ITC Std Bk"/>
        <w:b/>
        <w:bCs/>
        <w:spacing w:val="-18"/>
        <w:w w:val="110"/>
        <w:sz w:val="20"/>
        <w:szCs w:val="20"/>
      </w:rPr>
    </w:lvl>
    <w:lvl w:ilvl="2">
      <w:start w:val="0"/>
      <w:numFmt w:val="bullet"/>
      <w:lvlText w:val="•"/>
      <w:lvlJc w:val="left"/>
      <w:pPr>
        <w:ind w:left="3687" w:hanging="681"/>
      </w:pPr>
      <w:rPr>
        <w:rFonts w:hint="default"/>
      </w:rPr>
    </w:lvl>
    <w:lvl w:ilvl="3">
      <w:start w:val="0"/>
      <w:numFmt w:val="bullet"/>
      <w:lvlText w:val="•"/>
      <w:lvlJc w:val="left"/>
      <w:pPr>
        <w:ind w:left="4714" w:hanging="681"/>
      </w:pPr>
      <w:rPr>
        <w:rFonts w:hint="default"/>
      </w:rPr>
    </w:lvl>
    <w:lvl w:ilvl="4">
      <w:start w:val="0"/>
      <w:numFmt w:val="bullet"/>
      <w:lvlText w:val="•"/>
      <w:lvlJc w:val="left"/>
      <w:pPr>
        <w:ind w:left="5741" w:hanging="681"/>
      </w:pPr>
      <w:rPr>
        <w:rFonts w:hint="default"/>
      </w:rPr>
    </w:lvl>
    <w:lvl w:ilvl="5">
      <w:start w:val="0"/>
      <w:numFmt w:val="bullet"/>
      <w:lvlText w:val="•"/>
      <w:lvlJc w:val="left"/>
      <w:pPr>
        <w:ind w:left="6769" w:hanging="681"/>
      </w:pPr>
      <w:rPr>
        <w:rFonts w:hint="default"/>
      </w:rPr>
    </w:lvl>
    <w:lvl w:ilvl="6">
      <w:start w:val="0"/>
      <w:numFmt w:val="bullet"/>
      <w:lvlText w:val="•"/>
      <w:lvlJc w:val="left"/>
      <w:pPr>
        <w:ind w:left="7796" w:hanging="681"/>
      </w:pPr>
      <w:rPr>
        <w:rFonts w:hint="default"/>
      </w:rPr>
    </w:lvl>
    <w:lvl w:ilvl="7">
      <w:start w:val="0"/>
      <w:numFmt w:val="bullet"/>
      <w:lvlText w:val="•"/>
      <w:lvlJc w:val="left"/>
      <w:pPr>
        <w:ind w:left="8823" w:hanging="681"/>
      </w:pPr>
      <w:rPr>
        <w:rFonts w:hint="default"/>
      </w:rPr>
    </w:lvl>
    <w:lvl w:ilvl="8">
      <w:start w:val="0"/>
      <w:numFmt w:val="bullet"/>
      <w:lvlText w:val="•"/>
      <w:lvlJc w:val="left"/>
      <w:pPr>
        <w:ind w:left="9850" w:hanging="681"/>
      </w:pPr>
      <w:rPr>
        <w:rFonts w:hint="default"/>
      </w:rPr>
    </w:lvl>
  </w:abstractNum>
  <w:abstractNum w:abstractNumId="6">
    <w:multiLevelType w:val="hybridMultilevel"/>
    <w:lvl w:ilvl="0">
      <w:start w:val="1"/>
      <w:numFmt w:val="decimal"/>
      <w:lvlText w:val="%1."/>
      <w:lvlJc w:val="left"/>
      <w:pPr>
        <w:ind w:left="1927" w:hanging="681"/>
        <w:jc w:val="left"/>
      </w:pPr>
      <w:rPr>
        <w:rFonts w:hint="default" w:ascii="Calibri" w:hAnsi="Calibri" w:eastAsia="Calibri" w:cs="Calibri"/>
        <w:spacing w:val="-13"/>
        <w:w w:val="125"/>
        <w:sz w:val="20"/>
        <w:szCs w:val="20"/>
      </w:rPr>
    </w:lvl>
    <w:lvl w:ilvl="1">
      <w:start w:val="0"/>
      <w:numFmt w:val="bullet"/>
      <w:lvlText w:val="•"/>
      <w:lvlJc w:val="left"/>
      <w:pPr>
        <w:ind w:left="2721" w:hanging="794"/>
      </w:pPr>
      <w:rPr>
        <w:rFonts w:hint="default" w:ascii="Calibri" w:hAnsi="Calibri" w:eastAsia="Calibri" w:cs="Calibri"/>
        <w:w w:val="110"/>
        <w:sz w:val="20"/>
        <w:szCs w:val="20"/>
      </w:rPr>
    </w:lvl>
    <w:lvl w:ilvl="2">
      <w:start w:val="0"/>
      <w:numFmt w:val="bullet"/>
      <w:lvlText w:val="•"/>
      <w:lvlJc w:val="left"/>
      <w:pPr>
        <w:ind w:left="3740" w:hanging="794"/>
      </w:pPr>
      <w:rPr>
        <w:rFonts w:hint="default"/>
      </w:rPr>
    </w:lvl>
    <w:lvl w:ilvl="3">
      <w:start w:val="0"/>
      <w:numFmt w:val="bullet"/>
      <w:lvlText w:val="•"/>
      <w:lvlJc w:val="left"/>
      <w:pPr>
        <w:ind w:left="4761" w:hanging="794"/>
      </w:pPr>
      <w:rPr>
        <w:rFonts w:hint="default"/>
      </w:rPr>
    </w:lvl>
    <w:lvl w:ilvl="4">
      <w:start w:val="0"/>
      <w:numFmt w:val="bullet"/>
      <w:lvlText w:val="•"/>
      <w:lvlJc w:val="left"/>
      <w:pPr>
        <w:ind w:left="5781" w:hanging="794"/>
      </w:pPr>
      <w:rPr>
        <w:rFonts w:hint="default"/>
      </w:rPr>
    </w:lvl>
    <w:lvl w:ilvl="5">
      <w:start w:val="0"/>
      <w:numFmt w:val="bullet"/>
      <w:lvlText w:val="•"/>
      <w:lvlJc w:val="left"/>
      <w:pPr>
        <w:ind w:left="6802" w:hanging="794"/>
      </w:pPr>
      <w:rPr>
        <w:rFonts w:hint="default"/>
      </w:rPr>
    </w:lvl>
    <w:lvl w:ilvl="6">
      <w:start w:val="0"/>
      <w:numFmt w:val="bullet"/>
      <w:lvlText w:val="•"/>
      <w:lvlJc w:val="left"/>
      <w:pPr>
        <w:ind w:left="7823" w:hanging="794"/>
      </w:pPr>
      <w:rPr>
        <w:rFonts w:hint="default"/>
      </w:rPr>
    </w:lvl>
    <w:lvl w:ilvl="7">
      <w:start w:val="0"/>
      <w:numFmt w:val="bullet"/>
      <w:lvlText w:val="•"/>
      <w:lvlJc w:val="left"/>
      <w:pPr>
        <w:ind w:left="8843" w:hanging="794"/>
      </w:pPr>
      <w:rPr>
        <w:rFonts w:hint="default"/>
      </w:rPr>
    </w:lvl>
    <w:lvl w:ilvl="8">
      <w:start w:val="0"/>
      <w:numFmt w:val="bullet"/>
      <w:lvlText w:val="•"/>
      <w:lvlJc w:val="left"/>
      <w:pPr>
        <w:ind w:left="9864" w:hanging="794"/>
      </w:pPr>
      <w:rPr>
        <w:rFonts w:hint="default"/>
      </w:rPr>
    </w:lvl>
  </w:abstractNum>
  <w:abstractNum w:abstractNumId="5">
    <w:multiLevelType w:val="hybridMultilevel"/>
    <w:lvl w:ilvl="0">
      <w:start w:val="1"/>
      <w:numFmt w:val="lowerRoman"/>
      <w:lvlText w:val="%1."/>
      <w:lvlJc w:val="left"/>
      <w:pPr>
        <w:ind w:left="1927" w:hanging="681"/>
        <w:jc w:val="left"/>
      </w:pPr>
      <w:rPr>
        <w:rFonts w:hint="default" w:ascii="Calibri" w:hAnsi="Calibri" w:eastAsia="Calibri" w:cs="Calibri"/>
        <w:spacing w:val="-2"/>
        <w:w w:val="122"/>
        <w:sz w:val="20"/>
        <w:szCs w:val="20"/>
      </w:rPr>
    </w:lvl>
    <w:lvl w:ilvl="1">
      <w:start w:val="0"/>
      <w:numFmt w:val="bullet"/>
      <w:lvlText w:val="•"/>
      <w:lvlJc w:val="left"/>
      <w:pPr>
        <w:ind w:left="2918" w:hanging="681"/>
      </w:pPr>
      <w:rPr>
        <w:rFonts w:hint="default"/>
      </w:rPr>
    </w:lvl>
    <w:lvl w:ilvl="2">
      <w:start w:val="0"/>
      <w:numFmt w:val="bullet"/>
      <w:lvlText w:val="•"/>
      <w:lvlJc w:val="left"/>
      <w:pPr>
        <w:ind w:left="3917" w:hanging="681"/>
      </w:pPr>
      <w:rPr>
        <w:rFonts w:hint="default"/>
      </w:rPr>
    </w:lvl>
    <w:lvl w:ilvl="3">
      <w:start w:val="0"/>
      <w:numFmt w:val="bullet"/>
      <w:lvlText w:val="•"/>
      <w:lvlJc w:val="left"/>
      <w:pPr>
        <w:ind w:left="4915" w:hanging="681"/>
      </w:pPr>
      <w:rPr>
        <w:rFonts w:hint="default"/>
      </w:rPr>
    </w:lvl>
    <w:lvl w:ilvl="4">
      <w:start w:val="0"/>
      <w:numFmt w:val="bullet"/>
      <w:lvlText w:val="•"/>
      <w:lvlJc w:val="left"/>
      <w:pPr>
        <w:ind w:left="5914" w:hanging="681"/>
      </w:pPr>
      <w:rPr>
        <w:rFonts w:hint="default"/>
      </w:rPr>
    </w:lvl>
    <w:lvl w:ilvl="5">
      <w:start w:val="0"/>
      <w:numFmt w:val="bullet"/>
      <w:lvlText w:val="•"/>
      <w:lvlJc w:val="left"/>
      <w:pPr>
        <w:ind w:left="6912" w:hanging="681"/>
      </w:pPr>
      <w:rPr>
        <w:rFonts w:hint="default"/>
      </w:rPr>
    </w:lvl>
    <w:lvl w:ilvl="6">
      <w:start w:val="0"/>
      <w:numFmt w:val="bullet"/>
      <w:lvlText w:val="•"/>
      <w:lvlJc w:val="left"/>
      <w:pPr>
        <w:ind w:left="7911" w:hanging="681"/>
      </w:pPr>
      <w:rPr>
        <w:rFonts w:hint="default"/>
      </w:rPr>
    </w:lvl>
    <w:lvl w:ilvl="7">
      <w:start w:val="0"/>
      <w:numFmt w:val="bullet"/>
      <w:lvlText w:val="•"/>
      <w:lvlJc w:val="left"/>
      <w:pPr>
        <w:ind w:left="8909" w:hanging="681"/>
      </w:pPr>
      <w:rPr>
        <w:rFonts w:hint="default"/>
      </w:rPr>
    </w:lvl>
    <w:lvl w:ilvl="8">
      <w:start w:val="0"/>
      <w:numFmt w:val="bullet"/>
      <w:lvlText w:val="•"/>
      <w:lvlJc w:val="left"/>
      <w:pPr>
        <w:ind w:left="9908" w:hanging="681"/>
      </w:pPr>
      <w:rPr>
        <w:rFonts w:hint="default"/>
      </w:rPr>
    </w:lvl>
  </w:abstractNum>
  <w:abstractNum w:abstractNumId="4">
    <w:multiLevelType w:val="hybridMultilevel"/>
    <w:lvl w:ilvl="0">
      <w:start w:val="1"/>
      <w:numFmt w:val="lowerRoman"/>
      <w:lvlText w:val="%1."/>
      <w:lvlJc w:val="left"/>
      <w:pPr>
        <w:ind w:left="1927" w:hanging="681"/>
        <w:jc w:val="left"/>
      </w:pPr>
      <w:rPr>
        <w:rFonts w:hint="default" w:ascii="Calibri" w:hAnsi="Calibri" w:eastAsia="Calibri" w:cs="Calibri"/>
        <w:spacing w:val="-2"/>
        <w:w w:val="122"/>
        <w:sz w:val="20"/>
        <w:szCs w:val="20"/>
      </w:rPr>
    </w:lvl>
    <w:lvl w:ilvl="1">
      <w:start w:val="0"/>
      <w:numFmt w:val="bullet"/>
      <w:lvlText w:val="•"/>
      <w:lvlJc w:val="left"/>
      <w:pPr>
        <w:ind w:left="2918" w:hanging="681"/>
      </w:pPr>
      <w:rPr>
        <w:rFonts w:hint="default"/>
      </w:rPr>
    </w:lvl>
    <w:lvl w:ilvl="2">
      <w:start w:val="0"/>
      <w:numFmt w:val="bullet"/>
      <w:lvlText w:val="•"/>
      <w:lvlJc w:val="left"/>
      <w:pPr>
        <w:ind w:left="3917" w:hanging="681"/>
      </w:pPr>
      <w:rPr>
        <w:rFonts w:hint="default"/>
      </w:rPr>
    </w:lvl>
    <w:lvl w:ilvl="3">
      <w:start w:val="0"/>
      <w:numFmt w:val="bullet"/>
      <w:lvlText w:val="•"/>
      <w:lvlJc w:val="left"/>
      <w:pPr>
        <w:ind w:left="4915" w:hanging="681"/>
      </w:pPr>
      <w:rPr>
        <w:rFonts w:hint="default"/>
      </w:rPr>
    </w:lvl>
    <w:lvl w:ilvl="4">
      <w:start w:val="0"/>
      <w:numFmt w:val="bullet"/>
      <w:lvlText w:val="•"/>
      <w:lvlJc w:val="left"/>
      <w:pPr>
        <w:ind w:left="5914" w:hanging="681"/>
      </w:pPr>
      <w:rPr>
        <w:rFonts w:hint="default"/>
      </w:rPr>
    </w:lvl>
    <w:lvl w:ilvl="5">
      <w:start w:val="0"/>
      <w:numFmt w:val="bullet"/>
      <w:lvlText w:val="•"/>
      <w:lvlJc w:val="left"/>
      <w:pPr>
        <w:ind w:left="6912" w:hanging="681"/>
      </w:pPr>
      <w:rPr>
        <w:rFonts w:hint="default"/>
      </w:rPr>
    </w:lvl>
    <w:lvl w:ilvl="6">
      <w:start w:val="0"/>
      <w:numFmt w:val="bullet"/>
      <w:lvlText w:val="•"/>
      <w:lvlJc w:val="left"/>
      <w:pPr>
        <w:ind w:left="7911" w:hanging="681"/>
      </w:pPr>
      <w:rPr>
        <w:rFonts w:hint="default"/>
      </w:rPr>
    </w:lvl>
    <w:lvl w:ilvl="7">
      <w:start w:val="0"/>
      <w:numFmt w:val="bullet"/>
      <w:lvlText w:val="•"/>
      <w:lvlJc w:val="left"/>
      <w:pPr>
        <w:ind w:left="8909" w:hanging="681"/>
      </w:pPr>
      <w:rPr>
        <w:rFonts w:hint="default"/>
      </w:rPr>
    </w:lvl>
    <w:lvl w:ilvl="8">
      <w:start w:val="0"/>
      <w:numFmt w:val="bullet"/>
      <w:lvlText w:val="•"/>
      <w:lvlJc w:val="left"/>
      <w:pPr>
        <w:ind w:left="9908" w:hanging="681"/>
      </w:pPr>
      <w:rPr>
        <w:rFonts w:hint="default"/>
      </w:rPr>
    </w:lvl>
  </w:abstractNum>
  <w:abstractNum w:abstractNumId="3">
    <w:multiLevelType w:val="hybridMultilevel"/>
    <w:lvl w:ilvl="0">
      <w:start w:val="1"/>
      <w:numFmt w:val="lowerRoman"/>
      <w:lvlText w:val="%1."/>
      <w:lvlJc w:val="left"/>
      <w:pPr>
        <w:ind w:left="2664" w:hanging="681"/>
        <w:jc w:val="right"/>
      </w:pPr>
      <w:rPr>
        <w:rFonts w:hint="default" w:ascii="Calibri" w:hAnsi="Calibri" w:eastAsia="Calibri" w:cs="Calibri"/>
        <w:spacing w:val="-2"/>
        <w:w w:val="122"/>
        <w:sz w:val="20"/>
        <w:szCs w:val="20"/>
      </w:rPr>
    </w:lvl>
    <w:lvl w:ilvl="1">
      <w:start w:val="0"/>
      <w:numFmt w:val="bullet"/>
      <w:lvlText w:val="•"/>
      <w:lvlJc w:val="left"/>
      <w:pPr>
        <w:ind w:left="3584" w:hanging="681"/>
      </w:pPr>
      <w:rPr>
        <w:rFonts w:hint="default"/>
      </w:rPr>
    </w:lvl>
    <w:lvl w:ilvl="2">
      <w:start w:val="0"/>
      <w:numFmt w:val="bullet"/>
      <w:lvlText w:val="•"/>
      <w:lvlJc w:val="left"/>
      <w:pPr>
        <w:ind w:left="4509" w:hanging="681"/>
      </w:pPr>
      <w:rPr>
        <w:rFonts w:hint="default"/>
      </w:rPr>
    </w:lvl>
    <w:lvl w:ilvl="3">
      <w:start w:val="0"/>
      <w:numFmt w:val="bullet"/>
      <w:lvlText w:val="•"/>
      <w:lvlJc w:val="left"/>
      <w:pPr>
        <w:ind w:left="5433" w:hanging="681"/>
      </w:pPr>
      <w:rPr>
        <w:rFonts w:hint="default"/>
      </w:rPr>
    </w:lvl>
    <w:lvl w:ilvl="4">
      <w:start w:val="0"/>
      <w:numFmt w:val="bullet"/>
      <w:lvlText w:val="•"/>
      <w:lvlJc w:val="left"/>
      <w:pPr>
        <w:ind w:left="6358" w:hanging="681"/>
      </w:pPr>
      <w:rPr>
        <w:rFonts w:hint="default"/>
      </w:rPr>
    </w:lvl>
    <w:lvl w:ilvl="5">
      <w:start w:val="0"/>
      <w:numFmt w:val="bullet"/>
      <w:lvlText w:val="•"/>
      <w:lvlJc w:val="left"/>
      <w:pPr>
        <w:ind w:left="7282" w:hanging="681"/>
      </w:pPr>
      <w:rPr>
        <w:rFonts w:hint="default"/>
      </w:rPr>
    </w:lvl>
    <w:lvl w:ilvl="6">
      <w:start w:val="0"/>
      <w:numFmt w:val="bullet"/>
      <w:lvlText w:val="•"/>
      <w:lvlJc w:val="left"/>
      <w:pPr>
        <w:ind w:left="8207" w:hanging="681"/>
      </w:pPr>
      <w:rPr>
        <w:rFonts w:hint="default"/>
      </w:rPr>
    </w:lvl>
    <w:lvl w:ilvl="7">
      <w:start w:val="0"/>
      <w:numFmt w:val="bullet"/>
      <w:lvlText w:val="•"/>
      <w:lvlJc w:val="left"/>
      <w:pPr>
        <w:ind w:left="9131" w:hanging="681"/>
      </w:pPr>
      <w:rPr>
        <w:rFonts w:hint="default"/>
      </w:rPr>
    </w:lvl>
    <w:lvl w:ilvl="8">
      <w:start w:val="0"/>
      <w:numFmt w:val="bullet"/>
      <w:lvlText w:val="•"/>
      <w:lvlJc w:val="left"/>
      <w:pPr>
        <w:ind w:left="10056" w:hanging="681"/>
      </w:pPr>
      <w:rPr>
        <w:rFonts w:hint="default"/>
      </w:rPr>
    </w:lvl>
  </w:abstractNum>
  <w:abstractNum w:abstractNumId="2">
    <w:multiLevelType w:val="hybridMultilevel"/>
    <w:lvl w:ilvl="0">
      <w:start w:val="1"/>
      <w:numFmt w:val="lowerRoman"/>
      <w:lvlText w:val="%1."/>
      <w:lvlJc w:val="left"/>
      <w:pPr>
        <w:ind w:left="1927" w:hanging="681"/>
        <w:jc w:val="right"/>
      </w:pPr>
      <w:rPr>
        <w:rFonts w:hint="default" w:ascii="Calibri" w:hAnsi="Calibri" w:eastAsia="Calibri" w:cs="Calibri"/>
        <w:spacing w:val="-2"/>
        <w:w w:val="122"/>
        <w:sz w:val="20"/>
        <w:szCs w:val="20"/>
      </w:rPr>
    </w:lvl>
    <w:lvl w:ilvl="1">
      <w:start w:val="0"/>
      <w:numFmt w:val="bullet"/>
      <w:lvlText w:val="•"/>
      <w:lvlJc w:val="left"/>
      <w:pPr>
        <w:ind w:left="2918" w:hanging="681"/>
      </w:pPr>
      <w:rPr>
        <w:rFonts w:hint="default"/>
      </w:rPr>
    </w:lvl>
    <w:lvl w:ilvl="2">
      <w:start w:val="0"/>
      <w:numFmt w:val="bullet"/>
      <w:lvlText w:val="•"/>
      <w:lvlJc w:val="left"/>
      <w:pPr>
        <w:ind w:left="3917" w:hanging="681"/>
      </w:pPr>
      <w:rPr>
        <w:rFonts w:hint="default"/>
      </w:rPr>
    </w:lvl>
    <w:lvl w:ilvl="3">
      <w:start w:val="0"/>
      <w:numFmt w:val="bullet"/>
      <w:lvlText w:val="•"/>
      <w:lvlJc w:val="left"/>
      <w:pPr>
        <w:ind w:left="4915" w:hanging="681"/>
      </w:pPr>
      <w:rPr>
        <w:rFonts w:hint="default"/>
      </w:rPr>
    </w:lvl>
    <w:lvl w:ilvl="4">
      <w:start w:val="0"/>
      <w:numFmt w:val="bullet"/>
      <w:lvlText w:val="•"/>
      <w:lvlJc w:val="left"/>
      <w:pPr>
        <w:ind w:left="5914" w:hanging="681"/>
      </w:pPr>
      <w:rPr>
        <w:rFonts w:hint="default"/>
      </w:rPr>
    </w:lvl>
    <w:lvl w:ilvl="5">
      <w:start w:val="0"/>
      <w:numFmt w:val="bullet"/>
      <w:lvlText w:val="•"/>
      <w:lvlJc w:val="left"/>
      <w:pPr>
        <w:ind w:left="6912" w:hanging="681"/>
      </w:pPr>
      <w:rPr>
        <w:rFonts w:hint="default"/>
      </w:rPr>
    </w:lvl>
    <w:lvl w:ilvl="6">
      <w:start w:val="0"/>
      <w:numFmt w:val="bullet"/>
      <w:lvlText w:val="•"/>
      <w:lvlJc w:val="left"/>
      <w:pPr>
        <w:ind w:left="7911" w:hanging="681"/>
      </w:pPr>
      <w:rPr>
        <w:rFonts w:hint="default"/>
      </w:rPr>
    </w:lvl>
    <w:lvl w:ilvl="7">
      <w:start w:val="0"/>
      <w:numFmt w:val="bullet"/>
      <w:lvlText w:val="•"/>
      <w:lvlJc w:val="left"/>
      <w:pPr>
        <w:ind w:left="8909" w:hanging="681"/>
      </w:pPr>
      <w:rPr>
        <w:rFonts w:hint="default"/>
      </w:rPr>
    </w:lvl>
    <w:lvl w:ilvl="8">
      <w:start w:val="0"/>
      <w:numFmt w:val="bullet"/>
      <w:lvlText w:val="•"/>
      <w:lvlJc w:val="left"/>
      <w:pPr>
        <w:ind w:left="9908" w:hanging="681"/>
      </w:pPr>
      <w:rPr>
        <w:rFonts w:hint="default"/>
      </w:rPr>
    </w:lvl>
  </w:abstractNum>
  <w:abstractNum w:abstractNumId="1">
    <w:multiLevelType w:val="hybridMultilevel"/>
    <w:lvl w:ilvl="0">
      <w:start w:val="1"/>
      <w:numFmt w:val="lowerLetter"/>
      <w:lvlText w:val="%1)"/>
      <w:lvlJc w:val="left"/>
      <w:pPr>
        <w:ind w:left="2664" w:hanging="681"/>
        <w:jc w:val="left"/>
      </w:pPr>
      <w:rPr>
        <w:rFonts w:hint="default" w:ascii="Calibri" w:hAnsi="Calibri" w:eastAsia="Calibri" w:cs="Calibri"/>
        <w:spacing w:val="-13"/>
        <w:w w:val="113"/>
        <w:sz w:val="20"/>
        <w:szCs w:val="20"/>
      </w:rPr>
    </w:lvl>
    <w:lvl w:ilvl="1">
      <w:start w:val="1"/>
      <w:numFmt w:val="lowerRoman"/>
      <w:lvlText w:val="%2."/>
      <w:lvlJc w:val="left"/>
      <w:pPr>
        <w:ind w:left="3458" w:hanging="794"/>
        <w:jc w:val="left"/>
      </w:pPr>
      <w:rPr>
        <w:rFonts w:hint="default" w:ascii="Calibri" w:hAnsi="Calibri" w:eastAsia="Calibri" w:cs="Calibri"/>
        <w:spacing w:val="-2"/>
        <w:w w:val="122"/>
        <w:sz w:val="20"/>
        <w:szCs w:val="20"/>
      </w:rPr>
    </w:lvl>
    <w:lvl w:ilvl="2">
      <w:start w:val="0"/>
      <w:numFmt w:val="bullet"/>
      <w:lvlText w:val="•"/>
      <w:lvlJc w:val="left"/>
      <w:pPr>
        <w:ind w:left="4398" w:hanging="794"/>
      </w:pPr>
      <w:rPr>
        <w:rFonts w:hint="default"/>
      </w:rPr>
    </w:lvl>
    <w:lvl w:ilvl="3">
      <w:start w:val="0"/>
      <w:numFmt w:val="bullet"/>
      <w:lvlText w:val="•"/>
      <w:lvlJc w:val="left"/>
      <w:pPr>
        <w:ind w:left="5336" w:hanging="794"/>
      </w:pPr>
      <w:rPr>
        <w:rFonts w:hint="default"/>
      </w:rPr>
    </w:lvl>
    <w:lvl w:ilvl="4">
      <w:start w:val="0"/>
      <w:numFmt w:val="bullet"/>
      <w:lvlText w:val="•"/>
      <w:lvlJc w:val="left"/>
      <w:pPr>
        <w:ind w:left="6275" w:hanging="794"/>
      </w:pPr>
      <w:rPr>
        <w:rFonts w:hint="default"/>
      </w:rPr>
    </w:lvl>
    <w:lvl w:ilvl="5">
      <w:start w:val="0"/>
      <w:numFmt w:val="bullet"/>
      <w:lvlText w:val="•"/>
      <w:lvlJc w:val="left"/>
      <w:pPr>
        <w:ind w:left="7213" w:hanging="794"/>
      </w:pPr>
      <w:rPr>
        <w:rFonts w:hint="default"/>
      </w:rPr>
    </w:lvl>
    <w:lvl w:ilvl="6">
      <w:start w:val="0"/>
      <w:numFmt w:val="bullet"/>
      <w:lvlText w:val="•"/>
      <w:lvlJc w:val="left"/>
      <w:pPr>
        <w:ind w:left="8151" w:hanging="794"/>
      </w:pPr>
      <w:rPr>
        <w:rFonts w:hint="default"/>
      </w:rPr>
    </w:lvl>
    <w:lvl w:ilvl="7">
      <w:start w:val="0"/>
      <w:numFmt w:val="bullet"/>
      <w:lvlText w:val="•"/>
      <w:lvlJc w:val="left"/>
      <w:pPr>
        <w:ind w:left="9090" w:hanging="794"/>
      </w:pPr>
      <w:rPr>
        <w:rFonts w:hint="default"/>
      </w:rPr>
    </w:lvl>
    <w:lvl w:ilvl="8">
      <w:start w:val="0"/>
      <w:numFmt w:val="bullet"/>
      <w:lvlText w:val="•"/>
      <w:lvlJc w:val="left"/>
      <w:pPr>
        <w:ind w:left="10028" w:hanging="794"/>
      </w:pPr>
      <w:rPr>
        <w:rFonts w:hint="default"/>
      </w:rPr>
    </w:lvl>
  </w:abstractNum>
  <w:num w:numId="78">
    <w:abstractNumId w:val="77"/>
  </w:num>
  <w:num w:numId="49">
    <w:abstractNumId w:val="48"/>
  </w:num>
  <w:num w:numId="21">
    <w:abstractNumId w:val="20"/>
  </w:num>
  <w:num w:numId="1">
    <w:abstractNumId w:val="0"/>
  </w:num>
  <w:num w:numId="121">
    <w:abstractNumId w:val="120"/>
  </w:num>
  <w:num w:numId="120">
    <w:abstractNumId w:val="119"/>
  </w:num>
  <w:num w:numId="119">
    <w:abstractNumId w:val="118"/>
  </w:num>
  <w:num w:numId="118">
    <w:abstractNumId w:val="117"/>
  </w:num>
  <w:num w:numId="117">
    <w:abstractNumId w:val="116"/>
  </w:num>
  <w:num w:numId="116">
    <w:abstractNumId w:val="115"/>
  </w:num>
  <w:num w:numId="115">
    <w:abstractNumId w:val="114"/>
  </w:num>
  <w:num w:numId="114">
    <w:abstractNumId w:val="113"/>
  </w:num>
  <w:num w:numId="113">
    <w:abstractNumId w:val="112"/>
  </w:num>
  <w:num w:numId="112">
    <w:abstractNumId w:val="111"/>
  </w:num>
  <w:num w:numId="111">
    <w:abstractNumId w:val="110"/>
  </w:num>
  <w:num w:numId="110">
    <w:abstractNumId w:val="109"/>
  </w:num>
  <w:num w:numId="109">
    <w:abstractNumId w:val="108"/>
  </w:num>
  <w:num w:numId="108">
    <w:abstractNumId w:val="107"/>
  </w:num>
  <w:num w:numId="107">
    <w:abstractNumId w:val="106"/>
  </w:num>
  <w:num w:numId="106">
    <w:abstractNumId w:val="105"/>
  </w:num>
  <w:num w:numId="105">
    <w:abstractNumId w:val="104"/>
  </w:num>
  <w:num w:numId="104">
    <w:abstractNumId w:val="103"/>
  </w:num>
  <w:num w:numId="103">
    <w:abstractNumId w:val="102"/>
  </w:num>
  <w:num w:numId="102">
    <w:abstractNumId w:val="101"/>
  </w:num>
  <w:num w:numId="101">
    <w:abstractNumId w:val="100"/>
  </w:num>
  <w:num w:numId="100">
    <w:abstractNumId w:val="99"/>
  </w:num>
  <w:num w:numId="99">
    <w:abstractNumId w:val="98"/>
  </w:num>
  <w:num w:numId="98">
    <w:abstractNumId w:val="97"/>
  </w:num>
  <w:num w:numId="97">
    <w:abstractNumId w:val="96"/>
  </w:num>
  <w:num w:numId="96">
    <w:abstractNumId w:val="95"/>
  </w:num>
  <w:num w:numId="95">
    <w:abstractNumId w:val="94"/>
  </w:num>
  <w:num w:numId="94">
    <w:abstractNumId w:val="93"/>
  </w:num>
  <w:num w:numId="93">
    <w:abstractNumId w:val="92"/>
  </w:num>
  <w:num w:numId="92">
    <w:abstractNumId w:val="91"/>
  </w:num>
  <w:num w:numId="91">
    <w:abstractNumId w:val="90"/>
  </w:num>
  <w:num w:numId="90">
    <w:abstractNumId w:val="89"/>
  </w:num>
  <w:num w:numId="89">
    <w:abstractNumId w:val="88"/>
  </w:num>
  <w:num w:numId="88">
    <w:abstractNumId w:val="87"/>
  </w:num>
  <w:num w:numId="87">
    <w:abstractNumId w:val="86"/>
  </w:num>
  <w:num w:numId="86">
    <w:abstractNumId w:val="85"/>
  </w:num>
  <w:num w:numId="85">
    <w:abstractNumId w:val="84"/>
  </w:num>
  <w:num w:numId="84">
    <w:abstractNumId w:val="83"/>
  </w:num>
  <w:num w:numId="83">
    <w:abstractNumId w:val="82"/>
  </w:num>
  <w:num w:numId="82">
    <w:abstractNumId w:val="81"/>
  </w:num>
  <w:num w:numId="81">
    <w:abstractNumId w:val="80"/>
  </w:num>
  <w:num w:numId="80">
    <w:abstractNumId w:val="79"/>
  </w:num>
  <w:num w:numId="79">
    <w:abstractNumId w:val="78"/>
  </w:num>
  <w:num w:numId="77">
    <w:abstractNumId w:val="76"/>
  </w:num>
  <w:num w:numId="76">
    <w:abstractNumId w:val="75"/>
  </w:num>
  <w:num w:numId="75">
    <w:abstractNumId w:val="74"/>
  </w:num>
  <w:num w:numId="74">
    <w:abstractNumId w:val="73"/>
  </w:num>
  <w:num w:numId="73">
    <w:abstractNumId w:val="72"/>
  </w:num>
  <w:num w:numId="72">
    <w:abstractNumId w:val="71"/>
  </w:num>
  <w:num w:numId="71">
    <w:abstractNumId w:val="70"/>
  </w:num>
  <w:num w:numId="70">
    <w:abstractNumId w:val="69"/>
  </w:num>
  <w:num w:numId="69">
    <w:abstractNumId w:val="68"/>
  </w:num>
  <w:num w:numId="68">
    <w:abstractNumId w:val="67"/>
  </w:num>
  <w:num w:numId="67">
    <w:abstractNumId w:val="66"/>
  </w:num>
  <w:num w:numId="66">
    <w:abstractNumId w:val="65"/>
  </w:num>
  <w:num w:numId="65">
    <w:abstractNumId w:val="64"/>
  </w:num>
  <w:num w:numId="64">
    <w:abstractNumId w:val="63"/>
  </w:num>
  <w:num w:numId="63">
    <w:abstractNumId w:val="62"/>
  </w:num>
  <w:num w:numId="62">
    <w:abstractNumId w:val="61"/>
  </w:num>
  <w:num w:numId="61">
    <w:abstractNumId w:val="60"/>
  </w:num>
  <w:num w:numId="60">
    <w:abstractNumId w:val="59"/>
  </w:num>
  <w:num w:numId="59">
    <w:abstractNumId w:val="58"/>
  </w:num>
  <w:num w:numId="58">
    <w:abstractNumId w:val="57"/>
  </w:num>
  <w:num w:numId="57">
    <w:abstractNumId w:val="56"/>
  </w:num>
  <w:num w:numId="56">
    <w:abstractNumId w:val="55"/>
  </w:num>
  <w:num w:numId="55">
    <w:abstractNumId w:val="54"/>
  </w:num>
  <w:num w:numId="54">
    <w:abstractNumId w:val="53"/>
  </w:num>
  <w:num w:numId="53">
    <w:abstractNumId w:val="52"/>
  </w:num>
  <w:num w:numId="52">
    <w:abstractNumId w:val="51"/>
  </w:num>
  <w:num w:numId="51">
    <w:abstractNumId w:val="50"/>
  </w:num>
  <w:num w:numId="50">
    <w:abstractNumId w:val="49"/>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rPr>
  </w:style>
  <w:style w:styleId="TOC1" w:type="paragraph">
    <w:name w:val="TOC 1"/>
    <w:basedOn w:val="Normal"/>
    <w:uiPriority w:val="1"/>
    <w:qFormat/>
    <w:pPr>
      <w:spacing w:before="9"/>
      <w:ind w:left="3703"/>
    </w:pPr>
    <w:rPr>
      <w:rFonts w:ascii="Stone Sans II ITC Std Sm" w:hAnsi="Stone Sans II ITC Std Sm" w:eastAsia="Stone Sans II ITC Std Sm" w:cs="Stone Sans II ITC Std Sm"/>
      <w:sz w:val="20"/>
      <w:szCs w:val="20"/>
    </w:rPr>
  </w:style>
  <w:style w:styleId="TOC2" w:type="paragraph">
    <w:name w:val="TOC 2"/>
    <w:basedOn w:val="Normal"/>
    <w:uiPriority w:val="1"/>
    <w:qFormat/>
    <w:pPr>
      <w:spacing w:before="10"/>
      <w:ind w:left="4043"/>
    </w:pPr>
    <w:rPr>
      <w:rFonts w:ascii="Stone Sans II ITC Std Sm" w:hAnsi="Stone Sans II ITC Std Sm" w:eastAsia="Stone Sans II ITC Std Sm" w:cs="Stone Sans II ITC Std Sm"/>
      <w:sz w:val="20"/>
      <w:szCs w:val="20"/>
    </w:rPr>
  </w:style>
  <w:style w:styleId="BodyText" w:type="paragraph">
    <w:name w:val="Body Text"/>
    <w:basedOn w:val="Normal"/>
    <w:uiPriority w:val="1"/>
    <w:qFormat/>
    <w:pPr/>
    <w:rPr>
      <w:rFonts w:ascii="Calibri" w:hAnsi="Calibri" w:eastAsia="Calibri" w:cs="Calibri"/>
      <w:sz w:val="20"/>
      <w:szCs w:val="20"/>
    </w:rPr>
  </w:style>
  <w:style w:styleId="Heading1" w:type="paragraph">
    <w:name w:val="Heading 1"/>
    <w:basedOn w:val="Normal"/>
    <w:uiPriority w:val="1"/>
    <w:qFormat/>
    <w:pPr>
      <w:spacing w:before="182"/>
      <w:ind w:left="3703"/>
      <w:outlineLvl w:val="1"/>
    </w:pPr>
    <w:rPr>
      <w:rFonts w:ascii="Stone Sans II ITC Std X Bd" w:hAnsi="Stone Sans II ITC Std X Bd" w:eastAsia="Stone Sans II ITC Std X Bd" w:cs="Stone Sans II ITC Std X Bd"/>
      <w:b/>
      <w:bCs/>
      <w:sz w:val="65"/>
      <w:szCs w:val="65"/>
    </w:rPr>
  </w:style>
  <w:style w:styleId="Heading2" w:type="paragraph">
    <w:name w:val="Heading 2"/>
    <w:basedOn w:val="Normal"/>
    <w:uiPriority w:val="1"/>
    <w:qFormat/>
    <w:pPr>
      <w:spacing w:before="153"/>
      <w:ind w:left="1247"/>
      <w:outlineLvl w:val="2"/>
    </w:pPr>
    <w:rPr>
      <w:rFonts w:ascii="Stone Sans II ITC Std X Bd" w:hAnsi="Stone Sans II ITC Std X Bd" w:eastAsia="Stone Sans II ITC Std X Bd" w:cs="Stone Sans II ITC Std X Bd"/>
      <w:b/>
      <w:bCs/>
      <w:sz w:val="50"/>
      <w:szCs w:val="50"/>
    </w:rPr>
  </w:style>
  <w:style w:styleId="Heading3" w:type="paragraph">
    <w:name w:val="Heading 3"/>
    <w:basedOn w:val="Normal"/>
    <w:uiPriority w:val="1"/>
    <w:qFormat/>
    <w:pPr>
      <w:ind w:left="1247"/>
      <w:outlineLvl w:val="3"/>
    </w:pPr>
    <w:rPr>
      <w:rFonts w:ascii="Stone Sans II ITC Std X Bd" w:hAnsi="Stone Sans II ITC Std X Bd" w:eastAsia="Stone Sans II ITC Std X Bd" w:cs="Stone Sans II ITC Std X Bd"/>
      <w:b/>
      <w:bCs/>
      <w:sz w:val="48"/>
      <w:szCs w:val="48"/>
    </w:rPr>
  </w:style>
  <w:style w:styleId="Heading4" w:type="paragraph">
    <w:name w:val="Heading 4"/>
    <w:basedOn w:val="Normal"/>
    <w:uiPriority w:val="1"/>
    <w:qFormat/>
    <w:pPr>
      <w:ind w:left="1927" w:hanging="681"/>
      <w:outlineLvl w:val="4"/>
    </w:pPr>
    <w:rPr>
      <w:rFonts w:ascii="Stone Sans II ITC Std Bk" w:hAnsi="Stone Sans II ITC Std Bk" w:eastAsia="Stone Sans II ITC Std Bk" w:cs="Stone Sans II ITC Std Bk"/>
      <w:b/>
      <w:bCs/>
      <w:sz w:val="29"/>
      <w:szCs w:val="29"/>
    </w:rPr>
  </w:style>
  <w:style w:styleId="Heading5" w:type="paragraph">
    <w:name w:val="Heading 5"/>
    <w:basedOn w:val="Normal"/>
    <w:uiPriority w:val="1"/>
    <w:qFormat/>
    <w:pPr>
      <w:spacing w:before="106"/>
      <w:ind w:left="1247"/>
      <w:outlineLvl w:val="5"/>
    </w:pPr>
    <w:rPr>
      <w:rFonts w:ascii="Calibri" w:hAnsi="Calibri" w:eastAsia="Calibri" w:cs="Calibri"/>
      <w:sz w:val="26"/>
      <w:szCs w:val="26"/>
    </w:rPr>
  </w:style>
  <w:style w:styleId="Heading6" w:type="paragraph">
    <w:name w:val="Heading 6"/>
    <w:basedOn w:val="Normal"/>
    <w:uiPriority w:val="1"/>
    <w:qFormat/>
    <w:pPr>
      <w:spacing w:before="58"/>
      <w:outlineLvl w:val="6"/>
    </w:pPr>
    <w:rPr>
      <w:rFonts w:ascii="Stone Sans II ITC Std Bk" w:hAnsi="Stone Sans II ITC Std Bk" w:eastAsia="Stone Sans II ITC Std Bk" w:cs="Stone Sans II ITC Std Bk"/>
      <w:b/>
      <w:bCs/>
      <w:sz w:val="25"/>
      <w:szCs w:val="25"/>
    </w:rPr>
  </w:style>
  <w:style w:styleId="Heading7" w:type="paragraph">
    <w:name w:val="Heading 7"/>
    <w:basedOn w:val="Normal"/>
    <w:uiPriority w:val="1"/>
    <w:qFormat/>
    <w:pPr>
      <w:ind w:left="1323" w:right="1326"/>
      <w:jc w:val="center"/>
      <w:outlineLvl w:val="7"/>
    </w:pPr>
    <w:rPr>
      <w:rFonts w:ascii="Stone Sans II ITC Std Bk" w:hAnsi="Stone Sans II ITC Std Bk" w:eastAsia="Stone Sans II ITC Std Bk" w:cs="Stone Sans II ITC Std Bk"/>
      <w:b/>
      <w:bCs/>
      <w:sz w:val="23"/>
      <w:szCs w:val="23"/>
    </w:rPr>
  </w:style>
  <w:style w:styleId="Heading8" w:type="paragraph">
    <w:name w:val="Heading 8"/>
    <w:basedOn w:val="Normal"/>
    <w:uiPriority w:val="1"/>
    <w:qFormat/>
    <w:pPr>
      <w:spacing w:before="16"/>
      <w:ind w:left="20"/>
      <w:outlineLvl w:val="8"/>
    </w:pPr>
    <w:rPr>
      <w:rFonts w:ascii="Calibri" w:hAnsi="Calibri" w:eastAsia="Calibri" w:cs="Calibri"/>
      <w:sz w:val="23"/>
      <w:szCs w:val="23"/>
    </w:rPr>
  </w:style>
  <w:style w:styleId="Heading9" w:type="paragraph">
    <w:name w:val="Heading 9"/>
    <w:basedOn w:val="Normal"/>
    <w:uiPriority w:val="1"/>
    <w:qFormat/>
    <w:pPr>
      <w:spacing w:line="261" w:lineRule="exact"/>
      <w:ind w:left="1927" w:hanging="681"/>
      <w:outlineLvl w:val="9"/>
    </w:pPr>
    <w:rPr>
      <w:rFonts w:ascii="Stone Sans II ITC Std Bk" w:hAnsi="Stone Sans II ITC Std Bk" w:eastAsia="Stone Sans II ITC Std Bk" w:cs="Stone Sans II ITC Std Bk"/>
      <w:b/>
      <w:bCs/>
      <w:sz w:val="20"/>
      <w:szCs w:val="20"/>
    </w:rPr>
  </w:style>
  <w:style w:styleId="ListParagraph" w:type="paragraph">
    <w:name w:val="List Paragraph"/>
    <w:basedOn w:val="Normal"/>
    <w:uiPriority w:val="1"/>
    <w:qFormat/>
    <w:pPr>
      <w:ind w:left="1927"/>
    </w:pPr>
    <w:rPr>
      <w:rFonts w:ascii="Calibri" w:hAnsi="Calibri" w:eastAsia="Calibri" w:cs="Calibri"/>
    </w:rPr>
  </w:style>
  <w:style w:styleId="TableParagraph" w:type="paragraph">
    <w:name w:val="Table Paragraph"/>
    <w:basedOn w:val="Normal"/>
    <w:uiPriority w:val="1"/>
    <w:qFormat/>
    <w:pPr>
      <w:ind w:left="80"/>
    </w:pPr>
    <w:rPr>
      <w:rFonts w:ascii="Calibri" w:hAnsi="Calibri" w:eastAsia="Calibri" w:cs="Calibri"/>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header" Target="header1.xml"/><Relationship Id="rId10" Type="http://schemas.openxmlformats.org/officeDocument/2006/relationships/image" Target="media/image5.png"/><Relationship Id="rId11" Type="http://schemas.openxmlformats.org/officeDocument/2006/relationships/image" Target="media/image6.jpeg"/><Relationship Id="rId12" Type="http://schemas.openxmlformats.org/officeDocument/2006/relationships/image" Target="media/image7.pn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header" Target="header2.xml"/><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png"/><Relationship Id="rId25" Type="http://schemas.openxmlformats.org/officeDocument/2006/relationships/image" Target="media/image19.png"/><Relationship Id="rId26" Type="http://schemas.openxmlformats.org/officeDocument/2006/relationships/image" Target="media/image20.png"/><Relationship Id="rId27" Type="http://schemas.openxmlformats.org/officeDocument/2006/relationships/image" Target="media/image21.png"/><Relationship Id="rId28" Type="http://schemas.openxmlformats.org/officeDocument/2006/relationships/header" Target="header3.xml"/><Relationship Id="rId29" Type="http://schemas.openxmlformats.org/officeDocument/2006/relationships/hyperlink" Target="mailto:roberta.rominger@urc.org.uk" TargetMode="External"/><Relationship Id="rId30" Type="http://schemas.openxmlformats.org/officeDocument/2006/relationships/header" Target="header4.xml"/><Relationship Id="rId31" Type="http://schemas.openxmlformats.org/officeDocument/2006/relationships/footer" Target="footer1.xml"/><Relationship Id="rId32" Type="http://schemas.openxmlformats.org/officeDocument/2006/relationships/footer" Target="footer2.xml"/><Relationship Id="rId33" Type="http://schemas.openxmlformats.org/officeDocument/2006/relationships/image" Target="media/image22.png"/><Relationship Id="rId34" Type="http://schemas.openxmlformats.org/officeDocument/2006/relationships/header" Target="header5.xml"/><Relationship Id="rId35" Type="http://schemas.openxmlformats.org/officeDocument/2006/relationships/image" Target="media/image23.png"/><Relationship Id="rId36" Type="http://schemas.openxmlformats.org/officeDocument/2006/relationships/header" Target="header6.xml"/><Relationship Id="rId37" Type="http://schemas.openxmlformats.org/officeDocument/2006/relationships/footer" Target="footer3.xml"/><Relationship Id="rId38" Type="http://schemas.openxmlformats.org/officeDocument/2006/relationships/footer" Target="footer4.xml"/><Relationship Id="rId39" Type="http://schemas.openxmlformats.org/officeDocument/2006/relationships/header" Target="header7.xml"/><Relationship Id="rId40" Type="http://schemas.openxmlformats.org/officeDocument/2006/relationships/header" Target="header8.xml"/><Relationship Id="rId41" Type="http://schemas.openxmlformats.org/officeDocument/2006/relationships/footer" Target="footer5.xml"/><Relationship Id="rId42" Type="http://schemas.openxmlformats.org/officeDocument/2006/relationships/footer" Target="footer6.xml"/><Relationship Id="rId43" Type="http://schemas.openxmlformats.org/officeDocument/2006/relationships/header" Target="header9.xml"/><Relationship Id="rId44" Type="http://schemas.openxmlformats.org/officeDocument/2006/relationships/header" Target="header10.xml"/><Relationship Id="rId45" Type="http://schemas.openxmlformats.org/officeDocument/2006/relationships/footer" Target="footer7.xml"/><Relationship Id="rId46" Type="http://schemas.openxmlformats.org/officeDocument/2006/relationships/footer" Target="footer8.xml"/><Relationship Id="rId47" Type="http://schemas.openxmlformats.org/officeDocument/2006/relationships/header" Target="header11.xml"/><Relationship Id="rId48" Type="http://schemas.openxmlformats.org/officeDocument/2006/relationships/header" Target="header12.xml"/><Relationship Id="rId49" Type="http://schemas.openxmlformats.org/officeDocument/2006/relationships/footer" Target="footer9.xml"/><Relationship Id="rId50" Type="http://schemas.openxmlformats.org/officeDocument/2006/relationships/footer" Target="footer10.xml"/><Relationship Id="rId51" Type="http://schemas.openxmlformats.org/officeDocument/2006/relationships/header" Target="header13.xml"/><Relationship Id="rId52" Type="http://schemas.openxmlformats.org/officeDocument/2006/relationships/header" Target="header14.xml"/><Relationship Id="rId53" Type="http://schemas.openxmlformats.org/officeDocument/2006/relationships/footer" Target="footer11.xml"/><Relationship Id="rId54" Type="http://schemas.openxmlformats.org/officeDocument/2006/relationships/footer" Target="footer12.xml"/><Relationship Id="rId55" Type="http://schemas.openxmlformats.org/officeDocument/2006/relationships/header" Target="header15.xml"/><Relationship Id="rId56" Type="http://schemas.openxmlformats.org/officeDocument/2006/relationships/header" Target="header16.xml"/><Relationship Id="rId57" Type="http://schemas.openxmlformats.org/officeDocument/2006/relationships/footer" Target="footer13.xml"/><Relationship Id="rId58" Type="http://schemas.openxmlformats.org/officeDocument/2006/relationships/footer" Target="footer14.xml"/><Relationship Id="rId59" Type="http://schemas.openxmlformats.org/officeDocument/2006/relationships/header" Target="header17.xml"/><Relationship Id="rId60" Type="http://schemas.openxmlformats.org/officeDocument/2006/relationships/header" Target="header18.xml"/><Relationship Id="rId61" Type="http://schemas.openxmlformats.org/officeDocument/2006/relationships/footer" Target="footer15.xml"/><Relationship Id="rId62" Type="http://schemas.openxmlformats.org/officeDocument/2006/relationships/footer" Target="footer16.xml"/><Relationship Id="rId63" Type="http://schemas.openxmlformats.org/officeDocument/2006/relationships/header" Target="header19.xml"/><Relationship Id="rId64" Type="http://schemas.openxmlformats.org/officeDocument/2006/relationships/header" Target="header20.xml"/><Relationship Id="rId65" Type="http://schemas.openxmlformats.org/officeDocument/2006/relationships/footer" Target="footer17.xml"/><Relationship Id="rId66" Type="http://schemas.openxmlformats.org/officeDocument/2006/relationships/footer" Target="footer18.xml"/><Relationship Id="rId67" Type="http://schemas.openxmlformats.org/officeDocument/2006/relationships/header" Target="header21.xml"/><Relationship Id="rId68" Type="http://schemas.openxmlformats.org/officeDocument/2006/relationships/header" Target="header22.xml"/><Relationship Id="rId69" Type="http://schemas.openxmlformats.org/officeDocument/2006/relationships/footer" Target="footer19.xml"/><Relationship Id="rId70" Type="http://schemas.openxmlformats.org/officeDocument/2006/relationships/footer" Target="footer20.xml"/><Relationship Id="rId71" Type="http://schemas.openxmlformats.org/officeDocument/2006/relationships/header" Target="header23.xml"/><Relationship Id="rId72" Type="http://schemas.openxmlformats.org/officeDocument/2006/relationships/header" Target="header24.xml"/><Relationship Id="rId73" Type="http://schemas.openxmlformats.org/officeDocument/2006/relationships/footer" Target="footer21.xml"/><Relationship Id="rId74" Type="http://schemas.openxmlformats.org/officeDocument/2006/relationships/footer" Target="footer22.xml"/><Relationship Id="rId75" Type="http://schemas.openxmlformats.org/officeDocument/2006/relationships/header" Target="header25.xml"/><Relationship Id="rId76" Type="http://schemas.openxmlformats.org/officeDocument/2006/relationships/header" Target="header26.xml"/><Relationship Id="rId77" Type="http://schemas.openxmlformats.org/officeDocument/2006/relationships/footer" Target="footer23.xml"/><Relationship Id="rId78" Type="http://schemas.openxmlformats.org/officeDocument/2006/relationships/footer" Target="footer24.xml"/><Relationship Id="rId79" Type="http://schemas.openxmlformats.org/officeDocument/2006/relationships/header" Target="header27.xml"/><Relationship Id="rId80" Type="http://schemas.openxmlformats.org/officeDocument/2006/relationships/header" Target="header28.xml"/><Relationship Id="rId81" Type="http://schemas.openxmlformats.org/officeDocument/2006/relationships/footer" Target="footer25.xml"/><Relationship Id="rId82" Type="http://schemas.openxmlformats.org/officeDocument/2006/relationships/footer" Target="footer26.xml"/><Relationship Id="rId83" Type="http://schemas.openxmlformats.org/officeDocument/2006/relationships/header" Target="header29.xml"/><Relationship Id="rId84" Type="http://schemas.openxmlformats.org/officeDocument/2006/relationships/header" Target="header30.xml"/><Relationship Id="rId85" Type="http://schemas.openxmlformats.org/officeDocument/2006/relationships/footer" Target="footer27.xml"/><Relationship Id="rId86" Type="http://schemas.openxmlformats.org/officeDocument/2006/relationships/footer" Target="footer28.xml"/><Relationship Id="rId87" Type="http://schemas.openxmlformats.org/officeDocument/2006/relationships/header" Target="header31.xml"/><Relationship Id="rId88" Type="http://schemas.openxmlformats.org/officeDocument/2006/relationships/header" Target="header32.xml"/><Relationship Id="rId89" Type="http://schemas.openxmlformats.org/officeDocument/2006/relationships/footer" Target="footer29.xml"/><Relationship Id="rId90" Type="http://schemas.openxmlformats.org/officeDocument/2006/relationships/image" Target="media/image24.png"/><Relationship Id="rId91" Type="http://schemas.openxmlformats.org/officeDocument/2006/relationships/header" Target="header33.xml"/><Relationship Id="rId92" Type="http://schemas.openxmlformats.org/officeDocument/2006/relationships/footer" Target="footer30.xml"/><Relationship Id="rId93" Type="http://schemas.openxmlformats.org/officeDocument/2006/relationships/header" Target="header34.xml"/><Relationship Id="rId94" Type="http://schemas.openxmlformats.org/officeDocument/2006/relationships/footer" Target="footer31.xml"/><Relationship Id="rId95" Type="http://schemas.openxmlformats.org/officeDocument/2006/relationships/header" Target="header35.xml"/><Relationship Id="rId96" Type="http://schemas.openxmlformats.org/officeDocument/2006/relationships/footer" Target="footer32.xml"/><Relationship Id="rId97" Type="http://schemas.openxmlformats.org/officeDocument/2006/relationships/header" Target="header36.xml"/><Relationship Id="rId98" Type="http://schemas.openxmlformats.org/officeDocument/2006/relationships/footer" Target="footer33.xml"/><Relationship Id="rId99" Type="http://schemas.openxmlformats.org/officeDocument/2006/relationships/header" Target="header37.xml"/><Relationship Id="rId100" Type="http://schemas.openxmlformats.org/officeDocument/2006/relationships/footer" Target="footer34.xml"/><Relationship Id="rId101" Type="http://schemas.openxmlformats.org/officeDocument/2006/relationships/footer" Target="footer35.xml"/><Relationship Id="rId102" Type="http://schemas.openxmlformats.org/officeDocument/2006/relationships/header" Target="header38.xml"/><Relationship Id="rId103" Type="http://schemas.openxmlformats.org/officeDocument/2006/relationships/header" Target="header39.xml"/><Relationship Id="rId104" Type="http://schemas.openxmlformats.org/officeDocument/2006/relationships/footer" Target="footer36.xml"/><Relationship Id="rId105" Type="http://schemas.openxmlformats.org/officeDocument/2006/relationships/footer" Target="footer37.xml"/><Relationship Id="rId106" Type="http://schemas.openxmlformats.org/officeDocument/2006/relationships/header" Target="header40.xml"/><Relationship Id="rId107" Type="http://schemas.openxmlformats.org/officeDocument/2006/relationships/header" Target="header41.xml"/><Relationship Id="rId108" Type="http://schemas.openxmlformats.org/officeDocument/2006/relationships/footer" Target="footer38.xml"/><Relationship Id="rId109" Type="http://schemas.openxmlformats.org/officeDocument/2006/relationships/header" Target="header42.xml"/><Relationship Id="rId110" Type="http://schemas.openxmlformats.org/officeDocument/2006/relationships/footer" Target="footer39.xml"/><Relationship Id="rId111" Type="http://schemas.openxmlformats.org/officeDocument/2006/relationships/hyperlink" Target="mailto:augur@dunelm.org.uk" TargetMode="External"/><Relationship Id="rId112" Type="http://schemas.openxmlformats.org/officeDocument/2006/relationships/header" Target="header43.xml"/><Relationship Id="rId113" Type="http://schemas.openxmlformats.org/officeDocument/2006/relationships/footer" Target="footer40.xml"/><Relationship Id="rId114" Type="http://schemas.openxmlformats.org/officeDocument/2006/relationships/footer" Target="footer41.xml"/><Relationship Id="rId115" Type="http://schemas.openxmlformats.org/officeDocument/2006/relationships/header" Target="header44.xml"/><Relationship Id="rId116" Type="http://schemas.openxmlformats.org/officeDocument/2006/relationships/header" Target="header45.xml"/><Relationship Id="rId117" Type="http://schemas.openxmlformats.org/officeDocument/2006/relationships/footer" Target="footer42.xml"/><Relationship Id="rId118" Type="http://schemas.openxmlformats.org/officeDocument/2006/relationships/footer" Target="footer43.xml"/><Relationship Id="rId119" Type="http://schemas.openxmlformats.org/officeDocument/2006/relationships/header" Target="header46.xml"/><Relationship Id="rId120" Type="http://schemas.openxmlformats.org/officeDocument/2006/relationships/header" Target="header47.xml"/><Relationship Id="rId121" Type="http://schemas.openxmlformats.org/officeDocument/2006/relationships/footer" Target="footer44.xml"/><Relationship Id="rId122" Type="http://schemas.openxmlformats.org/officeDocument/2006/relationships/header" Target="header48.xml"/><Relationship Id="rId123" Type="http://schemas.openxmlformats.org/officeDocument/2006/relationships/footer" Target="footer45.xml"/><Relationship Id="rId124" Type="http://schemas.openxmlformats.org/officeDocument/2006/relationships/header" Target="header49.xml"/><Relationship Id="rId125" Type="http://schemas.openxmlformats.org/officeDocument/2006/relationships/footer" Target="footer46.xml"/><Relationship Id="rId126" Type="http://schemas.openxmlformats.org/officeDocument/2006/relationships/hyperlink" Target="mailto:urcassemblyclerk@gmail.com" TargetMode="External"/><Relationship Id="rId127" Type="http://schemas.openxmlformats.org/officeDocument/2006/relationships/header" Target="header50.xml"/><Relationship Id="rId128" Type="http://schemas.openxmlformats.org/officeDocument/2006/relationships/footer" Target="footer47.xml"/><Relationship Id="rId129" Type="http://schemas.openxmlformats.org/officeDocument/2006/relationships/footer" Target="footer48.xml"/><Relationship Id="rId130" Type="http://schemas.openxmlformats.org/officeDocument/2006/relationships/header" Target="header51.xml"/><Relationship Id="rId131" Type="http://schemas.openxmlformats.org/officeDocument/2006/relationships/header" Target="header52.xml"/><Relationship Id="rId132" Type="http://schemas.openxmlformats.org/officeDocument/2006/relationships/footer" Target="footer49.xml"/><Relationship Id="rId133" Type="http://schemas.openxmlformats.org/officeDocument/2006/relationships/footer" Target="footer50.xml"/><Relationship Id="rId134" Type="http://schemas.openxmlformats.org/officeDocument/2006/relationships/header" Target="header53.xml"/><Relationship Id="rId135" Type="http://schemas.openxmlformats.org/officeDocument/2006/relationships/header" Target="header54.xml"/><Relationship Id="rId136" Type="http://schemas.openxmlformats.org/officeDocument/2006/relationships/footer" Target="footer51.xml"/><Relationship Id="rId137" Type="http://schemas.openxmlformats.org/officeDocument/2006/relationships/footer" Target="footer52.xml"/><Relationship Id="rId138" Type="http://schemas.openxmlformats.org/officeDocument/2006/relationships/header" Target="header55.xml"/><Relationship Id="rId139" Type="http://schemas.openxmlformats.org/officeDocument/2006/relationships/header" Target="header56.xml"/><Relationship Id="rId140" Type="http://schemas.openxmlformats.org/officeDocument/2006/relationships/footer" Target="footer53.xml"/><Relationship Id="rId141" Type="http://schemas.openxmlformats.org/officeDocument/2006/relationships/header" Target="header57.xml"/><Relationship Id="rId142" Type="http://schemas.openxmlformats.org/officeDocument/2006/relationships/footer" Target="footer54.xml"/><Relationship Id="rId143" Type="http://schemas.openxmlformats.org/officeDocument/2006/relationships/footer" Target="footer55.xml"/><Relationship Id="rId144" Type="http://schemas.openxmlformats.org/officeDocument/2006/relationships/header" Target="header58.xml"/><Relationship Id="rId145" Type="http://schemas.openxmlformats.org/officeDocument/2006/relationships/header" Target="header59.xml"/><Relationship Id="rId146" Type="http://schemas.openxmlformats.org/officeDocument/2006/relationships/footer" Target="footer56.xml"/><Relationship Id="rId147" Type="http://schemas.openxmlformats.org/officeDocument/2006/relationships/footer" Target="footer57.xml"/><Relationship Id="rId148" Type="http://schemas.openxmlformats.org/officeDocument/2006/relationships/header" Target="header60.xml"/><Relationship Id="rId149" Type="http://schemas.openxmlformats.org/officeDocument/2006/relationships/header" Target="header61.xml"/><Relationship Id="rId150" Type="http://schemas.openxmlformats.org/officeDocument/2006/relationships/footer" Target="footer58.xml"/><Relationship Id="rId151" Type="http://schemas.openxmlformats.org/officeDocument/2006/relationships/footer" Target="footer59.xml"/><Relationship Id="rId152" Type="http://schemas.openxmlformats.org/officeDocument/2006/relationships/header" Target="header62.xml"/><Relationship Id="rId153" Type="http://schemas.openxmlformats.org/officeDocument/2006/relationships/header" Target="header63.xml"/><Relationship Id="rId154" Type="http://schemas.openxmlformats.org/officeDocument/2006/relationships/footer" Target="footer60.xml"/><Relationship Id="rId155" Type="http://schemas.openxmlformats.org/officeDocument/2006/relationships/footer" Target="footer61.xml"/><Relationship Id="rId156" Type="http://schemas.openxmlformats.org/officeDocument/2006/relationships/header" Target="header64.xml"/><Relationship Id="rId157" Type="http://schemas.openxmlformats.org/officeDocument/2006/relationships/header" Target="header65.xml"/><Relationship Id="rId158" Type="http://schemas.openxmlformats.org/officeDocument/2006/relationships/footer" Target="footer62.xml"/><Relationship Id="rId159" Type="http://schemas.openxmlformats.org/officeDocument/2006/relationships/footer" Target="footer63.xml"/><Relationship Id="rId160" Type="http://schemas.openxmlformats.org/officeDocument/2006/relationships/header" Target="header66.xml"/><Relationship Id="rId161" Type="http://schemas.openxmlformats.org/officeDocument/2006/relationships/header" Target="header67.xml"/><Relationship Id="rId162" Type="http://schemas.openxmlformats.org/officeDocument/2006/relationships/footer" Target="footer64.xml"/><Relationship Id="rId163" Type="http://schemas.openxmlformats.org/officeDocument/2006/relationships/header" Target="header68.xml"/><Relationship Id="rId164" Type="http://schemas.openxmlformats.org/officeDocument/2006/relationships/footer" Target="footer65.xml"/><Relationship Id="rId165" Type="http://schemas.openxmlformats.org/officeDocument/2006/relationships/header" Target="header69.xml"/><Relationship Id="rId166" Type="http://schemas.openxmlformats.org/officeDocument/2006/relationships/footer" Target="footer66.xml"/><Relationship Id="rId167" Type="http://schemas.openxmlformats.org/officeDocument/2006/relationships/footer" Target="footer67.xml"/><Relationship Id="rId168" Type="http://schemas.openxmlformats.org/officeDocument/2006/relationships/header" Target="header70.xml"/><Relationship Id="rId169" Type="http://schemas.openxmlformats.org/officeDocument/2006/relationships/header" Target="header71.xml"/><Relationship Id="rId170" Type="http://schemas.openxmlformats.org/officeDocument/2006/relationships/footer" Target="footer68.xml"/><Relationship Id="rId171" Type="http://schemas.openxmlformats.org/officeDocument/2006/relationships/footer" Target="footer69.xml"/><Relationship Id="rId172" Type="http://schemas.openxmlformats.org/officeDocument/2006/relationships/header" Target="header72.xml"/><Relationship Id="rId173" Type="http://schemas.openxmlformats.org/officeDocument/2006/relationships/header" Target="header73.xml"/><Relationship Id="rId174" Type="http://schemas.openxmlformats.org/officeDocument/2006/relationships/footer" Target="footer70.xml"/><Relationship Id="rId175" Type="http://schemas.openxmlformats.org/officeDocument/2006/relationships/hyperlink" Target="http://www.faithandleadership.com/content/andrea-palpant-dilley-change-wisely-dude" TargetMode="External"/><Relationship Id="rId176" Type="http://schemas.openxmlformats.org/officeDocument/2006/relationships/header" Target="header74.xml"/><Relationship Id="rId177" Type="http://schemas.openxmlformats.org/officeDocument/2006/relationships/footer" Target="footer71.xml"/><Relationship Id="rId178" Type="http://schemas.openxmlformats.org/officeDocument/2006/relationships/hyperlink" Target="mailto:moderator@urcscotland.org.uk" TargetMode="External"/><Relationship Id="rId179" Type="http://schemas.openxmlformats.org/officeDocument/2006/relationships/header" Target="header75.xml"/><Relationship Id="rId180" Type="http://schemas.openxmlformats.org/officeDocument/2006/relationships/footer" Target="footer72.xml"/><Relationship Id="rId181" Type="http://schemas.openxmlformats.org/officeDocument/2006/relationships/hyperlink" Target="mailto:synodclerk@urcsouthwest.org.uk" TargetMode="External"/><Relationship Id="rId182" Type="http://schemas.openxmlformats.org/officeDocument/2006/relationships/header" Target="header76.xml"/><Relationship Id="rId183" Type="http://schemas.openxmlformats.org/officeDocument/2006/relationships/footer" Target="footer73.xml"/><Relationship Id="rId184" Type="http://schemas.openxmlformats.org/officeDocument/2006/relationships/hyperlink" Target="mailto:moderator@urcwestmidlands.org.uk" TargetMode="External"/><Relationship Id="rId185" Type="http://schemas.openxmlformats.org/officeDocument/2006/relationships/header" Target="header77.xml"/><Relationship Id="rId186" Type="http://schemas.openxmlformats.org/officeDocument/2006/relationships/footer" Target="footer74.xml"/><Relationship Id="rId187" Type="http://schemas.openxmlformats.org/officeDocument/2006/relationships/header" Target="header78.xml"/><Relationship Id="rId188" Type="http://schemas.openxmlformats.org/officeDocument/2006/relationships/footer" Target="footer75.xml"/><Relationship Id="rId189" Type="http://schemas.openxmlformats.org/officeDocument/2006/relationships/hyperlink" Target="http://www.theguardian.com/money/blog/2013/jan/04/early-retirement-over" TargetMode="External"/><Relationship Id="rId190" Type="http://schemas.openxmlformats.org/officeDocument/2006/relationships/header" Target="header79.xml"/><Relationship Id="rId191" Type="http://schemas.openxmlformats.org/officeDocument/2006/relationships/footer" Target="footer76.xml"/><Relationship Id="rId192" Type="http://schemas.openxmlformats.org/officeDocument/2006/relationships/image" Target="media/image25.png"/><Relationship Id="rId193" Type="http://schemas.openxmlformats.org/officeDocument/2006/relationships/image" Target="media/image26.png"/><Relationship Id="rId194" Type="http://schemas.openxmlformats.org/officeDocument/2006/relationships/image" Target="media/image27.png"/><Relationship Id="rId195" Type="http://schemas.openxmlformats.org/officeDocument/2006/relationships/header" Target="header80.xml"/><Relationship Id="rId196" Type="http://schemas.openxmlformats.org/officeDocument/2006/relationships/footer" Target="footer77.xml"/><Relationship Id="rId197" Type="http://schemas.openxmlformats.org/officeDocument/2006/relationships/hyperlink" Target="mailto:drobinson3@virginmedia.com" TargetMode="External"/><Relationship Id="rId198" Type="http://schemas.openxmlformats.org/officeDocument/2006/relationships/image" Target="media/image28.png"/><Relationship Id="rId199" Type="http://schemas.openxmlformats.org/officeDocument/2006/relationships/header" Target="header81.xml"/><Relationship Id="rId200" Type="http://schemas.openxmlformats.org/officeDocument/2006/relationships/footer" Target="footer78.xml"/><Relationship Id="rId201" Type="http://schemas.openxmlformats.org/officeDocument/2006/relationships/hyperlink" Target="mailto:Karen.morrison@urc.org.uk" TargetMode="External"/><Relationship Id="rId202" Type="http://schemas.openxmlformats.org/officeDocument/2006/relationships/header" Target="header82.xml"/><Relationship Id="rId203" Type="http://schemas.openxmlformats.org/officeDocument/2006/relationships/footer" Target="footer79.xml"/><Relationship Id="rId204" Type="http://schemas.openxmlformats.org/officeDocument/2006/relationships/footer" Target="footer80.xml"/><Relationship Id="rId205" Type="http://schemas.openxmlformats.org/officeDocument/2006/relationships/header" Target="header83.xml"/><Relationship Id="rId206" Type="http://schemas.openxmlformats.org/officeDocument/2006/relationships/hyperlink" Target="http://www.youngminds.org.uk/about/whats_the_problem)" TargetMode="External"/><Relationship Id="rId207" Type="http://schemas.openxmlformats.org/officeDocument/2006/relationships/header" Target="header84.xml"/><Relationship Id="rId208" Type="http://schemas.openxmlformats.org/officeDocument/2006/relationships/footer" Target="footer81.xml"/><Relationship Id="rId209" Type="http://schemas.openxmlformats.org/officeDocument/2006/relationships/footer" Target="footer82.xml"/><Relationship Id="rId210" Type="http://schemas.openxmlformats.org/officeDocument/2006/relationships/header" Target="header85.xml"/><Relationship Id="rId211" Type="http://schemas.openxmlformats.org/officeDocument/2006/relationships/header" Target="header86.xml"/><Relationship Id="rId212" Type="http://schemas.openxmlformats.org/officeDocument/2006/relationships/footer" Target="footer83.xml"/><Relationship Id="rId213" Type="http://schemas.openxmlformats.org/officeDocument/2006/relationships/hyperlink" Target="mailto:jhumphreys@urcscotland.org.uk" TargetMode="External"/><Relationship Id="rId214" Type="http://schemas.openxmlformats.org/officeDocument/2006/relationships/header" Target="header87.xml"/><Relationship Id="rId215" Type="http://schemas.openxmlformats.org/officeDocument/2006/relationships/footer" Target="footer84.xml"/><Relationship Id="rId216" Type="http://schemas.openxmlformats.org/officeDocument/2006/relationships/footer" Target="footer85.xml"/><Relationship Id="rId217" Type="http://schemas.openxmlformats.org/officeDocument/2006/relationships/header" Target="header88.xml"/><Relationship Id="rId218" Type="http://schemas.openxmlformats.org/officeDocument/2006/relationships/header" Target="header89.xml"/><Relationship Id="rId219" Type="http://schemas.openxmlformats.org/officeDocument/2006/relationships/footer" Target="footer86.xml"/><Relationship Id="rId220" Type="http://schemas.openxmlformats.org/officeDocument/2006/relationships/hyperlink" Target="mailto:fiona.thomas@urc.org.uk" TargetMode="External"/><Relationship Id="rId221" Type="http://schemas.openxmlformats.org/officeDocument/2006/relationships/header" Target="header90.xml"/><Relationship Id="rId222" Type="http://schemas.openxmlformats.org/officeDocument/2006/relationships/footer" Target="footer87.xml"/><Relationship Id="rId223" Type="http://schemas.openxmlformats.org/officeDocument/2006/relationships/header" Target="header91.xml"/><Relationship Id="rId224" Type="http://schemas.openxmlformats.org/officeDocument/2006/relationships/footer" Target="footer88.xml"/><Relationship Id="rId225" Type="http://schemas.openxmlformats.org/officeDocument/2006/relationships/image" Target="media/image29.png"/><Relationship Id="rId226" Type="http://schemas.openxmlformats.org/officeDocument/2006/relationships/header" Target="header92.xml"/><Relationship Id="rId227" Type="http://schemas.openxmlformats.org/officeDocument/2006/relationships/footer" Target="footer89.xml"/><Relationship Id="rId228" Type="http://schemas.openxmlformats.org/officeDocument/2006/relationships/header" Target="header93.xml"/><Relationship Id="rId229" Type="http://schemas.openxmlformats.org/officeDocument/2006/relationships/footer" Target="footer90.xml"/><Relationship Id="rId230" Type="http://schemas.openxmlformats.org/officeDocument/2006/relationships/hyperlink" Target="mailto:elizabethjnash@gmail.com" TargetMode="External"/><Relationship Id="rId231" Type="http://schemas.openxmlformats.org/officeDocument/2006/relationships/header" Target="header94.xml"/><Relationship Id="rId232" Type="http://schemas.openxmlformats.org/officeDocument/2006/relationships/footer" Target="footer91.xml"/><Relationship Id="rId233" Type="http://schemas.openxmlformats.org/officeDocument/2006/relationships/header" Target="header95.xml"/><Relationship Id="rId234" Type="http://schemas.openxmlformats.org/officeDocument/2006/relationships/footer" Target="footer92.xml"/><Relationship Id="rId235" Type="http://schemas.openxmlformats.org/officeDocument/2006/relationships/header" Target="header96.xml"/><Relationship Id="rId236" Type="http://schemas.openxmlformats.org/officeDocument/2006/relationships/footer" Target="footer93.xml"/><Relationship Id="rId237" Type="http://schemas.openxmlformats.org/officeDocument/2006/relationships/header" Target="header97.xml"/><Relationship Id="rId238" Type="http://schemas.openxmlformats.org/officeDocument/2006/relationships/footer" Target="footer94.xml"/><Relationship Id="rId239" Type="http://schemas.openxmlformats.org/officeDocument/2006/relationships/hyperlink" Target="mailto:Elizabethjnash@gmail.com" TargetMode="External"/><Relationship Id="rId240" Type="http://schemas.openxmlformats.org/officeDocument/2006/relationships/header" Target="header98.xml"/><Relationship Id="rId241" Type="http://schemas.openxmlformats.org/officeDocument/2006/relationships/footer" Target="footer95.xml"/><Relationship Id="rId242" Type="http://schemas.openxmlformats.org/officeDocument/2006/relationships/footer" Target="footer96.xml"/><Relationship Id="rId243" Type="http://schemas.openxmlformats.org/officeDocument/2006/relationships/header" Target="header99.xml"/><Relationship Id="rId244" Type="http://schemas.openxmlformats.org/officeDocument/2006/relationships/header" Target="header100.xml"/><Relationship Id="rId245" Type="http://schemas.openxmlformats.org/officeDocument/2006/relationships/footer" Target="footer97.xml"/><Relationship Id="rId246" Type="http://schemas.openxmlformats.org/officeDocument/2006/relationships/hyperlink" Target="mailto:minister@theroundchapel.org.uk" TargetMode="External"/><Relationship Id="rId247" Type="http://schemas.openxmlformats.org/officeDocument/2006/relationships/header" Target="header101.xml"/><Relationship Id="rId248" Type="http://schemas.openxmlformats.org/officeDocument/2006/relationships/footer" Target="footer98.xml"/><Relationship Id="rId249" Type="http://schemas.openxmlformats.org/officeDocument/2006/relationships/footer" Target="footer99.xml"/><Relationship Id="rId250" Type="http://schemas.openxmlformats.org/officeDocument/2006/relationships/hyperlink" Target="mailto:helen.garton@urc.org.uk" TargetMode="External"/><Relationship Id="rId251" Type="http://schemas.openxmlformats.org/officeDocument/2006/relationships/header" Target="header102.xml"/><Relationship Id="rId252" Type="http://schemas.openxmlformats.org/officeDocument/2006/relationships/header" Target="header103.xml"/><Relationship Id="rId253" Type="http://schemas.openxmlformats.org/officeDocument/2006/relationships/footer" Target="footer100.xml"/><Relationship Id="rId254" Type="http://schemas.openxmlformats.org/officeDocument/2006/relationships/footer" Target="footer101.xml"/><Relationship Id="rId255" Type="http://schemas.openxmlformats.org/officeDocument/2006/relationships/header" Target="header104.xml"/><Relationship Id="rId256" Type="http://schemas.openxmlformats.org/officeDocument/2006/relationships/header" Target="header105.xml"/><Relationship Id="rId257" Type="http://schemas.openxmlformats.org/officeDocument/2006/relationships/footer" Target="footer102.xml"/><Relationship Id="rId258" Type="http://schemas.openxmlformats.org/officeDocument/2006/relationships/footer" Target="footer103.xml"/><Relationship Id="rId259" Type="http://schemas.openxmlformats.org/officeDocument/2006/relationships/header" Target="header106.xml"/><Relationship Id="rId260" Type="http://schemas.openxmlformats.org/officeDocument/2006/relationships/header" Target="header107.xml"/><Relationship Id="rId261" Type="http://schemas.openxmlformats.org/officeDocument/2006/relationships/footer" Target="footer104.xml"/><Relationship Id="rId262" Type="http://schemas.openxmlformats.org/officeDocument/2006/relationships/footer" Target="footer105.xml"/><Relationship Id="rId263" Type="http://schemas.openxmlformats.org/officeDocument/2006/relationships/header" Target="header108.xml"/><Relationship Id="rId264" Type="http://schemas.openxmlformats.org/officeDocument/2006/relationships/header" Target="header109.xml"/><Relationship Id="rId265" Type="http://schemas.openxmlformats.org/officeDocument/2006/relationships/footer" Target="footer106.xml"/><Relationship Id="rId266" Type="http://schemas.openxmlformats.org/officeDocument/2006/relationships/header" Target="header110.xml"/><Relationship Id="rId267" Type="http://schemas.openxmlformats.org/officeDocument/2006/relationships/footer" Target="footer107.xml"/><Relationship Id="rId268" Type="http://schemas.openxmlformats.org/officeDocument/2006/relationships/footer" Target="footer108.xml"/><Relationship Id="rId269" Type="http://schemas.openxmlformats.org/officeDocument/2006/relationships/header" Target="header111.xml"/><Relationship Id="rId270" Type="http://schemas.openxmlformats.org/officeDocument/2006/relationships/header" Target="header112.xml"/><Relationship Id="rId271" Type="http://schemas.openxmlformats.org/officeDocument/2006/relationships/footer" Target="footer109.xml"/><Relationship Id="rId272" Type="http://schemas.openxmlformats.org/officeDocument/2006/relationships/footer" Target="footer110.xml"/><Relationship Id="rId273" Type="http://schemas.openxmlformats.org/officeDocument/2006/relationships/header" Target="header113.xml"/><Relationship Id="rId274" Type="http://schemas.openxmlformats.org/officeDocument/2006/relationships/header" Target="header114.xml"/><Relationship Id="rId275" Type="http://schemas.openxmlformats.org/officeDocument/2006/relationships/footer" Target="footer111.xml"/><Relationship Id="rId276" Type="http://schemas.openxmlformats.org/officeDocument/2006/relationships/footer" Target="footer112.xml"/><Relationship Id="rId277" Type="http://schemas.openxmlformats.org/officeDocument/2006/relationships/header" Target="header115.xml"/><Relationship Id="rId278" Type="http://schemas.openxmlformats.org/officeDocument/2006/relationships/header" Target="header116.xml"/><Relationship Id="rId279" Type="http://schemas.openxmlformats.org/officeDocument/2006/relationships/footer" Target="footer113.xml"/><Relationship Id="rId280" Type="http://schemas.openxmlformats.org/officeDocument/2006/relationships/footer" Target="footer114.xml"/><Relationship Id="rId281" Type="http://schemas.openxmlformats.org/officeDocument/2006/relationships/header" Target="header117.xml"/><Relationship Id="rId282" Type="http://schemas.openxmlformats.org/officeDocument/2006/relationships/header" Target="header118.xml"/><Relationship Id="rId283" Type="http://schemas.openxmlformats.org/officeDocument/2006/relationships/footer" Target="footer115.xml"/><Relationship Id="rId284" Type="http://schemas.openxmlformats.org/officeDocument/2006/relationships/header" Target="header119.xml"/><Relationship Id="rId285" Type="http://schemas.openxmlformats.org/officeDocument/2006/relationships/footer" Target="footer116.xml"/><Relationship Id="rId286" Type="http://schemas.openxmlformats.org/officeDocument/2006/relationships/footer" Target="footer117.xml"/><Relationship Id="rId287" Type="http://schemas.openxmlformats.org/officeDocument/2006/relationships/header" Target="header120.xml"/><Relationship Id="rId288" Type="http://schemas.openxmlformats.org/officeDocument/2006/relationships/header" Target="header121.xml"/><Relationship Id="rId289" Type="http://schemas.openxmlformats.org/officeDocument/2006/relationships/footer" Target="footer118.xml"/><Relationship Id="rId290" Type="http://schemas.openxmlformats.org/officeDocument/2006/relationships/footer" Target="footer119.xml"/><Relationship Id="rId291" Type="http://schemas.openxmlformats.org/officeDocument/2006/relationships/header" Target="header122.xml"/><Relationship Id="rId292" Type="http://schemas.openxmlformats.org/officeDocument/2006/relationships/header" Target="header123.xml"/><Relationship Id="rId293" Type="http://schemas.openxmlformats.org/officeDocument/2006/relationships/footer" Target="footer120.xml"/><Relationship Id="rId294" Type="http://schemas.openxmlformats.org/officeDocument/2006/relationships/footer" Target="footer121.xml"/><Relationship Id="rId295" Type="http://schemas.openxmlformats.org/officeDocument/2006/relationships/header" Target="header124.xml"/><Relationship Id="rId296" Type="http://schemas.openxmlformats.org/officeDocument/2006/relationships/header" Target="header125.xml"/><Relationship Id="rId297" Type="http://schemas.openxmlformats.org/officeDocument/2006/relationships/footer" Target="footer122.xml"/><Relationship Id="rId298" Type="http://schemas.openxmlformats.org/officeDocument/2006/relationships/hyperlink" Target="http://urc.org.uk/images/Ministries/Ministries%20Committee/Toolbox" TargetMode="External"/><Relationship Id="rId299" Type="http://schemas.openxmlformats.org/officeDocument/2006/relationships/hyperlink" Target="http://www.urc.org.uk/lay-preachers.html#four" TargetMode="External"/><Relationship Id="rId300" Type="http://schemas.openxmlformats.org/officeDocument/2006/relationships/header" Target="header126.xml"/><Relationship Id="rId301" Type="http://schemas.openxmlformats.org/officeDocument/2006/relationships/footer" Target="footer123.xml"/><Relationship Id="rId302" Type="http://schemas.openxmlformats.org/officeDocument/2006/relationships/hyperlink" Target="mailto:john.ellis@urc.org.uk" TargetMode="External"/><Relationship Id="rId303" Type="http://schemas.openxmlformats.org/officeDocument/2006/relationships/header" Target="header127.xml"/><Relationship Id="rId304" Type="http://schemas.openxmlformats.org/officeDocument/2006/relationships/footer" Target="footer124.xml"/><Relationship Id="rId305" Type="http://schemas.openxmlformats.org/officeDocument/2006/relationships/header" Target="header128.xml"/><Relationship Id="rId306" Type="http://schemas.openxmlformats.org/officeDocument/2006/relationships/footer" Target="footer125.xml"/><Relationship Id="rId307" Type="http://schemas.openxmlformats.org/officeDocument/2006/relationships/hyperlink" Target="mailto:ministries@urc.org.uk" TargetMode="External"/><Relationship Id="rId308" Type="http://schemas.openxmlformats.org/officeDocument/2006/relationships/header" Target="header129.xml"/><Relationship Id="rId309" Type="http://schemas.openxmlformats.org/officeDocument/2006/relationships/footer" Target="footer126.xml"/><Relationship Id="rId310" Type="http://schemas.openxmlformats.org/officeDocument/2006/relationships/header" Target="header130.xml"/><Relationship Id="rId311" Type="http://schemas.openxmlformats.org/officeDocument/2006/relationships/footer" Target="footer127.xml"/><Relationship Id="rId312" Type="http://schemas.openxmlformats.org/officeDocument/2006/relationships/hyperlink" Target="mailto:francis.brienen@urc.org.uk" TargetMode="External"/><Relationship Id="rId313" Type="http://schemas.openxmlformats.org/officeDocument/2006/relationships/header" Target="header131.xml"/><Relationship Id="rId314" Type="http://schemas.openxmlformats.org/officeDocument/2006/relationships/footer" Target="footer128.xml"/><Relationship Id="rId315" Type="http://schemas.openxmlformats.org/officeDocument/2006/relationships/footer" Target="footer129.xml"/><Relationship Id="rId316" Type="http://schemas.openxmlformats.org/officeDocument/2006/relationships/header" Target="header132.xml"/><Relationship Id="rId317" Type="http://schemas.openxmlformats.org/officeDocument/2006/relationships/header" Target="header133.xml"/><Relationship Id="rId318" Type="http://schemas.openxmlformats.org/officeDocument/2006/relationships/footer" Target="footer130.xml"/><Relationship Id="rId319" Type="http://schemas.openxmlformats.org/officeDocument/2006/relationships/footer" Target="footer131.xml"/><Relationship Id="rId320" Type="http://schemas.openxmlformats.org/officeDocument/2006/relationships/header" Target="header134.xml"/><Relationship Id="rId321" Type="http://schemas.openxmlformats.org/officeDocument/2006/relationships/hyperlink" Target="http://www.jointpublicissues.org.uk/" TargetMode="External"/><Relationship Id="rId322" Type="http://schemas.openxmlformats.org/officeDocument/2006/relationships/header" Target="header135.xml"/><Relationship Id="rId323" Type="http://schemas.openxmlformats.org/officeDocument/2006/relationships/footer" Target="footer132.xml"/><Relationship Id="rId324" Type="http://schemas.openxmlformats.org/officeDocument/2006/relationships/hyperlink" Target="mailto:carannrog@aol.com" TargetMode="External"/><Relationship Id="rId325" Type="http://schemas.openxmlformats.org/officeDocument/2006/relationships/header" Target="header136.xml"/><Relationship Id="rId326" Type="http://schemas.openxmlformats.org/officeDocument/2006/relationships/footer" Target="footer133.xml"/><Relationship Id="rId327" Type="http://schemas.openxmlformats.org/officeDocument/2006/relationships/footer" Target="footer134.xml"/><Relationship Id="rId328" Type="http://schemas.openxmlformats.org/officeDocument/2006/relationships/header" Target="header137.xml"/><Relationship Id="rId329" Type="http://schemas.openxmlformats.org/officeDocument/2006/relationships/header" Target="header138.xml"/><Relationship Id="rId330" Type="http://schemas.openxmlformats.org/officeDocument/2006/relationships/footer" Target="footer135.xml"/><Relationship Id="rId331" Type="http://schemas.openxmlformats.org/officeDocument/2006/relationships/footer" Target="footer136.xml"/><Relationship Id="rId332" Type="http://schemas.openxmlformats.org/officeDocument/2006/relationships/header" Target="header139.xml"/><Relationship Id="rId333" Type="http://schemas.openxmlformats.org/officeDocument/2006/relationships/header" Target="header140.xml"/><Relationship Id="rId334" Type="http://schemas.openxmlformats.org/officeDocument/2006/relationships/footer" Target="footer137.xml"/><Relationship Id="rId335" Type="http://schemas.openxmlformats.org/officeDocument/2006/relationships/footer" Target="footer138.xml"/><Relationship Id="rId336" Type="http://schemas.openxmlformats.org/officeDocument/2006/relationships/header" Target="header141.xml"/><Relationship Id="rId337" Type="http://schemas.openxmlformats.org/officeDocument/2006/relationships/header" Target="header142.xml"/><Relationship Id="rId338" Type="http://schemas.openxmlformats.org/officeDocument/2006/relationships/footer" Target="footer139.xml"/><Relationship Id="rId339" Type="http://schemas.openxmlformats.org/officeDocument/2006/relationships/footer" Target="footer140.xml"/><Relationship Id="rId340" Type="http://schemas.openxmlformats.org/officeDocument/2006/relationships/header" Target="header143.xml"/><Relationship Id="rId341" Type="http://schemas.openxmlformats.org/officeDocument/2006/relationships/header" Target="header144.xml"/><Relationship Id="rId342" Type="http://schemas.openxmlformats.org/officeDocument/2006/relationships/footer" Target="footer141.xml"/><Relationship Id="rId343" Type="http://schemas.openxmlformats.org/officeDocument/2006/relationships/footer" Target="footer142.xml"/><Relationship Id="rId344" Type="http://schemas.openxmlformats.org/officeDocument/2006/relationships/header" Target="header145.xml"/><Relationship Id="rId345" Type="http://schemas.openxmlformats.org/officeDocument/2006/relationships/header" Target="header146.xml"/><Relationship Id="rId346" Type="http://schemas.openxmlformats.org/officeDocument/2006/relationships/footer" Target="footer143.xml"/><Relationship Id="rId347" Type="http://schemas.openxmlformats.org/officeDocument/2006/relationships/footer" Target="footer144.xml"/><Relationship Id="rId348" Type="http://schemas.openxmlformats.org/officeDocument/2006/relationships/header" Target="header147.xml"/><Relationship Id="rId349" Type="http://schemas.openxmlformats.org/officeDocument/2006/relationships/header" Target="header148.xml"/><Relationship Id="rId350" Type="http://schemas.openxmlformats.org/officeDocument/2006/relationships/footer" Target="footer145.xml"/><Relationship Id="rId351" Type="http://schemas.openxmlformats.org/officeDocument/2006/relationships/footer" Target="footer146.xml"/><Relationship Id="rId352" Type="http://schemas.openxmlformats.org/officeDocument/2006/relationships/header" Target="header149.xml"/><Relationship Id="rId353" Type="http://schemas.openxmlformats.org/officeDocument/2006/relationships/header" Target="header150.xml"/><Relationship Id="rId354" Type="http://schemas.openxmlformats.org/officeDocument/2006/relationships/footer" Target="footer147.xml"/><Relationship Id="rId355" Type="http://schemas.openxmlformats.org/officeDocument/2006/relationships/header" Target="header151.xml"/><Relationship Id="rId356" Type="http://schemas.openxmlformats.org/officeDocument/2006/relationships/footer" Target="footer148.xml"/><Relationship Id="rId357" Type="http://schemas.openxmlformats.org/officeDocument/2006/relationships/image" Target="media/image30.png"/><Relationship Id="rId358" Type="http://schemas.openxmlformats.org/officeDocument/2006/relationships/image" Target="media/image31.png"/><Relationship Id="rId359" Type="http://schemas.openxmlformats.org/officeDocument/2006/relationships/header" Target="header152.xml"/><Relationship Id="rId360" Type="http://schemas.openxmlformats.org/officeDocument/2006/relationships/footer" Target="footer149.xml"/><Relationship Id="rId361" Type="http://schemas.openxmlformats.org/officeDocument/2006/relationships/footer" Target="footer150.xml"/><Relationship Id="rId362" Type="http://schemas.openxmlformats.org/officeDocument/2006/relationships/image" Target="media/image32.png"/><Relationship Id="rId363" Type="http://schemas.openxmlformats.org/officeDocument/2006/relationships/header" Target="header153.xml"/><Relationship Id="rId364" Type="http://schemas.openxmlformats.org/officeDocument/2006/relationships/header" Target="header154.xml"/><Relationship Id="rId365" Type="http://schemas.openxmlformats.org/officeDocument/2006/relationships/footer" Target="footer151.xml"/><Relationship Id="rId366" Type="http://schemas.openxmlformats.org/officeDocument/2006/relationships/footer" Target="footer152.xml"/><Relationship Id="rId367" Type="http://schemas.openxmlformats.org/officeDocument/2006/relationships/header" Target="header155.xml"/><Relationship Id="rId368" Type="http://schemas.openxmlformats.org/officeDocument/2006/relationships/header" Target="header156.xml"/><Relationship Id="rId369" Type="http://schemas.openxmlformats.org/officeDocument/2006/relationships/footer" Target="footer153.xml"/><Relationship Id="rId370" Type="http://schemas.openxmlformats.org/officeDocument/2006/relationships/footer" Target="footer154.xml"/><Relationship Id="rId371" Type="http://schemas.openxmlformats.org/officeDocument/2006/relationships/header" Target="header157.xml"/><Relationship Id="rId372" Type="http://schemas.openxmlformats.org/officeDocument/2006/relationships/header" Target="header158.xml"/><Relationship Id="rId373" Type="http://schemas.openxmlformats.org/officeDocument/2006/relationships/footer" Target="footer155.xml"/><Relationship Id="rId374" Type="http://schemas.openxmlformats.org/officeDocument/2006/relationships/footer" Target="footer156.xml"/><Relationship Id="rId375" Type="http://schemas.openxmlformats.org/officeDocument/2006/relationships/header" Target="header159.xml"/><Relationship Id="rId376" Type="http://schemas.openxmlformats.org/officeDocument/2006/relationships/header" Target="header160.xml"/><Relationship Id="rId377" Type="http://schemas.openxmlformats.org/officeDocument/2006/relationships/footer" Target="footer157.xml"/><Relationship Id="rId378" Type="http://schemas.openxmlformats.org/officeDocument/2006/relationships/footer" Target="footer158.xml"/><Relationship Id="rId379" Type="http://schemas.openxmlformats.org/officeDocument/2006/relationships/header" Target="header161.xml"/><Relationship Id="rId380" Type="http://schemas.openxmlformats.org/officeDocument/2006/relationships/header" Target="header162.xml"/><Relationship Id="rId381" Type="http://schemas.openxmlformats.org/officeDocument/2006/relationships/footer" Target="footer159.xml"/><Relationship Id="rId382" Type="http://schemas.openxmlformats.org/officeDocument/2006/relationships/footer" Target="footer160.xml"/><Relationship Id="rId383" Type="http://schemas.openxmlformats.org/officeDocument/2006/relationships/header" Target="header163.xml"/><Relationship Id="rId384" Type="http://schemas.openxmlformats.org/officeDocument/2006/relationships/header" Target="header164.xml"/><Relationship Id="rId385" Type="http://schemas.openxmlformats.org/officeDocument/2006/relationships/footer" Target="footer161.xml"/><Relationship Id="rId386" Type="http://schemas.openxmlformats.org/officeDocument/2006/relationships/footer" Target="footer162.xml"/><Relationship Id="rId387" Type="http://schemas.openxmlformats.org/officeDocument/2006/relationships/header" Target="header165.xml"/><Relationship Id="rId388" Type="http://schemas.openxmlformats.org/officeDocument/2006/relationships/header" Target="header166.xml"/><Relationship Id="rId389" Type="http://schemas.openxmlformats.org/officeDocument/2006/relationships/footer" Target="footer163.xml"/><Relationship Id="rId390" Type="http://schemas.openxmlformats.org/officeDocument/2006/relationships/footer" Target="footer164.xml"/><Relationship Id="rId391" Type="http://schemas.openxmlformats.org/officeDocument/2006/relationships/header" Target="header167.xml"/><Relationship Id="rId392" Type="http://schemas.openxmlformats.org/officeDocument/2006/relationships/header" Target="header168.xml"/><Relationship Id="rId393" Type="http://schemas.openxmlformats.org/officeDocument/2006/relationships/footer" Target="footer165.xml"/><Relationship Id="rId394" Type="http://schemas.openxmlformats.org/officeDocument/2006/relationships/footer" Target="footer166.xml"/><Relationship Id="rId395" Type="http://schemas.openxmlformats.org/officeDocument/2006/relationships/header" Target="header169.xml"/><Relationship Id="rId396" Type="http://schemas.openxmlformats.org/officeDocument/2006/relationships/header" Target="header170.xml"/><Relationship Id="rId397" Type="http://schemas.openxmlformats.org/officeDocument/2006/relationships/footer" Target="footer167.xml"/><Relationship Id="rId398" Type="http://schemas.openxmlformats.org/officeDocument/2006/relationships/footer" Target="footer168.xml"/><Relationship Id="rId399" Type="http://schemas.openxmlformats.org/officeDocument/2006/relationships/header" Target="header171.xml"/><Relationship Id="rId400" Type="http://schemas.openxmlformats.org/officeDocument/2006/relationships/header" Target="header172.xml"/><Relationship Id="rId401" Type="http://schemas.openxmlformats.org/officeDocument/2006/relationships/footer" Target="footer169.xml"/><Relationship Id="rId402" Type="http://schemas.openxmlformats.org/officeDocument/2006/relationships/footer" Target="footer170.xml"/><Relationship Id="rId403" Type="http://schemas.openxmlformats.org/officeDocument/2006/relationships/header" Target="header173.xml"/><Relationship Id="rId404" Type="http://schemas.openxmlformats.org/officeDocument/2006/relationships/header" Target="header174.xml"/><Relationship Id="rId405" Type="http://schemas.openxmlformats.org/officeDocument/2006/relationships/footer" Target="footer171.xml"/><Relationship Id="rId406" Type="http://schemas.openxmlformats.org/officeDocument/2006/relationships/footer" Target="footer172.xml"/><Relationship Id="rId407" Type="http://schemas.openxmlformats.org/officeDocument/2006/relationships/header" Target="header175.xml"/><Relationship Id="rId408" Type="http://schemas.openxmlformats.org/officeDocument/2006/relationships/header" Target="header176.xml"/><Relationship Id="rId409" Type="http://schemas.openxmlformats.org/officeDocument/2006/relationships/footer" Target="footer173.xml"/><Relationship Id="rId410" Type="http://schemas.openxmlformats.org/officeDocument/2006/relationships/footer" Target="footer174.xml"/><Relationship Id="rId411" Type="http://schemas.openxmlformats.org/officeDocument/2006/relationships/header" Target="header177.xml"/><Relationship Id="rId412" Type="http://schemas.openxmlformats.org/officeDocument/2006/relationships/header" Target="header178.xml"/><Relationship Id="rId413" Type="http://schemas.openxmlformats.org/officeDocument/2006/relationships/footer" Target="footer175.xml"/><Relationship Id="rId414" Type="http://schemas.openxmlformats.org/officeDocument/2006/relationships/footer" Target="footer176.xml"/><Relationship Id="rId415" Type="http://schemas.openxmlformats.org/officeDocument/2006/relationships/header" Target="header179.xml"/><Relationship Id="rId416" Type="http://schemas.openxmlformats.org/officeDocument/2006/relationships/header" Target="header180.xml"/><Relationship Id="rId417" Type="http://schemas.openxmlformats.org/officeDocument/2006/relationships/footer" Target="footer177.xml"/><Relationship Id="rId418" Type="http://schemas.openxmlformats.org/officeDocument/2006/relationships/footer" Target="footer178.xml"/><Relationship Id="rId419" Type="http://schemas.openxmlformats.org/officeDocument/2006/relationships/header" Target="header181.xml"/><Relationship Id="rId420" Type="http://schemas.openxmlformats.org/officeDocument/2006/relationships/header" Target="header182.xml"/><Relationship Id="rId421" Type="http://schemas.openxmlformats.org/officeDocument/2006/relationships/footer" Target="footer179.xml"/><Relationship Id="rId422" Type="http://schemas.openxmlformats.org/officeDocument/2006/relationships/footer" Target="footer180.xml"/><Relationship Id="rId423" Type="http://schemas.openxmlformats.org/officeDocument/2006/relationships/header" Target="header183.xml"/><Relationship Id="rId424" Type="http://schemas.openxmlformats.org/officeDocument/2006/relationships/header" Target="header184.xml"/><Relationship Id="rId425" Type="http://schemas.openxmlformats.org/officeDocument/2006/relationships/footer" Target="footer181.xml"/><Relationship Id="rId426" Type="http://schemas.openxmlformats.org/officeDocument/2006/relationships/footer" Target="footer182.xml"/><Relationship Id="rId427" Type="http://schemas.openxmlformats.org/officeDocument/2006/relationships/header" Target="header185.xml"/><Relationship Id="rId428" Type="http://schemas.openxmlformats.org/officeDocument/2006/relationships/header" Target="header186.xml"/><Relationship Id="rId429" Type="http://schemas.openxmlformats.org/officeDocument/2006/relationships/footer" Target="footer183.xml"/><Relationship Id="rId430" Type="http://schemas.openxmlformats.org/officeDocument/2006/relationships/footer" Target="footer184.xml"/><Relationship Id="rId431" Type="http://schemas.openxmlformats.org/officeDocument/2006/relationships/header" Target="header187.xml"/><Relationship Id="rId432" Type="http://schemas.openxmlformats.org/officeDocument/2006/relationships/header" Target="header188.xml"/><Relationship Id="rId433" Type="http://schemas.openxmlformats.org/officeDocument/2006/relationships/footer" Target="footer185.xml"/><Relationship Id="rId434" Type="http://schemas.openxmlformats.org/officeDocument/2006/relationships/footer" Target="footer186.xml"/><Relationship Id="rId435" Type="http://schemas.openxmlformats.org/officeDocument/2006/relationships/image" Target="media/image33.png"/><Relationship Id="rId436" Type="http://schemas.openxmlformats.org/officeDocument/2006/relationships/image" Target="media/image34.png"/><Relationship Id="rId437" Type="http://schemas.openxmlformats.org/officeDocument/2006/relationships/image" Target="media/image35.png"/><Relationship Id="rId438" Type="http://schemas.openxmlformats.org/officeDocument/2006/relationships/image" Target="media/image36.png"/><Relationship Id="rId439" Type="http://schemas.openxmlformats.org/officeDocument/2006/relationships/image" Target="media/image37.png"/><Relationship Id="rId440" Type="http://schemas.openxmlformats.org/officeDocument/2006/relationships/image" Target="media/image38.png"/><Relationship Id="rId441" Type="http://schemas.openxmlformats.org/officeDocument/2006/relationships/image" Target="media/image39.png"/><Relationship Id="rId442" Type="http://schemas.openxmlformats.org/officeDocument/2006/relationships/image" Target="media/image40.png"/><Relationship Id="rId443" Type="http://schemas.openxmlformats.org/officeDocument/2006/relationships/hyperlink" Target="http://www.urc.org.uk/" TargetMode="External"/><Relationship Id="rId444" Type="http://schemas.openxmlformats.org/officeDocument/2006/relationships/header" Target="header189.xml"/><Relationship Id="rId445" Type="http://schemas.openxmlformats.org/officeDocument/2006/relationships/image" Target="media/image41.png"/><Relationship Id="rId446" Type="http://schemas.openxmlformats.org/officeDocument/2006/relationships/image" Target="media/image42.png"/><Relationship Id="rId447" Type="http://schemas.openxmlformats.org/officeDocument/2006/relationships/image" Target="media/image43.jpeg"/><Relationship Id="rId448" Type="http://schemas.openxmlformats.org/officeDocument/2006/relationships/header" Target="header190.xml"/><Relationship Id="rId449" Type="http://schemas.openxmlformats.org/officeDocument/2006/relationships/footer" Target="footer187.xml"/><Relationship Id="rId450" Type="http://schemas.openxmlformats.org/officeDocument/2006/relationships/footer" Target="footer188.xml"/><Relationship Id="rId451" Type="http://schemas.openxmlformats.org/officeDocument/2006/relationships/image" Target="media/image44.jpeg"/><Relationship Id="rId452" Type="http://schemas.openxmlformats.org/officeDocument/2006/relationships/hyperlink" Target="http://www.youtube.com/watch?v=VfPeYXuTgQ4" TargetMode="External"/><Relationship Id="rId453" Type="http://schemas.openxmlformats.org/officeDocument/2006/relationships/image" Target="media/image45.png"/><Relationship Id="rId454" Type="http://schemas.openxmlformats.org/officeDocument/2006/relationships/header" Target="header191.xml"/><Relationship Id="rId455" Type="http://schemas.openxmlformats.org/officeDocument/2006/relationships/image" Target="media/image46.jpeg"/><Relationship Id="rId456" Type="http://schemas.openxmlformats.org/officeDocument/2006/relationships/image" Target="media/image47.png"/><Relationship Id="rId457" Type="http://schemas.openxmlformats.org/officeDocument/2006/relationships/header" Target="header192.xml"/><Relationship Id="rId458" Type="http://schemas.openxmlformats.org/officeDocument/2006/relationships/footer" Target="footer189.xml"/><Relationship Id="rId459" Type="http://schemas.openxmlformats.org/officeDocument/2006/relationships/footer" Target="footer190.xml"/><Relationship Id="rId460" Type="http://schemas.openxmlformats.org/officeDocument/2006/relationships/image" Target="media/image48.png"/><Relationship Id="rId461" Type="http://schemas.openxmlformats.org/officeDocument/2006/relationships/image" Target="media/image49.jpeg"/><Relationship Id="rId462" Type="http://schemas.openxmlformats.org/officeDocument/2006/relationships/header" Target="header193.xml"/><Relationship Id="rId463" Type="http://schemas.openxmlformats.org/officeDocument/2006/relationships/image" Target="media/image50.png"/><Relationship Id="rId464" Type="http://schemas.openxmlformats.org/officeDocument/2006/relationships/image" Target="media/image51.jpeg"/><Relationship Id="rId465" Type="http://schemas.openxmlformats.org/officeDocument/2006/relationships/header" Target="header194.xml"/><Relationship Id="rId466" Type="http://schemas.openxmlformats.org/officeDocument/2006/relationships/footer" Target="footer191.xml"/><Relationship Id="rId467" Type="http://schemas.openxmlformats.org/officeDocument/2006/relationships/footer" Target="footer192.xml"/><Relationship Id="rId468" Type="http://schemas.openxmlformats.org/officeDocument/2006/relationships/image" Target="media/image52.png"/><Relationship Id="rId469" Type="http://schemas.openxmlformats.org/officeDocument/2006/relationships/image" Target="media/image53.jpeg"/><Relationship Id="rId470" Type="http://schemas.openxmlformats.org/officeDocument/2006/relationships/header" Target="header195.xml"/><Relationship Id="rId471" Type="http://schemas.openxmlformats.org/officeDocument/2006/relationships/image" Target="media/image54.png"/><Relationship Id="rId472" Type="http://schemas.openxmlformats.org/officeDocument/2006/relationships/image" Target="media/image55.jpeg"/><Relationship Id="rId473" Type="http://schemas.openxmlformats.org/officeDocument/2006/relationships/hyperlink" Target="http://www.freshexpressions.org.uk/news/anglicanresearch)" TargetMode="External"/><Relationship Id="rId474" Type="http://schemas.openxmlformats.org/officeDocument/2006/relationships/header" Target="header196.xml"/><Relationship Id="rId475" Type="http://schemas.openxmlformats.org/officeDocument/2006/relationships/footer" Target="footer193.xml"/><Relationship Id="rId476" Type="http://schemas.openxmlformats.org/officeDocument/2006/relationships/footer" Target="footer194.xml"/><Relationship Id="rId477" Type="http://schemas.openxmlformats.org/officeDocument/2006/relationships/image" Target="media/image56.png"/><Relationship Id="rId478" Type="http://schemas.openxmlformats.org/officeDocument/2006/relationships/image" Target="media/image57.jpeg"/><Relationship Id="rId479" Type="http://schemas.openxmlformats.org/officeDocument/2006/relationships/hyperlink" Target="http://www.backtochurch.co.uk/" TargetMode="External"/><Relationship Id="rId480" Type="http://schemas.openxmlformats.org/officeDocument/2006/relationships/hyperlink" Target="http://www.fleshandblood.org/" TargetMode="External"/><Relationship Id="rId481" Type="http://schemas.openxmlformats.org/officeDocument/2006/relationships/image" Target="media/image58.png"/><Relationship Id="rId482" Type="http://schemas.openxmlformats.org/officeDocument/2006/relationships/header" Target="header197.xml"/><Relationship Id="rId483" Type="http://schemas.openxmlformats.org/officeDocument/2006/relationships/image" Target="media/image59.png"/><Relationship Id="rId484" Type="http://schemas.openxmlformats.org/officeDocument/2006/relationships/image" Target="media/image60.jpeg"/><Relationship Id="rId485" Type="http://schemas.openxmlformats.org/officeDocument/2006/relationships/header" Target="header198.xml"/><Relationship Id="rId486" Type="http://schemas.openxmlformats.org/officeDocument/2006/relationships/footer" Target="footer195.xml"/><Relationship Id="rId487" Type="http://schemas.openxmlformats.org/officeDocument/2006/relationships/footer" Target="footer196.xml"/><Relationship Id="rId488" Type="http://schemas.openxmlformats.org/officeDocument/2006/relationships/image" Target="media/image61.png"/><Relationship Id="rId489" Type="http://schemas.openxmlformats.org/officeDocument/2006/relationships/image" Target="media/image62.png"/><Relationship Id="rId490" Type="http://schemas.openxmlformats.org/officeDocument/2006/relationships/image" Target="media/image63.jpeg"/><Relationship Id="rId491" Type="http://schemas.openxmlformats.org/officeDocument/2006/relationships/header" Target="header199.xml"/><Relationship Id="rId492" Type="http://schemas.openxmlformats.org/officeDocument/2006/relationships/image" Target="media/image64.png"/><Relationship Id="rId493" Type="http://schemas.openxmlformats.org/officeDocument/2006/relationships/image" Target="media/image65.png"/><Relationship Id="rId494" Type="http://schemas.openxmlformats.org/officeDocument/2006/relationships/header" Target="header200.xml"/><Relationship Id="rId495" Type="http://schemas.openxmlformats.org/officeDocument/2006/relationships/footer" Target="footer197.xml"/><Relationship Id="rId496" Type="http://schemas.openxmlformats.org/officeDocument/2006/relationships/footer" Target="footer198.xml"/><Relationship Id="rId497" Type="http://schemas.openxmlformats.org/officeDocument/2006/relationships/image" Target="media/image66.png"/><Relationship Id="rId498" Type="http://schemas.openxmlformats.org/officeDocument/2006/relationships/image" Target="media/image67.png"/><Relationship Id="rId499" Type="http://schemas.openxmlformats.org/officeDocument/2006/relationships/header" Target="header201.xml"/><Relationship Id="rId500" Type="http://schemas.openxmlformats.org/officeDocument/2006/relationships/image" Target="media/image68.png"/><Relationship Id="rId501" Type="http://schemas.openxmlformats.org/officeDocument/2006/relationships/image" Target="media/image69.png"/><Relationship Id="rId502" Type="http://schemas.openxmlformats.org/officeDocument/2006/relationships/header" Target="header202.xml"/><Relationship Id="rId503" Type="http://schemas.openxmlformats.org/officeDocument/2006/relationships/footer" Target="footer199.xml"/><Relationship Id="rId504" Type="http://schemas.openxmlformats.org/officeDocument/2006/relationships/footer" Target="footer200.xml"/><Relationship Id="rId505" Type="http://schemas.openxmlformats.org/officeDocument/2006/relationships/image" Target="media/image70.jpeg"/><Relationship Id="rId506" Type="http://schemas.openxmlformats.org/officeDocument/2006/relationships/image" Target="media/image71.png"/><Relationship Id="rId507" Type="http://schemas.openxmlformats.org/officeDocument/2006/relationships/header" Target="header203.xml"/><Relationship Id="rId508" Type="http://schemas.openxmlformats.org/officeDocument/2006/relationships/header" Target="header204.xml"/><Relationship Id="rId509" Type="http://schemas.openxmlformats.org/officeDocument/2006/relationships/footer" Target="footer201.xml"/><Relationship Id="rId510" Type="http://schemas.openxmlformats.org/officeDocument/2006/relationships/footer" Target="footer202.xml"/><Relationship Id="rId511" Type="http://schemas.openxmlformats.org/officeDocument/2006/relationships/header" Target="header205.xml"/><Relationship Id="rId512" Type="http://schemas.openxmlformats.org/officeDocument/2006/relationships/header" Target="header206.xml"/><Relationship Id="rId513" Type="http://schemas.openxmlformats.org/officeDocument/2006/relationships/footer" Target="footer203.xml"/><Relationship Id="rId514" Type="http://schemas.openxmlformats.org/officeDocument/2006/relationships/footer" Target="footer204.xml"/><Relationship Id="rId515" Type="http://schemas.openxmlformats.org/officeDocument/2006/relationships/header" Target="header207.xml"/><Relationship Id="rId516" Type="http://schemas.openxmlformats.org/officeDocument/2006/relationships/header" Target="header208.xml"/><Relationship Id="rId517" Type="http://schemas.openxmlformats.org/officeDocument/2006/relationships/footer" Target="footer205.xml"/><Relationship Id="rId518" Type="http://schemas.openxmlformats.org/officeDocument/2006/relationships/footer" Target="footer206.xml"/><Relationship Id="rId519" Type="http://schemas.openxmlformats.org/officeDocument/2006/relationships/header" Target="header209.xml"/><Relationship Id="rId520" Type="http://schemas.openxmlformats.org/officeDocument/2006/relationships/header" Target="header210.xml"/><Relationship Id="rId521" Type="http://schemas.openxmlformats.org/officeDocument/2006/relationships/footer" Target="footer207.xml"/><Relationship Id="rId522" Type="http://schemas.openxmlformats.org/officeDocument/2006/relationships/footer" Target="footer208.xml"/><Relationship Id="rId523" Type="http://schemas.openxmlformats.org/officeDocument/2006/relationships/header" Target="header211.xml"/><Relationship Id="rId524" Type="http://schemas.openxmlformats.org/officeDocument/2006/relationships/header" Target="header212.xml"/><Relationship Id="rId525" Type="http://schemas.openxmlformats.org/officeDocument/2006/relationships/footer" Target="footer209.xml"/><Relationship Id="rId526" Type="http://schemas.openxmlformats.org/officeDocument/2006/relationships/header" Target="header213.xml"/><Relationship Id="rId527" Type="http://schemas.openxmlformats.org/officeDocument/2006/relationships/footer" Target="footer210.xml"/><Relationship Id="rId528" Type="http://schemas.openxmlformats.org/officeDocument/2006/relationships/image" Target="media/image72.png"/><Relationship Id="rId529" Type="http://schemas.openxmlformats.org/officeDocument/2006/relationships/header" Target="header214.xml"/><Relationship Id="rId530" Type="http://schemas.openxmlformats.org/officeDocument/2006/relationships/footer" Target="footer211.xml"/><Relationship Id="rId531" Type="http://schemas.openxmlformats.org/officeDocument/2006/relationships/footer" Target="footer212.xml"/><Relationship Id="rId532" Type="http://schemas.openxmlformats.org/officeDocument/2006/relationships/image" Target="media/image73.png"/><Relationship Id="rId533" Type="http://schemas.openxmlformats.org/officeDocument/2006/relationships/header" Target="header215.xml"/><Relationship Id="rId534" Type="http://schemas.openxmlformats.org/officeDocument/2006/relationships/header" Target="header216.xml"/><Relationship Id="rId535" Type="http://schemas.openxmlformats.org/officeDocument/2006/relationships/footer" Target="footer213.xml"/><Relationship Id="rId536" Type="http://schemas.openxmlformats.org/officeDocument/2006/relationships/footer" Target="footer214.xml"/><Relationship Id="rId537" Type="http://schemas.openxmlformats.org/officeDocument/2006/relationships/image" Target="media/image74.png"/><Relationship Id="rId538" Type="http://schemas.openxmlformats.org/officeDocument/2006/relationships/hyperlink" Target="mailto:secretary@urcmusic.org.uk" TargetMode="External"/><Relationship Id="rId539" Type="http://schemas.openxmlformats.org/officeDocument/2006/relationships/header" Target="header217.xml"/><Relationship Id="rId540" Type="http://schemas.openxmlformats.org/officeDocument/2006/relationships/image" Target="media/image75.png"/><Relationship Id="rId541" Type="http://schemas.openxmlformats.org/officeDocument/2006/relationships/header" Target="header218.xml"/><Relationship Id="rId542" Type="http://schemas.openxmlformats.org/officeDocument/2006/relationships/footer" Target="footer215.xml"/><Relationship Id="rId543" Type="http://schemas.openxmlformats.org/officeDocument/2006/relationships/footer" Target="footer216.xml"/><Relationship Id="rId544" Type="http://schemas.openxmlformats.org/officeDocument/2006/relationships/image" Target="media/image76.jpeg"/><Relationship Id="rId545" Type="http://schemas.openxmlformats.org/officeDocument/2006/relationships/header" Target="header219.xml"/><Relationship Id="rId546" Type="http://schemas.openxmlformats.org/officeDocument/2006/relationships/image" Target="media/image77.jpeg"/><Relationship Id="rId547" Type="http://schemas.openxmlformats.org/officeDocument/2006/relationships/image" Target="media/image78.jpeg"/><Relationship Id="rId548" Type="http://schemas.openxmlformats.org/officeDocument/2006/relationships/image" Target="media/image79.jpeg"/><Relationship Id="rId549" Type="http://schemas.openxmlformats.org/officeDocument/2006/relationships/header" Target="header220.xml"/><Relationship Id="rId550" Type="http://schemas.openxmlformats.org/officeDocument/2006/relationships/footer" Target="footer217.xml"/><Relationship Id="rId551" Type="http://schemas.openxmlformats.org/officeDocument/2006/relationships/footer" Target="footer218.xml"/><Relationship Id="rId552" Type="http://schemas.openxmlformats.org/officeDocument/2006/relationships/header" Target="header221.xml"/><Relationship Id="rId553" Type="http://schemas.openxmlformats.org/officeDocument/2006/relationships/image" Target="media/image80.jpeg"/><Relationship Id="rId554" Type="http://schemas.openxmlformats.org/officeDocument/2006/relationships/image" Target="media/image81.jpeg"/><Relationship Id="rId555" Type="http://schemas.openxmlformats.org/officeDocument/2006/relationships/image" Target="media/image82.jpeg"/><Relationship Id="rId556" Type="http://schemas.openxmlformats.org/officeDocument/2006/relationships/hyperlink" Target="http://www.silocoates.org.uk/" TargetMode="External"/><Relationship Id="rId557" Type="http://schemas.openxmlformats.org/officeDocument/2006/relationships/header" Target="header222.xml"/><Relationship Id="rId558" Type="http://schemas.openxmlformats.org/officeDocument/2006/relationships/footer" Target="footer219.xml"/><Relationship Id="rId559" Type="http://schemas.openxmlformats.org/officeDocument/2006/relationships/image" Target="media/image83.png"/><Relationship Id="rId560" Type="http://schemas.openxmlformats.org/officeDocument/2006/relationships/image" Target="media/image84.jpeg"/><Relationship Id="rId561" Type="http://schemas.openxmlformats.org/officeDocument/2006/relationships/header" Target="header223.xml"/><Relationship Id="rId562" Type="http://schemas.openxmlformats.org/officeDocument/2006/relationships/footer" Target="footer220.xml"/><Relationship Id="rId563" Type="http://schemas.openxmlformats.org/officeDocument/2006/relationships/image" Target="media/image85.png"/><Relationship Id="rId564" Type="http://schemas.openxmlformats.org/officeDocument/2006/relationships/image" Target="media/image86.jpeg"/><Relationship Id="rId565" Type="http://schemas.openxmlformats.org/officeDocument/2006/relationships/header" Target="header224.xml"/><Relationship Id="rId566" Type="http://schemas.openxmlformats.org/officeDocument/2006/relationships/footer" Target="footer221.xml"/><Relationship Id="rId567" Type="http://schemas.openxmlformats.org/officeDocument/2006/relationships/image" Target="media/image87.jpeg"/><Relationship Id="rId568" Type="http://schemas.openxmlformats.org/officeDocument/2006/relationships/header" Target="header225.xml"/><Relationship Id="rId569" Type="http://schemas.openxmlformats.org/officeDocument/2006/relationships/footer" Target="footer222.xml"/><Relationship Id="rId570" Type="http://schemas.openxmlformats.org/officeDocument/2006/relationships/image" Target="media/image88.jpeg"/><Relationship Id="rId571" Type="http://schemas.openxmlformats.org/officeDocument/2006/relationships/header" Target="header226.xml"/><Relationship Id="rId572" Type="http://schemas.openxmlformats.org/officeDocument/2006/relationships/footer" Target="footer223.xml"/><Relationship Id="rId573" Type="http://schemas.openxmlformats.org/officeDocument/2006/relationships/header" Target="header227.xml"/><Relationship Id="rId574" Type="http://schemas.openxmlformats.org/officeDocument/2006/relationships/footer" Target="footer224.xml"/><Relationship Id="rId575" Type="http://schemas.openxmlformats.org/officeDocument/2006/relationships/image" Target="media/image89.png"/><Relationship Id="rId576" Type="http://schemas.openxmlformats.org/officeDocument/2006/relationships/header" Target="header228.xml"/><Relationship Id="rId577" Type="http://schemas.openxmlformats.org/officeDocument/2006/relationships/footer" Target="footer225.xml"/><Relationship Id="rId578" Type="http://schemas.openxmlformats.org/officeDocument/2006/relationships/footer" Target="footer226.xml"/><Relationship Id="rId579" Type="http://schemas.openxmlformats.org/officeDocument/2006/relationships/image" Target="media/image90.png"/><Relationship Id="rId580" Type="http://schemas.openxmlformats.org/officeDocument/2006/relationships/header" Target="header229.xml"/><Relationship Id="rId581" Type="http://schemas.openxmlformats.org/officeDocument/2006/relationships/header" Target="header230.xml"/><Relationship Id="rId582" Type="http://schemas.openxmlformats.org/officeDocument/2006/relationships/footer" Target="footer227.xml"/><Relationship Id="rId583" Type="http://schemas.openxmlformats.org/officeDocument/2006/relationships/footer" Target="footer228.xml"/><Relationship Id="rId584" Type="http://schemas.openxmlformats.org/officeDocument/2006/relationships/header" Target="header231.xml"/><Relationship Id="rId585" Type="http://schemas.openxmlformats.org/officeDocument/2006/relationships/header" Target="header232.xml"/><Relationship Id="rId586" Type="http://schemas.openxmlformats.org/officeDocument/2006/relationships/footer" Target="footer229.xml"/><Relationship Id="rId587" Type="http://schemas.openxmlformats.org/officeDocument/2006/relationships/footer" Target="footer230.xml"/><Relationship Id="rId588" Type="http://schemas.openxmlformats.org/officeDocument/2006/relationships/header" Target="header233.xml"/><Relationship Id="rId589" Type="http://schemas.openxmlformats.org/officeDocument/2006/relationships/header" Target="header234.xml"/><Relationship Id="rId590" Type="http://schemas.openxmlformats.org/officeDocument/2006/relationships/footer" Target="footer231.xml"/><Relationship Id="rId591" Type="http://schemas.openxmlformats.org/officeDocument/2006/relationships/footer" Target="footer232.xml"/><Relationship Id="rId592" Type="http://schemas.openxmlformats.org/officeDocument/2006/relationships/header" Target="header235.xml"/><Relationship Id="rId593" Type="http://schemas.openxmlformats.org/officeDocument/2006/relationships/header" Target="header236.xml"/><Relationship Id="rId594" Type="http://schemas.openxmlformats.org/officeDocument/2006/relationships/footer" Target="footer233.xml"/><Relationship Id="rId595" Type="http://schemas.openxmlformats.org/officeDocument/2006/relationships/footer" Target="footer234.xml"/><Relationship Id="rId596" Type="http://schemas.openxmlformats.org/officeDocument/2006/relationships/header" Target="header237.xml"/><Relationship Id="rId597" Type="http://schemas.openxmlformats.org/officeDocument/2006/relationships/header" Target="header238.xml"/><Relationship Id="rId598" Type="http://schemas.openxmlformats.org/officeDocument/2006/relationships/footer" Target="footer235.xml"/><Relationship Id="rId599"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2020-01-17T16:13:11Z</dcterms:created>
  <dcterms:modified xsi:type="dcterms:W3CDTF">2020-01-17T16:13:11Z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2014-04-23T00:00:00Z</vt:filetime>
  </property>
  <property fmtid="{D5CDD505-2E9C-101B-9397-08002B2CF9AE}" pid="3" name="Creator">
    <vt:lpwstr>Adobe InDesign CS6 (Macintosh)</vt:lpwstr>
  </property>
  <property fmtid="{D5CDD505-2E9C-101B-9397-08002B2CF9AE}" pid="4" name="LastSaved">
    <vt:filetime>2020-01-17T00:00:00Z</vt:filetime>
  </property>
</Properties>
</file>